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36901" w:rsidP="00236901" w:rsidRDefault="00236901" w14:paraId="63C85B9D" w14:textId="77777777">
      <w:pPr>
        <w:spacing w:before="360"/>
        <w:ind w:right="95"/>
        <w:jc w:val="center"/>
      </w:pPr>
      <w:r>
        <w:rPr>
          <w:caps/>
          <w:noProof/>
          <w:lang w:eastAsia="en-AU"/>
        </w:rPr>
        <w:drawing>
          <wp:inline distT="0" distB="0" distL="0" distR="0" wp14:anchorId="63C85BCC" wp14:editId="63C85BCD">
            <wp:extent cx="2465705" cy="1371600"/>
            <wp:effectExtent l="0" t="0" r="0" b="0"/>
            <wp:docPr id="1" name="Picture 1" descr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stralian Government Cres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E510D" w:rsidR="00236901" w:rsidP="00236901" w:rsidRDefault="00236901" w14:paraId="63C85B9E" w14:textId="0D352AC7">
      <w:pPr>
        <w:spacing w:before="360"/>
        <w:jc w:val="center"/>
        <w:rPr>
          <w:rFonts w:ascii="Montserrat Light" w:hAnsi="Montserrat Light"/>
          <w:sz w:val="32"/>
          <w:szCs w:val="32"/>
        </w:rPr>
      </w:pPr>
      <w:r w:rsidRPr="007E510D">
        <w:rPr>
          <w:rFonts w:ascii="Montserrat Light" w:hAnsi="Montserrat Light"/>
          <w:sz w:val="32"/>
          <w:szCs w:val="32"/>
        </w:rPr>
        <w:t xml:space="preserve">Australian Government response to the </w:t>
      </w:r>
      <w:r w:rsidRPr="007E510D">
        <w:rPr>
          <w:rFonts w:ascii="Montserrat Light" w:hAnsi="Montserrat Light"/>
          <w:sz w:val="32"/>
          <w:szCs w:val="32"/>
        </w:rPr>
        <w:br/>
      </w:r>
      <w:r w:rsidR="0068125E">
        <w:rPr>
          <w:rFonts w:ascii="Montserrat Light" w:hAnsi="Montserrat Light"/>
          <w:sz w:val="32"/>
          <w:szCs w:val="32"/>
        </w:rPr>
        <w:t>Rural and Regional Affairs and Transport Legislation Committee</w:t>
      </w:r>
      <w:r w:rsidRPr="007E510D">
        <w:rPr>
          <w:rFonts w:ascii="Montserrat Light" w:hAnsi="Montserrat Light"/>
          <w:sz w:val="32"/>
          <w:szCs w:val="32"/>
        </w:rPr>
        <w:t xml:space="preserve"> report:</w:t>
      </w:r>
    </w:p>
    <w:p w:rsidR="0068125E" w:rsidP="0068125E" w:rsidRDefault="0068125E" w14:paraId="0A12AF84" w14:textId="77777777">
      <w:pPr>
        <w:spacing w:before="240"/>
        <w:jc w:val="center"/>
        <w:rPr>
          <w:rFonts w:ascii="Montserrat Light" w:hAnsi="Montserrat Light"/>
          <w:sz w:val="32"/>
          <w:szCs w:val="32"/>
        </w:rPr>
      </w:pPr>
      <w:r>
        <w:rPr>
          <w:rFonts w:ascii="Montserrat Light" w:hAnsi="Montserrat Light"/>
          <w:sz w:val="32"/>
          <w:szCs w:val="32"/>
        </w:rPr>
        <w:t>Agriculture (Biosecurity Protection) Levies Bill 2024 [Provisions] and related bills</w:t>
      </w:r>
    </w:p>
    <w:p w:rsidR="0068125E" w:rsidP="0068125E" w:rsidRDefault="0068125E" w14:paraId="0BD9B158" w14:textId="77777777">
      <w:pPr>
        <w:spacing w:before="240"/>
        <w:jc w:val="center"/>
        <w:rPr>
          <w:rFonts w:ascii="Montserrat Light" w:hAnsi="Montserrat Light"/>
          <w:sz w:val="32"/>
          <w:szCs w:val="32"/>
        </w:rPr>
      </w:pPr>
    </w:p>
    <w:p w:rsidR="0068125E" w:rsidP="0068125E" w:rsidRDefault="0068125E" w14:paraId="61F83E41" w14:textId="77777777">
      <w:pPr>
        <w:spacing w:before="240"/>
        <w:jc w:val="center"/>
        <w:rPr>
          <w:rFonts w:ascii="Montserrat Light" w:hAnsi="Montserrat Light"/>
          <w:sz w:val="32"/>
          <w:szCs w:val="32"/>
        </w:rPr>
      </w:pPr>
    </w:p>
    <w:p w:rsidR="0068125E" w:rsidP="0068125E" w:rsidRDefault="0068125E" w14:paraId="428264C2" w14:textId="77777777">
      <w:pPr>
        <w:spacing w:before="240"/>
        <w:jc w:val="center"/>
        <w:rPr>
          <w:rFonts w:ascii="Montserrat Light" w:hAnsi="Montserrat Light"/>
          <w:sz w:val="32"/>
          <w:szCs w:val="32"/>
        </w:rPr>
      </w:pPr>
    </w:p>
    <w:p w:rsidR="0068125E" w:rsidP="0068125E" w:rsidRDefault="0068125E" w14:paraId="1DEEE04A" w14:textId="77777777">
      <w:pPr>
        <w:spacing w:before="240"/>
        <w:jc w:val="center"/>
        <w:rPr>
          <w:rFonts w:ascii="Montserrat Light" w:hAnsi="Montserrat Light"/>
          <w:caps/>
          <w:sz w:val="28"/>
          <w:szCs w:val="28"/>
        </w:rPr>
      </w:pPr>
    </w:p>
    <w:p w:rsidR="0068125E" w:rsidP="0068125E" w:rsidRDefault="0068125E" w14:paraId="76BA1C51" w14:textId="77777777">
      <w:pPr>
        <w:spacing w:before="240"/>
        <w:jc w:val="center"/>
        <w:rPr>
          <w:rFonts w:ascii="Montserrat Light" w:hAnsi="Montserrat Light"/>
          <w:caps/>
          <w:sz w:val="28"/>
          <w:szCs w:val="28"/>
        </w:rPr>
      </w:pPr>
    </w:p>
    <w:p w:rsidR="0068125E" w:rsidP="0068125E" w:rsidRDefault="0068125E" w14:paraId="2D7ED0B1" w14:textId="77777777">
      <w:pPr>
        <w:spacing w:before="240"/>
        <w:jc w:val="center"/>
        <w:rPr>
          <w:rFonts w:ascii="Montserrat Light" w:hAnsi="Montserrat Light"/>
          <w:caps/>
          <w:sz w:val="28"/>
          <w:szCs w:val="28"/>
        </w:rPr>
      </w:pPr>
    </w:p>
    <w:p w:rsidR="0068125E" w:rsidP="0068125E" w:rsidRDefault="0068125E" w14:paraId="5485B781" w14:textId="77777777">
      <w:pPr>
        <w:spacing w:before="240"/>
        <w:jc w:val="center"/>
        <w:rPr>
          <w:rFonts w:ascii="Montserrat Light" w:hAnsi="Montserrat Light"/>
          <w:caps/>
          <w:sz w:val="28"/>
          <w:szCs w:val="28"/>
        </w:rPr>
      </w:pPr>
    </w:p>
    <w:p w:rsidR="0068125E" w:rsidP="0068125E" w:rsidRDefault="0068125E" w14:paraId="5D92CFBB" w14:textId="77777777">
      <w:pPr>
        <w:spacing w:before="240"/>
        <w:jc w:val="center"/>
        <w:rPr>
          <w:rFonts w:ascii="Montserrat Light" w:hAnsi="Montserrat Light"/>
          <w:caps/>
          <w:sz w:val="28"/>
          <w:szCs w:val="28"/>
        </w:rPr>
      </w:pPr>
    </w:p>
    <w:p w:rsidR="0068125E" w:rsidP="0068125E" w:rsidRDefault="0068125E" w14:paraId="56F87ECE" w14:textId="77777777">
      <w:pPr>
        <w:spacing w:before="240"/>
        <w:jc w:val="center"/>
        <w:rPr>
          <w:rFonts w:ascii="Montserrat Light" w:hAnsi="Montserrat Light"/>
          <w:caps/>
          <w:sz w:val="28"/>
          <w:szCs w:val="28"/>
        </w:rPr>
      </w:pPr>
    </w:p>
    <w:p w:rsidR="0068125E" w:rsidP="0068125E" w:rsidRDefault="0068125E" w14:paraId="3B679742" w14:textId="77777777">
      <w:pPr>
        <w:spacing w:before="240"/>
        <w:jc w:val="center"/>
        <w:rPr>
          <w:rFonts w:ascii="Montserrat Light" w:hAnsi="Montserrat Light"/>
          <w:caps/>
          <w:sz w:val="28"/>
          <w:szCs w:val="28"/>
        </w:rPr>
      </w:pPr>
    </w:p>
    <w:p w:rsidR="0068125E" w:rsidP="0068125E" w:rsidRDefault="0068125E" w14:paraId="16CC83F3" w14:textId="77777777">
      <w:pPr>
        <w:spacing w:before="240"/>
        <w:jc w:val="center"/>
        <w:rPr>
          <w:rFonts w:ascii="Montserrat Light" w:hAnsi="Montserrat Light"/>
          <w:caps/>
          <w:sz w:val="28"/>
          <w:szCs w:val="28"/>
        </w:rPr>
      </w:pPr>
    </w:p>
    <w:p w:rsidR="0068125E" w:rsidP="0068125E" w:rsidRDefault="0068125E" w14:paraId="697EC06B" w14:textId="77777777">
      <w:pPr>
        <w:spacing w:before="240"/>
        <w:jc w:val="center"/>
        <w:rPr>
          <w:rFonts w:ascii="Montserrat Light" w:hAnsi="Montserrat Light"/>
          <w:caps/>
          <w:sz w:val="28"/>
          <w:szCs w:val="28"/>
        </w:rPr>
      </w:pPr>
    </w:p>
    <w:p w:rsidR="0068125E" w:rsidP="0068125E" w:rsidRDefault="0068125E" w14:paraId="68095FAE" w14:textId="77777777">
      <w:pPr>
        <w:spacing w:before="240"/>
        <w:jc w:val="center"/>
        <w:rPr>
          <w:rFonts w:ascii="Montserrat Light" w:hAnsi="Montserrat Light"/>
          <w:caps/>
          <w:sz w:val="28"/>
          <w:szCs w:val="28"/>
        </w:rPr>
      </w:pPr>
    </w:p>
    <w:p w:rsidR="0068125E" w:rsidP="0068125E" w:rsidRDefault="0068125E" w14:paraId="4054758B" w14:textId="77777777">
      <w:pPr>
        <w:spacing w:before="240"/>
        <w:jc w:val="center"/>
        <w:rPr>
          <w:rFonts w:ascii="Montserrat Light" w:hAnsi="Montserrat Light"/>
          <w:caps/>
          <w:sz w:val="28"/>
          <w:szCs w:val="28"/>
        </w:rPr>
      </w:pPr>
    </w:p>
    <w:p w:rsidR="00E85A17" w:rsidP="00E85A17" w:rsidRDefault="001D5519" w14:paraId="440621E0" w14:textId="0D496C76">
      <w:pPr>
        <w:spacing w:before="240"/>
        <w:jc w:val="right"/>
        <w:rPr>
          <w:rFonts w:ascii="Montserrat Light" w:hAnsi="Montserrat Light"/>
          <w:caps/>
          <w:sz w:val="28"/>
          <w:szCs w:val="28"/>
        </w:rPr>
      </w:pPr>
      <w:r>
        <w:rPr>
          <w:rFonts w:ascii="Montserrat Light" w:hAnsi="Montserrat Light"/>
          <w:caps/>
          <w:sz w:val="28"/>
          <w:szCs w:val="28"/>
        </w:rPr>
        <w:t>JUNE</w:t>
      </w:r>
      <w:r w:rsidR="00F86339">
        <w:rPr>
          <w:rFonts w:ascii="Montserrat Light" w:hAnsi="Montserrat Light"/>
          <w:caps/>
          <w:sz w:val="28"/>
          <w:szCs w:val="28"/>
        </w:rPr>
        <w:t xml:space="preserve"> </w:t>
      </w:r>
      <w:r w:rsidR="0068125E">
        <w:rPr>
          <w:rFonts w:ascii="Montserrat Light" w:hAnsi="Montserrat Light"/>
          <w:caps/>
          <w:sz w:val="28"/>
          <w:szCs w:val="28"/>
        </w:rPr>
        <w:t>202</w:t>
      </w:r>
      <w:r w:rsidR="00F86339">
        <w:rPr>
          <w:rFonts w:ascii="Montserrat Light" w:hAnsi="Montserrat Light"/>
          <w:caps/>
          <w:sz w:val="28"/>
          <w:szCs w:val="28"/>
        </w:rPr>
        <w:t>6</w:t>
      </w:r>
    </w:p>
    <w:p w:rsidRPr="00E85A17" w:rsidR="0019063B" w:rsidP="00E85A17" w:rsidRDefault="0019063B" w14:paraId="63C85BA3" w14:textId="2053A5A3">
      <w:pPr>
        <w:spacing w:before="240"/>
        <w:rPr>
          <w:rFonts w:ascii="Montserrat Light" w:hAnsi="Montserrat Light"/>
          <w:sz w:val="32"/>
          <w:szCs w:val="32"/>
        </w:rPr>
      </w:pPr>
      <w:r w:rsidRPr="004C7632"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Introduction </w:t>
      </w:r>
    </w:p>
    <w:p w:rsidR="00117395" w:rsidP="00D6171F" w:rsidRDefault="00117395" w14:paraId="63C85BA5" w14:textId="77777777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Pr="00AB51EB" w:rsidR="000D0D28" w:rsidP="00AB51EB" w:rsidRDefault="000D0D28" w14:paraId="7CF424B2" w14:textId="3B5C8702">
      <w:pPr>
        <w:pStyle w:val="ListBullet"/>
        <w:numPr>
          <w:ilvl w:val="0"/>
          <w:numId w:val="0"/>
        </w:numPr>
        <w:spacing w:line="276" w:lineRule="auto"/>
        <w:rPr>
          <w:rFonts w:cstheme="minorHAnsi"/>
        </w:rPr>
      </w:pPr>
      <w:r w:rsidRPr="00AB51EB">
        <w:rPr>
          <w:rFonts w:cstheme="minorHAnsi"/>
        </w:rPr>
        <w:t xml:space="preserve">The Australian Government welcomes the opportunity to respond to the </w:t>
      </w:r>
      <w:r w:rsidRPr="00AB51EB" w:rsidR="00CF39AD">
        <w:rPr>
          <w:rFonts w:cstheme="minorHAnsi"/>
        </w:rPr>
        <w:t xml:space="preserve">Senate </w:t>
      </w:r>
      <w:r w:rsidRPr="00AB51EB">
        <w:rPr>
          <w:rFonts w:cstheme="minorHAnsi"/>
        </w:rPr>
        <w:t xml:space="preserve">Rural and Regional Affairs and Transport Legislation Committee </w:t>
      </w:r>
      <w:r w:rsidR="00213E66">
        <w:rPr>
          <w:rFonts w:cstheme="minorHAnsi"/>
        </w:rPr>
        <w:t>(</w:t>
      </w:r>
      <w:r w:rsidR="0093209B">
        <w:rPr>
          <w:rFonts w:cstheme="minorHAnsi"/>
        </w:rPr>
        <w:t xml:space="preserve">Committee) </w:t>
      </w:r>
      <w:r w:rsidRPr="00AB51EB">
        <w:rPr>
          <w:rFonts w:cstheme="minorHAnsi"/>
        </w:rPr>
        <w:t>report: Agriculture (Biosecurity Protection) Levies Bill 2024 [Provisions] and related bills, tabled on 10 May 2024.</w:t>
      </w:r>
    </w:p>
    <w:p w:rsidR="0093209B" w:rsidP="00AB51EB" w:rsidRDefault="00A73197" w14:paraId="2214458C" w14:textId="77777777">
      <w:pPr>
        <w:pStyle w:val="ListBullet"/>
        <w:numPr>
          <w:ilvl w:val="0"/>
          <w:numId w:val="0"/>
        </w:numPr>
        <w:spacing w:line="276" w:lineRule="auto"/>
        <w:rPr>
          <w:rFonts w:cstheme="minorHAnsi"/>
        </w:rPr>
      </w:pPr>
      <w:r w:rsidRPr="00AB51EB">
        <w:rPr>
          <w:rFonts w:cstheme="minorHAnsi"/>
        </w:rPr>
        <w:t xml:space="preserve">The Committee made one recommendation. The Coalition Senators’ </w:t>
      </w:r>
      <w:r w:rsidRPr="00AB51EB" w:rsidR="00F35318">
        <w:rPr>
          <w:rFonts w:cstheme="minorHAnsi"/>
        </w:rPr>
        <w:t>d</w:t>
      </w:r>
      <w:r w:rsidRPr="00AB51EB">
        <w:rPr>
          <w:rFonts w:cstheme="minorHAnsi"/>
        </w:rPr>
        <w:t xml:space="preserve">issenting </w:t>
      </w:r>
      <w:r w:rsidRPr="00AB51EB" w:rsidR="00F35318">
        <w:rPr>
          <w:rFonts w:cstheme="minorHAnsi"/>
        </w:rPr>
        <w:t>r</w:t>
      </w:r>
      <w:r w:rsidRPr="00AB51EB">
        <w:rPr>
          <w:rFonts w:cstheme="minorHAnsi"/>
        </w:rPr>
        <w:t>eport ma</w:t>
      </w:r>
      <w:r w:rsidR="00950F19">
        <w:rPr>
          <w:rFonts w:cstheme="minorHAnsi"/>
        </w:rPr>
        <w:t>de</w:t>
      </w:r>
      <w:r w:rsidRPr="00AB51EB">
        <w:rPr>
          <w:rFonts w:cstheme="minorHAnsi"/>
        </w:rPr>
        <w:t xml:space="preserve"> two recommendations. </w:t>
      </w:r>
    </w:p>
    <w:p w:rsidR="00A73197" w:rsidP="00AB51EB" w:rsidRDefault="00A73197" w14:paraId="7E88C59C" w14:textId="2C2E2652">
      <w:pPr>
        <w:pStyle w:val="ListBullet"/>
        <w:numPr>
          <w:ilvl w:val="0"/>
          <w:numId w:val="0"/>
        </w:numPr>
        <w:spacing w:line="276" w:lineRule="auto"/>
        <w:rPr>
          <w:rFonts w:cstheme="minorHAnsi"/>
        </w:rPr>
      </w:pPr>
      <w:r>
        <w:rPr>
          <w:rFonts w:cstheme="minorHAnsi"/>
        </w:rPr>
        <w:t xml:space="preserve">The bills that would provide for the </w:t>
      </w:r>
      <w:r w:rsidR="00894155">
        <w:rPr>
          <w:rFonts w:cstheme="minorHAnsi"/>
        </w:rPr>
        <w:t xml:space="preserve">imposition, collection and administration of the Biosecurity Protection Levy </w:t>
      </w:r>
      <w:r w:rsidR="00BB5B94">
        <w:rPr>
          <w:rFonts w:cstheme="minorHAnsi"/>
        </w:rPr>
        <w:t>(</w:t>
      </w:r>
      <w:r w:rsidR="005F3D0F">
        <w:rPr>
          <w:rFonts w:cstheme="minorHAnsi"/>
        </w:rPr>
        <w:t xml:space="preserve">the </w:t>
      </w:r>
      <w:r w:rsidR="00BB5B94">
        <w:rPr>
          <w:rFonts w:cstheme="minorHAnsi"/>
        </w:rPr>
        <w:t>BPL</w:t>
      </w:r>
      <w:r w:rsidR="005F3D0F">
        <w:rPr>
          <w:rFonts w:cstheme="minorHAnsi"/>
        </w:rPr>
        <w:t xml:space="preserve"> bills</w:t>
      </w:r>
      <w:r w:rsidR="00BB5B94">
        <w:rPr>
          <w:rFonts w:cstheme="minorHAnsi"/>
        </w:rPr>
        <w:t xml:space="preserve">) </w:t>
      </w:r>
      <w:r w:rsidR="00BE075F">
        <w:rPr>
          <w:rFonts w:cstheme="minorHAnsi"/>
        </w:rPr>
        <w:t xml:space="preserve">passed the House of Representatives on 27 March 2024. On </w:t>
      </w:r>
      <w:r w:rsidR="0000515E">
        <w:rPr>
          <w:rFonts w:cstheme="minorHAnsi"/>
        </w:rPr>
        <w:br/>
      </w:r>
      <w:r w:rsidR="00BE075F">
        <w:rPr>
          <w:rFonts w:cstheme="minorHAnsi"/>
        </w:rPr>
        <w:t xml:space="preserve">12 February 2025, the Senate </w:t>
      </w:r>
      <w:r w:rsidR="00FC52F3">
        <w:rPr>
          <w:rFonts w:cstheme="minorHAnsi"/>
        </w:rPr>
        <w:t>resolved</w:t>
      </w:r>
      <w:r w:rsidR="00C11444">
        <w:rPr>
          <w:rFonts w:cstheme="minorHAnsi"/>
        </w:rPr>
        <w:t xml:space="preserve"> to</w:t>
      </w:r>
      <w:r w:rsidR="00BE075F">
        <w:rPr>
          <w:rFonts w:cstheme="minorHAnsi"/>
        </w:rPr>
        <w:t xml:space="preserve"> discharge the bills from the Notice Paper.</w:t>
      </w:r>
    </w:p>
    <w:p w:rsidRPr="006C5E31" w:rsidR="00E85A17" w:rsidP="00AB51EB" w:rsidRDefault="00CA0478" w14:paraId="239010D2" w14:textId="7CCB3EA4">
      <w:pPr>
        <w:pStyle w:val="ListBullet"/>
        <w:numPr>
          <w:ilvl w:val="0"/>
          <w:numId w:val="0"/>
        </w:numPr>
        <w:spacing w:line="276" w:lineRule="auto"/>
      </w:pPr>
      <w:r w:rsidRPr="0084314B">
        <w:rPr>
          <w:rFonts w:cstheme="minorHAnsi"/>
        </w:rPr>
        <w:t xml:space="preserve">The </w:t>
      </w:r>
      <w:r>
        <w:rPr>
          <w:rFonts w:cstheme="minorHAnsi"/>
        </w:rPr>
        <w:t xml:space="preserve">Australian Government’s response to the report is below. The response addresses recommendation </w:t>
      </w:r>
      <w:r w:rsidR="00A20A1A">
        <w:rPr>
          <w:rFonts w:cstheme="minorHAnsi"/>
        </w:rPr>
        <w:t xml:space="preserve">1 </w:t>
      </w:r>
      <w:r>
        <w:rPr>
          <w:rFonts w:cstheme="minorHAnsi"/>
        </w:rPr>
        <w:t>in the dissenting report.</w:t>
      </w:r>
      <w:r w:rsidR="00F35318">
        <w:rPr>
          <w:rFonts w:cstheme="minorHAnsi"/>
        </w:rPr>
        <w:t xml:space="preserve"> </w:t>
      </w:r>
      <w:r w:rsidR="001A2657">
        <w:rPr>
          <w:rFonts w:cstheme="minorHAnsi"/>
        </w:rPr>
        <w:t>The Department of the Prime Minister and Cabinet’s Tabling Guidelines of July 2024 do not require a government response to recommendations that a bill be passed (report recommendation 1) or not passed (dissenting report recommendation 2).</w:t>
      </w:r>
    </w:p>
    <w:p w:rsidR="364E4CD9" w:rsidRDefault="364E4CD9" w14:paraId="28C76D52" w14:textId="6CE7BBA7"/>
    <w:p w:rsidRPr="00916341" w:rsidR="00A70884" w:rsidP="0019063B" w:rsidRDefault="009B3B9A" w14:paraId="63C85BC2" w14:textId="35E3C037">
      <w:pPr>
        <w:pStyle w:val="ListBullet"/>
        <w:numPr>
          <w:ilvl w:val="0"/>
          <w:numId w:val="0"/>
        </w:numPr>
        <w:spacing w:line="276" w:lineRule="auto"/>
        <w:rPr>
          <w:rFonts w:cstheme="minorHAnsi"/>
          <w:b/>
          <w:bCs/>
          <w:sz w:val="28"/>
          <w:szCs w:val="28"/>
        </w:rPr>
      </w:pPr>
      <w:r w:rsidRPr="008B2320">
        <w:rPr>
          <w:rFonts w:cstheme="minorHAnsi"/>
          <w:b/>
          <w:bCs/>
          <w:sz w:val="28"/>
          <w:szCs w:val="28"/>
        </w:rPr>
        <w:t xml:space="preserve">Coalition </w:t>
      </w:r>
      <w:r w:rsidR="008E2336">
        <w:rPr>
          <w:rFonts w:cstheme="minorHAnsi"/>
          <w:b/>
          <w:bCs/>
          <w:sz w:val="28"/>
          <w:szCs w:val="28"/>
        </w:rPr>
        <w:t>d</w:t>
      </w:r>
      <w:r w:rsidRPr="008B2320" w:rsidR="002A4851">
        <w:rPr>
          <w:rFonts w:cstheme="minorHAnsi"/>
          <w:b/>
          <w:bCs/>
          <w:sz w:val="28"/>
          <w:szCs w:val="28"/>
        </w:rPr>
        <w:t xml:space="preserve">issenting </w:t>
      </w:r>
      <w:r w:rsidR="008E2336">
        <w:rPr>
          <w:rFonts w:cstheme="minorHAnsi"/>
          <w:b/>
          <w:bCs/>
          <w:sz w:val="28"/>
          <w:szCs w:val="28"/>
        </w:rPr>
        <w:t>r</w:t>
      </w:r>
      <w:r w:rsidRPr="008B2320" w:rsidR="002A4851">
        <w:rPr>
          <w:rFonts w:cstheme="minorHAnsi"/>
          <w:b/>
          <w:bCs/>
          <w:sz w:val="28"/>
          <w:szCs w:val="28"/>
        </w:rPr>
        <w:t>eport</w:t>
      </w:r>
    </w:p>
    <w:tbl>
      <w:tblPr>
        <w:tblStyle w:val="TableGrid"/>
        <w:tblW w:w="9014" w:type="dxa"/>
        <w:tblInd w:w="-5" w:type="dxa"/>
        <w:tblLook w:val="04A0" w:firstRow="1" w:lastRow="0" w:firstColumn="1" w:lastColumn="0" w:noHBand="0" w:noVBand="1"/>
      </w:tblPr>
      <w:tblGrid>
        <w:gridCol w:w="9014"/>
      </w:tblGrid>
      <w:tr w:rsidRPr="00DC07D0" w:rsidR="0019063B" w:rsidTr="00A16FAC" w14:paraId="63C85BC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1"/>
        </w:trPr>
        <w:tc>
          <w:tcPr>
            <w:tcW w:w="9014" w:type="dxa"/>
          </w:tcPr>
          <w:p w:rsidRPr="00DC07D0" w:rsidR="0019063B" w:rsidP="0019063B" w:rsidRDefault="0019063B" w14:paraId="63C85BC3" w14:textId="09DBD399">
            <w:pPr>
              <w:pStyle w:val="NormalWeb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C07D0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Recommendation </w:t>
            </w:r>
            <w:r w:rsidRPr="00DC07D0" w:rsidR="009B3B9A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Pr="00DC07D0" w:rsidR="009B3B9A" w:rsidP="009B3B9A" w:rsidRDefault="009B3B9A" w14:paraId="42D3E65C" w14:textId="058B93CF">
            <w:pPr>
              <w:pStyle w:val="NormalWeb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07D0">
              <w:rPr>
                <w:rFonts w:asciiTheme="minorHAnsi" w:hAnsiTheme="minorHAnsi" w:cstheme="minorHAnsi"/>
                <w:sz w:val="22"/>
                <w:szCs w:val="22"/>
              </w:rPr>
              <w:t>That the Austra</w:t>
            </w:r>
            <w:r w:rsidR="005D2A9E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DC07D0">
              <w:rPr>
                <w:rFonts w:asciiTheme="minorHAnsi" w:hAnsiTheme="minorHAnsi" w:cstheme="minorHAnsi"/>
                <w:sz w:val="22"/>
                <w:szCs w:val="22"/>
              </w:rPr>
              <w:t>ian Government properly consult on a sustainable biosecurity funding mechanism including:</w:t>
            </w:r>
          </w:p>
          <w:p w:rsidRPr="00DC07D0" w:rsidR="009B3B9A" w:rsidP="009B3B9A" w:rsidRDefault="009B3B9A" w14:paraId="6BBC0228" w14:textId="3E78F713">
            <w:pPr>
              <w:pStyle w:val="NormalWeb"/>
              <w:numPr>
                <w:ilvl w:val="0"/>
                <w:numId w:val="5"/>
              </w:num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07D0">
              <w:rPr>
                <w:rFonts w:asciiTheme="minorHAnsi" w:hAnsiTheme="minorHAnsi" w:cstheme="minorHAnsi"/>
                <w:sz w:val="22"/>
                <w:szCs w:val="22"/>
              </w:rPr>
              <w:t xml:space="preserve">a full cost recovery basis for managing biosecurity risks of both passengers and commodities entering Australia; and </w:t>
            </w:r>
          </w:p>
          <w:p w:rsidRPr="00DC07D0" w:rsidR="0019063B" w:rsidP="009B3B9A" w:rsidRDefault="009B3B9A" w14:paraId="63C85BC4" w14:textId="2D85AFC4">
            <w:pPr>
              <w:pStyle w:val="NormalWeb"/>
              <w:numPr>
                <w:ilvl w:val="0"/>
                <w:numId w:val="5"/>
              </w:numPr>
              <w:spacing w:before="0" w:beforeAutospacing="0" w:after="12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07D0">
              <w:rPr>
                <w:rFonts w:asciiTheme="minorHAnsi" w:hAnsiTheme="minorHAnsi" w:cstheme="minorHAnsi"/>
                <w:sz w:val="22"/>
                <w:szCs w:val="22"/>
              </w:rPr>
              <w:t>an import container levy to pay for the biosecurity risk create</w:t>
            </w:r>
            <w:r w:rsidRPr="00DC07D0" w:rsidR="002E0F45">
              <w:rPr>
                <w:rFonts w:asciiTheme="minorHAnsi" w:hAnsiTheme="minorHAnsi" w:cstheme="minorHAnsi"/>
                <w:sz w:val="22"/>
                <w:szCs w:val="22"/>
              </w:rPr>
              <w:t>d.</w:t>
            </w:r>
          </w:p>
        </w:tc>
      </w:tr>
    </w:tbl>
    <w:p w:rsidRPr="00DC07D0" w:rsidR="0019063B" w:rsidP="00DC07D0" w:rsidRDefault="006C5E31" w14:paraId="63C85BC6" w14:textId="7A9F234E">
      <w:pPr>
        <w:pStyle w:val="NormalWeb"/>
        <w:keepNext/>
        <w:keepLines/>
        <w:spacing w:before="120" w:beforeAutospacing="0" w:after="120" w:afterAutospacing="0" w:line="276" w:lineRule="auto"/>
        <w:rPr>
          <w:rStyle w:val="Strong"/>
          <w:rFonts w:asciiTheme="minorHAnsi" w:hAnsiTheme="minorHAnsi" w:cstheme="minorHAnsi"/>
          <w:sz w:val="22"/>
          <w:szCs w:val="22"/>
        </w:rPr>
      </w:pPr>
      <w:r>
        <w:rPr>
          <w:rStyle w:val="Strong"/>
          <w:rFonts w:asciiTheme="minorHAnsi" w:hAnsiTheme="minorHAnsi" w:cstheme="minorHAnsi"/>
          <w:sz w:val="22"/>
          <w:szCs w:val="22"/>
        </w:rPr>
        <w:t>Government r</w:t>
      </w:r>
      <w:r w:rsidRPr="00DC07D0" w:rsidR="0019063B">
        <w:rPr>
          <w:rStyle w:val="Strong"/>
          <w:rFonts w:asciiTheme="minorHAnsi" w:hAnsiTheme="minorHAnsi" w:cstheme="minorHAnsi"/>
          <w:sz w:val="22"/>
          <w:szCs w:val="22"/>
        </w:rPr>
        <w:t>esponse</w:t>
      </w:r>
    </w:p>
    <w:p w:rsidRPr="00DC07D0" w:rsidR="009B3B9A" w:rsidP="00DC07D0" w:rsidRDefault="0068125E" w14:paraId="3FA434DF" w14:textId="0419F8FF">
      <w:pPr>
        <w:pStyle w:val="ListBullet"/>
        <w:numPr>
          <w:ilvl w:val="0"/>
          <w:numId w:val="0"/>
        </w:numPr>
        <w:spacing w:line="276" w:lineRule="auto"/>
        <w:rPr>
          <w:rFonts w:cstheme="minorHAnsi"/>
        </w:rPr>
      </w:pPr>
      <w:r w:rsidRPr="00DC07D0">
        <w:rPr>
          <w:rFonts w:cstheme="minorHAnsi"/>
        </w:rPr>
        <w:t xml:space="preserve">The </w:t>
      </w:r>
      <w:r w:rsidR="008C0B2F">
        <w:rPr>
          <w:rFonts w:cstheme="minorHAnsi"/>
        </w:rPr>
        <w:t xml:space="preserve">Australian </w:t>
      </w:r>
      <w:r w:rsidRPr="00DC07D0">
        <w:rPr>
          <w:rFonts w:cstheme="minorHAnsi"/>
        </w:rPr>
        <w:t xml:space="preserve">Government </w:t>
      </w:r>
      <w:r w:rsidRPr="00DC07D0">
        <w:rPr>
          <w:rFonts w:cstheme="minorHAnsi"/>
          <w:b/>
          <w:bCs/>
        </w:rPr>
        <w:t>notes</w:t>
      </w:r>
      <w:r w:rsidRPr="00DC07D0">
        <w:rPr>
          <w:rFonts w:cstheme="minorHAnsi"/>
        </w:rPr>
        <w:t xml:space="preserve"> this recommendation</w:t>
      </w:r>
      <w:r w:rsidR="004637C9">
        <w:rPr>
          <w:rFonts w:cstheme="minorHAnsi"/>
        </w:rPr>
        <w:t>.</w:t>
      </w:r>
    </w:p>
    <w:p w:rsidR="002B5A88" w:rsidP="00EF53E5" w:rsidRDefault="008C0B2F" w14:paraId="7CE061BC" w14:textId="7A6250B4">
      <w:pPr>
        <w:pStyle w:val="ListBullet"/>
        <w:numPr>
          <w:ilvl w:val="0"/>
          <w:numId w:val="0"/>
        </w:numPr>
        <w:spacing w:line="276" w:lineRule="auto"/>
        <w:rPr>
          <w:rFonts w:cstheme="minorHAnsi"/>
        </w:rPr>
      </w:pPr>
      <w:r>
        <w:rPr>
          <w:rFonts w:cstheme="minorHAnsi"/>
        </w:rPr>
        <w:t xml:space="preserve">The Australian Government has invested over $1 billion to support the Commonwealth’s biosecurity activities. </w:t>
      </w:r>
      <w:r w:rsidRPr="00EF53E5" w:rsidR="00EF53E5">
        <w:rPr>
          <w:rFonts w:cstheme="minorHAnsi"/>
        </w:rPr>
        <w:t xml:space="preserve">The </w:t>
      </w:r>
      <w:r>
        <w:rPr>
          <w:rFonts w:cstheme="minorHAnsi"/>
        </w:rPr>
        <w:t xml:space="preserve">Australian </w:t>
      </w:r>
      <w:r w:rsidRPr="00EF53E5" w:rsidR="00EF53E5">
        <w:rPr>
          <w:rFonts w:cstheme="minorHAnsi"/>
        </w:rPr>
        <w:t>Government remains committed to a sustainably funded biosecurity system</w:t>
      </w:r>
      <w:r w:rsidR="005F3D0F">
        <w:rPr>
          <w:rFonts w:cstheme="minorHAnsi"/>
        </w:rPr>
        <w:t>. The Senate has withdrawn the BPL bills from the Notice Paper and</w:t>
      </w:r>
      <w:r w:rsidR="00A534C4">
        <w:rPr>
          <w:rFonts w:cstheme="minorHAnsi"/>
        </w:rPr>
        <w:t xml:space="preserve"> </w:t>
      </w:r>
      <w:r w:rsidR="005F3D0F">
        <w:rPr>
          <w:rFonts w:cstheme="minorHAnsi"/>
        </w:rPr>
        <w:t xml:space="preserve">the Australian Government </w:t>
      </w:r>
      <w:r w:rsidR="00A534C4">
        <w:rPr>
          <w:rFonts w:cstheme="minorHAnsi"/>
        </w:rPr>
        <w:t>a</w:t>
      </w:r>
      <w:r w:rsidR="0004202B">
        <w:rPr>
          <w:rFonts w:cstheme="minorHAnsi"/>
        </w:rPr>
        <w:t xml:space="preserve">cknowledges that </w:t>
      </w:r>
      <w:r w:rsidR="005F3D0F">
        <w:rPr>
          <w:rFonts w:cstheme="minorHAnsi"/>
        </w:rPr>
        <w:t>these bills</w:t>
      </w:r>
      <w:r w:rsidR="0004202B">
        <w:rPr>
          <w:rFonts w:cstheme="minorHAnsi"/>
        </w:rPr>
        <w:t xml:space="preserve"> will not be part of </w:t>
      </w:r>
      <w:r w:rsidR="002310FD">
        <w:rPr>
          <w:rFonts w:cstheme="minorHAnsi"/>
        </w:rPr>
        <w:t>the</w:t>
      </w:r>
      <w:r w:rsidR="0004202B">
        <w:rPr>
          <w:rFonts w:cstheme="minorHAnsi"/>
        </w:rPr>
        <w:t xml:space="preserve"> ongoing funding solution</w:t>
      </w:r>
      <w:r w:rsidRPr="00EF53E5" w:rsidR="00EF53E5">
        <w:rPr>
          <w:rFonts w:cstheme="minorHAnsi"/>
        </w:rPr>
        <w:t xml:space="preserve">. </w:t>
      </w:r>
    </w:p>
    <w:p w:rsidRPr="00D075BE" w:rsidR="00EF53E5" w:rsidP="00AB51EB" w:rsidRDefault="00EF53E5" w14:paraId="286DD356" w14:textId="7C4CCE79">
      <w:pPr>
        <w:pStyle w:val="ListBullet"/>
        <w:numPr>
          <w:ilvl w:val="0"/>
          <w:numId w:val="0"/>
        </w:numPr>
        <w:spacing w:line="276" w:lineRule="auto"/>
        <w:rPr>
          <w:rFonts w:cstheme="minorHAnsi"/>
        </w:rPr>
      </w:pPr>
      <w:r w:rsidRPr="00EF53E5">
        <w:rPr>
          <w:rFonts w:cstheme="minorHAnsi"/>
        </w:rPr>
        <w:t xml:space="preserve">The </w:t>
      </w:r>
      <w:r w:rsidR="008C0B2F">
        <w:rPr>
          <w:rFonts w:cstheme="minorHAnsi"/>
        </w:rPr>
        <w:t xml:space="preserve">Australian </w:t>
      </w:r>
      <w:r w:rsidRPr="00EF53E5">
        <w:rPr>
          <w:rFonts w:cstheme="minorHAnsi"/>
        </w:rPr>
        <w:t xml:space="preserve">Government’s </w:t>
      </w:r>
      <w:r w:rsidRPr="00EF53E5" w:rsidR="008C0B2F">
        <w:rPr>
          <w:rFonts w:cstheme="minorHAnsi"/>
        </w:rPr>
        <w:t xml:space="preserve">2023-24 Budget </w:t>
      </w:r>
      <w:r w:rsidR="008C0B2F">
        <w:rPr>
          <w:rFonts w:cstheme="minorHAnsi"/>
        </w:rPr>
        <w:t>‘</w:t>
      </w:r>
      <w:r w:rsidRPr="00D333D5">
        <w:rPr>
          <w:rFonts w:cstheme="minorHAnsi"/>
          <w:i/>
          <w:iCs/>
        </w:rPr>
        <w:t xml:space="preserve">Strengthened and sustainably funded biosecurity </w:t>
      </w:r>
      <w:r w:rsidRPr="00D075BE">
        <w:rPr>
          <w:rFonts w:cstheme="minorHAnsi"/>
          <w:i/>
          <w:iCs/>
        </w:rPr>
        <w:t>system package</w:t>
      </w:r>
      <w:r w:rsidRPr="00D075BE" w:rsidR="008C0B2F">
        <w:rPr>
          <w:rFonts w:cstheme="minorHAnsi"/>
          <w:i/>
          <w:iCs/>
        </w:rPr>
        <w:t xml:space="preserve">’ </w:t>
      </w:r>
      <w:r w:rsidRPr="00D075BE">
        <w:rPr>
          <w:rFonts w:cstheme="minorHAnsi"/>
        </w:rPr>
        <w:t>provided</w:t>
      </w:r>
      <w:r w:rsidRPr="00D075BE" w:rsidR="00112825">
        <w:rPr>
          <w:rFonts w:cstheme="minorHAnsi"/>
        </w:rPr>
        <w:t>:</w:t>
      </w:r>
    </w:p>
    <w:p w:rsidRPr="00D075BE" w:rsidR="00EF53E5" w:rsidP="00EF53E5" w:rsidRDefault="00EF53E5" w14:paraId="18514C2F" w14:textId="02C26B1C">
      <w:pPr>
        <w:pStyle w:val="ListBullet"/>
        <w:numPr>
          <w:ilvl w:val="0"/>
          <w:numId w:val="14"/>
        </w:numPr>
        <w:spacing w:line="276" w:lineRule="auto"/>
        <w:rPr>
          <w:rFonts w:cstheme="minorHAnsi"/>
        </w:rPr>
      </w:pPr>
      <w:r w:rsidRPr="00D075BE">
        <w:rPr>
          <w:rFonts w:cstheme="minorHAnsi"/>
        </w:rPr>
        <w:t xml:space="preserve">an </w:t>
      </w:r>
      <w:r w:rsidRPr="00D075BE" w:rsidR="00D758C6">
        <w:rPr>
          <w:rFonts w:cstheme="minorHAnsi"/>
        </w:rPr>
        <w:t xml:space="preserve">ongoing </w:t>
      </w:r>
      <w:r w:rsidRPr="00D075BE">
        <w:rPr>
          <w:rFonts w:cstheme="minorHAnsi"/>
        </w:rPr>
        <w:t>uplift in taxpayers’ contribution to biosecurity activities;</w:t>
      </w:r>
    </w:p>
    <w:p w:rsidRPr="00D075BE" w:rsidR="00EF53E5" w:rsidP="00EF53E5" w:rsidRDefault="00EF53E5" w14:paraId="01E4548F" w14:textId="77777777">
      <w:pPr>
        <w:pStyle w:val="ListBullet"/>
        <w:numPr>
          <w:ilvl w:val="0"/>
          <w:numId w:val="14"/>
        </w:numPr>
        <w:spacing w:line="276" w:lineRule="auto"/>
        <w:rPr>
          <w:rFonts w:cstheme="minorHAnsi"/>
        </w:rPr>
      </w:pPr>
      <w:r w:rsidRPr="00D075BE">
        <w:rPr>
          <w:rFonts w:cstheme="minorHAnsi"/>
        </w:rPr>
        <w:t>a $10 increase to the Passenger Movement Charge from $60 to $70 per traveller that commenced on 1 July 2024;</w:t>
      </w:r>
    </w:p>
    <w:p w:rsidRPr="00D075BE" w:rsidR="00EF53E5" w:rsidP="00EF53E5" w:rsidRDefault="00EF53E5" w14:paraId="2F8CAF3E" w14:textId="51847497">
      <w:pPr>
        <w:pStyle w:val="ListBullet"/>
        <w:numPr>
          <w:ilvl w:val="0"/>
          <w:numId w:val="14"/>
        </w:numPr>
        <w:spacing w:line="276" w:lineRule="auto"/>
        <w:rPr>
          <w:rFonts w:cstheme="minorHAnsi"/>
        </w:rPr>
      </w:pPr>
      <w:r w:rsidRPr="00D075BE">
        <w:rPr>
          <w:rFonts w:cstheme="minorHAnsi"/>
        </w:rPr>
        <w:t>a return to full cost recovery for importers from 1 July 202</w:t>
      </w:r>
      <w:r w:rsidRPr="00D075BE" w:rsidR="004F0F2B">
        <w:rPr>
          <w:rFonts w:cstheme="minorHAnsi"/>
        </w:rPr>
        <w:t>3</w:t>
      </w:r>
      <w:r w:rsidRPr="00D075BE" w:rsidR="00337F90">
        <w:rPr>
          <w:rFonts w:cstheme="minorHAnsi"/>
        </w:rPr>
        <w:t>, including annual reviews to ensure that cost recovery keeps pace with the cost of delivering biosecurity services</w:t>
      </w:r>
      <w:r w:rsidRPr="00D075BE">
        <w:rPr>
          <w:rFonts w:cstheme="minorHAnsi"/>
        </w:rPr>
        <w:t>; and</w:t>
      </w:r>
    </w:p>
    <w:p w:rsidRPr="00D075BE" w:rsidR="00EF53E5" w:rsidP="00EF53E5" w:rsidRDefault="00EF53E5" w14:paraId="432BA755" w14:textId="77777777">
      <w:pPr>
        <w:pStyle w:val="ListBullet"/>
        <w:numPr>
          <w:ilvl w:val="0"/>
          <w:numId w:val="14"/>
        </w:numPr>
        <w:spacing w:line="276" w:lineRule="auto"/>
        <w:rPr>
          <w:rFonts w:cstheme="minorHAnsi"/>
        </w:rPr>
      </w:pPr>
      <w:r w:rsidRPr="00D075BE">
        <w:rPr>
          <w:rFonts w:cstheme="minorHAnsi"/>
        </w:rPr>
        <w:t>the introduction of a new cost recovery charge for biosecurity clearance of declared low value goods brought into Australian territory, that commenced on 1 October 2024.</w:t>
      </w:r>
    </w:p>
    <w:p w:rsidR="00C7292E" w:rsidP="00116840" w:rsidRDefault="00815B83" w14:paraId="232D8050" w14:textId="2F0C6195">
      <w:pPr>
        <w:pStyle w:val="ListBullet"/>
        <w:numPr>
          <w:ilvl w:val="0"/>
          <w:numId w:val="0"/>
        </w:numPr>
        <w:spacing w:line="276" w:lineRule="auto"/>
        <w:rPr>
          <w:rFonts w:cstheme="minorHAnsi"/>
        </w:rPr>
      </w:pPr>
      <w:r>
        <w:rPr>
          <w:rFonts w:cstheme="minorHAnsi"/>
        </w:rPr>
        <w:lastRenderedPageBreak/>
        <w:t>A</w:t>
      </w:r>
      <w:r w:rsidR="00715183">
        <w:rPr>
          <w:rFonts w:cstheme="minorHAnsi"/>
        </w:rPr>
        <w:t xml:space="preserve"> Biosecurity Funding and Expenditure report is no</w:t>
      </w:r>
      <w:r w:rsidR="00325310">
        <w:rPr>
          <w:rFonts w:cstheme="minorHAnsi"/>
        </w:rPr>
        <w:t xml:space="preserve">w published annually, </w:t>
      </w:r>
      <w:r w:rsidR="00E24A95">
        <w:rPr>
          <w:rFonts w:cstheme="minorHAnsi"/>
        </w:rPr>
        <w:t xml:space="preserve">in consultation with the Advisory Panel. </w:t>
      </w:r>
      <w:r w:rsidR="00C7292E">
        <w:rPr>
          <w:rFonts w:cstheme="minorHAnsi"/>
        </w:rPr>
        <w:t>Th</w:t>
      </w:r>
      <w:r w:rsidR="008C0B2F">
        <w:rPr>
          <w:rFonts w:cstheme="minorHAnsi"/>
        </w:rPr>
        <w:t>is</w:t>
      </w:r>
      <w:r w:rsidR="00C7292E">
        <w:rPr>
          <w:rFonts w:cstheme="minorHAnsi"/>
        </w:rPr>
        <w:t xml:space="preserve"> report </w:t>
      </w:r>
      <w:r w:rsidR="00950CC9">
        <w:rPr>
          <w:rFonts w:cstheme="minorHAnsi"/>
        </w:rPr>
        <w:t xml:space="preserve">delivers on the </w:t>
      </w:r>
      <w:r w:rsidR="008C0B2F">
        <w:rPr>
          <w:rFonts w:cstheme="minorHAnsi"/>
        </w:rPr>
        <w:t xml:space="preserve">Australian </w:t>
      </w:r>
      <w:r w:rsidR="00950CC9">
        <w:rPr>
          <w:rFonts w:cstheme="minorHAnsi"/>
        </w:rPr>
        <w:t xml:space="preserve">Government’s </w:t>
      </w:r>
      <w:r w:rsidR="00EB0F5D">
        <w:rPr>
          <w:rFonts w:cstheme="minorHAnsi"/>
        </w:rPr>
        <w:t>commitment to provide greater transparency of biosecurity activities, budget and expenditure</w:t>
      </w:r>
      <w:r w:rsidR="008C0B2F">
        <w:rPr>
          <w:rFonts w:cstheme="minorHAnsi"/>
        </w:rPr>
        <w:t>.</w:t>
      </w:r>
    </w:p>
    <w:p w:rsidRPr="00701596" w:rsidR="008C0B2F" w:rsidP="008C0B2F" w:rsidRDefault="008C0B2F" w14:paraId="1353C1E4" w14:textId="0F9134A7">
      <w:pPr>
        <w:pStyle w:val="ListBullet"/>
        <w:numPr>
          <w:ilvl w:val="0"/>
          <w:numId w:val="0"/>
        </w:numPr>
        <w:spacing w:line="276" w:lineRule="auto"/>
        <w:rPr>
          <w:rFonts w:cstheme="minorHAnsi"/>
        </w:rPr>
      </w:pPr>
      <w:r w:rsidRPr="00701596">
        <w:rPr>
          <w:rFonts w:cstheme="minorHAnsi"/>
        </w:rPr>
        <w:t xml:space="preserve">The </w:t>
      </w:r>
      <w:r>
        <w:rPr>
          <w:rFonts w:cstheme="minorHAnsi"/>
        </w:rPr>
        <w:t xml:space="preserve">Australian </w:t>
      </w:r>
      <w:r w:rsidRPr="00701596">
        <w:rPr>
          <w:rFonts w:cstheme="minorHAnsi"/>
        </w:rPr>
        <w:t xml:space="preserve">Government </w:t>
      </w:r>
      <w:r>
        <w:rPr>
          <w:rFonts w:cstheme="minorHAnsi"/>
        </w:rPr>
        <w:t>has, and will continue to</w:t>
      </w:r>
      <w:r w:rsidR="00B876DE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701596">
        <w:rPr>
          <w:rFonts w:cstheme="minorHAnsi"/>
        </w:rPr>
        <w:t>consult biosecurity stakeholders, including th</w:t>
      </w:r>
      <w:r>
        <w:rPr>
          <w:rFonts w:cstheme="minorHAnsi"/>
        </w:rPr>
        <w:t>rough the</w:t>
      </w:r>
      <w:r w:rsidRPr="00701596">
        <w:rPr>
          <w:rFonts w:cstheme="minorHAnsi"/>
        </w:rPr>
        <w:t xml:space="preserve"> Sustainable Biosecurity Funding Advisory Panel</w:t>
      </w:r>
      <w:r>
        <w:rPr>
          <w:rFonts w:cstheme="minorHAnsi"/>
        </w:rPr>
        <w:t>,</w:t>
      </w:r>
      <w:r w:rsidRPr="00701596">
        <w:rPr>
          <w:rFonts w:cstheme="minorHAnsi"/>
        </w:rPr>
        <w:t xml:space="preserve"> </w:t>
      </w:r>
      <w:r>
        <w:rPr>
          <w:rFonts w:cstheme="minorHAnsi"/>
        </w:rPr>
        <w:t xml:space="preserve">to ensure a sustainably funded biosecurity system into the future. </w:t>
      </w:r>
    </w:p>
    <w:p w:rsidR="008C0B2F" w:rsidP="00116840" w:rsidRDefault="008C0B2F" w14:paraId="463250D4" w14:textId="77777777">
      <w:pPr>
        <w:pStyle w:val="ListBullet"/>
        <w:numPr>
          <w:ilvl w:val="0"/>
          <w:numId w:val="0"/>
        </w:numPr>
        <w:spacing w:line="276" w:lineRule="auto"/>
        <w:rPr>
          <w:rFonts w:cstheme="minorHAnsi"/>
        </w:rPr>
      </w:pPr>
    </w:p>
    <w:p w:rsidRPr="00DC07D0" w:rsidR="0068125E" w:rsidP="0068125E" w:rsidRDefault="0068125E" w14:paraId="257A4DC0" w14:textId="77777777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</w:p>
    <w:p w:rsidRPr="00DC07D0" w:rsidR="00E10610" w:rsidRDefault="00FD5202" w14:paraId="156682AF" w14:textId="333DF3F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5202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Pr="00DC07D0" w:rsidR="00E10610" w:rsidSect="0019063B">
      <w:pgSz w:w="11906" w:h="16838" w:orient="portrait"/>
      <w:pgMar w:top="1276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73B" w:rsidP="00DA50B6" w:rsidRDefault="0035773B" w14:paraId="16CF22EF" w14:textId="77777777">
      <w:r>
        <w:separator/>
      </w:r>
    </w:p>
  </w:endnote>
  <w:endnote w:type="continuationSeparator" w:id="0">
    <w:p w:rsidR="0035773B" w:rsidP="00DA50B6" w:rsidRDefault="0035773B" w14:paraId="621D40DE" w14:textId="77777777">
      <w:r>
        <w:continuationSeparator/>
      </w:r>
    </w:p>
  </w:endnote>
  <w:endnote w:type="continuationNotice" w:id="1">
    <w:p w:rsidR="0035773B" w:rsidRDefault="0035773B" w14:paraId="36859C5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73B" w:rsidP="00DA50B6" w:rsidRDefault="0035773B" w14:paraId="58FDF690" w14:textId="77777777">
      <w:r>
        <w:separator/>
      </w:r>
    </w:p>
  </w:footnote>
  <w:footnote w:type="continuationSeparator" w:id="0">
    <w:p w:rsidR="0035773B" w:rsidP="00DA50B6" w:rsidRDefault="0035773B" w14:paraId="7AAD88AF" w14:textId="77777777">
      <w:r>
        <w:continuationSeparator/>
      </w:r>
    </w:p>
  </w:footnote>
  <w:footnote w:type="continuationNotice" w:id="1">
    <w:p w:rsidR="0035773B" w:rsidRDefault="0035773B" w14:paraId="2ECDCBFA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DB9"/>
    <w:multiLevelType w:val="multilevel"/>
    <w:tmpl w:val="E5E89F92"/>
    <w:styleLink w:val="BulletList"/>
    <w:lvl w:ilvl="0">
      <w:start w:val="1"/>
      <w:numFmt w:val="bullet"/>
      <w:pStyle w:val="ListBullet"/>
      <w:lvlText w:val=""/>
      <w:lvlJc w:val="left"/>
      <w:pPr>
        <w:ind w:left="369" w:hanging="369"/>
      </w:pPr>
      <w:rPr>
        <w:rFonts w:hint="default" w:ascii="Symbol" w:hAnsi="Symbol"/>
      </w:rPr>
    </w:lvl>
    <w:lvl w:ilvl="1">
      <w:start w:val="1"/>
      <w:numFmt w:val="none"/>
      <w:pStyle w:val="ListBullet2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pStyle w:val="ListBullet3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pStyle w:val="ListBullet4"/>
      <w:lvlText w:val=""/>
      <w:lvlJc w:val="left"/>
      <w:pPr>
        <w:ind w:left="1474" w:hanging="368"/>
      </w:pPr>
      <w:rPr>
        <w:rFonts w:hint="default"/>
        <w:color w:val="auto"/>
      </w:rPr>
    </w:lvl>
    <w:lvl w:ilvl="4">
      <w:start w:val="1"/>
      <w:numFmt w:val="none"/>
      <w:pStyle w:val="ListBullet5"/>
      <w:lvlText w:val="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  <w:color w:val="auto"/>
      </w:rPr>
    </w:lvl>
  </w:abstractNum>
  <w:abstractNum w:abstractNumId="1" w15:restartNumberingAfterBreak="0">
    <w:nsid w:val="00ED254B"/>
    <w:multiLevelType w:val="hybridMultilevel"/>
    <w:tmpl w:val="73DC2B5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29192D"/>
    <w:multiLevelType w:val="hybridMultilevel"/>
    <w:tmpl w:val="ECAAD3B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0C327F"/>
    <w:multiLevelType w:val="hybridMultilevel"/>
    <w:tmpl w:val="E5D491F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FC1663"/>
    <w:multiLevelType w:val="hybridMultilevel"/>
    <w:tmpl w:val="A7A01F3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96858A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ED5CF8"/>
    <w:multiLevelType w:val="hybridMultilevel"/>
    <w:tmpl w:val="C58AD53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98E706">
      <w:numFmt w:val="bullet"/>
      <w:lvlText w:val="•"/>
      <w:lvlJc w:val="left"/>
      <w:pPr>
        <w:ind w:left="1800" w:hanging="720"/>
      </w:pPr>
      <w:rPr>
        <w:rFonts w:hint="default" w:ascii="Calibri" w:hAnsi="Calibri" w:cs="Calibri" w:eastAsiaTheme="minorHAnsi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847B67"/>
    <w:multiLevelType w:val="hybridMultilevel"/>
    <w:tmpl w:val="BE566EC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C3EDD"/>
    <w:multiLevelType w:val="multilevel"/>
    <w:tmpl w:val="C9AA1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6D6036"/>
    <w:multiLevelType w:val="hybridMultilevel"/>
    <w:tmpl w:val="6200249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456429"/>
    <w:multiLevelType w:val="multilevel"/>
    <w:tmpl w:val="A3266A04"/>
    <w:lvl w:ilvl="0">
      <w:start w:val="1"/>
      <w:numFmt w:val="decimal"/>
      <w:pStyle w:val="ListNumber"/>
      <w:lvlText w:val="%1."/>
      <w:lvlJc w:val="left"/>
      <w:pPr>
        <w:ind w:left="652" w:hanging="369"/>
      </w:pPr>
      <w:rPr>
        <w:rFonts w:hint="default" w:ascii="Arial" w:hAnsi="Arial" w:cs="Times New Roman"/>
        <w:b w:val="0"/>
        <w:i w:val="0"/>
        <w:color w:val="auto"/>
        <w:sz w:val="22"/>
      </w:rPr>
    </w:lvl>
    <w:lvl w:ilvl="1">
      <w:start w:val="1"/>
      <w:numFmt w:val="lowerLetter"/>
      <w:pStyle w:val="ListNumber2"/>
      <w:lvlText w:val="%2."/>
      <w:lvlJc w:val="left"/>
      <w:pPr>
        <w:ind w:left="738" w:hanging="369"/>
      </w:pPr>
    </w:lvl>
    <w:lvl w:ilvl="2">
      <w:start w:val="1"/>
      <w:numFmt w:val="lowerRoman"/>
      <w:pStyle w:val="ListNumber3"/>
      <w:lvlText w:val="%3."/>
      <w:lvlJc w:val="left"/>
      <w:pPr>
        <w:ind w:left="1107" w:hanging="369"/>
      </w:pPr>
    </w:lvl>
    <w:lvl w:ilvl="3">
      <w:start w:val="1"/>
      <w:numFmt w:val="none"/>
      <w:pStyle w:val="ListNumber4"/>
      <w:lvlText w:val="%4"/>
      <w:lvlJc w:val="left"/>
      <w:pPr>
        <w:ind w:left="1476" w:hanging="369"/>
      </w:pPr>
    </w:lvl>
    <w:lvl w:ilvl="4">
      <w:start w:val="1"/>
      <w:numFmt w:val="none"/>
      <w:pStyle w:val="ListNumber5"/>
      <w:lvlText w:val=""/>
      <w:lvlJc w:val="left"/>
      <w:pPr>
        <w:ind w:left="1845" w:hanging="369"/>
      </w:pPr>
    </w:lvl>
    <w:lvl w:ilvl="5">
      <w:start w:val="1"/>
      <w:numFmt w:val="none"/>
      <w:lvlText w:val=""/>
      <w:lvlJc w:val="left"/>
      <w:pPr>
        <w:ind w:left="2214" w:hanging="369"/>
      </w:pPr>
    </w:lvl>
    <w:lvl w:ilvl="6">
      <w:start w:val="1"/>
      <w:numFmt w:val="none"/>
      <w:lvlText w:val=""/>
      <w:lvlJc w:val="left"/>
      <w:pPr>
        <w:ind w:left="2583" w:hanging="369"/>
      </w:pPr>
    </w:lvl>
    <w:lvl w:ilvl="7">
      <w:start w:val="1"/>
      <w:numFmt w:val="none"/>
      <w:lvlText w:val=""/>
      <w:lvlJc w:val="left"/>
      <w:pPr>
        <w:ind w:left="2952" w:hanging="369"/>
      </w:pPr>
    </w:lvl>
    <w:lvl w:ilvl="8">
      <w:start w:val="1"/>
      <w:numFmt w:val="none"/>
      <w:lvlText w:val=""/>
      <w:lvlJc w:val="left"/>
      <w:pPr>
        <w:ind w:left="3321" w:hanging="369"/>
      </w:pPr>
    </w:lvl>
  </w:abstractNum>
  <w:abstractNum w:abstractNumId="10" w15:restartNumberingAfterBreak="0">
    <w:nsid w:val="6B4165D0"/>
    <w:multiLevelType w:val="hybridMultilevel"/>
    <w:tmpl w:val="4074FEC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30E24FD"/>
    <w:multiLevelType w:val="hybridMultilevel"/>
    <w:tmpl w:val="53A2FD6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81709149">
    <w:abstractNumId w:val="0"/>
  </w:num>
  <w:num w:numId="2" w16cid:durableId="836769470">
    <w:abstractNumId w:val="7"/>
  </w:num>
  <w:num w:numId="3" w16cid:durableId="1953129671">
    <w:abstractNumId w:val="4"/>
  </w:num>
  <w:num w:numId="4" w16cid:durableId="782917182">
    <w:abstractNumId w:val="2"/>
  </w:num>
  <w:num w:numId="5" w16cid:durableId="422730612">
    <w:abstractNumId w:val="8"/>
  </w:num>
  <w:num w:numId="6" w16cid:durableId="162819682">
    <w:abstractNumId w:val="1"/>
  </w:num>
  <w:num w:numId="7" w16cid:durableId="927814168">
    <w:abstractNumId w:val="3"/>
  </w:num>
  <w:num w:numId="8" w16cid:durableId="1845583503">
    <w:abstractNumId w:val="10"/>
  </w:num>
  <w:num w:numId="9" w16cid:durableId="346761809">
    <w:abstractNumId w:val="5"/>
  </w:num>
  <w:num w:numId="10" w16cid:durableId="201140583">
    <w:abstractNumId w:val="0"/>
  </w:num>
  <w:num w:numId="11" w16cid:durableId="5063363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6831522">
    <w:abstractNumId w:val="0"/>
  </w:num>
  <w:num w:numId="13" w16cid:durableId="642201510">
    <w:abstractNumId w:val="6"/>
  </w:num>
  <w:num w:numId="14" w16cid:durableId="1193962527">
    <w:abstractNumId w:val="11"/>
  </w:num>
  <w:num w:numId="15" w16cid:durableId="167058739">
    <w:abstractNumId w:val="0"/>
  </w:num>
  <w:num w:numId="16" w16cid:durableId="259919601">
    <w:abstractNumId w:val="0"/>
  </w:num>
  <w:num w:numId="17" w16cid:durableId="2037266119">
    <w:abstractNumId w:val="0"/>
  </w:num>
  <w:num w:numId="18" w16cid:durableId="796682661">
    <w:abstractNumId w:val="0"/>
  </w:num>
  <w:num w:numId="19" w16cid:durableId="175362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901"/>
    <w:rsid w:val="00001006"/>
    <w:rsid w:val="00003FF5"/>
    <w:rsid w:val="0000515E"/>
    <w:rsid w:val="000113BD"/>
    <w:rsid w:val="0001318B"/>
    <w:rsid w:val="000152D2"/>
    <w:rsid w:val="00017F6B"/>
    <w:rsid w:val="000265C7"/>
    <w:rsid w:val="0002661F"/>
    <w:rsid w:val="00030067"/>
    <w:rsid w:val="000343BC"/>
    <w:rsid w:val="0004202B"/>
    <w:rsid w:val="00046A8A"/>
    <w:rsid w:val="00057E83"/>
    <w:rsid w:val="0006290B"/>
    <w:rsid w:val="00066230"/>
    <w:rsid w:val="0007254E"/>
    <w:rsid w:val="00083400"/>
    <w:rsid w:val="00095545"/>
    <w:rsid w:val="00096CD0"/>
    <w:rsid w:val="000A080F"/>
    <w:rsid w:val="000A3662"/>
    <w:rsid w:val="000B2327"/>
    <w:rsid w:val="000B4A6B"/>
    <w:rsid w:val="000C046C"/>
    <w:rsid w:val="000C0BDC"/>
    <w:rsid w:val="000C5DAD"/>
    <w:rsid w:val="000D0755"/>
    <w:rsid w:val="000D0D28"/>
    <w:rsid w:val="000D6E55"/>
    <w:rsid w:val="000E70F3"/>
    <w:rsid w:val="001039B8"/>
    <w:rsid w:val="0010767B"/>
    <w:rsid w:val="00112825"/>
    <w:rsid w:val="00116840"/>
    <w:rsid w:val="00117395"/>
    <w:rsid w:val="00120F50"/>
    <w:rsid w:val="001258D4"/>
    <w:rsid w:val="00133E52"/>
    <w:rsid w:val="00137E58"/>
    <w:rsid w:val="001408EC"/>
    <w:rsid w:val="00141773"/>
    <w:rsid w:val="001458C1"/>
    <w:rsid w:val="00152084"/>
    <w:rsid w:val="00152CDD"/>
    <w:rsid w:val="00154F3B"/>
    <w:rsid w:val="00157C5E"/>
    <w:rsid w:val="00160361"/>
    <w:rsid w:val="00162B2D"/>
    <w:rsid w:val="00162F91"/>
    <w:rsid w:val="00174106"/>
    <w:rsid w:val="00177BF3"/>
    <w:rsid w:val="00177EE5"/>
    <w:rsid w:val="00182737"/>
    <w:rsid w:val="0018295D"/>
    <w:rsid w:val="0019063B"/>
    <w:rsid w:val="00190DA4"/>
    <w:rsid w:val="001918A9"/>
    <w:rsid w:val="001A2657"/>
    <w:rsid w:val="001B0222"/>
    <w:rsid w:val="001B0B80"/>
    <w:rsid w:val="001B195A"/>
    <w:rsid w:val="001B259B"/>
    <w:rsid w:val="001B35D1"/>
    <w:rsid w:val="001B7C15"/>
    <w:rsid w:val="001C2C56"/>
    <w:rsid w:val="001D5519"/>
    <w:rsid w:val="001D7AFC"/>
    <w:rsid w:val="001E453E"/>
    <w:rsid w:val="001F25C2"/>
    <w:rsid w:val="00202079"/>
    <w:rsid w:val="00202225"/>
    <w:rsid w:val="00205FF0"/>
    <w:rsid w:val="00213E66"/>
    <w:rsid w:val="00216AC9"/>
    <w:rsid w:val="002213D8"/>
    <w:rsid w:val="00222BEF"/>
    <w:rsid w:val="002310FD"/>
    <w:rsid w:val="00236901"/>
    <w:rsid w:val="00242E30"/>
    <w:rsid w:val="002500B6"/>
    <w:rsid w:val="0025024E"/>
    <w:rsid w:val="0026018F"/>
    <w:rsid w:val="00263F9F"/>
    <w:rsid w:val="00265940"/>
    <w:rsid w:val="002736E7"/>
    <w:rsid w:val="00274FB5"/>
    <w:rsid w:val="002758AD"/>
    <w:rsid w:val="00275D96"/>
    <w:rsid w:val="00276343"/>
    <w:rsid w:val="0028231D"/>
    <w:rsid w:val="00294168"/>
    <w:rsid w:val="002A4851"/>
    <w:rsid w:val="002A5E05"/>
    <w:rsid w:val="002B044D"/>
    <w:rsid w:val="002B2E38"/>
    <w:rsid w:val="002B5A88"/>
    <w:rsid w:val="002B5BEA"/>
    <w:rsid w:val="002C2F7E"/>
    <w:rsid w:val="002C5BA2"/>
    <w:rsid w:val="002C5FC0"/>
    <w:rsid w:val="002E0F45"/>
    <w:rsid w:val="002E6356"/>
    <w:rsid w:val="002E6DFB"/>
    <w:rsid w:val="00301C54"/>
    <w:rsid w:val="00301F43"/>
    <w:rsid w:val="00303599"/>
    <w:rsid w:val="0030719B"/>
    <w:rsid w:val="00314EE8"/>
    <w:rsid w:val="0032023F"/>
    <w:rsid w:val="00320D2A"/>
    <w:rsid w:val="00325310"/>
    <w:rsid w:val="00334062"/>
    <w:rsid w:val="003343A5"/>
    <w:rsid w:val="003345FB"/>
    <w:rsid w:val="003352AB"/>
    <w:rsid w:val="00337432"/>
    <w:rsid w:val="00337F90"/>
    <w:rsid w:val="00340F54"/>
    <w:rsid w:val="0034609D"/>
    <w:rsid w:val="00353FD7"/>
    <w:rsid w:val="0035406F"/>
    <w:rsid w:val="0035773B"/>
    <w:rsid w:val="00361AA3"/>
    <w:rsid w:val="00366C0A"/>
    <w:rsid w:val="003702D7"/>
    <w:rsid w:val="00372553"/>
    <w:rsid w:val="00373961"/>
    <w:rsid w:val="00381005"/>
    <w:rsid w:val="003810CA"/>
    <w:rsid w:val="00382A5D"/>
    <w:rsid w:val="00391F15"/>
    <w:rsid w:val="003A18FF"/>
    <w:rsid w:val="003B79A5"/>
    <w:rsid w:val="003C33C1"/>
    <w:rsid w:val="003C575E"/>
    <w:rsid w:val="003D114E"/>
    <w:rsid w:val="003D22C0"/>
    <w:rsid w:val="003E3A81"/>
    <w:rsid w:val="003E43EA"/>
    <w:rsid w:val="003E5F00"/>
    <w:rsid w:val="003F1B56"/>
    <w:rsid w:val="003F1E45"/>
    <w:rsid w:val="004033D3"/>
    <w:rsid w:val="00404CD6"/>
    <w:rsid w:val="00404E0D"/>
    <w:rsid w:val="004052DD"/>
    <w:rsid w:val="00405EAF"/>
    <w:rsid w:val="004063DC"/>
    <w:rsid w:val="00412C9F"/>
    <w:rsid w:val="004151F1"/>
    <w:rsid w:val="00417000"/>
    <w:rsid w:val="00417E69"/>
    <w:rsid w:val="004205C2"/>
    <w:rsid w:val="00432905"/>
    <w:rsid w:val="004424E8"/>
    <w:rsid w:val="004637C9"/>
    <w:rsid w:val="00464CBF"/>
    <w:rsid w:val="00465301"/>
    <w:rsid w:val="004703ED"/>
    <w:rsid w:val="00471099"/>
    <w:rsid w:val="004760E9"/>
    <w:rsid w:val="00484EBB"/>
    <w:rsid w:val="00485225"/>
    <w:rsid w:val="00492ABA"/>
    <w:rsid w:val="00493C77"/>
    <w:rsid w:val="004A16D1"/>
    <w:rsid w:val="004B05BF"/>
    <w:rsid w:val="004B4594"/>
    <w:rsid w:val="004B6C85"/>
    <w:rsid w:val="004C17A1"/>
    <w:rsid w:val="004C2879"/>
    <w:rsid w:val="004D059E"/>
    <w:rsid w:val="004D49BA"/>
    <w:rsid w:val="004D5963"/>
    <w:rsid w:val="004D65CA"/>
    <w:rsid w:val="004D6F9F"/>
    <w:rsid w:val="004E156C"/>
    <w:rsid w:val="004E65A9"/>
    <w:rsid w:val="004F0F2B"/>
    <w:rsid w:val="004F2DDF"/>
    <w:rsid w:val="004F608A"/>
    <w:rsid w:val="004F765D"/>
    <w:rsid w:val="00504739"/>
    <w:rsid w:val="00506D95"/>
    <w:rsid w:val="00510A91"/>
    <w:rsid w:val="00510BCE"/>
    <w:rsid w:val="00511F34"/>
    <w:rsid w:val="00515302"/>
    <w:rsid w:val="005221A4"/>
    <w:rsid w:val="005429A1"/>
    <w:rsid w:val="0055415B"/>
    <w:rsid w:val="005548DD"/>
    <w:rsid w:val="0055491E"/>
    <w:rsid w:val="005563B3"/>
    <w:rsid w:val="005665CD"/>
    <w:rsid w:val="00574F29"/>
    <w:rsid w:val="00575950"/>
    <w:rsid w:val="00575F5A"/>
    <w:rsid w:val="00576413"/>
    <w:rsid w:val="00581B2E"/>
    <w:rsid w:val="005823DE"/>
    <w:rsid w:val="005A3A4C"/>
    <w:rsid w:val="005B005F"/>
    <w:rsid w:val="005C27E5"/>
    <w:rsid w:val="005C38ED"/>
    <w:rsid w:val="005D2A9E"/>
    <w:rsid w:val="005D5B9E"/>
    <w:rsid w:val="005E07F0"/>
    <w:rsid w:val="005E7ACC"/>
    <w:rsid w:val="005F3D0F"/>
    <w:rsid w:val="005F47F9"/>
    <w:rsid w:val="005F74E3"/>
    <w:rsid w:val="005F7BC7"/>
    <w:rsid w:val="006000FC"/>
    <w:rsid w:val="00600F1F"/>
    <w:rsid w:val="00601D15"/>
    <w:rsid w:val="00604498"/>
    <w:rsid w:val="00615644"/>
    <w:rsid w:val="00617549"/>
    <w:rsid w:val="00626090"/>
    <w:rsid w:val="00631ADB"/>
    <w:rsid w:val="00633A22"/>
    <w:rsid w:val="0063702C"/>
    <w:rsid w:val="00637EFE"/>
    <w:rsid w:val="00641780"/>
    <w:rsid w:val="006433D1"/>
    <w:rsid w:val="00644E21"/>
    <w:rsid w:val="006500FC"/>
    <w:rsid w:val="00651985"/>
    <w:rsid w:val="00653D22"/>
    <w:rsid w:val="0066249E"/>
    <w:rsid w:val="00672B4D"/>
    <w:rsid w:val="0068125E"/>
    <w:rsid w:val="0068458B"/>
    <w:rsid w:val="00693A5C"/>
    <w:rsid w:val="00694D4F"/>
    <w:rsid w:val="006A46FC"/>
    <w:rsid w:val="006A540F"/>
    <w:rsid w:val="006A7389"/>
    <w:rsid w:val="006B0135"/>
    <w:rsid w:val="006B1EBE"/>
    <w:rsid w:val="006C4C87"/>
    <w:rsid w:val="006C58D5"/>
    <w:rsid w:val="006C5E31"/>
    <w:rsid w:val="006D055C"/>
    <w:rsid w:val="006D257F"/>
    <w:rsid w:val="006E51B6"/>
    <w:rsid w:val="006F53DF"/>
    <w:rsid w:val="006F69CC"/>
    <w:rsid w:val="00701596"/>
    <w:rsid w:val="00702573"/>
    <w:rsid w:val="00702B68"/>
    <w:rsid w:val="00706450"/>
    <w:rsid w:val="00707787"/>
    <w:rsid w:val="00707A35"/>
    <w:rsid w:val="00711FF7"/>
    <w:rsid w:val="00714409"/>
    <w:rsid w:val="00715183"/>
    <w:rsid w:val="00715771"/>
    <w:rsid w:val="00717F5C"/>
    <w:rsid w:val="00724D87"/>
    <w:rsid w:val="00725E9C"/>
    <w:rsid w:val="00726CAA"/>
    <w:rsid w:val="00732277"/>
    <w:rsid w:val="00732F41"/>
    <w:rsid w:val="00740B98"/>
    <w:rsid w:val="00745C68"/>
    <w:rsid w:val="00752B58"/>
    <w:rsid w:val="00752B9D"/>
    <w:rsid w:val="0077683B"/>
    <w:rsid w:val="007820EC"/>
    <w:rsid w:val="00786CE2"/>
    <w:rsid w:val="007917DE"/>
    <w:rsid w:val="0079249A"/>
    <w:rsid w:val="007946D3"/>
    <w:rsid w:val="007A3A6E"/>
    <w:rsid w:val="007A695B"/>
    <w:rsid w:val="007B538A"/>
    <w:rsid w:val="007B60F4"/>
    <w:rsid w:val="007B6492"/>
    <w:rsid w:val="007C531E"/>
    <w:rsid w:val="007C6D3A"/>
    <w:rsid w:val="007D0D7C"/>
    <w:rsid w:val="007D4FBB"/>
    <w:rsid w:val="007E510D"/>
    <w:rsid w:val="007F0A0B"/>
    <w:rsid w:val="00800B04"/>
    <w:rsid w:val="008018FD"/>
    <w:rsid w:val="00802E88"/>
    <w:rsid w:val="008049D9"/>
    <w:rsid w:val="00806C77"/>
    <w:rsid w:val="00807463"/>
    <w:rsid w:val="00814536"/>
    <w:rsid w:val="00815B83"/>
    <w:rsid w:val="0081647F"/>
    <w:rsid w:val="008229F0"/>
    <w:rsid w:val="00832694"/>
    <w:rsid w:val="00834BA1"/>
    <w:rsid w:val="00836FE4"/>
    <w:rsid w:val="0084314B"/>
    <w:rsid w:val="008431D1"/>
    <w:rsid w:val="008477FA"/>
    <w:rsid w:val="0085073B"/>
    <w:rsid w:val="00854626"/>
    <w:rsid w:val="00855219"/>
    <w:rsid w:val="00861968"/>
    <w:rsid w:val="008635ED"/>
    <w:rsid w:val="00865902"/>
    <w:rsid w:val="00866D8E"/>
    <w:rsid w:val="008738AA"/>
    <w:rsid w:val="008776C6"/>
    <w:rsid w:val="00885209"/>
    <w:rsid w:val="00894155"/>
    <w:rsid w:val="00894BE2"/>
    <w:rsid w:val="008A0CD4"/>
    <w:rsid w:val="008B2320"/>
    <w:rsid w:val="008B6880"/>
    <w:rsid w:val="008C0B2F"/>
    <w:rsid w:val="008C3A50"/>
    <w:rsid w:val="008C5032"/>
    <w:rsid w:val="008C54E1"/>
    <w:rsid w:val="008D02C4"/>
    <w:rsid w:val="008D13F2"/>
    <w:rsid w:val="008D34BA"/>
    <w:rsid w:val="008D3CA5"/>
    <w:rsid w:val="008D4FB0"/>
    <w:rsid w:val="008E2336"/>
    <w:rsid w:val="00912E28"/>
    <w:rsid w:val="009146AC"/>
    <w:rsid w:val="00914924"/>
    <w:rsid w:val="00914A2D"/>
    <w:rsid w:val="00916341"/>
    <w:rsid w:val="00924B12"/>
    <w:rsid w:val="0093209B"/>
    <w:rsid w:val="00932DEE"/>
    <w:rsid w:val="00932FE6"/>
    <w:rsid w:val="00937749"/>
    <w:rsid w:val="00941993"/>
    <w:rsid w:val="00941F14"/>
    <w:rsid w:val="00950CC9"/>
    <w:rsid w:val="00950F19"/>
    <w:rsid w:val="00951CFB"/>
    <w:rsid w:val="00952560"/>
    <w:rsid w:val="00957F4E"/>
    <w:rsid w:val="00961D05"/>
    <w:rsid w:val="0096553E"/>
    <w:rsid w:val="00970709"/>
    <w:rsid w:val="00974DCF"/>
    <w:rsid w:val="009A33D5"/>
    <w:rsid w:val="009A4757"/>
    <w:rsid w:val="009B0A87"/>
    <w:rsid w:val="009B3B9A"/>
    <w:rsid w:val="009B5298"/>
    <w:rsid w:val="009B70F6"/>
    <w:rsid w:val="009B7B7C"/>
    <w:rsid w:val="009C0EC6"/>
    <w:rsid w:val="009C32C7"/>
    <w:rsid w:val="009C3CB4"/>
    <w:rsid w:val="009C5B9A"/>
    <w:rsid w:val="009D57BB"/>
    <w:rsid w:val="009E0FBB"/>
    <w:rsid w:val="009E6C90"/>
    <w:rsid w:val="009E723C"/>
    <w:rsid w:val="009F3E79"/>
    <w:rsid w:val="009F4A3F"/>
    <w:rsid w:val="009F4C3E"/>
    <w:rsid w:val="00A02470"/>
    <w:rsid w:val="00A06274"/>
    <w:rsid w:val="00A114C4"/>
    <w:rsid w:val="00A14AA3"/>
    <w:rsid w:val="00A16FAC"/>
    <w:rsid w:val="00A20A1A"/>
    <w:rsid w:val="00A20B3A"/>
    <w:rsid w:val="00A2269E"/>
    <w:rsid w:val="00A3258E"/>
    <w:rsid w:val="00A33EE5"/>
    <w:rsid w:val="00A35172"/>
    <w:rsid w:val="00A52F8D"/>
    <w:rsid w:val="00A534C4"/>
    <w:rsid w:val="00A57DD5"/>
    <w:rsid w:val="00A67CFB"/>
    <w:rsid w:val="00A70884"/>
    <w:rsid w:val="00A7212C"/>
    <w:rsid w:val="00A72749"/>
    <w:rsid w:val="00A72CE5"/>
    <w:rsid w:val="00A73197"/>
    <w:rsid w:val="00A75104"/>
    <w:rsid w:val="00A84D2E"/>
    <w:rsid w:val="00A84E87"/>
    <w:rsid w:val="00A92610"/>
    <w:rsid w:val="00AB1FC2"/>
    <w:rsid w:val="00AB2918"/>
    <w:rsid w:val="00AB34AE"/>
    <w:rsid w:val="00AB51EB"/>
    <w:rsid w:val="00AC1826"/>
    <w:rsid w:val="00AE0BF3"/>
    <w:rsid w:val="00AE63C4"/>
    <w:rsid w:val="00AF13E2"/>
    <w:rsid w:val="00AF1B9E"/>
    <w:rsid w:val="00AF2BCF"/>
    <w:rsid w:val="00B038E3"/>
    <w:rsid w:val="00B1747D"/>
    <w:rsid w:val="00B20C7B"/>
    <w:rsid w:val="00B24D55"/>
    <w:rsid w:val="00B35B3A"/>
    <w:rsid w:val="00B5560A"/>
    <w:rsid w:val="00B56031"/>
    <w:rsid w:val="00B60D66"/>
    <w:rsid w:val="00B6403D"/>
    <w:rsid w:val="00B75FC2"/>
    <w:rsid w:val="00B8033E"/>
    <w:rsid w:val="00B876DE"/>
    <w:rsid w:val="00B93186"/>
    <w:rsid w:val="00BA6998"/>
    <w:rsid w:val="00BA6B8B"/>
    <w:rsid w:val="00BB118D"/>
    <w:rsid w:val="00BB46B6"/>
    <w:rsid w:val="00BB5B94"/>
    <w:rsid w:val="00BB71B6"/>
    <w:rsid w:val="00BC0A71"/>
    <w:rsid w:val="00BC42C5"/>
    <w:rsid w:val="00BC55A0"/>
    <w:rsid w:val="00BD66CE"/>
    <w:rsid w:val="00BE075F"/>
    <w:rsid w:val="00BE5FCA"/>
    <w:rsid w:val="00BF5F3F"/>
    <w:rsid w:val="00C00D54"/>
    <w:rsid w:val="00C11444"/>
    <w:rsid w:val="00C1186B"/>
    <w:rsid w:val="00C1558D"/>
    <w:rsid w:val="00C17789"/>
    <w:rsid w:val="00C17B81"/>
    <w:rsid w:val="00C20E58"/>
    <w:rsid w:val="00C21D7F"/>
    <w:rsid w:val="00C21F7B"/>
    <w:rsid w:val="00C244D1"/>
    <w:rsid w:val="00C270FD"/>
    <w:rsid w:val="00C305EA"/>
    <w:rsid w:val="00C41F9B"/>
    <w:rsid w:val="00C4235A"/>
    <w:rsid w:val="00C45BA7"/>
    <w:rsid w:val="00C5439A"/>
    <w:rsid w:val="00C55E69"/>
    <w:rsid w:val="00C60A7D"/>
    <w:rsid w:val="00C6519F"/>
    <w:rsid w:val="00C6579C"/>
    <w:rsid w:val="00C7292E"/>
    <w:rsid w:val="00C76EF1"/>
    <w:rsid w:val="00C77DDB"/>
    <w:rsid w:val="00C8183A"/>
    <w:rsid w:val="00C85751"/>
    <w:rsid w:val="00C872B1"/>
    <w:rsid w:val="00CA0478"/>
    <w:rsid w:val="00CA32C0"/>
    <w:rsid w:val="00CA7919"/>
    <w:rsid w:val="00CB63CD"/>
    <w:rsid w:val="00CD4252"/>
    <w:rsid w:val="00CD646C"/>
    <w:rsid w:val="00CD7A58"/>
    <w:rsid w:val="00CE3C42"/>
    <w:rsid w:val="00CF39AD"/>
    <w:rsid w:val="00D02682"/>
    <w:rsid w:val="00D0282A"/>
    <w:rsid w:val="00D04818"/>
    <w:rsid w:val="00D06E5D"/>
    <w:rsid w:val="00D075BE"/>
    <w:rsid w:val="00D12D66"/>
    <w:rsid w:val="00D20E4D"/>
    <w:rsid w:val="00D230DA"/>
    <w:rsid w:val="00D333D5"/>
    <w:rsid w:val="00D33C5B"/>
    <w:rsid w:val="00D417F9"/>
    <w:rsid w:val="00D45F11"/>
    <w:rsid w:val="00D6171F"/>
    <w:rsid w:val="00D6453D"/>
    <w:rsid w:val="00D64A33"/>
    <w:rsid w:val="00D662E8"/>
    <w:rsid w:val="00D758C6"/>
    <w:rsid w:val="00D7635A"/>
    <w:rsid w:val="00D82241"/>
    <w:rsid w:val="00D830E6"/>
    <w:rsid w:val="00D832D7"/>
    <w:rsid w:val="00D87BA2"/>
    <w:rsid w:val="00D908BF"/>
    <w:rsid w:val="00D95623"/>
    <w:rsid w:val="00DA50B6"/>
    <w:rsid w:val="00DA720D"/>
    <w:rsid w:val="00DB5B71"/>
    <w:rsid w:val="00DB7148"/>
    <w:rsid w:val="00DC07D0"/>
    <w:rsid w:val="00DC232B"/>
    <w:rsid w:val="00DC2C00"/>
    <w:rsid w:val="00DC675F"/>
    <w:rsid w:val="00DD2C91"/>
    <w:rsid w:val="00DD53E3"/>
    <w:rsid w:val="00DE4E4B"/>
    <w:rsid w:val="00DE638E"/>
    <w:rsid w:val="00DE6451"/>
    <w:rsid w:val="00DE692F"/>
    <w:rsid w:val="00DF1F47"/>
    <w:rsid w:val="00DF4288"/>
    <w:rsid w:val="00DF4A27"/>
    <w:rsid w:val="00E00D69"/>
    <w:rsid w:val="00E016E0"/>
    <w:rsid w:val="00E01707"/>
    <w:rsid w:val="00E02AA7"/>
    <w:rsid w:val="00E060BD"/>
    <w:rsid w:val="00E10610"/>
    <w:rsid w:val="00E10B92"/>
    <w:rsid w:val="00E10FFE"/>
    <w:rsid w:val="00E15467"/>
    <w:rsid w:val="00E21D80"/>
    <w:rsid w:val="00E24A95"/>
    <w:rsid w:val="00E25083"/>
    <w:rsid w:val="00E2584A"/>
    <w:rsid w:val="00E514D6"/>
    <w:rsid w:val="00E571AF"/>
    <w:rsid w:val="00E71DD6"/>
    <w:rsid w:val="00E85A17"/>
    <w:rsid w:val="00E91858"/>
    <w:rsid w:val="00E91892"/>
    <w:rsid w:val="00E956A4"/>
    <w:rsid w:val="00EB0F5D"/>
    <w:rsid w:val="00EB249C"/>
    <w:rsid w:val="00EB4E9F"/>
    <w:rsid w:val="00EC6D17"/>
    <w:rsid w:val="00EC7701"/>
    <w:rsid w:val="00ED1708"/>
    <w:rsid w:val="00ED2EBB"/>
    <w:rsid w:val="00ED5349"/>
    <w:rsid w:val="00EE69CE"/>
    <w:rsid w:val="00EE745C"/>
    <w:rsid w:val="00EF1E2C"/>
    <w:rsid w:val="00EF29D6"/>
    <w:rsid w:val="00EF53E5"/>
    <w:rsid w:val="00EF6383"/>
    <w:rsid w:val="00F070EC"/>
    <w:rsid w:val="00F136C4"/>
    <w:rsid w:val="00F23675"/>
    <w:rsid w:val="00F25DB8"/>
    <w:rsid w:val="00F3135C"/>
    <w:rsid w:val="00F314B1"/>
    <w:rsid w:val="00F35318"/>
    <w:rsid w:val="00F3762C"/>
    <w:rsid w:val="00F41770"/>
    <w:rsid w:val="00F42AEB"/>
    <w:rsid w:val="00F4396E"/>
    <w:rsid w:val="00F508B2"/>
    <w:rsid w:val="00F53754"/>
    <w:rsid w:val="00F55605"/>
    <w:rsid w:val="00F645F6"/>
    <w:rsid w:val="00F67538"/>
    <w:rsid w:val="00F67E23"/>
    <w:rsid w:val="00F737C4"/>
    <w:rsid w:val="00F86339"/>
    <w:rsid w:val="00F96405"/>
    <w:rsid w:val="00FA35E3"/>
    <w:rsid w:val="00FA517D"/>
    <w:rsid w:val="00FC4FE0"/>
    <w:rsid w:val="00FC52F3"/>
    <w:rsid w:val="00FD0843"/>
    <w:rsid w:val="00FD5202"/>
    <w:rsid w:val="00FE045B"/>
    <w:rsid w:val="00FE18E8"/>
    <w:rsid w:val="00FE62A5"/>
    <w:rsid w:val="00FF4724"/>
    <w:rsid w:val="00FF6561"/>
    <w:rsid w:val="0595333F"/>
    <w:rsid w:val="1435D043"/>
    <w:rsid w:val="2C606B23"/>
    <w:rsid w:val="364E4CD9"/>
    <w:rsid w:val="377EFC43"/>
    <w:rsid w:val="38213693"/>
    <w:rsid w:val="3901E7DB"/>
    <w:rsid w:val="3E8729D4"/>
    <w:rsid w:val="3E9BC66F"/>
    <w:rsid w:val="3FED14C8"/>
    <w:rsid w:val="407D6A60"/>
    <w:rsid w:val="4D311A4C"/>
    <w:rsid w:val="594E3CE4"/>
    <w:rsid w:val="5A1F6461"/>
    <w:rsid w:val="5A3C9251"/>
    <w:rsid w:val="5D5A0A2E"/>
    <w:rsid w:val="63E39EB2"/>
    <w:rsid w:val="64194B6F"/>
    <w:rsid w:val="64E5A1B0"/>
    <w:rsid w:val="66C3DB9A"/>
    <w:rsid w:val="6766C215"/>
    <w:rsid w:val="69E1F417"/>
    <w:rsid w:val="6CC98CC5"/>
    <w:rsid w:val="6CFC7613"/>
    <w:rsid w:val="7972A881"/>
    <w:rsid w:val="7B77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85B9D"/>
  <w15:chartTrackingRefBased/>
  <w15:docId w15:val="{F56ECAB0-A7FB-4434-8424-2C58D2EF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690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BulletList" w:customStyle="1">
    <w:name w:val="Bullet List"/>
    <w:rsid w:val="0019063B"/>
    <w:pPr>
      <w:numPr>
        <w:numId w:val="1"/>
      </w:numPr>
    </w:pPr>
  </w:style>
  <w:style w:type="paragraph" w:styleId="ListBullet">
    <w:name w:val="List Bullet"/>
    <w:basedOn w:val="Normal"/>
    <w:uiPriority w:val="99"/>
    <w:unhideWhenUsed/>
    <w:qFormat/>
    <w:rsid w:val="0019063B"/>
    <w:pPr>
      <w:numPr>
        <w:numId w:val="1"/>
      </w:numPr>
      <w:spacing w:after="120"/>
    </w:pPr>
    <w:rPr>
      <w:rFonts w:asciiTheme="minorHAnsi" w:hAnsiTheme="minorHAnsi" w:eastAsiaTheme="minorHAnsi" w:cstheme="minorBidi"/>
      <w:sz w:val="22"/>
      <w:szCs w:val="22"/>
    </w:rPr>
  </w:style>
  <w:style w:type="paragraph" w:styleId="ListBullet2">
    <w:name w:val="List Bullet 2"/>
    <w:basedOn w:val="Normal"/>
    <w:uiPriority w:val="99"/>
    <w:unhideWhenUsed/>
    <w:rsid w:val="0019063B"/>
    <w:pPr>
      <w:numPr>
        <w:ilvl w:val="1"/>
        <w:numId w:val="1"/>
      </w:numPr>
      <w:spacing w:after="120"/>
    </w:pPr>
    <w:rPr>
      <w:rFonts w:asciiTheme="minorHAnsi" w:hAnsiTheme="minorHAnsi" w:eastAsiaTheme="minorHAnsi" w:cstheme="minorBidi"/>
      <w:sz w:val="22"/>
      <w:szCs w:val="22"/>
    </w:rPr>
  </w:style>
  <w:style w:type="paragraph" w:styleId="ListBullet3">
    <w:name w:val="List Bullet 3"/>
    <w:basedOn w:val="Normal"/>
    <w:uiPriority w:val="99"/>
    <w:unhideWhenUsed/>
    <w:rsid w:val="0019063B"/>
    <w:pPr>
      <w:numPr>
        <w:ilvl w:val="2"/>
        <w:numId w:val="1"/>
      </w:numPr>
      <w:spacing w:after="120"/>
    </w:pPr>
    <w:rPr>
      <w:rFonts w:asciiTheme="minorHAnsi" w:hAnsiTheme="minorHAnsi" w:eastAsiaTheme="minorHAnsi" w:cstheme="minorBidi"/>
      <w:sz w:val="22"/>
      <w:szCs w:val="22"/>
    </w:rPr>
  </w:style>
  <w:style w:type="paragraph" w:styleId="ListBullet4">
    <w:name w:val="List Bullet 4"/>
    <w:basedOn w:val="Normal"/>
    <w:uiPriority w:val="99"/>
    <w:unhideWhenUsed/>
    <w:rsid w:val="0019063B"/>
    <w:pPr>
      <w:numPr>
        <w:ilvl w:val="3"/>
        <w:numId w:val="1"/>
      </w:numPr>
      <w:spacing w:after="120"/>
    </w:pPr>
    <w:rPr>
      <w:rFonts w:asciiTheme="minorHAnsi" w:hAnsiTheme="minorHAnsi" w:eastAsiaTheme="minorHAnsi" w:cstheme="minorBidi"/>
      <w:sz w:val="22"/>
      <w:szCs w:val="22"/>
    </w:rPr>
  </w:style>
  <w:style w:type="paragraph" w:styleId="ListBullet5">
    <w:name w:val="List Bullet 5"/>
    <w:basedOn w:val="Normal"/>
    <w:uiPriority w:val="99"/>
    <w:unhideWhenUsed/>
    <w:rsid w:val="0019063B"/>
    <w:pPr>
      <w:numPr>
        <w:ilvl w:val="4"/>
        <w:numId w:val="1"/>
      </w:numPr>
      <w:spacing w:after="120"/>
    </w:pPr>
    <w:rPr>
      <w:rFonts w:asciiTheme="minorHAnsi" w:hAnsiTheme="minorHAnsi" w:eastAsia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19063B"/>
    <w:pPr>
      <w:spacing w:after="0" w:line="240" w:lineRule="auto"/>
    </w:pPr>
    <w:rPr>
      <w:rFonts w:ascii="Arial" w:hAnsi="Arial" w:eastAsia="Calibri" w:cs="Times New Roman"/>
      <w:sz w:val="20"/>
      <w:szCs w:val="20"/>
      <w:lang w:eastAsia="en-AU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la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band1Horz">
      <w:pPr>
        <w:wordWrap/>
        <w:spacing w:beforeLines="0" w:beforeAutospacing="0" w:afterLines="0" w:afterAutospacing="0" w:line="240" w:lineRule="auto"/>
        <w:contextualSpacing w:val="0"/>
        <w:mirrorIndents w:val="0"/>
      </w:pPr>
      <w:rPr>
        <w:rFonts w:ascii="Arial" w:hAnsi="Arial"/>
        <w:sz w:val="20"/>
      </w:rPr>
    </w:tblStylePr>
    <w:tblStylePr w:type="band2Horz">
      <w:pPr>
        <w:wordWrap/>
        <w:spacing w:beforeLines="0" w:beforeAutospacing="0" w:afterLines="0" w:afterAutospacing="0"/>
        <w:contextualSpacing w:val="0"/>
        <w:mirrorIndents w:val="0"/>
      </w:pPr>
      <w:rPr>
        <w:rFonts w:ascii="Arial" w:hAnsi="Arial"/>
        <w:sz w:val="20"/>
      </w:rPr>
    </w:tblStylePr>
  </w:style>
  <w:style w:type="paragraph" w:styleId="NormalWeb">
    <w:name w:val="Normal (Web)"/>
    <w:basedOn w:val="Normal"/>
    <w:uiPriority w:val="99"/>
    <w:unhideWhenUsed/>
    <w:rsid w:val="0019063B"/>
    <w:pPr>
      <w:spacing w:before="100" w:beforeAutospacing="1" w:after="100" w:afterAutospacing="1"/>
    </w:pPr>
    <w:rPr>
      <w:rFonts w:eastAsiaTheme="minorHAnsi"/>
      <w:lang w:eastAsia="en-AU"/>
    </w:rPr>
  </w:style>
  <w:style w:type="character" w:styleId="Strong">
    <w:name w:val="Strong"/>
    <w:basedOn w:val="DefaultParagraphFont"/>
    <w:uiPriority w:val="22"/>
    <w:qFormat/>
    <w:rsid w:val="001906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52B5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17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50B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A50B6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50B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A50B6"/>
    <w:rPr>
      <w:rFonts w:ascii="Times New Roman" w:hAnsi="Times New Roman" w:eastAsia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6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640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96405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40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96405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40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96405"/>
    <w:rPr>
      <w:rFonts w:ascii="Segoe UI" w:hAnsi="Segoe UI" w:eastAsia="Times New Roman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01707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9B3B9A"/>
  </w:style>
  <w:style w:type="character" w:styleId="eop" w:customStyle="1">
    <w:name w:val="eop"/>
    <w:basedOn w:val="DefaultParagraphFont"/>
    <w:rsid w:val="0068125E"/>
  </w:style>
  <w:style w:type="paragraph" w:styleId="Revision">
    <w:name w:val="Revision"/>
    <w:hidden/>
    <w:uiPriority w:val="99"/>
    <w:semiHidden/>
    <w:rsid w:val="0006290B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istNumber">
    <w:name w:val="List Number"/>
    <w:basedOn w:val="Normal"/>
    <w:uiPriority w:val="99"/>
    <w:unhideWhenUsed/>
    <w:rsid w:val="00294168"/>
    <w:pPr>
      <w:numPr>
        <w:numId w:val="11"/>
      </w:numPr>
      <w:spacing w:after="200" w:line="276" w:lineRule="auto"/>
      <w:ind w:left="369"/>
    </w:pPr>
    <w:rPr>
      <w:rFonts w:ascii="Arial" w:hAnsi="Arial" w:cs="Arial" w:eastAsiaTheme="minorHAnsi"/>
      <w:sz w:val="22"/>
      <w:szCs w:val="22"/>
    </w:rPr>
  </w:style>
  <w:style w:type="paragraph" w:styleId="ListNumber2">
    <w:name w:val="List Number 2"/>
    <w:basedOn w:val="Normal"/>
    <w:uiPriority w:val="99"/>
    <w:semiHidden/>
    <w:unhideWhenUsed/>
    <w:rsid w:val="00294168"/>
    <w:pPr>
      <w:numPr>
        <w:ilvl w:val="1"/>
        <w:numId w:val="11"/>
      </w:numPr>
      <w:spacing w:after="200" w:line="276" w:lineRule="auto"/>
    </w:pPr>
    <w:rPr>
      <w:rFonts w:ascii="Arial" w:hAnsi="Arial" w:cs="Arial" w:eastAsiaTheme="minorHAnsi"/>
      <w:sz w:val="22"/>
      <w:szCs w:val="22"/>
    </w:rPr>
  </w:style>
  <w:style w:type="paragraph" w:styleId="ListNumber3">
    <w:name w:val="List Number 3"/>
    <w:basedOn w:val="Normal"/>
    <w:uiPriority w:val="99"/>
    <w:semiHidden/>
    <w:unhideWhenUsed/>
    <w:rsid w:val="00294168"/>
    <w:pPr>
      <w:numPr>
        <w:ilvl w:val="2"/>
        <w:numId w:val="11"/>
      </w:numPr>
      <w:spacing w:after="200" w:line="276" w:lineRule="auto"/>
    </w:pPr>
    <w:rPr>
      <w:rFonts w:ascii="Arial" w:hAnsi="Arial" w:cs="Arial" w:eastAsiaTheme="minorHAnsi"/>
      <w:sz w:val="22"/>
      <w:szCs w:val="22"/>
    </w:rPr>
  </w:style>
  <w:style w:type="paragraph" w:styleId="ListNumber4">
    <w:name w:val="List Number 4"/>
    <w:basedOn w:val="Normal"/>
    <w:uiPriority w:val="99"/>
    <w:semiHidden/>
    <w:unhideWhenUsed/>
    <w:rsid w:val="00294168"/>
    <w:pPr>
      <w:numPr>
        <w:ilvl w:val="3"/>
        <w:numId w:val="11"/>
      </w:numPr>
      <w:spacing w:after="200" w:line="276" w:lineRule="auto"/>
    </w:pPr>
    <w:rPr>
      <w:rFonts w:ascii="Arial" w:hAnsi="Arial" w:cs="Arial" w:eastAsiaTheme="minorHAnsi"/>
      <w:sz w:val="22"/>
      <w:szCs w:val="22"/>
    </w:rPr>
  </w:style>
  <w:style w:type="paragraph" w:styleId="ListNumber5">
    <w:name w:val="List Number 5"/>
    <w:basedOn w:val="Normal"/>
    <w:uiPriority w:val="99"/>
    <w:semiHidden/>
    <w:unhideWhenUsed/>
    <w:rsid w:val="00294168"/>
    <w:pPr>
      <w:numPr>
        <w:ilvl w:val="4"/>
        <w:numId w:val="11"/>
      </w:numPr>
      <w:spacing w:after="200" w:line="276" w:lineRule="auto"/>
    </w:pPr>
    <w:rPr>
      <w:rFonts w:ascii="Arial" w:hAnsi="Arial" w:cs="Arial" w:eastAsiaTheme="minorHAnsi"/>
      <w:sz w:val="22"/>
      <w:szCs w:val="22"/>
    </w:rPr>
  </w:style>
  <w:style w:type="paragraph" w:styleId="body" w:customStyle="1">
    <w:name w:val="*body"/>
    <w:basedOn w:val="Normal"/>
    <w:qFormat/>
    <w:rsid w:val="00701596"/>
    <w:rPr>
      <w:rFonts w:asciiTheme="minorHAnsi" w:hAnsiTheme="minorHAnsi" w:eastAsia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C4745A2898A84BA2D7C40582AEE42A" ma:contentTypeVersion="28" ma:contentTypeDescription="Create a new document." ma:contentTypeScope="" ma:versionID="11b73ddbb02a18a9f98d403542d41e10">
  <xsd:schema xmlns:xsd="http://www.w3.org/2001/XMLSchema" xmlns:xs="http://www.w3.org/2001/XMLSchema" xmlns:p="http://schemas.microsoft.com/office/2006/metadata/properties" xmlns:ns2="fa34edd2-2dc3-41eb-851e-f317e2f54bfd" xmlns:ns3="78922b26-a092-4f5e-b210-478f6ffbce90" targetNamespace="http://schemas.microsoft.com/office/2006/metadata/properties" ma:root="true" ma:fieldsID="fea10c3411432c914a8ca729c2d59dc5" ns2:_="" ns3:_="">
    <xsd:import namespace="fa34edd2-2dc3-41eb-851e-f317e2f54bfd"/>
    <xsd:import namespace="78922b26-a092-4f5e-b210-478f6ffbc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umber" minOccurs="0"/>
                <xsd:element ref="ns2:NumberOfHYSParticipant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BFERCaseStudy" minOccurs="0"/>
                <xsd:element ref="ns2:PrimaryStrategicObjective" minOccurs="0"/>
                <xsd:element ref="ns2:SecondaryStrategicObjective" minOccurs="0"/>
                <xsd:element ref="ns2:DocumentType" minOccurs="0"/>
                <xsd:element ref="ns2:FinancialYearBFER" minOccurs="0"/>
                <xsd:element ref="ns2:CaseStudy" minOccurs="0"/>
                <xsd:element ref="ns2: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4edd2-2dc3-41eb-851e-f317e2f54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umber" ma:index="15" nillable="true" ma:displayName="Division" ma:format="Dropdown" ma:internalName="Number">
      <xsd:simpleType>
        <xsd:restriction base="dms:Choice">
          <xsd:enumeration value="Biosecurity Animal"/>
          <xsd:enumeration value="Biosecurity Plant and Science Services"/>
          <xsd:enumeration value="Biosecurity Strategy and Reform"/>
          <xsd:enumeration value="Compliance and Enforcement"/>
          <xsd:enumeration value="Biosecurity Operations"/>
          <xsd:enumeration value="Australian Chief Veterinary Office"/>
          <xsd:enumeration value="Plant Protection and Environmental Biosecurity"/>
          <xsd:enumeration value="Choice 8"/>
        </xsd:restriction>
      </xsd:simpleType>
    </xsd:element>
    <xsd:element name="NumberOfHYSParticipants" ma:index="16" nillable="true" ma:displayName="Section " ma:format="Dropdown" ma:internalName="NumberOfHYSParticipants">
      <xsd:simpleType>
        <xsd:restriction base="dms:Choice">
          <xsd:enumeration value="Animal Biosecurity"/>
          <xsd:enumeration value="Animal and Biological Imports"/>
          <xsd:enumeration value="Animal Health Policy"/>
          <xsd:enumeration value="Animal Strategy and Coordination"/>
          <xsd:enumeration value="HPAI Taskforce"/>
          <xsd:enumeration value="Plant Import Operations"/>
          <xsd:enumeration value="Plant Sciences and Risk Assessment"/>
          <xsd:enumeration value="Plant Systems and Strategies"/>
          <xsd:enumeration value="Science and Surveillance"/>
          <xsd:enumeration value="Biosecurity Response and Reform"/>
          <xsd:enumeration value="Risk, Intelligence and Strategy"/>
          <xsd:enumeration value="Biosecurity Sustainable Funding"/>
          <xsd:enumeration value="Audit and Assurance"/>
          <xsd:enumeration value="Investigations"/>
          <xsd:enumeration value="Operational Intelligence and Coordination"/>
          <xsd:enumeration value="Operational Strategy and Reform"/>
          <xsd:enumeration value="Cargo Operations West and Maritime"/>
          <xsd:enumeration value="Goods and Conveyance Policy"/>
          <xsd:enumeration value="Traveller Operations and Policy"/>
          <xsd:enumeration value="Cargo Operations North and Response"/>
          <xsd:enumeration value="Deputy Chief Veterinary Officer"/>
          <xsd:enumeration value="Australian Chief Environmental Biosecurity Officer"/>
          <xsd:enumeration value="Plant Health Policy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BFERCaseStudy" ma:index="27" nillable="true" ma:displayName="BFER Case Study" ma:description="BFER Case Study ID" ma:format="Dropdown" ma:internalName="BFERCaseStudy">
      <xsd:simpleType>
        <xsd:restriction base="dms:Choice">
          <xsd:enumeration value="CS001 Biosecurity Business Pledge"/>
          <xsd:enumeration value="CS002 Protecting Health and Biodiversity of Country"/>
          <xsd:enumeration value="CS003 Ethyl formate fumigation"/>
          <xsd:enumeration value="CS004 Exercise Talisman Sabre 2025"/>
          <xsd:enumeration value="CS005 Timor Leste Biosecurity Development Program"/>
          <xsd:enumeration value="CS006 Partnerships for a Health Region (PHR)"/>
          <xsd:enumeration value="CS007 International Traveller Awareness Campaign"/>
          <xsd:enumeration value="CS008 Indigenous Biosecurity Officers Program"/>
          <xsd:enumeration value="CS010 The Taxodactyl DNA Database Search Tool"/>
          <xsd:enumeration value="CS013 Khapra Beetle Incursion Response 2026"/>
          <xsd:enumeration value="CS014 National Biosecurity Week 2025"/>
          <xsd:enumeration value="CS018 Framework for incentive-compatible regulation"/>
          <xsd:enumeration value="CS019 2025 National Biosecurity Forum"/>
          <xsd:enumeration value="CS020 Review of NEBRA Cost Sharing Deeds"/>
          <xsd:enumeration value="All case studies"/>
          <xsd:enumeration value="CS009 FPOE Biosecurity Awareness Uplift"/>
          <xsd:enumeration value="CS011 Hades-5(S) and Industrial Endoscopes"/>
          <xsd:enumeration value="CS012 AI and ML for Locust Plague Forecasts"/>
          <xsd:enumeration value="CS015 Bug Hunt Phase 2"/>
          <xsd:enumeration value="CS016 STEPS Program"/>
          <xsd:enumeration value="CS017 Australian Biosecurity Research Database"/>
          <xsd:enumeration value="CS000 Case Studies Not Chosen"/>
          <xsd:enumeration value="Choice 23"/>
        </xsd:restriction>
      </xsd:simpleType>
    </xsd:element>
    <xsd:element name="PrimaryStrategicObjective" ma:index="28" nillable="true" ma:displayName="Primary Strategic Objective" ma:description="Strategic Objectives 1 - 9 from Biosecurity Roadmap 2030" ma:format="Dropdown" ma:internalName="PrimaryStrategicObjective">
      <xsd:simpleType>
        <xsd:restriction base="dms:Choice">
          <xsd:enumeration value="SA1 - Stronger Partnerships"/>
          <xsd:enumeration value="SA2 - Improved offshore arrangements"/>
          <xsd:enumeration value="SA3 - International Engagement"/>
          <xsd:enumeration value="SA4 - Workforce Development"/>
          <xsd:enumeration value="SA5 - Technological Innovation"/>
          <xsd:enumeration value="SA6 - Shared Responsibility"/>
          <xsd:enumeration value="SA7 - Intelligence and Analytics"/>
          <xsd:enumeration value="SA8 - National Preparedness and Response"/>
          <xsd:enumeration value="SA9 - Alignment of funding and investments for emerging needs"/>
          <xsd:enumeration value="Choice 10"/>
        </xsd:restriction>
      </xsd:simpleType>
    </xsd:element>
    <xsd:element name="SecondaryStrategicObjective" ma:index="29" nillable="true" ma:displayName="Secondary Strategic Objective" ma:format="Dropdown" ma:internalName="SecondaryStrategicObjective">
      <xsd:simpleType>
        <xsd:restriction base="dms:Choice">
          <xsd:enumeration value="SA1 - Stronger Partnerships"/>
          <xsd:enumeration value="SA2 - Improved offshore arrangements"/>
          <xsd:enumeration value="SA3 - International Engagement"/>
          <xsd:enumeration value="SA5 - Technological Innovation"/>
          <xsd:enumeration value="SA7 - Intelligence and Analytics"/>
          <xsd:enumeration value="SA8 - National Preparedness and Response"/>
          <xsd:enumeration value="SA9 - Alignment of funding"/>
          <xsd:enumeration value="SA4 - Workforce Development"/>
          <xsd:enumeration value="SA6 - Shared Responsibility"/>
        </xsd:restriction>
      </xsd:simpleType>
    </xsd:element>
    <xsd:element name="DocumentType" ma:index="30" nillable="true" ma:displayName="Document Type" ma:format="Dropdown" ma:internalName="DocumentType">
      <xsd:simpleType>
        <xsd:restriction base="dms:Choice">
          <xsd:enumeration value="Meeting Minutes"/>
          <xsd:enumeration value="Project Management"/>
          <xsd:enumeration value="Draft Case Studies"/>
          <xsd:enumeration value="Emails"/>
          <xsd:enumeration value="Case Study Ideas"/>
          <xsd:enumeration value="Meeting Agendas"/>
          <xsd:enumeration value="Clearance"/>
          <xsd:enumeration value="Report or Information"/>
        </xsd:restriction>
      </xsd:simpleType>
    </xsd:element>
    <xsd:element name="FinancialYearBFER" ma:index="31" nillable="true" ma:displayName="Financial Year BFER" ma:format="Dropdown" ma:internalName="FinancialYearBFER">
      <xsd:simpleType>
        <xsd:restriction base="dms:Choice">
          <xsd:enumeration value="2025_2026"/>
          <xsd:enumeration value="2026_2027"/>
          <xsd:enumeration value="2027_2028"/>
        </xsd:restriction>
      </xsd:simpleType>
    </xsd:element>
    <xsd:element name="CaseStudy" ma:index="32" nillable="true" ma:displayName="Case Study" ma:format="Dropdown" ma:internalName="CaseStudy">
      <xsd:simpleType>
        <xsd:restriction base="dms:Choice">
          <xsd:enumeration value="CS001"/>
          <xsd:enumeration value="CS002"/>
          <xsd:enumeration value="CS003"/>
        </xsd:restriction>
      </xsd:simpleType>
    </xsd:element>
    <xsd:element name="FileType" ma:index="33" nillable="true" ma:displayName="File Type" ma:format="Dropdown" ma:internalName="FileType">
      <xsd:simpleType>
        <xsd:restriction base="dms:Choice">
          <xsd:enumeration value="Email"/>
          <xsd:enumeration value="Draft Case Study"/>
          <xsd:enumeration value="Project Manage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22b26-a092-4f5e-b210-478f6ffbce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72d0e34-eb38-4911-a2af-322e8adb191f}" ma:internalName="TaxCatchAll" ma:showField="CatchAllData" ma:web="78922b26-a092-4f5e-b210-478f6ffbc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fa34edd2-2dc3-41eb-851e-f317e2f54bfd" xsi:nil="true"/>
    <CaseStudy xmlns="fa34edd2-2dc3-41eb-851e-f317e2f54bfd" xsi:nil="true"/>
    <Number xmlns="fa34edd2-2dc3-41eb-851e-f317e2f54bfd" xsi:nil="true"/>
    <NumberOfHYSParticipants xmlns="fa34edd2-2dc3-41eb-851e-f317e2f54bfd" xsi:nil="true"/>
    <SecondaryStrategicObjective xmlns="fa34edd2-2dc3-41eb-851e-f317e2f54bfd" xsi:nil="true"/>
    <BFERCaseStudy xmlns="fa34edd2-2dc3-41eb-851e-f317e2f54bfd" xsi:nil="true"/>
    <FinancialYearBFER xmlns="fa34edd2-2dc3-41eb-851e-f317e2f54bfd" xsi:nil="true"/>
    <lcf76f155ced4ddcb4097134ff3c332f xmlns="fa34edd2-2dc3-41eb-851e-f317e2f54bfd">
      <Terms xmlns="http://schemas.microsoft.com/office/infopath/2007/PartnerControls"/>
    </lcf76f155ced4ddcb4097134ff3c332f>
    <TaxCatchAll xmlns="78922b26-a092-4f5e-b210-478f6ffbce90" xsi:nil="true"/>
    <PrimaryStrategicObjective xmlns="fa34edd2-2dc3-41eb-851e-f317e2f54bfd" xsi:nil="true"/>
    <FileType xmlns="fa34edd2-2dc3-41eb-851e-f317e2f54bfd" xsi:nil="true"/>
  </documentManagement>
</p:properties>
</file>

<file path=customXml/itemProps1.xml><?xml version="1.0" encoding="utf-8"?>
<ds:datastoreItem xmlns:ds="http://schemas.openxmlformats.org/officeDocument/2006/customXml" ds:itemID="{C18405B8-4502-478C-A6F2-C0CD28AB6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34edd2-2dc3-41eb-851e-f317e2f54bfd"/>
    <ds:schemaRef ds:uri="78922b26-a092-4f5e-b210-478f6ffbc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2325E-3071-46B8-B886-27A85734C5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2FBCE-54A5-42CB-B09D-6C567D38DA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8BDDE6-5D41-4767-BC2E-D7BB6539D6F5}">
  <ds:schemaRefs>
    <ds:schemaRef ds:uri="http://schemas.microsoft.com/office/2006/metadata/properties"/>
    <ds:schemaRef ds:uri="http://schemas.microsoft.com/office/infopath/2007/PartnerControls"/>
    <ds:schemaRef ds:uri="fa34edd2-2dc3-41eb-851e-f317e2f54bfd"/>
    <ds:schemaRef ds:uri="78922b26-a092-4f5e-b210-478f6ffbce90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the Prime Minister and Cabinet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 Response Document - Government response template</dc:title>
  <dc:subject/>
  <dc:creator>Moore, Tim</dc:creator>
  <cp:keywords/>
  <dc:description/>
  <cp:lastModifiedBy>Marsden, Tom</cp:lastModifiedBy>
  <cp:revision>7</cp:revision>
  <cp:lastPrinted>2024-06-26T02:26:00Z</cp:lastPrinted>
  <dcterms:created xsi:type="dcterms:W3CDTF">2026-06-11T23:55:00Z</dcterms:created>
  <dcterms:modified xsi:type="dcterms:W3CDTF">2026-06-12T04:04:37Z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PRMSecurityLevel">
    <vt:lpwstr>1;#UNCLASSIFIED|9c49a7c7-17c7-412f-8077-62dec89b9196</vt:lpwstr>
  </property>
  <property fmtid="{D5CDD505-2E9C-101B-9397-08002B2CF9AE}" pid="3" name="ContentTypeId">
    <vt:lpwstr>0x010100A4C4745A2898A84BA2D7C40582AEE42A</vt:lpwstr>
  </property>
  <property fmtid="{D5CDD505-2E9C-101B-9397-08002B2CF9AE}" pid="4" name="ESearchTags">
    <vt:lpwstr/>
  </property>
  <property fmtid="{D5CDD505-2E9C-101B-9397-08002B2CF9AE}" pid="5" name="PMC.ESearch.TagGeneratedTime">
    <vt:lpwstr>2019-06-04T13:52:36</vt:lpwstr>
  </property>
  <property fmtid="{D5CDD505-2E9C-101B-9397-08002B2CF9AE}" pid="6" name="HPRMSecurityCaveat">
    <vt:lpwstr/>
  </property>
  <property fmtid="{D5CDD505-2E9C-101B-9397-08002B2CF9AE}" pid="7" name="RecordPoint_WorkflowType">
    <vt:lpwstr>ActiveSubmitStub</vt:lpwstr>
  </property>
  <property fmtid="{D5CDD505-2E9C-101B-9397-08002B2CF9AE}" pid="8" name="RecordPoint_ActiveItemSiteId">
    <vt:lpwstr>{5de2fa14-5cd9-4f3d-a0bc-2dab554b1fc6}</vt:lpwstr>
  </property>
  <property fmtid="{D5CDD505-2E9C-101B-9397-08002B2CF9AE}" pid="9" name="RecordPoint_ActiveItemListId">
    <vt:lpwstr>{ac88113b-9f26-4618-a969-a6296ec03b08}</vt:lpwstr>
  </property>
  <property fmtid="{D5CDD505-2E9C-101B-9397-08002B2CF9AE}" pid="10" name="RecordPoint_ActiveItemUniqueId">
    <vt:lpwstr>{3511760d-100f-4c56-adea-415be788f35f}</vt:lpwstr>
  </property>
  <property fmtid="{D5CDD505-2E9C-101B-9397-08002B2CF9AE}" pid="11" name="RecordPoint_ActiveItemWebId">
    <vt:lpwstr>{8f77d035-eb8b-4475-96eb-c860be21f07c}</vt:lpwstr>
  </property>
  <property fmtid="{D5CDD505-2E9C-101B-9397-08002B2CF9AE}" pid="12" name="MediaServiceImageTags">
    <vt:lpwstr/>
  </property>
  <property fmtid="{D5CDD505-2E9C-101B-9397-08002B2CF9AE}" pid="13" name="docLang">
    <vt:lpwstr>en</vt:lpwstr>
  </property>
</Properties>
</file>