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CF7164D" w14:textId="4305C79E" w:rsidR="001354FF" w:rsidRPr="00417E74" w:rsidRDefault="00417E74" w:rsidP="007307E2">
      <w:pPr>
        <w:pStyle w:val="Heading1"/>
        <w:spacing w:before="240"/>
      </w:pPr>
      <w:r w:rsidRPr="00417E74">
        <w:t>F</w:t>
      </w:r>
      <w:r w:rsidR="00923E36">
        <w:t>actsheet</w:t>
      </w:r>
      <w:r w:rsidRPr="00417E74">
        <w:t>: D</w:t>
      </w:r>
      <w:r w:rsidR="00923E36">
        <w:t xml:space="preserve">airy </w:t>
      </w:r>
      <w:r w:rsidR="008F1374">
        <w:t>Industry Code</w:t>
      </w:r>
    </w:p>
    <w:p w14:paraId="77903C82" w14:textId="21833E05" w:rsidR="001354FF" w:rsidRDefault="00417E74" w:rsidP="00905F94">
      <w:pPr>
        <w:rPr>
          <w:lang w:eastAsia="ja-JP"/>
        </w:rPr>
      </w:pPr>
      <w:r>
        <w:rPr>
          <w:lang w:eastAsia="ja-JP"/>
        </w:rPr>
        <w:t>The Dairy</w:t>
      </w:r>
      <w:r w:rsidR="008F1374">
        <w:rPr>
          <w:lang w:eastAsia="ja-JP"/>
        </w:rPr>
        <w:t xml:space="preserve"> Industry</w:t>
      </w:r>
      <w:r>
        <w:rPr>
          <w:lang w:eastAsia="ja-JP"/>
        </w:rPr>
        <w:t xml:space="preserve"> Code</w:t>
      </w:r>
      <w:r w:rsidR="00923E36">
        <w:rPr>
          <w:lang w:eastAsia="ja-JP"/>
        </w:rPr>
        <w:t xml:space="preserve"> </w:t>
      </w:r>
      <w:r>
        <w:rPr>
          <w:lang w:eastAsia="ja-JP"/>
        </w:rPr>
        <w:t>takes effect from 1 January 2020.</w:t>
      </w:r>
    </w:p>
    <w:p w14:paraId="736E35AB" w14:textId="64312EF4" w:rsidR="00417E74" w:rsidRDefault="000E4B01" w:rsidP="000E4B01">
      <w:bookmarkStart w:id="0" w:name="_Toc430782151"/>
      <w:r w:rsidRPr="00E316E0">
        <w:t>The</w:t>
      </w:r>
      <w:r w:rsidR="00417E74">
        <w:t xml:space="preserve"> </w:t>
      </w:r>
      <w:r w:rsidR="00923E36">
        <w:t>c</w:t>
      </w:r>
      <w:r w:rsidR="00417E74">
        <w:t>ode implements</w:t>
      </w:r>
      <w:r>
        <w:t xml:space="preserve"> </w:t>
      </w:r>
      <w:r w:rsidR="00417E74">
        <w:t>clear</w:t>
      </w:r>
      <w:r w:rsidRPr="00E316E0">
        <w:t xml:space="preserve"> </w:t>
      </w:r>
      <w:r>
        <w:t xml:space="preserve">and enforceable rules about </w:t>
      </w:r>
      <w:r w:rsidR="00923E36">
        <w:t>the conduct of</w:t>
      </w:r>
      <w:r>
        <w:t xml:space="preserve"> business relationships between farmers and</w:t>
      </w:r>
      <w:r w:rsidR="00417E74">
        <w:t xml:space="preserve"> processors</w:t>
      </w:r>
      <w:r>
        <w:t xml:space="preserve">. </w:t>
      </w:r>
      <w:r w:rsidR="00417E74">
        <w:rPr>
          <w:rFonts w:asciiTheme="majorHAnsi" w:hAnsiTheme="majorHAnsi"/>
        </w:rPr>
        <w:t xml:space="preserve">It does this by </w:t>
      </w:r>
      <w:r w:rsidR="00417E74" w:rsidRPr="004D253D">
        <w:rPr>
          <w:rFonts w:asciiTheme="majorHAnsi" w:hAnsiTheme="majorHAnsi"/>
        </w:rPr>
        <w:t>setting out the key right</w:t>
      </w:r>
      <w:r w:rsidR="00417E74">
        <w:rPr>
          <w:rFonts w:asciiTheme="majorHAnsi" w:hAnsiTheme="majorHAnsi"/>
        </w:rPr>
        <w:t>s and obligations of each party.</w:t>
      </w:r>
    </w:p>
    <w:p w14:paraId="660DD76E" w14:textId="5C583600" w:rsidR="000E4B01" w:rsidRPr="00904203" w:rsidRDefault="000E4B01" w:rsidP="000E4B01">
      <w:r>
        <w:t xml:space="preserve">The </w:t>
      </w:r>
      <w:r w:rsidR="00923E36">
        <w:t>c</w:t>
      </w:r>
      <w:r>
        <w:t xml:space="preserve">ode is </w:t>
      </w:r>
      <w:r w:rsidRPr="00B9796F">
        <w:t xml:space="preserve">a </w:t>
      </w:r>
      <w:r>
        <w:t>m</w:t>
      </w:r>
      <w:r w:rsidRPr="00B9796F">
        <w:t xml:space="preserve">andatory prescribed industry code made under the </w:t>
      </w:r>
      <w:r w:rsidRPr="00157FEF">
        <w:rPr>
          <w:i/>
        </w:rPr>
        <w:t>Co</w:t>
      </w:r>
      <w:r>
        <w:rPr>
          <w:i/>
        </w:rPr>
        <w:t>mpetition and Consumer Act 2010</w:t>
      </w:r>
      <w:r w:rsidRPr="00904203">
        <w:t xml:space="preserve"> </w:t>
      </w:r>
      <w:r w:rsidR="00923E36">
        <w:t>that</w:t>
      </w:r>
      <w:r w:rsidR="00923E36" w:rsidRPr="00923E36">
        <w:t xml:space="preserve"> </w:t>
      </w:r>
      <w:r w:rsidRPr="00923E36">
        <w:t>will</w:t>
      </w:r>
      <w:r>
        <w:t>:</w:t>
      </w:r>
    </w:p>
    <w:p w14:paraId="3C0E8FF8" w14:textId="3F1C8BEC" w:rsidR="000E4B01" w:rsidRPr="00904203" w:rsidRDefault="000E4B01" w:rsidP="00904203">
      <w:pPr>
        <w:pStyle w:val="ListBullet"/>
      </w:pPr>
      <w:r>
        <w:rPr>
          <w:lang w:eastAsia="ja-JP"/>
        </w:rPr>
        <w:t>require</w:t>
      </w:r>
      <w:r>
        <w:t xml:space="preserve"> farmers and processors act in good faith in their relationships</w:t>
      </w:r>
    </w:p>
    <w:p w14:paraId="15B60459" w14:textId="4530A21E" w:rsidR="000E4B01" w:rsidRPr="00904203" w:rsidRDefault="000E4B01" w:rsidP="00904203">
      <w:pPr>
        <w:pStyle w:val="ListBullet"/>
      </w:pPr>
      <w:r>
        <w:t>establish a mediation and arbitration process to address disputes</w:t>
      </w:r>
    </w:p>
    <w:p w14:paraId="02D1895A" w14:textId="77777777" w:rsidR="000E4B01" w:rsidRPr="00904203" w:rsidRDefault="000E4B01" w:rsidP="00904203">
      <w:pPr>
        <w:pStyle w:val="ListBullet"/>
      </w:pPr>
      <w:r>
        <w:t>empower the Australian Competition and Consumer Commission (ACCC) to monitor the conduct of farmers and processors to support compliance.</w:t>
      </w:r>
    </w:p>
    <w:p w14:paraId="3B8EEBF5" w14:textId="3F2A626F" w:rsidR="00417E74" w:rsidRPr="00904203" w:rsidRDefault="00923E36" w:rsidP="000E4B01">
      <w:pPr>
        <w:rPr>
          <w:lang w:eastAsia="ja-JP"/>
        </w:rPr>
      </w:pPr>
      <w:r w:rsidRPr="00904203">
        <w:rPr>
          <w:lang w:eastAsia="ja-JP"/>
        </w:rPr>
        <w:t>From 1 January 2020 a</w:t>
      </w:r>
      <w:r w:rsidR="000E4B01" w:rsidRPr="00904203">
        <w:rPr>
          <w:lang w:eastAsia="ja-JP"/>
        </w:rPr>
        <w:t xml:space="preserve">ll new agreements must comply with the </w:t>
      </w:r>
      <w:r w:rsidRPr="00904203">
        <w:rPr>
          <w:rFonts w:asciiTheme="majorHAnsi" w:hAnsiTheme="majorHAnsi"/>
        </w:rPr>
        <w:t>c</w:t>
      </w:r>
      <w:r w:rsidR="000E4B01" w:rsidRPr="00904203">
        <w:rPr>
          <w:rFonts w:asciiTheme="majorHAnsi" w:hAnsiTheme="majorHAnsi"/>
        </w:rPr>
        <w:t xml:space="preserve">ode </w:t>
      </w:r>
      <w:r w:rsidR="000E4B01" w:rsidRPr="00904203">
        <w:rPr>
          <w:lang w:eastAsia="ja-JP"/>
        </w:rPr>
        <w:t xml:space="preserve">and agreements already in place have 12 months to transition to become </w:t>
      </w:r>
      <w:proofErr w:type="gramStart"/>
      <w:r w:rsidRPr="00904203">
        <w:rPr>
          <w:rFonts w:asciiTheme="majorHAnsi" w:hAnsiTheme="majorHAnsi"/>
        </w:rPr>
        <w:t>c</w:t>
      </w:r>
      <w:r w:rsidR="000E4B01" w:rsidRPr="00904203">
        <w:rPr>
          <w:rFonts w:asciiTheme="majorHAnsi" w:hAnsiTheme="majorHAnsi"/>
        </w:rPr>
        <w:t>ode</w:t>
      </w:r>
      <w:r w:rsidRPr="00904203">
        <w:rPr>
          <w:rFonts w:asciiTheme="majorHAnsi" w:hAnsiTheme="majorHAnsi"/>
        </w:rPr>
        <w:t>-</w:t>
      </w:r>
      <w:r w:rsidR="000E4B01" w:rsidRPr="00904203">
        <w:rPr>
          <w:lang w:eastAsia="ja-JP"/>
        </w:rPr>
        <w:t>compliant</w:t>
      </w:r>
      <w:proofErr w:type="gramEnd"/>
      <w:r w:rsidR="000E4B01" w:rsidRPr="00904203">
        <w:rPr>
          <w:lang w:eastAsia="ja-JP"/>
        </w:rPr>
        <w:t>.</w:t>
      </w:r>
    </w:p>
    <w:p w14:paraId="74FEDA90" w14:textId="580F1C75" w:rsidR="000E4B01" w:rsidRPr="00904203" w:rsidRDefault="000E4B01" w:rsidP="000E4B01">
      <w:r w:rsidRPr="00904203">
        <w:t xml:space="preserve">The </w:t>
      </w:r>
      <w:r w:rsidR="001001A7" w:rsidRPr="00904203">
        <w:rPr>
          <w:rFonts w:asciiTheme="majorHAnsi" w:hAnsiTheme="majorHAnsi"/>
        </w:rPr>
        <w:t>c</w:t>
      </w:r>
      <w:r w:rsidRPr="00904203">
        <w:rPr>
          <w:rFonts w:asciiTheme="majorHAnsi" w:hAnsiTheme="majorHAnsi"/>
        </w:rPr>
        <w:t xml:space="preserve">ode </w:t>
      </w:r>
      <w:r w:rsidRPr="00904203">
        <w:t>will lead to changes to industry practice including:</w:t>
      </w:r>
    </w:p>
    <w:p w14:paraId="7013BEDF" w14:textId="452A2B28" w:rsidR="000E4B01" w:rsidRPr="00904203" w:rsidRDefault="000E4B01" w:rsidP="00904203">
      <w:pPr>
        <w:pStyle w:val="ListBullet"/>
        <w:rPr>
          <w:lang w:eastAsia="ja-JP"/>
        </w:rPr>
      </w:pPr>
      <w:r w:rsidRPr="00904203">
        <w:rPr>
          <w:lang w:eastAsia="ja-JP"/>
        </w:rPr>
        <w:t>requiring processors to publicly release standard form</w:t>
      </w:r>
      <w:r w:rsidR="00EC0383" w:rsidRPr="00904203">
        <w:rPr>
          <w:lang w:eastAsia="ja-JP"/>
        </w:rPr>
        <w:t>s of</w:t>
      </w:r>
      <w:r w:rsidRPr="00904203">
        <w:rPr>
          <w:lang w:eastAsia="ja-JP"/>
        </w:rPr>
        <w:t xml:space="preserve"> agreement by </w:t>
      </w:r>
      <w:r w:rsidR="00F44625" w:rsidRPr="00904203">
        <w:rPr>
          <w:lang w:eastAsia="ja-JP"/>
        </w:rPr>
        <w:t xml:space="preserve">2pm (Australian Eastern Standard Time) on </w:t>
      </w:r>
      <w:r w:rsidRPr="00904203">
        <w:rPr>
          <w:lang w:eastAsia="ja-JP"/>
        </w:rPr>
        <w:t>1 June each year</w:t>
      </w:r>
    </w:p>
    <w:p w14:paraId="408E54E4" w14:textId="77777777" w:rsidR="000E4B01" w:rsidRPr="00904203" w:rsidRDefault="000E4B01" w:rsidP="00904203">
      <w:pPr>
        <w:pStyle w:val="ListBullet"/>
        <w:rPr>
          <w:lang w:eastAsia="ja-JP"/>
        </w:rPr>
      </w:pPr>
      <w:r w:rsidRPr="00904203">
        <w:rPr>
          <w:lang w:eastAsia="ja-JP"/>
        </w:rPr>
        <w:t>prohibiting retrospective step-downs in all circumstances</w:t>
      </w:r>
    </w:p>
    <w:p w14:paraId="2F5B8D9D" w14:textId="74E23C95" w:rsidR="000E4B01" w:rsidRPr="00904203" w:rsidRDefault="000E4B01" w:rsidP="00904203">
      <w:pPr>
        <w:pStyle w:val="ListBullet"/>
        <w:rPr>
          <w:lang w:eastAsia="ja-JP"/>
        </w:rPr>
      </w:pPr>
      <w:r w:rsidRPr="00904203">
        <w:rPr>
          <w:lang w:eastAsia="ja-JP"/>
        </w:rPr>
        <w:t>prohibiting unilateral prospective step</w:t>
      </w:r>
      <w:r w:rsidR="001001A7" w:rsidRPr="00904203">
        <w:rPr>
          <w:lang w:eastAsia="ja-JP"/>
        </w:rPr>
        <w:t>-</w:t>
      </w:r>
      <w:r w:rsidRPr="00904203">
        <w:rPr>
          <w:lang w:eastAsia="ja-JP"/>
        </w:rPr>
        <w:t>downs except in exceptional circumstances</w:t>
      </w:r>
    </w:p>
    <w:p w14:paraId="66549141" w14:textId="43040944" w:rsidR="000E4B01" w:rsidRPr="00904203" w:rsidRDefault="000E4B01" w:rsidP="00904203">
      <w:pPr>
        <w:pStyle w:val="ListBullet"/>
        <w:rPr>
          <w:lang w:eastAsia="ja-JP"/>
        </w:rPr>
      </w:pPr>
      <w:r w:rsidRPr="00904203">
        <w:rPr>
          <w:lang w:eastAsia="ja-JP"/>
        </w:rPr>
        <w:t>establishing a dispute</w:t>
      </w:r>
      <w:r w:rsidR="001001A7" w:rsidRPr="00904203">
        <w:rPr>
          <w:lang w:eastAsia="ja-JP"/>
        </w:rPr>
        <w:t>-</w:t>
      </w:r>
      <w:r w:rsidRPr="00904203">
        <w:rPr>
          <w:lang w:eastAsia="ja-JP"/>
        </w:rPr>
        <w:t>resolution process</w:t>
      </w:r>
    </w:p>
    <w:p w14:paraId="555566EB" w14:textId="47190E75" w:rsidR="001354FF" w:rsidRPr="00904203" w:rsidRDefault="00EC0383" w:rsidP="00904203">
      <w:pPr>
        <w:pStyle w:val="ListBullet"/>
        <w:rPr>
          <w:rFonts w:asciiTheme="majorHAnsi" w:hAnsiTheme="majorHAnsi"/>
          <w:lang w:eastAsia="ja-JP"/>
        </w:rPr>
      </w:pPr>
      <w:r w:rsidRPr="00904203">
        <w:rPr>
          <w:rFonts w:asciiTheme="majorHAnsi" w:hAnsiTheme="majorHAnsi"/>
          <w:lang w:eastAsia="ja-JP"/>
        </w:rPr>
        <w:t xml:space="preserve">restricting </w:t>
      </w:r>
      <w:r w:rsidR="000E4B01" w:rsidRPr="00904203">
        <w:rPr>
          <w:rFonts w:asciiTheme="majorHAnsi" w:hAnsiTheme="majorHAnsi"/>
          <w:lang w:eastAsia="ja-JP"/>
        </w:rPr>
        <w:t>unilateral changes to the terms and conditions in agreements.</w:t>
      </w:r>
      <w:bookmarkEnd w:id="0"/>
    </w:p>
    <w:p w14:paraId="485A2C53" w14:textId="54368566" w:rsidR="008F24BE" w:rsidRPr="00904203" w:rsidRDefault="008F24BE" w:rsidP="008F24BE">
      <w:pPr>
        <w:rPr>
          <w:rFonts w:asciiTheme="majorHAnsi" w:hAnsiTheme="majorHAnsi"/>
          <w:lang w:eastAsia="ja-JP"/>
        </w:rPr>
      </w:pPr>
      <w:r w:rsidRPr="00904203">
        <w:rPr>
          <w:rFonts w:asciiTheme="majorHAnsi" w:hAnsiTheme="majorHAnsi"/>
          <w:lang w:eastAsia="ja-JP"/>
        </w:rPr>
        <w:t xml:space="preserve">The good faith provisions within the </w:t>
      </w:r>
      <w:r w:rsidR="001001A7" w:rsidRPr="00904203">
        <w:rPr>
          <w:rFonts w:asciiTheme="majorHAnsi" w:hAnsiTheme="majorHAnsi"/>
        </w:rPr>
        <w:t>c</w:t>
      </w:r>
      <w:r w:rsidRPr="00904203">
        <w:rPr>
          <w:rFonts w:asciiTheme="majorHAnsi" w:hAnsiTheme="majorHAnsi"/>
        </w:rPr>
        <w:t xml:space="preserve">ode </w:t>
      </w:r>
      <w:r w:rsidRPr="00904203">
        <w:rPr>
          <w:rFonts w:asciiTheme="majorHAnsi" w:hAnsiTheme="majorHAnsi"/>
          <w:lang w:eastAsia="ja-JP"/>
        </w:rPr>
        <w:t xml:space="preserve">will apply to all farmers and processors, regardless of size. The other parts of the </w:t>
      </w:r>
      <w:r w:rsidR="001001A7" w:rsidRPr="00904203">
        <w:rPr>
          <w:rFonts w:asciiTheme="majorHAnsi" w:hAnsiTheme="majorHAnsi"/>
        </w:rPr>
        <w:t>c</w:t>
      </w:r>
      <w:r w:rsidRPr="00904203">
        <w:rPr>
          <w:rFonts w:asciiTheme="majorHAnsi" w:hAnsiTheme="majorHAnsi"/>
        </w:rPr>
        <w:t xml:space="preserve">ode </w:t>
      </w:r>
      <w:r w:rsidRPr="00904203">
        <w:rPr>
          <w:rFonts w:asciiTheme="majorHAnsi" w:hAnsiTheme="majorHAnsi"/>
          <w:lang w:eastAsia="ja-JP"/>
        </w:rPr>
        <w:t>apply to larger processors and the farmers that supply them.</w:t>
      </w:r>
    </w:p>
    <w:p w14:paraId="55546F2B" w14:textId="42EF0C53" w:rsidR="00904203" w:rsidRDefault="00070943" w:rsidP="00904203">
      <w:pPr>
        <w:pStyle w:val="Heading2"/>
        <w:pageBreakBefore w:val="0"/>
        <w:numPr>
          <w:ilvl w:val="0"/>
          <w:numId w:val="0"/>
        </w:numPr>
        <w:ind w:left="567" w:hanging="567"/>
      </w:pPr>
      <w:r w:rsidRPr="00904203">
        <w:rPr>
          <w:rFonts w:asciiTheme="majorHAnsi" w:hAnsiTheme="majorHAnsi"/>
          <w:sz w:val="22"/>
          <w:szCs w:val="22"/>
        </w:rPr>
        <w:t xml:space="preserve">If you believe the code has been breached, please contact </w:t>
      </w:r>
      <w:r w:rsidR="008955D8" w:rsidRPr="00904203">
        <w:rPr>
          <w:rFonts w:asciiTheme="majorHAnsi" w:hAnsiTheme="majorHAnsi"/>
          <w:sz w:val="22"/>
          <w:szCs w:val="22"/>
        </w:rPr>
        <w:t xml:space="preserve">the ACCC at 1300 302 </w:t>
      </w:r>
      <w:r w:rsidR="008F1374">
        <w:rPr>
          <w:rFonts w:asciiTheme="majorHAnsi" w:hAnsiTheme="majorHAnsi"/>
          <w:sz w:val="22"/>
          <w:szCs w:val="22"/>
        </w:rPr>
        <w:t>021</w:t>
      </w:r>
      <w:r w:rsidR="008955D8" w:rsidRPr="00904203">
        <w:rPr>
          <w:rFonts w:asciiTheme="majorHAnsi" w:hAnsiTheme="majorHAnsi"/>
          <w:sz w:val="22"/>
          <w:szCs w:val="22"/>
        </w:rPr>
        <w:t>.</w:t>
      </w:r>
    </w:p>
    <w:p w14:paraId="670E4F23" w14:textId="496B40BC" w:rsidR="001354FF" w:rsidRDefault="000E4B01" w:rsidP="00904203">
      <w:pPr>
        <w:pStyle w:val="Heading2"/>
        <w:pageBreakBefore w:val="0"/>
        <w:numPr>
          <w:ilvl w:val="0"/>
          <w:numId w:val="0"/>
        </w:numPr>
        <w:ind w:left="567" w:hanging="567"/>
      </w:pPr>
      <w:r w:rsidRPr="00417E74">
        <w:t xml:space="preserve">Key </w:t>
      </w:r>
      <w:r w:rsidR="00923E36">
        <w:t>f</w:t>
      </w:r>
      <w:r w:rsidR="00422DA5">
        <w:t>acts</w:t>
      </w:r>
    </w:p>
    <w:p w14:paraId="373C7DBC" w14:textId="65F0AFE4" w:rsidR="009F3C4E" w:rsidRDefault="009F3C4E" w:rsidP="008F24BE">
      <w:pPr>
        <w:rPr>
          <w:lang w:eastAsia="ja-JP"/>
        </w:rPr>
      </w:pPr>
      <w:r>
        <w:rPr>
          <w:lang w:eastAsia="ja-JP"/>
        </w:rPr>
        <w:t xml:space="preserve">Australia has 8 dairying regions across Victoria, South Australia, New South Wales, Queensland, </w:t>
      </w:r>
      <w:proofErr w:type="gramStart"/>
      <w:r>
        <w:rPr>
          <w:lang w:eastAsia="ja-JP"/>
        </w:rPr>
        <w:t>Tasmania</w:t>
      </w:r>
      <w:proofErr w:type="gramEnd"/>
      <w:r>
        <w:rPr>
          <w:lang w:eastAsia="ja-JP"/>
        </w:rPr>
        <w:t xml:space="preserve"> and Western Australia. </w:t>
      </w:r>
    </w:p>
    <w:p w14:paraId="2AFEDB24" w14:textId="15AEA49C" w:rsidR="008F24BE" w:rsidRPr="008F24BE" w:rsidRDefault="008F24BE" w:rsidP="008F24BE">
      <w:pPr>
        <w:rPr>
          <w:lang w:eastAsia="ja-JP"/>
        </w:rPr>
      </w:pPr>
      <w:r w:rsidRPr="008F24BE">
        <w:rPr>
          <w:lang w:eastAsia="ja-JP"/>
        </w:rPr>
        <w:t xml:space="preserve">Australia </w:t>
      </w:r>
      <w:r w:rsidR="001001A7">
        <w:rPr>
          <w:lang w:eastAsia="ja-JP"/>
        </w:rPr>
        <w:t xml:space="preserve">has a 6% share of the world dairy market and </w:t>
      </w:r>
      <w:r w:rsidRPr="008F24BE">
        <w:rPr>
          <w:lang w:eastAsia="ja-JP"/>
        </w:rPr>
        <w:t xml:space="preserve">is the world’s fourth-largest exporter of dairy after New Zealand, the European </w:t>
      </w:r>
      <w:proofErr w:type="gramStart"/>
      <w:r w:rsidRPr="008F24BE">
        <w:rPr>
          <w:lang w:eastAsia="ja-JP"/>
        </w:rPr>
        <w:t>Union</w:t>
      </w:r>
      <w:proofErr w:type="gramEnd"/>
      <w:r w:rsidRPr="008F24BE">
        <w:rPr>
          <w:lang w:eastAsia="ja-JP"/>
        </w:rPr>
        <w:t xml:space="preserve"> and the United States.</w:t>
      </w:r>
    </w:p>
    <w:p w14:paraId="72523E9F" w14:textId="515DD6BB" w:rsidR="00C06E18" w:rsidRPr="008F24BE" w:rsidRDefault="00C06E18" w:rsidP="008F24BE">
      <w:pPr>
        <w:rPr>
          <w:lang w:eastAsia="ja-JP"/>
        </w:rPr>
      </w:pPr>
      <w:r>
        <w:rPr>
          <w:lang w:eastAsia="ja-JP"/>
        </w:rPr>
        <w:t>Australia’s top 5 export markets by value in 2018</w:t>
      </w:r>
      <w:r w:rsidR="001001A7">
        <w:rPr>
          <w:lang w:eastAsia="ja-JP"/>
        </w:rPr>
        <w:t>–</w:t>
      </w:r>
      <w:r>
        <w:rPr>
          <w:lang w:eastAsia="ja-JP"/>
        </w:rPr>
        <w:t xml:space="preserve">19 were Greater China, Japan, Indonesia, </w:t>
      </w:r>
      <w:proofErr w:type="gramStart"/>
      <w:r>
        <w:rPr>
          <w:lang w:eastAsia="ja-JP"/>
        </w:rPr>
        <w:t>Singapore</w:t>
      </w:r>
      <w:proofErr w:type="gramEnd"/>
      <w:r>
        <w:rPr>
          <w:lang w:eastAsia="ja-JP"/>
        </w:rPr>
        <w:t xml:space="preserve"> and Malaysia.</w:t>
      </w:r>
    </w:p>
    <w:p w14:paraId="29AD9C61" w14:textId="50F49D8F" w:rsidR="008F24BE" w:rsidRPr="008F24BE" w:rsidRDefault="001001A7" w:rsidP="008F24BE">
      <w:pPr>
        <w:rPr>
          <w:lang w:eastAsia="ja-JP"/>
        </w:rPr>
      </w:pPr>
      <w:r>
        <w:rPr>
          <w:lang w:eastAsia="ja-JP"/>
        </w:rPr>
        <w:t xml:space="preserve">Australia's </w:t>
      </w:r>
      <w:r w:rsidR="008F24BE">
        <w:rPr>
          <w:lang w:eastAsia="ja-JP"/>
        </w:rPr>
        <w:t>5,213</w:t>
      </w:r>
      <w:r w:rsidR="008F24BE" w:rsidRPr="008F24BE">
        <w:rPr>
          <w:lang w:eastAsia="ja-JP"/>
        </w:rPr>
        <w:t xml:space="preserve"> dairy farms</w:t>
      </w:r>
      <w:r w:rsidR="008075DB">
        <w:rPr>
          <w:lang w:eastAsia="ja-JP"/>
        </w:rPr>
        <w:t xml:space="preserve"> </w:t>
      </w:r>
      <w:r w:rsidR="008F24BE" w:rsidRPr="008F24BE">
        <w:rPr>
          <w:lang w:eastAsia="ja-JP"/>
        </w:rPr>
        <w:t>support</w:t>
      </w:r>
      <w:r w:rsidR="008F24BE">
        <w:rPr>
          <w:lang w:eastAsia="ja-JP"/>
        </w:rPr>
        <w:t xml:space="preserve"> an overall dairy herd of 1.44</w:t>
      </w:r>
      <w:r w:rsidR="008075DB">
        <w:rPr>
          <w:lang w:eastAsia="ja-JP"/>
        </w:rPr>
        <w:t> </w:t>
      </w:r>
      <w:r w:rsidR="008F24BE" w:rsidRPr="008F24BE">
        <w:rPr>
          <w:lang w:eastAsia="ja-JP"/>
        </w:rPr>
        <w:t>million cows.</w:t>
      </w:r>
    </w:p>
    <w:p w14:paraId="04550C02" w14:textId="2BE7B33B" w:rsidR="008F24BE" w:rsidRPr="00DA0342" w:rsidRDefault="008075DB" w:rsidP="008F24BE">
      <w:pPr>
        <w:rPr>
          <w:lang w:eastAsia="ja-JP"/>
        </w:rPr>
      </w:pPr>
      <w:r>
        <w:rPr>
          <w:lang w:eastAsia="ja-JP"/>
        </w:rPr>
        <w:t>T</w:t>
      </w:r>
      <w:r w:rsidR="008F24BE" w:rsidRPr="00DA0342">
        <w:rPr>
          <w:lang w:eastAsia="ja-JP"/>
        </w:rPr>
        <w:t xml:space="preserve">he typical Australian dairy herd has more than tripled </w:t>
      </w:r>
      <w:r>
        <w:rPr>
          <w:lang w:eastAsia="ja-JP"/>
        </w:rPr>
        <w:t xml:space="preserve">in size </w:t>
      </w:r>
      <w:r w:rsidR="008F24BE" w:rsidRPr="00DA0342">
        <w:rPr>
          <w:lang w:eastAsia="ja-JP"/>
        </w:rPr>
        <w:t>in the pas</w:t>
      </w:r>
      <w:r w:rsidR="00DA0342" w:rsidRPr="00DA0342">
        <w:rPr>
          <w:lang w:eastAsia="ja-JP"/>
        </w:rPr>
        <w:t>t 3 decades to average 276 cows in 2019</w:t>
      </w:r>
      <w:r w:rsidR="008F24BE" w:rsidRPr="00DA0342">
        <w:rPr>
          <w:lang w:eastAsia="ja-JP"/>
        </w:rPr>
        <w:t>.</w:t>
      </w:r>
    </w:p>
    <w:p w14:paraId="03643210" w14:textId="3E4E72BE" w:rsidR="008F24BE" w:rsidRPr="008F24BE" w:rsidRDefault="00DA0342" w:rsidP="00905F94">
      <w:pPr>
        <w:rPr>
          <w:lang w:eastAsia="ja-JP"/>
        </w:rPr>
      </w:pPr>
      <w:r w:rsidRPr="00DA0342">
        <w:rPr>
          <w:lang w:eastAsia="ja-JP"/>
        </w:rPr>
        <w:t>Australians consume 99</w:t>
      </w:r>
      <w:r w:rsidR="008F24BE" w:rsidRPr="00DA0342">
        <w:rPr>
          <w:lang w:eastAsia="ja-JP"/>
        </w:rPr>
        <w:t xml:space="preserve"> litres of milk and 13.5 kilograms of cheese on average per year.</w:t>
      </w:r>
    </w:p>
    <w:sectPr w:rsidR="008F24BE" w:rsidRPr="008F24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8BAFD" w14:textId="77777777" w:rsidR="00AC3DE9" w:rsidRDefault="00AC3DE9">
      <w:r>
        <w:separator/>
      </w:r>
    </w:p>
  </w:endnote>
  <w:endnote w:type="continuationSeparator" w:id="0">
    <w:p w14:paraId="2A20D192" w14:textId="77777777" w:rsidR="00AC3DE9" w:rsidRDefault="00AC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B8318" w14:textId="77777777" w:rsidR="00C6669A" w:rsidRDefault="00C6669A" w:rsidP="00C6669A">
        <w:pPr>
          <w:pStyle w:val="Footer"/>
          <w:jc w:val="right"/>
        </w:pPr>
        <w:r>
          <w:t>Department of Agriculture</w:t>
        </w:r>
        <w:r w:rsidR="00B03F76">
          <w:t xml:space="preserve">, </w:t>
        </w:r>
        <w:proofErr w:type="gramStart"/>
        <w:r w:rsidR="00B03F76">
          <w:t>Water</w:t>
        </w:r>
        <w:proofErr w:type="gramEnd"/>
        <w:r w:rsidR="00B03F76">
          <w:t xml:space="preserve"> and the Environment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D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2AEE7" w14:textId="77777777" w:rsidR="00AC3DE9" w:rsidRDefault="00AC3DE9">
      <w:r>
        <w:separator/>
      </w:r>
    </w:p>
  </w:footnote>
  <w:footnote w:type="continuationSeparator" w:id="0">
    <w:p w14:paraId="64D177C5" w14:textId="77777777" w:rsidR="00AC3DE9" w:rsidRDefault="00AC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A25D4" w14:textId="641AC652" w:rsidR="00A2097B" w:rsidRDefault="00A2097B">
    <w:pPr>
      <w:pStyle w:val="Header"/>
    </w:pPr>
    <w:r>
      <w:rPr>
        <w:noProof/>
      </w:rPr>
      <w:drawing>
        <wp:inline distT="0" distB="0" distL="0" distR="0" wp14:anchorId="7237330B" wp14:editId="4AAE257B">
          <wp:extent cx="237172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1DA4F1"/>
    <w:multiLevelType w:val="hybridMultilevel"/>
    <w:tmpl w:val="894464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932BB"/>
    <w:multiLevelType w:val="hybridMultilevel"/>
    <w:tmpl w:val="EEA246DA"/>
    <w:lvl w:ilvl="0" w:tplc="CBD8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0E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2F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6C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07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C8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05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C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C6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2A913599"/>
    <w:multiLevelType w:val="multilevel"/>
    <w:tmpl w:val="02AA8FA0"/>
    <w:numStyleLink w:val="ListBullets"/>
  </w:abstractNum>
  <w:abstractNum w:abstractNumId="11" w15:restartNumberingAfterBreak="0">
    <w:nsid w:val="2F2425AB"/>
    <w:multiLevelType w:val="multilevel"/>
    <w:tmpl w:val="BC8603C0"/>
    <w:numStyleLink w:val="ListNumbers"/>
  </w:abstractNum>
  <w:abstractNum w:abstractNumId="12" w15:restartNumberingAfterBreak="0">
    <w:nsid w:val="46DD5C12"/>
    <w:multiLevelType w:val="multilevel"/>
    <w:tmpl w:val="20F2356A"/>
    <w:numStyleLink w:val="Appendix"/>
  </w:abstractNum>
  <w:abstractNum w:abstractNumId="13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7"/>
  </w:num>
  <w:num w:numId="8">
    <w:abstractNumId w:val="11"/>
  </w:num>
  <w:num w:numId="9">
    <w:abstractNumId w:val="1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3"/>
  </w:num>
  <w:num w:numId="15">
    <w:abstractNumId w:val="2"/>
  </w:num>
  <w:num w:numId="16">
    <w:abstractNumId w:val="1"/>
  </w:num>
  <w:num w:numId="17">
    <w:abstractNumId w:val="5"/>
  </w:num>
  <w:num w:numId="18">
    <w:abstractNumId w:val="6"/>
  </w:num>
  <w:num w:numId="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E9"/>
    <w:rsid w:val="00070943"/>
    <w:rsid w:val="000E4B01"/>
    <w:rsid w:val="001001A7"/>
    <w:rsid w:val="001354FF"/>
    <w:rsid w:val="001644B3"/>
    <w:rsid w:val="00263A64"/>
    <w:rsid w:val="003B3089"/>
    <w:rsid w:val="00417E74"/>
    <w:rsid w:val="00422DA5"/>
    <w:rsid w:val="00461807"/>
    <w:rsid w:val="004B630F"/>
    <w:rsid w:val="004E1BCF"/>
    <w:rsid w:val="0050274D"/>
    <w:rsid w:val="0054747E"/>
    <w:rsid w:val="005520F6"/>
    <w:rsid w:val="00626E31"/>
    <w:rsid w:val="006E4662"/>
    <w:rsid w:val="007307E2"/>
    <w:rsid w:val="008075DB"/>
    <w:rsid w:val="008955D8"/>
    <w:rsid w:val="008F1374"/>
    <w:rsid w:val="008F24BE"/>
    <w:rsid w:val="00904203"/>
    <w:rsid w:val="00905F94"/>
    <w:rsid w:val="00923E36"/>
    <w:rsid w:val="009F3C4E"/>
    <w:rsid w:val="00A2097B"/>
    <w:rsid w:val="00AA4B88"/>
    <w:rsid w:val="00AC3DE9"/>
    <w:rsid w:val="00B03F76"/>
    <w:rsid w:val="00B57188"/>
    <w:rsid w:val="00C06E18"/>
    <w:rsid w:val="00C6669A"/>
    <w:rsid w:val="00C91774"/>
    <w:rsid w:val="00D20D71"/>
    <w:rsid w:val="00D317E5"/>
    <w:rsid w:val="00DA0342"/>
    <w:rsid w:val="00E3214D"/>
    <w:rsid w:val="00EB6736"/>
    <w:rsid w:val="00EC0383"/>
    <w:rsid w:val="00F44625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D8687E"/>
  <w15:chartTrackingRefBased/>
  <w15:docId w15:val="{C5547D6F-57E4-46C2-B8BE-557376C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出段落,列出段落1,列"/>
    <w:basedOn w:val="Normal"/>
    <w:link w:val="ListParagraphChar"/>
    <w:uiPriority w:val="34"/>
    <w:qFormat/>
    <w:rsid w:val="000E4B01"/>
    <w:pPr>
      <w:spacing w:before="0" w:after="200" w:line="276" w:lineRule="auto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qFormat/>
    <w:rsid w:val="000E4B01"/>
    <w:rPr>
      <w:rFonts w:eastAsia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307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09CA8-051A-41D7-8ECD-D1308737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Dairy Code of Conduct</vt:lpstr>
    </vt:vector>
  </TitlesOfParts>
  <Company>Department of Agriculture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Dairy Code of Conduct</dc:title>
  <dc:subject/>
  <dc:creator>Department of Agriculture</dc:creator>
  <cp:keywords/>
  <dc:description/>
  <cp:lastModifiedBy>Belinda Reithmiller</cp:lastModifiedBy>
  <cp:revision>2</cp:revision>
  <cp:lastPrinted>2019-12-10T06:36:00Z</cp:lastPrinted>
  <dcterms:created xsi:type="dcterms:W3CDTF">2020-10-02T04:58:00Z</dcterms:created>
  <dcterms:modified xsi:type="dcterms:W3CDTF">2020-10-02T04:58:00Z</dcterms:modified>
</cp:coreProperties>
</file>