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0C16" w14:textId="52A8B8AF" w:rsidR="00F04F39" w:rsidRDefault="00D83F45" w:rsidP="00536FAE">
      <w:pPr>
        <w:pStyle w:val="Heading1"/>
        <w:spacing w:before="120"/>
      </w:pPr>
      <w:r>
        <w:t xml:space="preserve">Farmer guide to </w:t>
      </w:r>
      <w:r w:rsidR="00F32B35">
        <w:t xml:space="preserve">the </w:t>
      </w:r>
      <w:r w:rsidR="0045563F">
        <w:t xml:space="preserve">Dairy </w:t>
      </w:r>
      <w:r w:rsidR="004D3B99">
        <w:t>Industry Code</w:t>
      </w:r>
    </w:p>
    <w:p w14:paraId="6766AFAF" w14:textId="03DE4E45" w:rsidR="00F04F39" w:rsidRDefault="004D3B99">
      <w:pPr>
        <w:pStyle w:val="AuthorOrganisationAffiliation"/>
        <w:tabs>
          <w:tab w:val="left" w:pos="7995"/>
        </w:tabs>
      </w:pPr>
      <w:r>
        <w:t>September 2020</w:t>
      </w:r>
    </w:p>
    <w:p w14:paraId="5A6DC311" w14:textId="2FD67230" w:rsidR="00F04F39" w:rsidRDefault="0045563F" w:rsidP="00276962">
      <w:pPr>
        <w:pStyle w:val="Picture"/>
      </w:pPr>
      <w:r>
        <w:drawing>
          <wp:inline distT="0" distB="0" distL="0" distR="0" wp14:anchorId="03F5F415" wp14:editId="0DA16F06">
            <wp:extent cx="5516245" cy="5516245"/>
            <wp:effectExtent l="0" t="0" r="8255" b="825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70850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551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152BF" w14:textId="77777777" w:rsidR="00F04F39" w:rsidRDefault="0045563F">
      <w:pPr>
        <w:pStyle w:val="Heading2"/>
        <w:numPr>
          <w:ilvl w:val="0"/>
          <w:numId w:val="0"/>
        </w:numPr>
        <w:ind w:left="720" w:hanging="720"/>
      </w:pPr>
      <w:bookmarkStart w:id="0" w:name="_Toc430782150"/>
      <w:bookmarkStart w:id="1" w:name="_Toc26545097"/>
      <w:r>
        <w:lastRenderedPageBreak/>
        <w:t>Introduction</w:t>
      </w:r>
      <w:bookmarkEnd w:id="0"/>
      <w:bookmarkEnd w:id="1"/>
    </w:p>
    <w:p w14:paraId="42302E9F" w14:textId="026D5CF3" w:rsidR="00157FEF" w:rsidRPr="00734A11" w:rsidRDefault="0045563F" w:rsidP="00192770">
      <w:bookmarkStart w:id="2" w:name="_Toc430782151"/>
      <w:r w:rsidRPr="00E316E0">
        <w:t xml:space="preserve">The Australian Government </w:t>
      </w:r>
      <w:r w:rsidR="00D27F1D">
        <w:t>is</w:t>
      </w:r>
      <w:r w:rsidR="00CD4F61">
        <w:t xml:space="preserve"> </w:t>
      </w:r>
      <w:r w:rsidR="00157FEF">
        <w:t>support</w:t>
      </w:r>
      <w:r w:rsidR="00C73C1A">
        <w:t>ing</w:t>
      </w:r>
      <w:r w:rsidR="00157FEF">
        <w:t xml:space="preserve"> the dairy industry by </w:t>
      </w:r>
      <w:r w:rsidR="00CD4F61">
        <w:t xml:space="preserve">implementing </w:t>
      </w:r>
      <w:r w:rsidRPr="00E316E0">
        <w:t xml:space="preserve">clearer </w:t>
      </w:r>
      <w:r w:rsidR="00157FEF">
        <w:t xml:space="preserve">and enforceable </w:t>
      </w:r>
      <w:r w:rsidR="00192770">
        <w:t xml:space="preserve">rules about </w:t>
      </w:r>
      <w:r w:rsidR="00D83F45">
        <w:t xml:space="preserve">the conduct of </w:t>
      </w:r>
      <w:r w:rsidR="00192770">
        <w:t xml:space="preserve">business relationships between farmers and the first purchasers of milk (generally processors). </w:t>
      </w:r>
      <w:r w:rsidR="00157FEF">
        <w:t xml:space="preserve">These rules are contained in the </w:t>
      </w:r>
      <w:r w:rsidR="002820F0">
        <w:t xml:space="preserve">Dairy </w:t>
      </w:r>
      <w:r w:rsidR="004D3B99">
        <w:t xml:space="preserve">Industry </w:t>
      </w:r>
      <w:r w:rsidR="002820F0">
        <w:t>Code</w:t>
      </w:r>
      <w:r w:rsidR="007834C3">
        <w:t xml:space="preserve">. The </w:t>
      </w:r>
      <w:r w:rsidR="002820F0">
        <w:t>c</w:t>
      </w:r>
      <w:r w:rsidR="00157FEF">
        <w:t xml:space="preserve">ode is </w:t>
      </w:r>
      <w:r w:rsidR="00157FEF" w:rsidRPr="00B9796F">
        <w:t xml:space="preserve">a </w:t>
      </w:r>
      <w:r w:rsidR="00157FEF">
        <w:t>m</w:t>
      </w:r>
      <w:r w:rsidR="00157FEF" w:rsidRPr="00B9796F">
        <w:t xml:space="preserve">andatory prescribed industry code made under the </w:t>
      </w:r>
      <w:r w:rsidR="00157FEF" w:rsidRPr="00157FEF">
        <w:rPr>
          <w:i/>
        </w:rPr>
        <w:t>Co</w:t>
      </w:r>
      <w:r w:rsidR="00157FEF">
        <w:rPr>
          <w:i/>
        </w:rPr>
        <w:t>mpetition and Consumer Act 2010</w:t>
      </w:r>
      <w:r w:rsidR="00B37EAD">
        <w:t xml:space="preserve"> that </w:t>
      </w:r>
      <w:r w:rsidR="00157FEF" w:rsidRPr="0099254A">
        <w:t>will</w:t>
      </w:r>
      <w:r w:rsidR="00192770" w:rsidRPr="0099254A">
        <w:t>:</w:t>
      </w:r>
    </w:p>
    <w:p w14:paraId="4D795D4E" w14:textId="2BCFFECC" w:rsidR="00157FEF" w:rsidRPr="002F2ACE" w:rsidRDefault="00192770" w:rsidP="002F2ACE">
      <w:pPr>
        <w:pStyle w:val="ListBullet"/>
      </w:pPr>
      <w:r>
        <w:rPr>
          <w:lang w:eastAsia="ja-JP"/>
        </w:rPr>
        <w:t>requir</w:t>
      </w:r>
      <w:r w:rsidR="00157FEF">
        <w:rPr>
          <w:lang w:eastAsia="ja-JP"/>
        </w:rPr>
        <w:t>e</w:t>
      </w:r>
      <w:r>
        <w:t xml:space="preserve"> farmers and processors act in good faith in their </w:t>
      </w:r>
      <w:r w:rsidR="00446269">
        <w:t xml:space="preserve">business </w:t>
      </w:r>
      <w:r w:rsidRPr="0099254A">
        <w:t>relationships</w:t>
      </w:r>
    </w:p>
    <w:p w14:paraId="43FD677B" w14:textId="4D6B6C6A" w:rsidR="00157FEF" w:rsidRPr="002F2ACE" w:rsidRDefault="00192770" w:rsidP="002F2ACE">
      <w:pPr>
        <w:pStyle w:val="ListBullet"/>
      </w:pPr>
      <w:r w:rsidRPr="0099254A">
        <w:t>establish a mediation and arbitration process to address disputes</w:t>
      </w:r>
    </w:p>
    <w:p w14:paraId="6B77B3F8" w14:textId="77777777" w:rsidR="00157FEF" w:rsidRPr="002F2ACE" w:rsidRDefault="00192770" w:rsidP="002F2ACE">
      <w:pPr>
        <w:pStyle w:val="ListBullet"/>
      </w:pPr>
      <w:r>
        <w:t>empower the Australian Competition and Consumer Commission</w:t>
      </w:r>
      <w:r w:rsidR="000854B4">
        <w:t xml:space="preserve"> (ACCC)</w:t>
      </w:r>
      <w:r>
        <w:t xml:space="preserve"> to monitor the</w:t>
      </w:r>
      <w:r w:rsidR="00157FEF">
        <w:t xml:space="preserve"> conduct of farmers and processors to support </w:t>
      </w:r>
      <w:r w:rsidR="00157FEF" w:rsidRPr="0099254A">
        <w:t>compliance</w:t>
      </w:r>
      <w:r w:rsidRPr="0099254A">
        <w:t>.</w:t>
      </w:r>
    </w:p>
    <w:p w14:paraId="6A402C93" w14:textId="2D2AFE91" w:rsidR="009716C5" w:rsidRDefault="009716C5" w:rsidP="00157FEF">
      <w:pPr>
        <w:rPr>
          <w:lang w:eastAsia="ja-JP"/>
        </w:rPr>
      </w:pPr>
      <w:r>
        <w:rPr>
          <w:lang w:eastAsia="ja-JP"/>
        </w:rPr>
        <w:t xml:space="preserve">The </w:t>
      </w:r>
      <w:r w:rsidR="0099254A">
        <w:rPr>
          <w:lang w:eastAsia="ja-JP"/>
        </w:rPr>
        <w:t>c</w:t>
      </w:r>
      <w:r>
        <w:rPr>
          <w:lang w:eastAsia="ja-JP"/>
        </w:rPr>
        <w:t>ode takes effect from 1 Jan</w:t>
      </w:r>
      <w:r w:rsidR="00BB3A4C">
        <w:rPr>
          <w:lang w:eastAsia="ja-JP"/>
        </w:rPr>
        <w:t>uary</w:t>
      </w:r>
      <w:r>
        <w:rPr>
          <w:lang w:eastAsia="ja-JP"/>
        </w:rPr>
        <w:t xml:space="preserve"> 2020.</w:t>
      </w:r>
    </w:p>
    <w:p w14:paraId="3AFAEA6E" w14:textId="62DB86E1" w:rsidR="009716C5" w:rsidRDefault="007834C3" w:rsidP="009716C5">
      <w:r>
        <w:rPr>
          <w:rFonts w:asciiTheme="majorHAnsi" w:hAnsiTheme="majorHAnsi"/>
        </w:rPr>
        <w:t xml:space="preserve">The </w:t>
      </w:r>
      <w:r w:rsidR="0099254A">
        <w:rPr>
          <w:rFonts w:asciiTheme="majorHAnsi" w:hAnsiTheme="majorHAnsi"/>
        </w:rPr>
        <w:t>c</w:t>
      </w:r>
      <w:r w:rsidR="009716C5" w:rsidRPr="004D253D">
        <w:rPr>
          <w:rFonts w:asciiTheme="majorHAnsi" w:hAnsiTheme="majorHAnsi"/>
        </w:rPr>
        <w:t xml:space="preserve">ode will improve transparency in transactions between </w:t>
      </w:r>
      <w:r w:rsidR="009716C5">
        <w:rPr>
          <w:rFonts w:asciiTheme="majorHAnsi" w:hAnsiTheme="majorHAnsi"/>
        </w:rPr>
        <w:t>farmers and processors</w:t>
      </w:r>
      <w:r w:rsidR="009716C5" w:rsidRPr="004D253D">
        <w:rPr>
          <w:rFonts w:asciiTheme="majorHAnsi" w:hAnsiTheme="majorHAnsi"/>
        </w:rPr>
        <w:t xml:space="preserve"> by setting out the key right</w:t>
      </w:r>
      <w:r w:rsidR="009716C5">
        <w:rPr>
          <w:rFonts w:asciiTheme="majorHAnsi" w:hAnsiTheme="majorHAnsi"/>
        </w:rPr>
        <w:t xml:space="preserve">s and obligations of each party. </w:t>
      </w:r>
      <w:r w:rsidR="009716C5">
        <w:t>The requirements</w:t>
      </w:r>
      <w:r w:rsidR="009716C5" w:rsidRPr="00E316E0">
        <w:t xml:space="preserve"> </w:t>
      </w:r>
      <w:r w:rsidR="009716C5">
        <w:t xml:space="preserve">will </w:t>
      </w:r>
      <w:r w:rsidR="009716C5" w:rsidRPr="00E316E0">
        <w:t xml:space="preserve">apply to all </w:t>
      </w:r>
      <w:r w:rsidR="009716C5">
        <w:t>agreements</w:t>
      </w:r>
      <w:r w:rsidR="009716C5" w:rsidRPr="00E316E0">
        <w:t xml:space="preserve"> </w:t>
      </w:r>
      <w:r w:rsidR="009716C5">
        <w:t>between processors</w:t>
      </w:r>
      <w:r w:rsidR="007B58F4">
        <w:t>—</w:t>
      </w:r>
      <w:r w:rsidR="009716C5">
        <w:t>as first purchasers of milk</w:t>
      </w:r>
      <w:r w:rsidR="007B58F4">
        <w:t>—</w:t>
      </w:r>
      <w:r w:rsidR="009716C5">
        <w:t xml:space="preserve">and dairy farmers. The </w:t>
      </w:r>
      <w:r w:rsidR="0099254A">
        <w:rPr>
          <w:rFonts w:asciiTheme="majorHAnsi" w:hAnsiTheme="majorHAnsi"/>
        </w:rPr>
        <w:t>c</w:t>
      </w:r>
      <w:r w:rsidRPr="004D253D">
        <w:rPr>
          <w:rFonts w:asciiTheme="majorHAnsi" w:hAnsiTheme="majorHAnsi"/>
        </w:rPr>
        <w:t xml:space="preserve">ode </w:t>
      </w:r>
      <w:r w:rsidR="009716C5">
        <w:t xml:space="preserve">will also allow other </w:t>
      </w:r>
      <w:r w:rsidR="009716C5" w:rsidRPr="00E316E0">
        <w:t xml:space="preserve">matters </w:t>
      </w:r>
      <w:r w:rsidR="009716C5">
        <w:t xml:space="preserve">to be negotiated and </w:t>
      </w:r>
      <w:r w:rsidR="009716C5" w:rsidRPr="00E316E0">
        <w:t>agreed between farmers and processors</w:t>
      </w:r>
      <w:r w:rsidR="009716C5">
        <w:t xml:space="preserve">, </w:t>
      </w:r>
      <w:proofErr w:type="gramStart"/>
      <w:r w:rsidR="009716C5">
        <w:t>as long as</w:t>
      </w:r>
      <w:proofErr w:type="gramEnd"/>
      <w:r w:rsidR="009716C5">
        <w:t xml:space="preserve"> they comply with the </w:t>
      </w:r>
      <w:r w:rsidR="0099254A">
        <w:rPr>
          <w:rFonts w:asciiTheme="majorHAnsi" w:hAnsiTheme="majorHAnsi"/>
        </w:rPr>
        <w:t>c</w:t>
      </w:r>
      <w:r w:rsidRPr="004D253D">
        <w:rPr>
          <w:rFonts w:asciiTheme="majorHAnsi" w:hAnsiTheme="majorHAnsi"/>
        </w:rPr>
        <w:t>ode</w:t>
      </w:r>
      <w:r w:rsidR="00446269">
        <w:rPr>
          <w:rFonts w:asciiTheme="majorHAnsi" w:hAnsiTheme="majorHAnsi"/>
        </w:rPr>
        <w:t>.</w:t>
      </w:r>
    </w:p>
    <w:p w14:paraId="47004E6F" w14:textId="5DACA025" w:rsidR="00157FEF" w:rsidRDefault="007B58F4" w:rsidP="00157FEF">
      <w:pPr>
        <w:rPr>
          <w:lang w:eastAsia="ja-JP"/>
        </w:rPr>
      </w:pPr>
      <w:r>
        <w:rPr>
          <w:lang w:eastAsia="ja-JP"/>
        </w:rPr>
        <w:t>F</w:t>
      </w:r>
      <w:r w:rsidR="00013A5C">
        <w:rPr>
          <w:lang w:eastAsia="ja-JP"/>
        </w:rPr>
        <w:t xml:space="preserve">rom 1 January 2020 </w:t>
      </w:r>
      <w:r>
        <w:rPr>
          <w:lang w:eastAsia="ja-JP"/>
        </w:rPr>
        <w:t xml:space="preserve">all new agreements </w:t>
      </w:r>
      <w:r w:rsidR="00013A5C">
        <w:rPr>
          <w:lang w:eastAsia="ja-JP"/>
        </w:rPr>
        <w:t xml:space="preserve">must comply with the </w:t>
      </w:r>
      <w:r w:rsidR="0099254A">
        <w:rPr>
          <w:rFonts w:asciiTheme="majorHAnsi" w:hAnsiTheme="majorHAnsi"/>
        </w:rPr>
        <w:t>c</w:t>
      </w:r>
      <w:r w:rsidR="007834C3" w:rsidRPr="004D253D">
        <w:rPr>
          <w:rFonts w:asciiTheme="majorHAnsi" w:hAnsiTheme="majorHAnsi"/>
        </w:rPr>
        <w:t xml:space="preserve">ode </w:t>
      </w:r>
      <w:r w:rsidR="00013A5C">
        <w:rPr>
          <w:lang w:eastAsia="ja-JP"/>
        </w:rPr>
        <w:t xml:space="preserve">and agreements already in place have 12 months to transition to become </w:t>
      </w:r>
      <w:proofErr w:type="gramStart"/>
      <w:r w:rsidR="0099254A">
        <w:rPr>
          <w:rFonts w:asciiTheme="majorHAnsi" w:hAnsiTheme="majorHAnsi"/>
        </w:rPr>
        <w:t>c</w:t>
      </w:r>
      <w:r w:rsidR="007834C3" w:rsidRPr="004D253D">
        <w:rPr>
          <w:rFonts w:asciiTheme="majorHAnsi" w:hAnsiTheme="majorHAnsi"/>
        </w:rPr>
        <w:t>ode</w:t>
      </w:r>
      <w:r w:rsidR="002820F0">
        <w:rPr>
          <w:rFonts w:asciiTheme="majorHAnsi" w:hAnsiTheme="majorHAnsi"/>
        </w:rPr>
        <w:t>-</w:t>
      </w:r>
      <w:r w:rsidR="00013A5C">
        <w:rPr>
          <w:lang w:eastAsia="ja-JP"/>
        </w:rPr>
        <w:t>compliant</w:t>
      </w:r>
      <w:proofErr w:type="gramEnd"/>
      <w:r w:rsidR="00013A5C">
        <w:rPr>
          <w:lang w:eastAsia="ja-JP"/>
        </w:rPr>
        <w:t xml:space="preserve">. </w:t>
      </w:r>
      <w:r w:rsidR="00157FEF">
        <w:rPr>
          <w:lang w:eastAsia="ja-JP"/>
        </w:rPr>
        <w:t xml:space="preserve">The good faith provisions within the </w:t>
      </w:r>
      <w:r w:rsidR="0099254A">
        <w:rPr>
          <w:rFonts w:asciiTheme="majorHAnsi" w:hAnsiTheme="majorHAnsi"/>
        </w:rPr>
        <w:t>c</w:t>
      </w:r>
      <w:r w:rsidR="007834C3" w:rsidRPr="004D253D">
        <w:rPr>
          <w:rFonts w:asciiTheme="majorHAnsi" w:hAnsiTheme="majorHAnsi"/>
        </w:rPr>
        <w:t xml:space="preserve">ode </w:t>
      </w:r>
      <w:r w:rsidR="00157FEF">
        <w:rPr>
          <w:lang w:eastAsia="ja-JP"/>
        </w:rPr>
        <w:t xml:space="preserve">will apply to all farmers and processors, regardless of size. The other parts of the </w:t>
      </w:r>
      <w:r w:rsidR="0099254A">
        <w:rPr>
          <w:rFonts w:asciiTheme="majorHAnsi" w:hAnsiTheme="majorHAnsi"/>
        </w:rPr>
        <w:t>c</w:t>
      </w:r>
      <w:r w:rsidR="007834C3" w:rsidRPr="004D253D">
        <w:rPr>
          <w:rFonts w:asciiTheme="majorHAnsi" w:hAnsiTheme="majorHAnsi"/>
        </w:rPr>
        <w:t xml:space="preserve">ode </w:t>
      </w:r>
      <w:r w:rsidR="00157FEF">
        <w:rPr>
          <w:lang w:eastAsia="ja-JP"/>
        </w:rPr>
        <w:t>apply to larger processors and the farmers that supply them.</w:t>
      </w:r>
    </w:p>
    <w:p w14:paraId="71CDD54F" w14:textId="106A9098" w:rsidR="006A1FBC" w:rsidRDefault="007A1163" w:rsidP="006A1FBC">
      <w:pPr>
        <w:rPr>
          <w:lang w:eastAsia="ja-JP"/>
        </w:rPr>
      </w:pPr>
      <w:r>
        <w:rPr>
          <w:lang w:eastAsia="ja-JP"/>
        </w:rPr>
        <w:t xml:space="preserve">The </w:t>
      </w:r>
      <w:r w:rsidR="0099254A">
        <w:rPr>
          <w:rFonts w:asciiTheme="majorHAnsi" w:hAnsiTheme="majorHAnsi"/>
        </w:rPr>
        <w:t>c</w:t>
      </w:r>
      <w:r w:rsidR="007834C3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 xml:space="preserve">will be reviewed following </w:t>
      </w:r>
      <w:r w:rsidR="004F31EF">
        <w:rPr>
          <w:lang w:eastAsia="ja-JP"/>
        </w:rPr>
        <w:t>its first year of operation and</w:t>
      </w:r>
      <w:r>
        <w:rPr>
          <w:lang w:eastAsia="ja-JP"/>
        </w:rPr>
        <w:t xml:space="preserve"> </w:t>
      </w:r>
      <w:r w:rsidR="004F31EF">
        <w:rPr>
          <w:lang w:eastAsia="ja-JP"/>
        </w:rPr>
        <w:t>in its fourth year</w:t>
      </w:r>
      <w:r>
        <w:rPr>
          <w:lang w:eastAsia="ja-JP"/>
        </w:rPr>
        <w:t xml:space="preserve"> of operation. </w:t>
      </w:r>
      <w:r w:rsidR="003B2885">
        <w:rPr>
          <w:lang w:eastAsia="ja-JP"/>
        </w:rPr>
        <w:t>The</w:t>
      </w:r>
      <w:r>
        <w:rPr>
          <w:lang w:eastAsia="ja-JP"/>
        </w:rPr>
        <w:t xml:space="preserve"> reviews will take into consideration the role, impact and operation of the </w:t>
      </w:r>
      <w:r w:rsidR="0099254A">
        <w:rPr>
          <w:rFonts w:asciiTheme="majorHAnsi" w:hAnsiTheme="majorHAnsi"/>
        </w:rPr>
        <w:t>c</w:t>
      </w:r>
      <w:r w:rsidR="007834C3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>and make recommendations to ensure it deliver</w:t>
      </w:r>
      <w:r w:rsidR="00446269">
        <w:rPr>
          <w:lang w:eastAsia="ja-JP"/>
        </w:rPr>
        <w:t>s</w:t>
      </w:r>
      <w:r>
        <w:rPr>
          <w:lang w:eastAsia="ja-JP"/>
        </w:rPr>
        <w:t xml:space="preserve"> positive outcomes for the dairy industry.</w:t>
      </w:r>
    </w:p>
    <w:p w14:paraId="007D2181" w14:textId="678A17E1" w:rsidR="006A1FBC" w:rsidRDefault="006A1FBC" w:rsidP="006A1FBC">
      <w:r>
        <w:t xml:space="preserve">The </w:t>
      </w:r>
      <w:r w:rsidR="0099254A">
        <w:rPr>
          <w:rFonts w:asciiTheme="majorHAnsi" w:hAnsiTheme="majorHAnsi"/>
        </w:rPr>
        <w:t>c</w:t>
      </w:r>
      <w:r w:rsidR="007834C3" w:rsidRPr="004D253D">
        <w:rPr>
          <w:rFonts w:asciiTheme="majorHAnsi" w:hAnsiTheme="majorHAnsi"/>
        </w:rPr>
        <w:t xml:space="preserve">ode </w:t>
      </w:r>
      <w:r>
        <w:t>will lead to changes to industry practice</w:t>
      </w:r>
      <w:r w:rsidR="0099254A">
        <w:t>,</w:t>
      </w:r>
      <w:r>
        <w:t xml:space="preserve"> including:</w:t>
      </w:r>
    </w:p>
    <w:p w14:paraId="5B7AF142" w14:textId="0CF54E9C" w:rsidR="006A1FBC" w:rsidRPr="00530CA6" w:rsidRDefault="006A1FBC" w:rsidP="002F2ACE">
      <w:pPr>
        <w:pStyle w:val="ListBullet"/>
        <w:rPr>
          <w:lang w:eastAsia="ja-JP"/>
        </w:rPr>
      </w:pPr>
      <w:r w:rsidRPr="00530CA6">
        <w:rPr>
          <w:lang w:eastAsia="ja-JP"/>
        </w:rPr>
        <w:t>requiring processors to publicly release standard</w:t>
      </w:r>
      <w:r>
        <w:rPr>
          <w:lang w:eastAsia="ja-JP"/>
        </w:rPr>
        <w:t xml:space="preserve"> </w:t>
      </w:r>
      <w:r w:rsidRPr="00530CA6">
        <w:rPr>
          <w:lang w:eastAsia="ja-JP"/>
        </w:rPr>
        <w:t>form agreement</w:t>
      </w:r>
      <w:r w:rsidR="00157FEF">
        <w:rPr>
          <w:lang w:eastAsia="ja-JP"/>
        </w:rPr>
        <w:t>s</w:t>
      </w:r>
      <w:r w:rsidRPr="00530CA6">
        <w:rPr>
          <w:lang w:eastAsia="ja-JP"/>
        </w:rPr>
        <w:t xml:space="preserve"> </w:t>
      </w:r>
      <w:r>
        <w:rPr>
          <w:lang w:eastAsia="ja-JP"/>
        </w:rPr>
        <w:t>by</w:t>
      </w:r>
      <w:r w:rsidR="002F2ACE">
        <w:rPr>
          <w:lang w:eastAsia="ja-JP"/>
        </w:rPr>
        <w:t xml:space="preserve"> 2pm (Australian Eastern Standard Time) on</w:t>
      </w:r>
      <w:r>
        <w:rPr>
          <w:lang w:eastAsia="ja-JP"/>
        </w:rPr>
        <w:t xml:space="preserve"> </w:t>
      </w:r>
      <w:r w:rsidRPr="00530CA6">
        <w:rPr>
          <w:lang w:eastAsia="ja-JP"/>
        </w:rPr>
        <w:t>1 June each year</w:t>
      </w:r>
    </w:p>
    <w:p w14:paraId="16864EF1" w14:textId="77777777" w:rsidR="00157FEF" w:rsidRDefault="00157FEF" w:rsidP="002F2ACE">
      <w:pPr>
        <w:pStyle w:val="ListBullet"/>
        <w:rPr>
          <w:lang w:eastAsia="ja-JP"/>
        </w:rPr>
      </w:pPr>
      <w:r w:rsidRPr="00530CA6">
        <w:rPr>
          <w:lang w:eastAsia="ja-JP"/>
        </w:rPr>
        <w:t xml:space="preserve">prohibiting retrospective </w:t>
      </w:r>
      <w:r w:rsidRPr="006876D5">
        <w:rPr>
          <w:lang w:eastAsia="ja-JP"/>
        </w:rPr>
        <w:t>step-</w:t>
      </w:r>
      <w:r w:rsidRPr="00F27E41">
        <w:rPr>
          <w:lang w:eastAsia="ja-JP"/>
        </w:rPr>
        <w:t>downs</w:t>
      </w:r>
      <w:r>
        <w:rPr>
          <w:lang w:eastAsia="ja-JP"/>
        </w:rPr>
        <w:t xml:space="preserve"> in all circumstances</w:t>
      </w:r>
    </w:p>
    <w:p w14:paraId="398F29F3" w14:textId="4E23942F" w:rsidR="00C73C1A" w:rsidRPr="00530CA6" w:rsidRDefault="00C73C1A" w:rsidP="002F2ACE">
      <w:pPr>
        <w:pStyle w:val="ListBullet"/>
        <w:rPr>
          <w:lang w:eastAsia="ja-JP"/>
        </w:rPr>
      </w:pPr>
      <w:r w:rsidRPr="00530CA6">
        <w:rPr>
          <w:lang w:eastAsia="ja-JP"/>
        </w:rPr>
        <w:t xml:space="preserve">prohibiting </w:t>
      </w:r>
      <w:r>
        <w:rPr>
          <w:lang w:eastAsia="ja-JP"/>
        </w:rPr>
        <w:t>unilateral prospective step</w:t>
      </w:r>
      <w:r w:rsidR="0099254A">
        <w:rPr>
          <w:lang w:eastAsia="ja-JP"/>
        </w:rPr>
        <w:t>-</w:t>
      </w:r>
      <w:r>
        <w:rPr>
          <w:lang w:eastAsia="ja-JP"/>
        </w:rPr>
        <w:t>downs except in exceptional circumstances</w:t>
      </w:r>
    </w:p>
    <w:p w14:paraId="4449242C" w14:textId="616B2C29" w:rsidR="006A1FBC" w:rsidRPr="00530CA6" w:rsidRDefault="006A1FBC" w:rsidP="002F2ACE">
      <w:pPr>
        <w:pStyle w:val="ListBullet"/>
        <w:rPr>
          <w:lang w:eastAsia="ja-JP"/>
        </w:rPr>
      </w:pPr>
      <w:r w:rsidRPr="00530CA6">
        <w:rPr>
          <w:lang w:eastAsia="ja-JP"/>
        </w:rPr>
        <w:t>establishing a dispute resolution process</w:t>
      </w:r>
    </w:p>
    <w:p w14:paraId="44FD7E1B" w14:textId="3ACE3CCC" w:rsidR="006A1FBC" w:rsidRPr="00530CA6" w:rsidRDefault="009E01B3" w:rsidP="002F2ACE">
      <w:pPr>
        <w:pStyle w:val="ListBullet"/>
        <w:rPr>
          <w:lang w:eastAsia="ja-JP"/>
        </w:rPr>
      </w:pPr>
      <w:r>
        <w:rPr>
          <w:lang w:eastAsia="ja-JP"/>
        </w:rPr>
        <w:t>restricting</w:t>
      </w:r>
      <w:r w:rsidRPr="00530CA6">
        <w:rPr>
          <w:lang w:eastAsia="ja-JP"/>
        </w:rPr>
        <w:t xml:space="preserve"> </w:t>
      </w:r>
      <w:r w:rsidR="006A1FBC" w:rsidRPr="00530CA6">
        <w:rPr>
          <w:lang w:eastAsia="ja-JP"/>
        </w:rPr>
        <w:t xml:space="preserve">unilateral changes to </w:t>
      </w:r>
      <w:r w:rsidR="00157FEF">
        <w:rPr>
          <w:lang w:eastAsia="ja-JP"/>
        </w:rPr>
        <w:t xml:space="preserve">the terms and conditions in </w:t>
      </w:r>
      <w:r w:rsidR="006A1FBC" w:rsidRPr="00530CA6">
        <w:rPr>
          <w:lang w:eastAsia="ja-JP"/>
        </w:rPr>
        <w:t>agreements</w:t>
      </w:r>
      <w:r w:rsidR="00C73C1A">
        <w:rPr>
          <w:lang w:eastAsia="ja-JP"/>
        </w:rPr>
        <w:t>.</w:t>
      </w:r>
    </w:p>
    <w:p w14:paraId="4BDBAEA5" w14:textId="1CFE435E" w:rsidR="001F5C3D" w:rsidRPr="00E316E0" w:rsidRDefault="00905253" w:rsidP="00DA0B8D">
      <w:r>
        <w:t>This guide help</w:t>
      </w:r>
      <w:r w:rsidR="00013A5C">
        <w:t>s</w:t>
      </w:r>
      <w:r>
        <w:t xml:space="preserve"> farmers better understand the </w:t>
      </w:r>
      <w:r w:rsidR="0099254A">
        <w:rPr>
          <w:rFonts w:asciiTheme="majorHAnsi" w:hAnsiTheme="majorHAnsi"/>
        </w:rPr>
        <w:t>c</w:t>
      </w:r>
      <w:r w:rsidR="007834C3" w:rsidRPr="004D253D">
        <w:rPr>
          <w:rFonts w:asciiTheme="majorHAnsi" w:hAnsiTheme="majorHAnsi"/>
        </w:rPr>
        <w:t xml:space="preserve">ode </w:t>
      </w:r>
      <w:r>
        <w:t>and how it will affect their business.</w:t>
      </w:r>
    </w:p>
    <w:p w14:paraId="45C7CBCE" w14:textId="37C2FDA9" w:rsidR="00F04F39" w:rsidRDefault="0045563F" w:rsidP="00293588">
      <w:pPr>
        <w:pStyle w:val="Heading2"/>
        <w:numPr>
          <w:ilvl w:val="0"/>
          <w:numId w:val="0"/>
        </w:numPr>
        <w:spacing w:before="120" w:after="120" w:line="276" w:lineRule="auto"/>
        <w:ind w:left="720" w:hanging="720"/>
      </w:pPr>
      <w:bookmarkStart w:id="3" w:name="_Toc26545098"/>
      <w:bookmarkEnd w:id="2"/>
      <w:r>
        <w:lastRenderedPageBreak/>
        <w:t xml:space="preserve">Summary of the </w:t>
      </w:r>
      <w:r w:rsidR="00814B06">
        <w:t>c</w:t>
      </w:r>
      <w:r w:rsidR="00905253">
        <w:t>ode</w:t>
      </w:r>
      <w:bookmarkEnd w:id="3"/>
    </w:p>
    <w:p w14:paraId="1CE26BD7" w14:textId="7E3940AF" w:rsidR="0042260C" w:rsidRDefault="0042260C" w:rsidP="00293588">
      <w:pPr>
        <w:pStyle w:val="Heading3"/>
        <w:numPr>
          <w:ilvl w:val="0"/>
          <w:numId w:val="0"/>
        </w:numPr>
        <w:spacing w:before="120" w:after="120" w:line="276" w:lineRule="auto"/>
        <w:ind w:left="964" w:hanging="964"/>
      </w:pPr>
      <w:r>
        <w:t xml:space="preserve">Who </w:t>
      </w:r>
      <w:r w:rsidR="00FB1B34">
        <w:t xml:space="preserve">the </w:t>
      </w:r>
      <w:r w:rsidR="00814B06">
        <w:t>c</w:t>
      </w:r>
      <w:r w:rsidR="00915A13">
        <w:t xml:space="preserve">ode applies </w:t>
      </w:r>
      <w:proofErr w:type="gramStart"/>
      <w:r w:rsidR="00915A13">
        <w:t>to</w:t>
      </w:r>
      <w:proofErr w:type="gramEnd"/>
    </w:p>
    <w:p w14:paraId="354FCDF4" w14:textId="3C135579" w:rsidR="008C4117" w:rsidRDefault="002A305E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The good faith provisions </w:t>
      </w:r>
      <w:r w:rsidR="00FF77D7">
        <w:rPr>
          <w:lang w:eastAsia="ja-JP"/>
        </w:rPr>
        <w:t>of</w:t>
      </w:r>
      <w:r>
        <w:rPr>
          <w:lang w:eastAsia="ja-JP"/>
        </w:rPr>
        <w:t xml:space="preserve"> 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 xml:space="preserve">will apply to all farmers and processors, regardless of size. </w:t>
      </w:r>
      <w:r w:rsidR="00014DB3">
        <w:rPr>
          <w:lang w:eastAsia="ja-JP"/>
        </w:rPr>
        <w:t>This means that parties will have to deal with each other in good faith during negotiation</w:t>
      </w:r>
      <w:r w:rsidR="00417A79">
        <w:rPr>
          <w:lang w:eastAsia="ja-JP"/>
        </w:rPr>
        <w:t>s</w:t>
      </w:r>
      <w:r w:rsidR="00014DB3">
        <w:rPr>
          <w:lang w:eastAsia="ja-JP"/>
        </w:rPr>
        <w:t>, performance of the agreement and dispute</w:t>
      </w:r>
      <w:r w:rsidR="00446269">
        <w:rPr>
          <w:lang w:eastAsia="ja-JP"/>
        </w:rPr>
        <w:t xml:space="preserve"> </w:t>
      </w:r>
      <w:r w:rsidR="00014DB3">
        <w:rPr>
          <w:lang w:eastAsia="ja-JP"/>
        </w:rPr>
        <w:t>resolution processes.</w:t>
      </w:r>
    </w:p>
    <w:p w14:paraId="519CE1FB" w14:textId="102B1F2D" w:rsidR="0064363B" w:rsidRPr="00805053" w:rsidRDefault="002A305E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The other parts of 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>apply to larger processors and the farmers that supply them.</w:t>
      </w:r>
    </w:p>
    <w:p w14:paraId="0A9639F2" w14:textId="7BDDBE8A" w:rsidR="0042260C" w:rsidRPr="00805053" w:rsidRDefault="0042260C" w:rsidP="002F2ACE">
      <w:pPr>
        <w:pStyle w:val="Heading3"/>
        <w:numPr>
          <w:ilvl w:val="0"/>
          <w:numId w:val="0"/>
        </w:numPr>
        <w:ind w:left="964" w:hanging="964"/>
      </w:pPr>
      <w:r w:rsidRPr="00805053">
        <w:t>When milk supply agreement</w:t>
      </w:r>
      <w:r w:rsidR="00561D3D">
        <w:t>s</w:t>
      </w:r>
      <w:r w:rsidRPr="00805053">
        <w:t xml:space="preserve"> </w:t>
      </w:r>
      <w:proofErr w:type="gramStart"/>
      <w:r w:rsidR="00561D3D">
        <w:t>have</w:t>
      </w:r>
      <w:r w:rsidRPr="00805053">
        <w:t xml:space="preserve"> to</w:t>
      </w:r>
      <w:proofErr w:type="gramEnd"/>
      <w:r w:rsidRPr="00805053">
        <w:t xml:space="preserve"> be </w:t>
      </w:r>
      <w:r w:rsidR="00814B06">
        <w:t>c</w:t>
      </w:r>
      <w:r w:rsidR="00915A13">
        <w:t>ode</w:t>
      </w:r>
      <w:r w:rsidR="008E4171">
        <w:t>-</w:t>
      </w:r>
      <w:r w:rsidR="00915A13" w:rsidRPr="00C04F4A">
        <w:t>compliant</w:t>
      </w:r>
    </w:p>
    <w:p w14:paraId="4039B1A3" w14:textId="22F31D8D" w:rsidR="00B107C9" w:rsidRDefault="00B107C9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>will be in force from 1 January 2020.</w:t>
      </w:r>
      <w:r w:rsidRPr="008B6E07">
        <w:rPr>
          <w:lang w:eastAsia="ja-JP"/>
        </w:rPr>
        <w:t xml:space="preserve"> </w:t>
      </w:r>
      <w:r>
        <w:rPr>
          <w:lang w:eastAsia="ja-JP"/>
        </w:rPr>
        <w:t xml:space="preserve">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 xml:space="preserve">will apply to </w:t>
      </w:r>
      <w:r w:rsidR="00FC224D">
        <w:rPr>
          <w:lang w:eastAsia="ja-JP"/>
        </w:rPr>
        <w:t>all agreements</w:t>
      </w:r>
      <w:r>
        <w:rPr>
          <w:lang w:eastAsia="ja-JP"/>
        </w:rPr>
        <w:t xml:space="preserve"> </w:t>
      </w:r>
      <w:proofErr w:type="gramStart"/>
      <w:r>
        <w:rPr>
          <w:lang w:eastAsia="ja-JP"/>
        </w:rPr>
        <w:t>entered into</w:t>
      </w:r>
      <w:proofErr w:type="gramEnd"/>
      <w:r>
        <w:rPr>
          <w:lang w:eastAsia="ja-JP"/>
        </w:rPr>
        <w:t>, renewed or amended after this date.</w:t>
      </w:r>
    </w:p>
    <w:p w14:paraId="006080F4" w14:textId="7EDA7186" w:rsidR="0064363B" w:rsidRDefault="00FC224D" w:rsidP="00293588">
      <w:pPr>
        <w:spacing w:before="120" w:after="120"/>
        <w:rPr>
          <w:lang w:eastAsia="ja-JP"/>
        </w:rPr>
      </w:pPr>
      <w:r>
        <w:rPr>
          <w:lang w:eastAsia="ja-JP"/>
        </w:rPr>
        <w:t>Agreements that are already in place will have 12 months to be</w:t>
      </w:r>
      <w:r w:rsidR="008E4171">
        <w:rPr>
          <w:lang w:eastAsia="ja-JP"/>
        </w:rPr>
        <w:t>come</w:t>
      </w:r>
      <w:r>
        <w:rPr>
          <w:lang w:eastAsia="ja-JP"/>
        </w:rPr>
        <w:t xml:space="preserve"> compl</w:t>
      </w:r>
      <w:r w:rsidR="00201228">
        <w:rPr>
          <w:lang w:eastAsia="ja-JP"/>
        </w:rPr>
        <w:t>ia</w:t>
      </w:r>
      <w:r>
        <w:rPr>
          <w:lang w:eastAsia="ja-JP"/>
        </w:rPr>
        <w:t xml:space="preserve">nt with 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>ode</w:t>
      </w:r>
      <w:r>
        <w:rPr>
          <w:lang w:eastAsia="ja-JP"/>
        </w:rPr>
        <w:t xml:space="preserve">. </w:t>
      </w:r>
      <w:r w:rsidR="0040347B">
        <w:rPr>
          <w:lang w:eastAsia="ja-JP"/>
        </w:rPr>
        <w:t>Processors and farmers will need to work together to vary any long</w:t>
      </w:r>
      <w:r w:rsidR="008E4171">
        <w:rPr>
          <w:lang w:eastAsia="ja-JP"/>
        </w:rPr>
        <w:t>-</w:t>
      </w:r>
      <w:r w:rsidR="0040347B">
        <w:rPr>
          <w:lang w:eastAsia="ja-JP"/>
        </w:rPr>
        <w:t>term agreements that are already in place.</w:t>
      </w:r>
    </w:p>
    <w:p w14:paraId="113FAFBD" w14:textId="713726B3" w:rsidR="00FC224D" w:rsidRDefault="00417A79" w:rsidP="00293588">
      <w:pPr>
        <w:pStyle w:val="Heading3"/>
        <w:numPr>
          <w:ilvl w:val="0"/>
          <w:numId w:val="0"/>
        </w:numPr>
        <w:spacing w:before="120" w:after="120" w:line="276" w:lineRule="auto"/>
        <w:ind w:left="964" w:hanging="964"/>
      </w:pPr>
      <w:r>
        <w:t>Comparing</w:t>
      </w:r>
      <w:r w:rsidR="00915A13">
        <w:t xml:space="preserve"> new contracts</w:t>
      </w:r>
    </w:p>
    <w:p w14:paraId="5345A7BF" w14:textId="5759C4D5" w:rsidR="0042260C" w:rsidRDefault="000A24F1" w:rsidP="00293588">
      <w:pPr>
        <w:spacing w:before="120" w:after="120"/>
      </w:pPr>
      <w:r>
        <w:t>Where</w:t>
      </w:r>
      <w:r w:rsidR="0064363B">
        <w:t xml:space="preserve"> </w:t>
      </w:r>
      <w:r>
        <w:t xml:space="preserve">farmers are </w:t>
      </w:r>
      <w:r w:rsidR="0064363B">
        <w:t xml:space="preserve">looking to enter into a new agreement with </w:t>
      </w:r>
      <w:r>
        <w:t>an</w:t>
      </w:r>
      <w:r w:rsidR="0064363B">
        <w:t xml:space="preserve"> existing processor or </w:t>
      </w:r>
      <w:r w:rsidR="000A3CC0">
        <w:t xml:space="preserve">switch processors, 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 xml:space="preserve">ode </w:t>
      </w:r>
      <w:r w:rsidR="0064363B">
        <w:t>will introduce requirements that make it easy to find and compare agreements.</w:t>
      </w:r>
    </w:p>
    <w:p w14:paraId="32413A89" w14:textId="7682EC4E" w:rsidR="000A3CC0" w:rsidRDefault="000A3CC0" w:rsidP="00293588">
      <w:pPr>
        <w:spacing w:before="120" w:after="120"/>
      </w:pPr>
      <w:r>
        <w:t xml:space="preserve">Under 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>ode</w:t>
      </w:r>
      <w:r>
        <w:t>, p</w:t>
      </w:r>
      <w:r w:rsidR="00663EB8">
        <w:t xml:space="preserve">rocessors need to </w:t>
      </w:r>
      <w:r w:rsidR="00663EB8">
        <w:rPr>
          <w:lang w:eastAsia="ja-JP"/>
        </w:rPr>
        <w:t xml:space="preserve">publish standard forms of agreement annually </w:t>
      </w:r>
      <w:r w:rsidR="00891B8E">
        <w:rPr>
          <w:lang w:eastAsia="ja-JP"/>
        </w:rPr>
        <w:t xml:space="preserve">by </w:t>
      </w:r>
      <w:r w:rsidR="00663EB8">
        <w:rPr>
          <w:lang w:eastAsia="ja-JP"/>
        </w:rPr>
        <w:t>1</w:t>
      </w:r>
      <w:r w:rsidR="00814B06">
        <w:rPr>
          <w:lang w:eastAsia="ja-JP"/>
        </w:rPr>
        <w:t> </w:t>
      </w:r>
      <w:r w:rsidR="00663EB8">
        <w:rPr>
          <w:lang w:eastAsia="ja-JP"/>
        </w:rPr>
        <w:t xml:space="preserve">June on their websites. </w:t>
      </w:r>
      <w:r w:rsidR="00DD2A8A">
        <w:rPr>
          <w:lang w:eastAsia="ja-JP"/>
        </w:rPr>
        <w:t xml:space="preserve">A standard form of agreement is a publicly available agreement that farmers </w:t>
      </w:r>
      <w:r w:rsidR="008E4171">
        <w:rPr>
          <w:lang w:eastAsia="ja-JP"/>
        </w:rPr>
        <w:t>can</w:t>
      </w:r>
      <w:r w:rsidR="00DD2A8A">
        <w:rPr>
          <w:lang w:eastAsia="ja-JP"/>
        </w:rPr>
        <w:t xml:space="preserve"> </w:t>
      </w:r>
      <w:proofErr w:type="gramStart"/>
      <w:r w:rsidR="00DD2A8A">
        <w:rPr>
          <w:lang w:eastAsia="ja-JP"/>
        </w:rPr>
        <w:t>enter into</w:t>
      </w:r>
      <w:proofErr w:type="gramEnd"/>
      <w:r w:rsidR="00DD2A8A">
        <w:rPr>
          <w:lang w:eastAsia="ja-JP"/>
        </w:rPr>
        <w:t xml:space="preserve"> or use as a starting point for further negotiations with processors. </w:t>
      </w:r>
      <w:r>
        <w:rPr>
          <w:lang w:eastAsia="ja-JP"/>
        </w:rPr>
        <w:t xml:space="preserve">This will enable farmers to compare contract terms and prices across </w:t>
      </w:r>
      <w:r w:rsidR="00C47D10">
        <w:rPr>
          <w:lang w:eastAsia="ja-JP"/>
        </w:rPr>
        <w:t>different</w:t>
      </w:r>
      <w:r>
        <w:rPr>
          <w:lang w:eastAsia="ja-JP"/>
        </w:rPr>
        <w:t xml:space="preserve"> </w:t>
      </w:r>
      <w:proofErr w:type="gramStart"/>
      <w:r>
        <w:rPr>
          <w:lang w:eastAsia="ja-JP"/>
        </w:rPr>
        <w:t>processors, and</w:t>
      </w:r>
      <w:proofErr w:type="gramEnd"/>
      <w:r>
        <w:rPr>
          <w:lang w:eastAsia="ja-JP"/>
        </w:rPr>
        <w:t xml:space="preserve"> choose a business arrangement that best suits their individual farming operations.</w:t>
      </w:r>
    </w:p>
    <w:p w14:paraId="0B6F7842" w14:textId="33105DD9" w:rsidR="00891B8E" w:rsidRDefault="00891B8E" w:rsidP="00293588">
      <w:pPr>
        <w:spacing w:before="120" w:after="120"/>
        <w:rPr>
          <w:lang w:eastAsia="ja-JP"/>
        </w:rPr>
      </w:pPr>
      <w:r w:rsidRPr="00134C1B">
        <w:rPr>
          <w:lang w:eastAsia="ja-JP"/>
        </w:rPr>
        <w:t>Processors must release at least</w:t>
      </w:r>
      <w:r w:rsidR="005764A2" w:rsidRPr="00134C1B">
        <w:rPr>
          <w:lang w:eastAsia="ja-JP"/>
        </w:rPr>
        <w:t xml:space="preserve"> one standard form of agreement. They </w:t>
      </w:r>
      <w:r w:rsidRPr="00134C1B">
        <w:rPr>
          <w:lang w:eastAsia="ja-JP"/>
        </w:rPr>
        <w:t xml:space="preserve">may release </w:t>
      </w:r>
      <w:r w:rsidR="00134C1B">
        <w:rPr>
          <w:lang w:eastAsia="ja-JP"/>
        </w:rPr>
        <w:t xml:space="preserve">other agreements </w:t>
      </w:r>
      <w:r w:rsidRPr="00134C1B">
        <w:rPr>
          <w:lang w:eastAsia="ja-JP"/>
        </w:rPr>
        <w:t xml:space="preserve">depending on </w:t>
      </w:r>
      <w:r w:rsidR="00134C1B">
        <w:rPr>
          <w:lang w:eastAsia="ja-JP"/>
        </w:rPr>
        <w:t xml:space="preserve">factors affecting the </w:t>
      </w:r>
      <w:r w:rsidRPr="00134C1B">
        <w:rPr>
          <w:lang w:eastAsia="ja-JP"/>
        </w:rPr>
        <w:t xml:space="preserve">purchase </w:t>
      </w:r>
      <w:r w:rsidR="00134C1B">
        <w:rPr>
          <w:lang w:eastAsia="ja-JP"/>
        </w:rPr>
        <w:t xml:space="preserve">of </w:t>
      </w:r>
      <w:r w:rsidRPr="00134C1B">
        <w:rPr>
          <w:lang w:eastAsia="ja-JP"/>
        </w:rPr>
        <w:t xml:space="preserve">milk. </w:t>
      </w:r>
      <w:r w:rsidR="00134C1B">
        <w:rPr>
          <w:lang w:eastAsia="ja-JP"/>
        </w:rPr>
        <w:t xml:space="preserve">Factors </w:t>
      </w:r>
      <w:r w:rsidRPr="00134C1B">
        <w:rPr>
          <w:lang w:eastAsia="ja-JP"/>
        </w:rPr>
        <w:t>includ</w:t>
      </w:r>
      <w:r w:rsidR="00134C1B">
        <w:rPr>
          <w:lang w:eastAsia="ja-JP"/>
        </w:rPr>
        <w:t>e the</w:t>
      </w:r>
      <w:r w:rsidR="00C318C9" w:rsidRPr="00134C1B">
        <w:rPr>
          <w:lang w:eastAsia="ja-JP"/>
        </w:rPr>
        <w:t xml:space="preserve"> region</w:t>
      </w:r>
      <w:r w:rsidR="00134C1B">
        <w:rPr>
          <w:lang w:eastAsia="ja-JP"/>
        </w:rPr>
        <w:t xml:space="preserve"> </w:t>
      </w:r>
      <w:r w:rsidR="00C318C9" w:rsidRPr="00134C1B">
        <w:rPr>
          <w:lang w:eastAsia="ja-JP"/>
        </w:rPr>
        <w:t xml:space="preserve">where they </w:t>
      </w:r>
      <w:r w:rsidR="00134C1B">
        <w:rPr>
          <w:lang w:eastAsia="ja-JP"/>
        </w:rPr>
        <w:t>intend to purchase milk and the length of the</w:t>
      </w:r>
      <w:r w:rsidR="00C318C9" w:rsidRPr="00134C1B">
        <w:rPr>
          <w:lang w:eastAsia="ja-JP"/>
        </w:rPr>
        <w:t xml:space="preserve"> agreement. All processors need to offer non-exclusive supply agreements</w:t>
      </w:r>
      <w:r w:rsidR="00134C1B">
        <w:rPr>
          <w:lang w:eastAsia="ja-JP"/>
        </w:rPr>
        <w:t>. H</w:t>
      </w:r>
      <w:r w:rsidR="00C318C9" w:rsidRPr="00134C1B">
        <w:rPr>
          <w:lang w:eastAsia="ja-JP"/>
        </w:rPr>
        <w:t>owever</w:t>
      </w:r>
      <w:r w:rsidRPr="00134C1B">
        <w:rPr>
          <w:lang w:eastAsia="ja-JP"/>
        </w:rPr>
        <w:t>,</w:t>
      </w:r>
      <w:r w:rsidR="00C318C9" w:rsidRPr="00134C1B">
        <w:rPr>
          <w:lang w:eastAsia="ja-JP"/>
        </w:rPr>
        <w:t xml:space="preserve"> they can offer </w:t>
      </w:r>
      <w:r w:rsidRPr="00134C1B">
        <w:rPr>
          <w:lang w:eastAsia="ja-JP"/>
        </w:rPr>
        <w:t xml:space="preserve">an </w:t>
      </w:r>
      <w:r w:rsidR="00C318C9" w:rsidRPr="00134C1B">
        <w:rPr>
          <w:lang w:eastAsia="ja-JP"/>
        </w:rPr>
        <w:t>exclusive agreement</w:t>
      </w:r>
      <w:r w:rsidRPr="00134C1B">
        <w:rPr>
          <w:lang w:eastAsia="ja-JP"/>
        </w:rPr>
        <w:t xml:space="preserve"> </w:t>
      </w:r>
      <w:r w:rsidR="00134C1B">
        <w:rPr>
          <w:lang w:eastAsia="ja-JP"/>
        </w:rPr>
        <w:t xml:space="preserve">with </w:t>
      </w:r>
      <w:r w:rsidRPr="00134C1B">
        <w:rPr>
          <w:lang w:eastAsia="ja-JP"/>
        </w:rPr>
        <w:t xml:space="preserve">terms </w:t>
      </w:r>
      <w:proofErr w:type="gramStart"/>
      <w:r w:rsidR="00134C1B" w:rsidRPr="00134C1B">
        <w:rPr>
          <w:lang w:eastAsia="ja-JP"/>
        </w:rPr>
        <w:t xml:space="preserve">similar </w:t>
      </w:r>
      <w:r w:rsidR="00134C1B">
        <w:rPr>
          <w:lang w:eastAsia="ja-JP"/>
        </w:rPr>
        <w:t>to</w:t>
      </w:r>
      <w:proofErr w:type="gramEnd"/>
      <w:r w:rsidRPr="00134C1B">
        <w:rPr>
          <w:lang w:eastAsia="ja-JP"/>
        </w:rPr>
        <w:t xml:space="preserve"> the non-exclusive agreement.</w:t>
      </w:r>
      <w:r w:rsidR="00D81CFB">
        <w:rPr>
          <w:lang w:eastAsia="ja-JP"/>
        </w:rPr>
        <w:t xml:space="preserve"> </w:t>
      </w:r>
      <w:r w:rsidR="00EC2C06">
        <w:t>The prices between the 2 do not have to be the same.</w:t>
      </w:r>
    </w:p>
    <w:p w14:paraId="4E653153" w14:textId="4853BCF9" w:rsidR="00D4335D" w:rsidRDefault="00D4335D" w:rsidP="00293588">
      <w:pPr>
        <w:spacing w:before="120" w:after="120"/>
      </w:pPr>
      <w:r>
        <w:t>All standard forms of agreement must contain minimum prices, justification of prices and a cooling-off period of 14 days.</w:t>
      </w:r>
    </w:p>
    <w:p w14:paraId="1B222395" w14:textId="43D5FD27" w:rsidR="0042260C" w:rsidRDefault="00D4335D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 xml:space="preserve">also requires genuine standard forms of agreements. This means that processors cannot release standard forms of agreement </w:t>
      </w:r>
      <w:r w:rsidR="005764A2">
        <w:rPr>
          <w:lang w:eastAsia="ja-JP"/>
        </w:rPr>
        <w:t>that they do not intend to honour.</w:t>
      </w:r>
    </w:p>
    <w:p w14:paraId="4A499DEF" w14:textId="0948C900" w:rsidR="00792AF9" w:rsidRDefault="00F81506" w:rsidP="00293588">
      <w:pPr>
        <w:spacing w:before="120" w:after="120"/>
      </w:pPr>
      <w:r>
        <w:rPr>
          <w:lang w:eastAsia="ja-JP"/>
        </w:rPr>
        <w:t xml:space="preserve">Farmers and processors will not have to agree only to supply under a standard form agreement. 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 xml:space="preserve">will allow farmers and processors the flexibility to negotiate and agree to a range of matters such as </w:t>
      </w:r>
      <w:r w:rsidR="00E31300">
        <w:rPr>
          <w:lang w:eastAsia="ja-JP"/>
        </w:rPr>
        <w:t xml:space="preserve">agreement </w:t>
      </w:r>
      <w:r>
        <w:rPr>
          <w:lang w:eastAsia="ja-JP"/>
        </w:rPr>
        <w:t xml:space="preserve">length or ownership arrangements. However, all agreements must be consistent with the </w:t>
      </w:r>
      <w:r w:rsidR="00814B06">
        <w:rPr>
          <w:rFonts w:asciiTheme="majorHAnsi" w:hAnsiTheme="majorHAnsi"/>
        </w:rPr>
        <w:t>c</w:t>
      </w:r>
      <w:r w:rsidR="00FB1B34" w:rsidRPr="004D253D">
        <w:rPr>
          <w:rFonts w:asciiTheme="majorHAnsi" w:hAnsiTheme="majorHAnsi"/>
        </w:rPr>
        <w:t xml:space="preserve">ode </w:t>
      </w:r>
      <w:r w:rsidR="009530BB">
        <w:rPr>
          <w:lang w:eastAsia="ja-JP"/>
        </w:rPr>
        <w:t>and other relevant legislation.</w:t>
      </w:r>
    </w:p>
    <w:p w14:paraId="053CC0A1" w14:textId="4F856A3B" w:rsidR="0042260C" w:rsidRDefault="0042260C" w:rsidP="00293588">
      <w:pPr>
        <w:pStyle w:val="Heading3"/>
        <w:numPr>
          <w:ilvl w:val="0"/>
          <w:numId w:val="0"/>
        </w:numPr>
        <w:spacing w:before="120" w:after="120" w:line="276" w:lineRule="auto"/>
        <w:ind w:left="964" w:hanging="964"/>
      </w:pPr>
      <w:r>
        <w:lastRenderedPageBreak/>
        <w:t xml:space="preserve">What </w:t>
      </w:r>
      <w:r w:rsidR="00915A13">
        <w:t>milk supply agreements</w:t>
      </w:r>
      <w:r w:rsidR="00805053">
        <w:t xml:space="preserve"> </w:t>
      </w:r>
      <w:r w:rsidR="003E0F2B">
        <w:t xml:space="preserve">must </w:t>
      </w:r>
      <w:r w:rsidR="00805053">
        <w:t>contain</w:t>
      </w:r>
    </w:p>
    <w:p w14:paraId="06B69C0F" w14:textId="233B0457" w:rsidR="0052350F" w:rsidRDefault="0052350F" w:rsidP="00293588">
      <w:pPr>
        <w:spacing w:before="120" w:after="120"/>
        <w:rPr>
          <w:lang w:eastAsia="ja-JP"/>
        </w:rPr>
      </w:pPr>
      <w:r>
        <w:rPr>
          <w:lang w:eastAsia="ja-JP"/>
        </w:rPr>
        <w:t>All written milk supply agreements must be in plain English</w:t>
      </w:r>
      <w:r w:rsidR="00E31300">
        <w:rPr>
          <w:lang w:eastAsia="ja-JP"/>
        </w:rPr>
        <w:t>—</w:t>
      </w:r>
      <w:r>
        <w:rPr>
          <w:lang w:eastAsia="ja-JP"/>
        </w:rPr>
        <w:t>or contain a plain English overview</w:t>
      </w:r>
      <w:r w:rsidR="00E31300">
        <w:rPr>
          <w:lang w:eastAsia="ja-JP"/>
        </w:rPr>
        <w:t>—</w:t>
      </w:r>
      <w:r>
        <w:rPr>
          <w:lang w:eastAsia="ja-JP"/>
        </w:rPr>
        <w:t xml:space="preserve">and consist of a single </w:t>
      </w:r>
      <w:r w:rsidR="00F56E69">
        <w:rPr>
          <w:lang w:eastAsia="ja-JP"/>
        </w:rPr>
        <w:t>document</w:t>
      </w:r>
      <w:r>
        <w:rPr>
          <w:lang w:eastAsia="ja-JP"/>
        </w:rPr>
        <w:t xml:space="preserve">. </w:t>
      </w:r>
      <w:r w:rsidR="00DD2A8A">
        <w:rPr>
          <w:lang w:eastAsia="ja-JP"/>
        </w:rPr>
        <w:t xml:space="preserve">This may comprise other documents such as supply </w:t>
      </w:r>
      <w:r w:rsidR="009B1200">
        <w:rPr>
          <w:lang w:eastAsia="ja-JP"/>
        </w:rPr>
        <w:t>handbooks</w:t>
      </w:r>
      <w:r w:rsidR="00FE4F0A">
        <w:rPr>
          <w:lang w:eastAsia="ja-JP"/>
        </w:rPr>
        <w:t xml:space="preserve"> and </w:t>
      </w:r>
      <w:r w:rsidR="00730573">
        <w:rPr>
          <w:lang w:eastAsia="ja-JP"/>
        </w:rPr>
        <w:t>will provide</w:t>
      </w:r>
      <w:r w:rsidR="00FE4F0A">
        <w:rPr>
          <w:lang w:eastAsia="ja-JP"/>
        </w:rPr>
        <w:t xml:space="preserve"> farmers with more certainty about their supply terms.</w:t>
      </w:r>
    </w:p>
    <w:p w14:paraId="268DAE70" w14:textId="4CC2DB72" w:rsidR="00F56E69" w:rsidRDefault="00F56E69" w:rsidP="00293588">
      <w:pPr>
        <w:spacing w:before="120" w:after="120"/>
        <w:rPr>
          <w:lang w:eastAsia="ja-JP"/>
        </w:rPr>
      </w:pPr>
      <w:r>
        <w:rPr>
          <w:lang w:eastAsia="ja-JP"/>
        </w:rPr>
        <w:t>If an agreement is entered into verbally, the processor has 30</w:t>
      </w:r>
      <w:r w:rsidR="00E31300">
        <w:rPr>
          <w:lang w:eastAsia="ja-JP"/>
        </w:rPr>
        <w:t> </w:t>
      </w:r>
      <w:r>
        <w:rPr>
          <w:lang w:eastAsia="ja-JP"/>
        </w:rPr>
        <w:t>days to provide a written record of the agreement. This ensure</w:t>
      </w:r>
      <w:r w:rsidR="00E31300">
        <w:rPr>
          <w:lang w:eastAsia="ja-JP"/>
        </w:rPr>
        <w:t>s</w:t>
      </w:r>
      <w:r>
        <w:rPr>
          <w:lang w:eastAsia="ja-JP"/>
        </w:rPr>
        <w:t xml:space="preserve"> that farmers have the terms of their agreement in writing.</w:t>
      </w:r>
    </w:p>
    <w:p w14:paraId="2469C100" w14:textId="794038F8" w:rsidR="006C6776" w:rsidRDefault="006C6776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The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>requires milk supply agreements to include:</w:t>
      </w:r>
    </w:p>
    <w:p w14:paraId="081DED54" w14:textId="0EC9C4D9" w:rsidR="00524542" w:rsidRPr="00051729" w:rsidRDefault="006C6776" w:rsidP="009B78C1">
      <w:pPr>
        <w:pStyle w:val="ListBullet"/>
        <w:rPr>
          <w:lang w:eastAsia="ja-JP"/>
        </w:rPr>
      </w:pPr>
      <w:r>
        <w:rPr>
          <w:lang w:eastAsia="ja-JP"/>
        </w:rPr>
        <w:t xml:space="preserve">a clear minimum price, </w:t>
      </w:r>
      <w:r w:rsidR="00524542" w:rsidRPr="00051729">
        <w:rPr>
          <w:lang w:eastAsia="ja-JP"/>
        </w:rPr>
        <w:t xml:space="preserve">a </w:t>
      </w:r>
      <w:r w:rsidRPr="00051729">
        <w:rPr>
          <w:lang w:eastAsia="ja-JP"/>
        </w:rPr>
        <w:t xml:space="preserve">schedule of </w:t>
      </w:r>
      <w:r w:rsidR="00524542" w:rsidRPr="00051729">
        <w:rPr>
          <w:lang w:eastAsia="ja-JP"/>
        </w:rPr>
        <w:t>monthly prices</w:t>
      </w:r>
      <w:r w:rsidR="00E31300">
        <w:rPr>
          <w:lang w:eastAsia="ja-JP"/>
        </w:rPr>
        <w:t>,</w:t>
      </w:r>
      <w:r>
        <w:rPr>
          <w:lang w:eastAsia="ja-JP"/>
        </w:rPr>
        <w:t xml:space="preserve"> or </w:t>
      </w:r>
      <w:r w:rsidRPr="00051729">
        <w:rPr>
          <w:lang w:eastAsia="ja-JP"/>
        </w:rPr>
        <w:t xml:space="preserve">a schedule of </w:t>
      </w:r>
      <w:r>
        <w:rPr>
          <w:lang w:eastAsia="ja-JP"/>
        </w:rPr>
        <w:t>yearly</w:t>
      </w:r>
      <w:r w:rsidRPr="00051729">
        <w:rPr>
          <w:lang w:eastAsia="ja-JP"/>
        </w:rPr>
        <w:t xml:space="preserve"> prices</w:t>
      </w:r>
      <w:r w:rsidR="00EF4FA0">
        <w:rPr>
          <w:lang w:eastAsia="ja-JP"/>
        </w:rPr>
        <w:t xml:space="preserve"> for longer</w:t>
      </w:r>
      <w:r w:rsidR="00E31300">
        <w:rPr>
          <w:lang w:eastAsia="ja-JP"/>
        </w:rPr>
        <w:t>-</w:t>
      </w:r>
      <w:r w:rsidR="00EF4FA0">
        <w:rPr>
          <w:lang w:eastAsia="ja-JP"/>
        </w:rPr>
        <w:t>term agreements</w:t>
      </w:r>
      <w:r w:rsidR="00362CAA">
        <w:rPr>
          <w:lang w:eastAsia="ja-JP"/>
        </w:rPr>
        <w:t xml:space="preserve"> (noting t</w:t>
      </w:r>
      <w:r w:rsidR="00EF4FA0">
        <w:rPr>
          <w:lang w:eastAsia="ja-JP"/>
        </w:rPr>
        <w:t>he price among years can be different</w:t>
      </w:r>
      <w:r w:rsidR="00362CAA">
        <w:rPr>
          <w:lang w:eastAsia="ja-JP"/>
        </w:rPr>
        <w:t>)</w:t>
      </w:r>
    </w:p>
    <w:p w14:paraId="7F265833" w14:textId="6D917F1D" w:rsidR="00524542" w:rsidRDefault="00524542" w:rsidP="009B78C1">
      <w:pPr>
        <w:pStyle w:val="ListBullet"/>
        <w:rPr>
          <w:lang w:eastAsia="ja-JP"/>
        </w:rPr>
      </w:pPr>
      <w:r w:rsidRPr="00051729">
        <w:rPr>
          <w:lang w:eastAsia="ja-JP"/>
        </w:rPr>
        <w:t>a cooling</w:t>
      </w:r>
      <w:r w:rsidR="00E31300">
        <w:rPr>
          <w:lang w:eastAsia="ja-JP"/>
        </w:rPr>
        <w:t>-</w:t>
      </w:r>
      <w:r w:rsidRPr="00051729">
        <w:rPr>
          <w:lang w:eastAsia="ja-JP"/>
        </w:rPr>
        <w:t>off period</w:t>
      </w:r>
      <w:r w:rsidR="006C6776">
        <w:rPr>
          <w:lang w:eastAsia="ja-JP"/>
        </w:rPr>
        <w:t xml:space="preserve"> of 14 days</w:t>
      </w:r>
    </w:p>
    <w:p w14:paraId="7D128E91" w14:textId="5D14BB56" w:rsidR="00A015C3" w:rsidRPr="00051729" w:rsidRDefault="00A015C3" w:rsidP="00276962">
      <w:pPr>
        <w:pStyle w:val="ListBullet"/>
        <w:rPr>
          <w:lang w:eastAsia="ja-JP"/>
        </w:rPr>
      </w:pPr>
      <w:r>
        <w:rPr>
          <w:lang w:eastAsia="ja-JP"/>
        </w:rPr>
        <w:t>a clear start and end date</w:t>
      </w:r>
      <w:r w:rsidR="00276962">
        <w:rPr>
          <w:lang w:eastAsia="ja-JP"/>
        </w:rPr>
        <w:t xml:space="preserve"> </w:t>
      </w:r>
      <w:r w:rsidR="00276962">
        <w:t>for the milk supply period, unless the processor is a cooperative</w:t>
      </w:r>
    </w:p>
    <w:p w14:paraId="4BF43C33" w14:textId="45F8BB1F" w:rsidR="00A015C3" w:rsidRPr="00051729" w:rsidRDefault="009530BB" w:rsidP="002F2ACE">
      <w:pPr>
        <w:pStyle w:val="ListBullet"/>
        <w:rPr>
          <w:lang w:eastAsia="ja-JP"/>
        </w:rPr>
      </w:pPr>
      <w:r>
        <w:rPr>
          <w:lang w:eastAsia="ja-JP"/>
        </w:rPr>
        <w:t xml:space="preserve">the </w:t>
      </w:r>
      <w:r w:rsidRPr="00051729">
        <w:rPr>
          <w:lang w:eastAsia="ja-JP"/>
        </w:rPr>
        <w:t>quantity</w:t>
      </w:r>
      <w:r>
        <w:rPr>
          <w:lang w:eastAsia="ja-JP"/>
        </w:rPr>
        <w:t xml:space="preserve"> (if applicable)</w:t>
      </w:r>
      <w:r w:rsidRPr="00051729">
        <w:rPr>
          <w:lang w:eastAsia="ja-JP"/>
        </w:rPr>
        <w:t xml:space="preserve"> </w:t>
      </w:r>
      <w:r>
        <w:rPr>
          <w:lang w:eastAsia="ja-JP"/>
        </w:rPr>
        <w:t xml:space="preserve">and </w:t>
      </w:r>
      <w:r w:rsidR="00A015C3" w:rsidRPr="00051729">
        <w:rPr>
          <w:lang w:eastAsia="ja-JP"/>
        </w:rPr>
        <w:t xml:space="preserve">quality requirements of milk, including sampling procedures </w:t>
      </w:r>
      <w:r w:rsidR="00A015C3">
        <w:rPr>
          <w:lang w:eastAsia="ja-JP"/>
        </w:rPr>
        <w:t xml:space="preserve">and </w:t>
      </w:r>
      <w:r w:rsidR="00E31300">
        <w:rPr>
          <w:lang w:eastAsia="ja-JP"/>
        </w:rPr>
        <w:t xml:space="preserve">assurances about </w:t>
      </w:r>
      <w:r w:rsidR="00A015C3">
        <w:rPr>
          <w:lang w:eastAsia="ja-JP"/>
        </w:rPr>
        <w:t>volume accuracy</w:t>
      </w:r>
    </w:p>
    <w:p w14:paraId="73B63D2D" w14:textId="77777777" w:rsidR="00A015C3" w:rsidRPr="00051729" w:rsidRDefault="00A015C3" w:rsidP="009B78C1">
      <w:pPr>
        <w:pStyle w:val="ListBullet"/>
        <w:rPr>
          <w:lang w:eastAsia="ja-JP"/>
        </w:rPr>
      </w:pPr>
      <w:r w:rsidRPr="00051729">
        <w:rPr>
          <w:lang w:eastAsia="ja-JP"/>
        </w:rPr>
        <w:t>any circumstances under which the processor may reje</w:t>
      </w:r>
      <w:r>
        <w:rPr>
          <w:lang w:eastAsia="ja-JP"/>
        </w:rPr>
        <w:t>ct milk supplied by the farmer</w:t>
      </w:r>
    </w:p>
    <w:p w14:paraId="3155E095" w14:textId="77777777" w:rsidR="00A015C3" w:rsidRDefault="00A015C3" w:rsidP="009B78C1">
      <w:pPr>
        <w:pStyle w:val="ListBullet"/>
        <w:rPr>
          <w:lang w:eastAsia="ja-JP"/>
        </w:rPr>
      </w:pPr>
      <w:r w:rsidRPr="00051729">
        <w:rPr>
          <w:lang w:eastAsia="ja-JP"/>
        </w:rPr>
        <w:t>how the processor will deal with milk that does not meet the quality and quant</w:t>
      </w:r>
      <w:r>
        <w:rPr>
          <w:lang w:eastAsia="ja-JP"/>
        </w:rPr>
        <w:t>ity requirements</w:t>
      </w:r>
    </w:p>
    <w:p w14:paraId="46958A12" w14:textId="01C663EA" w:rsidR="00524542" w:rsidRDefault="00524542" w:rsidP="009B78C1">
      <w:pPr>
        <w:pStyle w:val="ListBullet"/>
        <w:rPr>
          <w:lang w:eastAsia="ja-JP"/>
        </w:rPr>
      </w:pPr>
      <w:r w:rsidRPr="00051729">
        <w:rPr>
          <w:lang w:eastAsia="ja-JP"/>
        </w:rPr>
        <w:t>any requirements the processor has for delivery of milk fr</w:t>
      </w:r>
      <w:r w:rsidR="00A015C3">
        <w:rPr>
          <w:lang w:eastAsia="ja-JP"/>
        </w:rPr>
        <w:t>om the farmer</w:t>
      </w:r>
    </w:p>
    <w:p w14:paraId="71DEBB7D" w14:textId="77777777" w:rsidR="00A015C3" w:rsidRDefault="00A015C3" w:rsidP="009B78C1">
      <w:pPr>
        <w:pStyle w:val="ListBullet"/>
        <w:rPr>
          <w:lang w:eastAsia="ja-JP"/>
        </w:rPr>
      </w:pPr>
      <w:r>
        <w:rPr>
          <w:lang w:eastAsia="ja-JP"/>
        </w:rPr>
        <w:t>when the milk changes ownership from farmer to processor</w:t>
      </w:r>
    </w:p>
    <w:p w14:paraId="08CB9A48" w14:textId="4BFFCA3A" w:rsidR="009530BB" w:rsidRDefault="00B02EA9" w:rsidP="009B78C1">
      <w:pPr>
        <w:pStyle w:val="ListBullet"/>
        <w:rPr>
          <w:lang w:eastAsia="ja-JP"/>
        </w:rPr>
      </w:pPr>
      <w:r>
        <w:rPr>
          <w:lang w:eastAsia="ja-JP"/>
        </w:rPr>
        <w:t xml:space="preserve">the </w:t>
      </w:r>
      <w:r w:rsidR="00BA43D4">
        <w:rPr>
          <w:lang w:eastAsia="ja-JP"/>
        </w:rPr>
        <w:t xml:space="preserve">circumstances for varying an agreement, noting that processors can only unilaterally vary </w:t>
      </w:r>
      <w:r w:rsidR="009530BB">
        <w:rPr>
          <w:lang w:eastAsia="ja-JP"/>
        </w:rPr>
        <w:t xml:space="preserve">the terms of </w:t>
      </w:r>
      <w:r w:rsidR="00BA43D4">
        <w:rPr>
          <w:lang w:eastAsia="ja-JP"/>
        </w:rPr>
        <w:t>an agreement to comply with a changed law</w:t>
      </w:r>
    </w:p>
    <w:p w14:paraId="05EA76FB" w14:textId="4B9493E9" w:rsidR="00BA43D4" w:rsidRDefault="009530BB" w:rsidP="009B78C1">
      <w:pPr>
        <w:pStyle w:val="ListBullet"/>
        <w:rPr>
          <w:lang w:eastAsia="ja-JP"/>
        </w:rPr>
      </w:pPr>
      <w:r>
        <w:rPr>
          <w:lang w:eastAsia="ja-JP"/>
        </w:rPr>
        <w:t>the process a processor may use to unilaterally prospectively step</w:t>
      </w:r>
      <w:r w:rsidR="00E31300">
        <w:rPr>
          <w:lang w:eastAsia="ja-JP"/>
        </w:rPr>
        <w:t>-</w:t>
      </w:r>
      <w:r>
        <w:rPr>
          <w:lang w:eastAsia="ja-JP"/>
        </w:rPr>
        <w:t xml:space="preserve">down the </w:t>
      </w:r>
      <w:r w:rsidR="00BA43D4">
        <w:rPr>
          <w:lang w:eastAsia="ja-JP"/>
        </w:rPr>
        <w:t>minimum price</w:t>
      </w:r>
      <w:r w:rsidR="00B02EA9">
        <w:rPr>
          <w:lang w:eastAsia="ja-JP"/>
        </w:rPr>
        <w:t>—if applicable and only in exceptional circumstances</w:t>
      </w:r>
    </w:p>
    <w:p w14:paraId="77E156CF" w14:textId="77777777" w:rsidR="00734A11" w:rsidRDefault="00BA43D4" w:rsidP="00734A11">
      <w:pPr>
        <w:pStyle w:val="ListBullet"/>
        <w:rPr>
          <w:lang w:eastAsia="ja-JP"/>
        </w:rPr>
      </w:pPr>
      <w:r>
        <w:rPr>
          <w:lang w:eastAsia="ja-JP"/>
        </w:rPr>
        <w:t>information on loyalty payments, where applicable</w:t>
      </w:r>
    </w:p>
    <w:p w14:paraId="3295FC36" w14:textId="111B6BB6" w:rsidR="00276962" w:rsidRDefault="00276962" w:rsidP="00276962">
      <w:pPr>
        <w:pStyle w:val="ListBullet"/>
      </w:pPr>
      <w:r>
        <w:t>a complaint-handling procedure, the mediation process detailed in the code and may provide for arbitration</w:t>
      </w:r>
    </w:p>
    <w:p w14:paraId="3A23565B" w14:textId="50EB08B6" w:rsidR="00BA43D4" w:rsidRPr="00051729" w:rsidRDefault="009B78C1" w:rsidP="00734A11">
      <w:pPr>
        <w:pStyle w:val="ListBullet"/>
        <w:rPr>
          <w:lang w:eastAsia="ja-JP"/>
        </w:rPr>
      </w:pPr>
      <w:r>
        <w:rPr>
          <w:lang w:eastAsia="ja-JP"/>
        </w:rPr>
        <w:t>if an agreement is longer than 3 years</w:t>
      </w:r>
      <w:r w:rsidR="00734A11">
        <w:rPr>
          <w:lang w:eastAsia="ja-JP"/>
        </w:rPr>
        <w:t>, the</w:t>
      </w:r>
      <w:r>
        <w:rPr>
          <w:lang w:eastAsia="ja-JP"/>
        </w:rPr>
        <w:t xml:space="preserve"> agreement must allow </w:t>
      </w:r>
      <w:r w:rsidR="00BA43D4">
        <w:rPr>
          <w:lang w:eastAsia="ja-JP"/>
        </w:rPr>
        <w:t xml:space="preserve">for farmers to postpone the end of an agreement by 12 months. </w:t>
      </w:r>
      <w:r w:rsidR="00362CAA">
        <w:rPr>
          <w:lang w:eastAsia="ja-JP"/>
        </w:rPr>
        <w:t>This clause allows farmers who wish to exit the industry to resolve their business, sell assets and address any animal welfare and environmental concerns.</w:t>
      </w:r>
    </w:p>
    <w:p w14:paraId="78B4ADA2" w14:textId="0B24341C" w:rsidR="00882EFC" w:rsidRDefault="00172E82" w:rsidP="00293588">
      <w:pPr>
        <w:spacing w:before="120" w:after="120"/>
        <w:rPr>
          <w:lang w:eastAsia="ja-JP"/>
        </w:rPr>
      </w:pPr>
      <w:r>
        <w:rPr>
          <w:lang w:eastAsia="ja-JP"/>
        </w:rPr>
        <w:t>P</w:t>
      </w:r>
      <w:r w:rsidRPr="00051729">
        <w:rPr>
          <w:lang w:eastAsia="ja-JP"/>
        </w:rPr>
        <w:t>rocessors and farmers can negotiate other terms and conditions to suit their individual interests</w:t>
      </w:r>
      <w:r w:rsidRPr="00AD1C2A">
        <w:rPr>
          <w:lang w:eastAsia="ja-JP"/>
        </w:rPr>
        <w:t xml:space="preserve"> </w:t>
      </w:r>
      <w:proofErr w:type="gramStart"/>
      <w:r w:rsidR="00C51185">
        <w:rPr>
          <w:lang w:eastAsia="ja-JP"/>
        </w:rPr>
        <w:t>as long as</w:t>
      </w:r>
      <w:proofErr w:type="gramEnd"/>
      <w:r w:rsidRPr="00051729">
        <w:rPr>
          <w:lang w:eastAsia="ja-JP"/>
        </w:rPr>
        <w:t xml:space="preserve"> they are consistent with the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 xml:space="preserve">ode </w:t>
      </w:r>
      <w:r w:rsidRPr="00051729">
        <w:rPr>
          <w:lang w:eastAsia="ja-JP"/>
        </w:rPr>
        <w:t>and relevant legislation</w:t>
      </w:r>
      <w:r w:rsidR="00B02EA9">
        <w:rPr>
          <w:lang w:eastAsia="ja-JP"/>
        </w:rPr>
        <w:t>—</w:t>
      </w:r>
      <w:r w:rsidRPr="00051729">
        <w:rPr>
          <w:lang w:eastAsia="ja-JP"/>
        </w:rPr>
        <w:t xml:space="preserve">including the </w:t>
      </w:r>
      <w:r w:rsidRPr="00295013">
        <w:rPr>
          <w:i/>
          <w:lang w:eastAsia="ja-JP"/>
        </w:rPr>
        <w:t>Competition and Consumer Act 2010</w:t>
      </w:r>
      <w:r w:rsidRPr="00051729">
        <w:rPr>
          <w:lang w:eastAsia="ja-JP"/>
        </w:rPr>
        <w:t>.</w:t>
      </w:r>
    </w:p>
    <w:p w14:paraId="4676121E" w14:textId="77777777" w:rsidR="0042260C" w:rsidRDefault="00C72A3C" w:rsidP="00293588">
      <w:pPr>
        <w:pStyle w:val="Heading3"/>
        <w:numPr>
          <w:ilvl w:val="0"/>
          <w:numId w:val="0"/>
        </w:numPr>
        <w:spacing w:before="120" w:after="120" w:line="276" w:lineRule="auto"/>
        <w:ind w:left="964" w:hanging="964"/>
      </w:pPr>
      <w:r>
        <w:t>Changing</w:t>
      </w:r>
      <w:r w:rsidR="00B107C9">
        <w:t xml:space="preserve"> </w:t>
      </w:r>
      <w:r w:rsidR="0046225D">
        <w:t>an</w:t>
      </w:r>
      <w:r w:rsidR="00B107C9">
        <w:t xml:space="preserve"> </w:t>
      </w:r>
      <w:r w:rsidR="0046225D">
        <w:t>agreement</w:t>
      </w:r>
    </w:p>
    <w:p w14:paraId="3D702595" w14:textId="06EFCCCC" w:rsidR="00B02EA9" w:rsidRDefault="006A2F9B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Processors can only unilaterally vary milk supply agreements </w:t>
      </w:r>
      <w:r w:rsidR="00B9061B">
        <w:rPr>
          <w:lang w:eastAsia="ja-JP"/>
        </w:rPr>
        <w:t xml:space="preserve">in </w:t>
      </w:r>
      <w:r w:rsidR="00814B06">
        <w:rPr>
          <w:lang w:eastAsia="ja-JP"/>
        </w:rPr>
        <w:t xml:space="preserve">2 </w:t>
      </w:r>
      <w:r w:rsidR="00B9061B">
        <w:rPr>
          <w:lang w:eastAsia="ja-JP"/>
        </w:rPr>
        <w:t>circumstances</w:t>
      </w:r>
      <w:r w:rsidR="00B02EA9">
        <w:rPr>
          <w:lang w:eastAsia="ja-JP"/>
        </w:rPr>
        <w:t>:</w:t>
      </w:r>
    </w:p>
    <w:p w14:paraId="3AA1E2E3" w14:textId="246850DF" w:rsidR="006A2F9B" w:rsidRDefault="003F476F" w:rsidP="00734A11">
      <w:pPr>
        <w:pStyle w:val="ListNumber"/>
        <w:rPr>
          <w:lang w:eastAsia="ja-JP"/>
        </w:rPr>
      </w:pPr>
      <w:r>
        <w:rPr>
          <w:lang w:eastAsia="ja-JP"/>
        </w:rPr>
        <w:t>A</w:t>
      </w:r>
      <w:r w:rsidR="003C1B81">
        <w:rPr>
          <w:lang w:eastAsia="ja-JP"/>
        </w:rPr>
        <w:t xml:space="preserve"> change in law that the processor or farmer must comply with</w:t>
      </w:r>
      <w:r w:rsidR="00B02EA9">
        <w:rPr>
          <w:lang w:eastAsia="ja-JP"/>
        </w:rPr>
        <w:t>—</w:t>
      </w:r>
      <w:r w:rsidR="00B9061B">
        <w:rPr>
          <w:lang w:eastAsia="ja-JP"/>
        </w:rPr>
        <w:t xml:space="preserve">such as changes to work, </w:t>
      </w:r>
      <w:proofErr w:type="gramStart"/>
      <w:r w:rsidR="00B9061B">
        <w:rPr>
          <w:lang w:eastAsia="ja-JP"/>
        </w:rPr>
        <w:t>health</w:t>
      </w:r>
      <w:proofErr w:type="gramEnd"/>
      <w:r w:rsidR="00B9061B">
        <w:rPr>
          <w:lang w:eastAsia="ja-JP"/>
        </w:rPr>
        <w:t xml:space="preserve"> and safety laws</w:t>
      </w:r>
      <w:r w:rsidR="006A2F9B">
        <w:rPr>
          <w:lang w:eastAsia="ja-JP"/>
        </w:rPr>
        <w:t xml:space="preserve">. </w:t>
      </w:r>
      <w:r w:rsidR="00B02EA9">
        <w:rPr>
          <w:lang w:eastAsia="ja-JP"/>
        </w:rPr>
        <w:t>T</w:t>
      </w:r>
      <w:r w:rsidR="006A2F9B">
        <w:rPr>
          <w:lang w:eastAsia="ja-JP"/>
        </w:rPr>
        <w:t xml:space="preserve">he </w:t>
      </w:r>
      <w:r w:rsidR="003C1B81">
        <w:rPr>
          <w:lang w:eastAsia="ja-JP"/>
        </w:rPr>
        <w:t xml:space="preserve">change should be limited to the clauses in the agreement </w:t>
      </w:r>
      <w:r w:rsidR="003C1B81">
        <w:rPr>
          <w:lang w:eastAsia="ja-JP"/>
        </w:rPr>
        <w:lastRenderedPageBreak/>
        <w:t xml:space="preserve">relevant to the change in law. The </w:t>
      </w:r>
      <w:r w:rsidR="006A2F9B">
        <w:rPr>
          <w:lang w:eastAsia="ja-JP"/>
        </w:rPr>
        <w:t>unilateral variation cannot result in a decrease of minimum price in an agreement.</w:t>
      </w:r>
    </w:p>
    <w:p w14:paraId="6F89FE12" w14:textId="067F4FB5" w:rsidR="00B9061B" w:rsidRDefault="003F476F" w:rsidP="00734A11">
      <w:pPr>
        <w:pStyle w:val="ListNumber"/>
        <w:rPr>
          <w:lang w:eastAsia="ja-JP"/>
        </w:rPr>
      </w:pPr>
      <w:r>
        <w:rPr>
          <w:lang w:eastAsia="ja-JP"/>
        </w:rPr>
        <w:t>A</w:t>
      </w:r>
      <w:r w:rsidR="00B9061B" w:rsidRPr="00471735">
        <w:rPr>
          <w:lang w:eastAsia="ja-JP"/>
        </w:rPr>
        <w:t>n exceptional circumstance</w:t>
      </w:r>
      <w:r w:rsidRPr="003F476F">
        <w:rPr>
          <w:lang w:eastAsia="ja-JP"/>
        </w:rPr>
        <w:t xml:space="preserve"> </w:t>
      </w:r>
      <w:r>
        <w:rPr>
          <w:lang w:eastAsia="ja-JP"/>
        </w:rPr>
        <w:t>where a processor may be permitted to step-down the price</w:t>
      </w:r>
      <w:r w:rsidR="00B9061B">
        <w:rPr>
          <w:lang w:eastAsia="ja-JP"/>
        </w:rPr>
        <w:t xml:space="preserve">. If this occurs, a processor must follow the process in the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>ode</w:t>
      </w:r>
      <w:r>
        <w:rPr>
          <w:rFonts w:asciiTheme="majorHAnsi" w:hAnsiTheme="majorHAnsi"/>
        </w:rPr>
        <w:t>. This</w:t>
      </w:r>
      <w:r w:rsidR="00B9061B">
        <w:rPr>
          <w:lang w:eastAsia="ja-JP"/>
        </w:rPr>
        <w:t xml:space="preserve"> includes advising the </w:t>
      </w:r>
      <w:r w:rsidR="000854B4">
        <w:rPr>
          <w:lang w:eastAsia="ja-JP"/>
        </w:rPr>
        <w:t>ACCC</w:t>
      </w:r>
      <w:r w:rsidR="00B9061B">
        <w:rPr>
          <w:lang w:eastAsia="ja-JP"/>
        </w:rPr>
        <w:t xml:space="preserve"> of </w:t>
      </w:r>
      <w:r>
        <w:rPr>
          <w:lang w:eastAsia="ja-JP"/>
        </w:rPr>
        <w:t xml:space="preserve">their </w:t>
      </w:r>
      <w:r w:rsidR="00B9061B">
        <w:rPr>
          <w:lang w:eastAsia="ja-JP"/>
        </w:rPr>
        <w:t>intention, providing farmers 30</w:t>
      </w:r>
      <w:r w:rsidR="00814B06">
        <w:rPr>
          <w:lang w:eastAsia="ja-JP"/>
        </w:rPr>
        <w:t> </w:t>
      </w:r>
      <w:r w:rsidR="00201228">
        <w:rPr>
          <w:lang w:eastAsia="ja-JP"/>
        </w:rPr>
        <w:t>days’ notice</w:t>
      </w:r>
      <w:r w:rsidR="00B9061B">
        <w:rPr>
          <w:lang w:eastAsia="ja-JP"/>
        </w:rPr>
        <w:t xml:space="preserve"> of this intention and </w:t>
      </w:r>
      <w:r w:rsidR="006817A0">
        <w:rPr>
          <w:lang w:eastAsia="ja-JP"/>
        </w:rPr>
        <w:t xml:space="preserve">giving farmers </w:t>
      </w:r>
      <w:r>
        <w:rPr>
          <w:lang w:eastAsia="ja-JP"/>
        </w:rPr>
        <w:t xml:space="preserve">permission </w:t>
      </w:r>
      <w:r w:rsidR="00B9061B">
        <w:rPr>
          <w:lang w:eastAsia="ja-JP"/>
        </w:rPr>
        <w:t xml:space="preserve">to terminate the agreement. </w:t>
      </w:r>
      <w:r w:rsidR="006F3D5D">
        <w:rPr>
          <w:lang w:eastAsia="ja-JP"/>
        </w:rPr>
        <w:t xml:space="preserve">Examples of exceptional circumstances include the sudden closure of an export market or a biosecurity emergency. </w:t>
      </w:r>
    </w:p>
    <w:p w14:paraId="1BE4F00D" w14:textId="42D93243" w:rsidR="00A2029C" w:rsidRDefault="006817A0" w:rsidP="00293588">
      <w:pPr>
        <w:spacing w:before="120" w:after="120"/>
        <w:rPr>
          <w:lang w:eastAsia="ja-JP"/>
        </w:rPr>
      </w:pPr>
      <w:r>
        <w:rPr>
          <w:lang w:eastAsia="ja-JP"/>
        </w:rPr>
        <w:t>T</w:t>
      </w:r>
      <w:r w:rsidR="00B9061B">
        <w:rPr>
          <w:lang w:eastAsia="ja-JP"/>
        </w:rPr>
        <w:t xml:space="preserve">he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 xml:space="preserve">ode </w:t>
      </w:r>
      <w:r w:rsidR="00A2029C">
        <w:rPr>
          <w:lang w:eastAsia="ja-JP"/>
        </w:rPr>
        <w:t xml:space="preserve">does not prevent farmers and processors agreeing to vary the contract, </w:t>
      </w:r>
      <w:proofErr w:type="gramStart"/>
      <w:r w:rsidR="00A2029C">
        <w:rPr>
          <w:lang w:eastAsia="ja-JP"/>
        </w:rPr>
        <w:t>as long as</w:t>
      </w:r>
      <w:proofErr w:type="gramEnd"/>
      <w:r w:rsidR="00A2029C">
        <w:rPr>
          <w:lang w:eastAsia="ja-JP"/>
        </w:rPr>
        <w:t xml:space="preserve"> the variations comply with the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 xml:space="preserve">ode </w:t>
      </w:r>
      <w:r w:rsidR="00A2029C">
        <w:rPr>
          <w:lang w:eastAsia="ja-JP"/>
        </w:rPr>
        <w:t xml:space="preserve">and other relevant legislation. For example, farmers and processors can mutually agree to increase the minimum price or </w:t>
      </w:r>
      <w:r w:rsidR="008829CA">
        <w:rPr>
          <w:lang w:eastAsia="ja-JP"/>
        </w:rPr>
        <w:t>increase the volume of milk supply.</w:t>
      </w:r>
    </w:p>
    <w:p w14:paraId="38D9F1C6" w14:textId="7F49AE60" w:rsidR="00A2029C" w:rsidRPr="00805053" w:rsidRDefault="00A2029C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If parties agree to vary an agreement, </w:t>
      </w:r>
      <w:r w:rsidR="00306AE2">
        <w:rPr>
          <w:lang w:eastAsia="ja-JP"/>
        </w:rPr>
        <w:t>the processor must provide a</w:t>
      </w:r>
      <w:r>
        <w:rPr>
          <w:lang w:eastAsia="ja-JP"/>
        </w:rPr>
        <w:t xml:space="preserve"> written record of the </w:t>
      </w:r>
      <w:r w:rsidR="00306AE2">
        <w:rPr>
          <w:lang w:eastAsia="ja-JP"/>
        </w:rPr>
        <w:t>variation</w:t>
      </w:r>
      <w:r>
        <w:rPr>
          <w:lang w:eastAsia="ja-JP"/>
        </w:rPr>
        <w:t xml:space="preserve"> within 30</w:t>
      </w:r>
      <w:r w:rsidR="00A15374">
        <w:rPr>
          <w:lang w:eastAsia="ja-JP"/>
        </w:rPr>
        <w:t> </w:t>
      </w:r>
      <w:r>
        <w:rPr>
          <w:lang w:eastAsia="ja-JP"/>
        </w:rPr>
        <w:t>days.</w:t>
      </w:r>
    </w:p>
    <w:p w14:paraId="1C1D049C" w14:textId="77777777" w:rsidR="0046225D" w:rsidRDefault="00C72A3C" w:rsidP="00293588">
      <w:pPr>
        <w:pStyle w:val="Heading3"/>
        <w:numPr>
          <w:ilvl w:val="0"/>
          <w:numId w:val="0"/>
        </w:numPr>
        <w:spacing w:before="120" w:after="120" w:line="276" w:lineRule="auto"/>
      </w:pPr>
      <w:r>
        <w:t>Terminating</w:t>
      </w:r>
      <w:r w:rsidR="0046225D">
        <w:t xml:space="preserve"> an agreement</w:t>
      </w:r>
    </w:p>
    <w:p w14:paraId="204699AF" w14:textId="2EB43EC7" w:rsidR="008829CA" w:rsidRDefault="0046225D" w:rsidP="00293588">
      <w:pPr>
        <w:spacing w:before="120" w:after="120"/>
        <w:rPr>
          <w:lang w:eastAsia="ja-JP"/>
        </w:rPr>
      </w:pPr>
      <w:r w:rsidRPr="00F461AC">
        <w:rPr>
          <w:lang w:eastAsia="ja-JP"/>
        </w:rPr>
        <w:t xml:space="preserve">Agreements will </w:t>
      </w:r>
      <w:r w:rsidR="00F22DC4">
        <w:rPr>
          <w:lang w:eastAsia="ja-JP"/>
        </w:rPr>
        <w:t>finish</w:t>
      </w:r>
      <w:r w:rsidR="00F22DC4" w:rsidRPr="00F461AC">
        <w:rPr>
          <w:lang w:eastAsia="ja-JP"/>
        </w:rPr>
        <w:t xml:space="preserve"> </w:t>
      </w:r>
      <w:r w:rsidRPr="00F461AC">
        <w:rPr>
          <w:lang w:eastAsia="ja-JP"/>
        </w:rPr>
        <w:t xml:space="preserve">on their agreed </w:t>
      </w:r>
      <w:r w:rsidR="00F22DC4">
        <w:rPr>
          <w:lang w:eastAsia="ja-JP"/>
        </w:rPr>
        <w:t>end</w:t>
      </w:r>
      <w:r w:rsidR="00F22DC4" w:rsidRPr="00F461AC">
        <w:rPr>
          <w:lang w:eastAsia="ja-JP"/>
        </w:rPr>
        <w:t xml:space="preserve"> </w:t>
      </w:r>
      <w:r w:rsidRPr="00F461AC">
        <w:rPr>
          <w:lang w:eastAsia="ja-JP"/>
        </w:rPr>
        <w:t xml:space="preserve">date. </w:t>
      </w:r>
      <w:r w:rsidR="008829CA">
        <w:rPr>
          <w:lang w:eastAsia="ja-JP"/>
        </w:rPr>
        <w:t xml:space="preserve">If an agreement ends and </w:t>
      </w:r>
      <w:r w:rsidR="004D6AD8">
        <w:rPr>
          <w:lang w:eastAsia="ja-JP"/>
        </w:rPr>
        <w:t xml:space="preserve">the </w:t>
      </w:r>
      <w:r w:rsidR="008829CA">
        <w:rPr>
          <w:lang w:eastAsia="ja-JP"/>
        </w:rPr>
        <w:t>farmer and processor w</w:t>
      </w:r>
      <w:r w:rsidR="00A15374">
        <w:rPr>
          <w:lang w:eastAsia="ja-JP"/>
        </w:rPr>
        <w:t>ant</w:t>
      </w:r>
      <w:r w:rsidR="008829CA">
        <w:rPr>
          <w:lang w:eastAsia="ja-JP"/>
        </w:rPr>
        <w:t xml:space="preserve"> to continue their business relationship, parties need to enter into a new agreement.</w:t>
      </w:r>
    </w:p>
    <w:p w14:paraId="4F828D37" w14:textId="6E129F95" w:rsidR="00FD2EAA" w:rsidRDefault="00097B8A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Under the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>ode</w:t>
      </w:r>
      <w:r>
        <w:rPr>
          <w:lang w:eastAsia="ja-JP"/>
        </w:rPr>
        <w:t xml:space="preserve">, parties can mutually agree to terminate the agreement early. </w:t>
      </w:r>
      <w:r w:rsidR="00306AE2">
        <w:rPr>
          <w:lang w:eastAsia="ja-JP"/>
        </w:rPr>
        <w:t>If parties verbally agree to terminate an agreement, the processor must provide a written record of the termination within 30</w:t>
      </w:r>
      <w:r w:rsidR="00A15374">
        <w:rPr>
          <w:lang w:eastAsia="ja-JP"/>
        </w:rPr>
        <w:t> </w:t>
      </w:r>
      <w:r w:rsidR="00306AE2">
        <w:rPr>
          <w:lang w:eastAsia="ja-JP"/>
        </w:rPr>
        <w:t>days.</w:t>
      </w:r>
    </w:p>
    <w:p w14:paraId="5E704B20" w14:textId="77777777" w:rsidR="0042260C" w:rsidRDefault="0042260C" w:rsidP="00293588">
      <w:pPr>
        <w:pStyle w:val="Heading3"/>
        <w:numPr>
          <w:ilvl w:val="0"/>
          <w:numId w:val="0"/>
        </w:numPr>
        <w:spacing w:before="120" w:after="120" w:line="276" w:lineRule="auto"/>
        <w:ind w:left="964" w:hanging="964"/>
      </w:pPr>
      <w:r>
        <w:t xml:space="preserve">What </w:t>
      </w:r>
      <w:r w:rsidR="00915A13">
        <w:t xml:space="preserve">to do if you have a problem with your </w:t>
      </w:r>
      <w:r w:rsidR="00B9061B">
        <w:t>agreement</w:t>
      </w:r>
    </w:p>
    <w:p w14:paraId="14FEE3CB" w14:textId="72E52BAC" w:rsidR="00391D6C" w:rsidRDefault="00391D6C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There are </w:t>
      </w:r>
      <w:r w:rsidR="00A15374">
        <w:rPr>
          <w:lang w:eastAsia="ja-JP"/>
        </w:rPr>
        <w:t>2</w:t>
      </w:r>
      <w:r>
        <w:rPr>
          <w:lang w:eastAsia="ja-JP"/>
        </w:rPr>
        <w:t xml:space="preserve"> different </w:t>
      </w:r>
      <w:r w:rsidR="00A15374">
        <w:rPr>
          <w:lang w:eastAsia="ja-JP"/>
        </w:rPr>
        <w:t>ways to address</w:t>
      </w:r>
      <w:r>
        <w:rPr>
          <w:lang w:eastAsia="ja-JP"/>
        </w:rPr>
        <w:t xml:space="preserve"> an issue with your agreement</w:t>
      </w:r>
      <w:r w:rsidR="00A15374">
        <w:rPr>
          <w:lang w:eastAsia="ja-JP"/>
        </w:rPr>
        <w:t>,</w:t>
      </w:r>
      <w:r>
        <w:rPr>
          <w:lang w:eastAsia="ja-JP"/>
        </w:rPr>
        <w:t xml:space="preserve"> depending </w:t>
      </w:r>
      <w:r w:rsidR="00A15374">
        <w:rPr>
          <w:lang w:eastAsia="ja-JP"/>
        </w:rPr>
        <w:t xml:space="preserve">on whether the issue relates to </w:t>
      </w:r>
      <w:r>
        <w:rPr>
          <w:lang w:eastAsia="ja-JP"/>
        </w:rPr>
        <w:t xml:space="preserve">a suspected breach of the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>or a dispute about the operation of the agreement.</w:t>
      </w:r>
    </w:p>
    <w:p w14:paraId="11759C12" w14:textId="7C3EFDF9" w:rsidR="00391D6C" w:rsidRPr="006C7CBD" w:rsidRDefault="00391D6C" w:rsidP="00293588">
      <w:pPr>
        <w:spacing w:before="120" w:after="120"/>
        <w:rPr>
          <w:lang w:eastAsia="ja-JP"/>
        </w:rPr>
      </w:pPr>
      <w:r w:rsidRPr="006C7CBD">
        <w:rPr>
          <w:lang w:eastAsia="ja-JP"/>
        </w:rPr>
        <w:t xml:space="preserve">If </w:t>
      </w:r>
      <w:r>
        <w:rPr>
          <w:lang w:eastAsia="ja-JP"/>
        </w:rPr>
        <w:t xml:space="preserve">either party </w:t>
      </w:r>
      <w:r w:rsidRPr="006C7CBD">
        <w:rPr>
          <w:lang w:eastAsia="ja-JP"/>
        </w:rPr>
        <w:t>believe</w:t>
      </w:r>
      <w:r>
        <w:rPr>
          <w:lang w:eastAsia="ja-JP"/>
        </w:rPr>
        <w:t>s</w:t>
      </w:r>
      <w:r w:rsidRPr="006C7CBD">
        <w:rPr>
          <w:lang w:eastAsia="ja-JP"/>
        </w:rPr>
        <w:t xml:space="preserve"> </w:t>
      </w:r>
      <w:r>
        <w:rPr>
          <w:lang w:eastAsia="ja-JP"/>
        </w:rPr>
        <w:t>their</w:t>
      </w:r>
      <w:r w:rsidRPr="006C7CBD">
        <w:rPr>
          <w:lang w:eastAsia="ja-JP"/>
        </w:rPr>
        <w:t xml:space="preserve"> </w:t>
      </w:r>
      <w:r>
        <w:rPr>
          <w:lang w:eastAsia="ja-JP"/>
        </w:rPr>
        <w:t>agreement</w:t>
      </w:r>
      <w:r w:rsidRPr="006C7CBD">
        <w:rPr>
          <w:lang w:eastAsia="ja-JP"/>
        </w:rPr>
        <w:t xml:space="preserve"> does not comply with the </w:t>
      </w:r>
      <w:r w:rsidR="0099254A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>ode</w:t>
      </w:r>
      <w:r w:rsidRPr="006C7CBD">
        <w:rPr>
          <w:lang w:eastAsia="ja-JP"/>
        </w:rPr>
        <w:t xml:space="preserve">, </w:t>
      </w:r>
      <w:r>
        <w:rPr>
          <w:lang w:eastAsia="ja-JP"/>
        </w:rPr>
        <w:t>they</w:t>
      </w:r>
      <w:r w:rsidRPr="006C7CBD">
        <w:rPr>
          <w:lang w:eastAsia="ja-JP"/>
        </w:rPr>
        <w:t xml:space="preserve"> may notify the </w:t>
      </w:r>
      <w:r>
        <w:rPr>
          <w:lang w:eastAsia="ja-JP"/>
        </w:rPr>
        <w:t>A</w:t>
      </w:r>
      <w:r w:rsidRPr="006C7CBD">
        <w:rPr>
          <w:lang w:eastAsia="ja-JP"/>
        </w:rPr>
        <w:t xml:space="preserve">CCC. </w:t>
      </w:r>
      <w:r w:rsidR="006977CC">
        <w:rPr>
          <w:lang w:eastAsia="ja-JP"/>
        </w:rPr>
        <w:t>It is the role of the</w:t>
      </w:r>
      <w:r w:rsidR="00C27942" w:rsidRPr="00805053">
        <w:rPr>
          <w:lang w:eastAsia="ja-JP"/>
        </w:rPr>
        <w:t xml:space="preserve"> ACCC </w:t>
      </w:r>
      <w:r w:rsidR="006977CC">
        <w:rPr>
          <w:lang w:eastAsia="ja-JP"/>
        </w:rPr>
        <w:t>to</w:t>
      </w:r>
      <w:r w:rsidR="00C27942" w:rsidRPr="00805053">
        <w:rPr>
          <w:lang w:eastAsia="ja-JP"/>
        </w:rPr>
        <w:t xml:space="preserve"> monitor and enforce compliance with the </w:t>
      </w:r>
      <w:r w:rsidR="0099254A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>ode</w:t>
      </w:r>
      <w:r w:rsidR="00C27942" w:rsidRPr="00805053">
        <w:rPr>
          <w:lang w:eastAsia="ja-JP"/>
        </w:rPr>
        <w:t>.</w:t>
      </w:r>
      <w:r w:rsidR="00674816">
        <w:rPr>
          <w:lang w:eastAsia="ja-JP"/>
        </w:rPr>
        <w:t xml:space="preserve"> </w:t>
      </w:r>
      <w:r w:rsidR="00C27942" w:rsidRPr="00805053">
        <w:rPr>
          <w:lang w:eastAsia="ja-JP"/>
        </w:rPr>
        <w:t>This role is consistent with the ACCC’s role with other codes such as the Horticulture Code of Conduct.</w:t>
      </w:r>
      <w:r w:rsidRPr="00391D6C">
        <w:rPr>
          <w:lang w:eastAsia="ja-JP"/>
        </w:rPr>
        <w:t xml:space="preserve"> </w:t>
      </w:r>
      <w:r w:rsidRPr="006C7CBD">
        <w:rPr>
          <w:lang w:eastAsia="ja-JP"/>
        </w:rPr>
        <w:t>Following investigation of complaints, the ACCC can issue infringement notices</w:t>
      </w:r>
      <w:r>
        <w:rPr>
          <w:lang w:eastAsia="ja-JP"/>
        </w:rPr>
        <w:t xml:space="preserve"> or take other action</w:t>
      </w:r>
      <w:r w:rsidRPr="006C7CBD">
        <w:rPr>
          <w:lang w:eastAsia="ja-JP"/>
        </w:rPr>
        <w:t xml:space="preserve"> if they find the </w:t>
      </w:r>
      <w:r w:rsidR="0099254A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 xml:space="preserve">ode </w:t>
      </w:r>
      <w:r w:rsidRPr="006C7CBD">
        <w:rPr>
          <w:lang w:eastAsia="ja-JP"/>
        </w:rPr>
        <w:t>has been breached.</w:t>
      </w:r>
    </w:p>
    <w:p w14:paraId="67F1104A" w14:textId="43885137" w:rsidR="002B3D03" w:rsidRPr="00805053" w:rsidRDefault="00391514" w:rsidP="00293588">
      <w:pPr>
        <w:spacing w:before="120" w:after="120"/>
        <w:rPr>
          <w:lang w:eastAsia="ja-JP"/>
        </w:rPr>
      </w:pPr>
      <w:r>
        <w:rPr>
          <w:lang w:eastAsia="ja-JP"/>
        </w:rPr>
        <w:t>If a farmer or processor believe</w:t>
      </w:r>
      <w:r w:rsidR="005206F2">
        <w:rPr>
          <w:lang w:eastAsia="ja-JP"/>
        </w:rPr>
        <w:t>s</w:t>
      </w:r>
      <w:r>
        <w:rPr>
          <w:lang w:eastAsia="ja-JP"/>
        </w:rPr>
        <w:t xml:space="preserve"> the other party has breached the</w:t>
      </w:r>
      <w:r w:rsidR="002B3D03">
        <w:rPr>
          <w:lang w:eastAsia="ja-JP"/>
        </w:rPr>
        <w:t xml:space="preserve"> agreement, they may use the dispute resolution process. Under the </w:t>
      </w:r>
      <w:r w:rsidR="0099254A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>ode</w:t>
      </w:r>
      <w:r w:rsidR="002B3D03">
        <w:rPr>
          <w:lang w:eastAsia="ja-JP"/>
        </w:rPr>
        <w:t xml:space="preserve">, processors must provide for an internal complaint handling procedure in their milk supply agreements. Milk supply agreements must </w:t>
      </w:r>
      <w:r w:rsidR="006D5F22">
        <w:rPr>
          <w:lang w:eastAsia="ja-JP"/>
        </w:rPr>
        <w:t xml:space="preserve">also </w:t>
      </w:r>
      <w:r w:rsidR="002B3D03">
        <w:rPr>
          <w:lang w:eastAsia="ja-JP"/>
        </w:rPr>
        <w:t>provide for mediation and may provide for arbitration as a means for resolving disputes.</w:t>
      </w:r>
    </w:p>
    <w:p w14:paraId="260AD81A" w14:textId="5FA08D23" w:rsidR="00C647C6" w:rsidRPr="002A305E" w:rsidRDefault="00C27942" w:rsidP="00293588">
      <w:pPr>
        <w:spacing w:before="120" w:after="120"/>
        <w:rPr>
          <w:lang w:eastAsia="ja-JP"/>
        </w:rPr>
      </w:pPr>
      <w:r w:rsidRPr="00805053">
        <w:rPr>
          <w:lang w:eastAsia="ja-JP"/>
        </w:rPr>
        <w:t xml:space="preserve">The </w:t>
      </w:r>
      <w:r w:rsidR="0099254A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 xml:space="preserve">ode </w:t>
      </w:r>
      <w:r w:rsidRPr="00805053">
        <w:rPr>
          <w:lang w:eastAsia="ja-JP"/>
        </w:rPr>
        <w:t>does not affect the right of either party to an agreement to bring about legal proceedings</w:t>
      </w:r>
      <w:r w:rsidR="006977CC">
        <w:rPr>
          <w:lang w:eastAsia="ja-JP"/>
        </w:rPr>
        <w:t>.</w:t>
      </w:r>
    </w:p>
    <w:p w14:paraId="09112288" w14:textId="2D534F9B" w:rsidR="00B61C47" w:rsidRDefault="00B61C47" w:rsidP="00293588">
      <w:pPr>
        <w:pStyle w:val="Heading3"/>
        <w:numPr>
          <w:ilvl w:val="0"/>
          <w:numId w:val="0"/>
        </w:numPr>
        <w:spacing w:before="120" w:after="120" w:line="276" w:lineRule="auto"/>
      </w:pPr>
      <w:bookmarkStart w:id="4" w:name="_Toc430782162"/>
      <w:bookmarkStart w:id="5" w:name="_Toc26545102"/>
      <w:r>
        <w:t xml:space="preserve">What is prohibited under the </w:t>
      </w:r>
      <w:proofErr w:type="gramStart"/>
      <w:r w:rsidR="00814B06">
        <w:t>c</w:t>
      </w:r>
      <w:r>
        <w:t>ode</w:t>
      </w:r>
      <w:proofErr w:type="gramEnd"/>
    </w:p>
    <w:p w14:paraId="71668103" w14:textId="7021C99E" w:rsidR="008A72FF" w:rsidRDefault="008A72FF" w:rsidP="00293588">
      <w:pPr>
        <w:spacing w:before="120" w:after="120"/>
        <w:rPr>
          <w:lang w:eastAsia="ja-JP"/>
        </w:rPr>
      </w:pPr>
      <w:r>
        <w:rPr>
          <w:lang w:eastAsia="ja-JP"/>
        </w:rPr>
        <w:t xml:space="preserve">The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 xml:space="preserve">ode </w:t>
      </w:r>
      <w:r>
        <w:rPr>
          <w:lang w:eastAsia="ja-JP"/>
        </w:rPr>
        <w:t xml:space="preserve">prevents </w:t>
      </w:r>
      <w:r w:rsidR="00380854">
        <w:rPr>
          <w:lang w:eastAsia="ja-JP"/>
        </w:rPr>
        <w:t>egregious business practices by:</w:t>
      </w:r>
    </w:p>
    <w:p w14:paraId="0470467B" w14:textId="77777777" w:rsidR="00380854" w:rsidRDefault="00380854" w:rsidP="00734A11">
      <w:pPr>
        <w:pStyle w:val="ListBullet"/>
        <w:rPr>
          <w:lang w:eastAsia="ja-JP"/>
        </w:rPr>
      </w:pPr>
      <w:r w:rsidRPr="00530CA6">
        <w:rPr>
          <w:lang w:eastAsia="ja-JP"/>
        </w:rPr>
        <w:t xml:space="preserve">prohibiting retrospective </w:t>
      </w:r>
      <w:r w:rsidRPr="006876D5">
        <w:rPr>
          <w:lang w:eastAsia="ja-JP"/>
        </w:rPr>
        <w:t>step-</w:t>
      </w:r>
      <w:r w:rsidRPr="00F27E41">
        <w:rPr>
          <w:lang w:eastAsia="ja-JP"/>
        </w:rPr>
        <w:t>downs</w:t>
      </w:r>
      <w:r>
        <w:rPr>
          <w:lang w:eastAsia="ja-JP"/>
        </w:rPr>
        <w:t xml:space="preserve"> in all circumstances</w:t>
      </w:r>
    </w:p>
    <w:p w14:paraId="624C8FDC" w14:textId="439705E8" w:rsidR="00380854" w:rsidRDefault="00380854" w:rsidP="00734A11">
      <w:pPr>
        <w:pStyle w:val="ListBullet"/>
        <w:rPr>
          <w:lang w:eastAsia="ja-JP"/>
        </w:rPr>
      </w:pPr>
      <w:r w:rsidRPr="00530CA6">
        <w:rPr>
          <w:lang w:eastAsia="ja-JP"/>
        </w:rPr>
        <w:t xml:space="preserve">prohibiting </w:t>
      </w:r>
      <w:r>
        <w:rPr>
          <w:lang w:eastAsia="ja-JP"/>
        </w:rPr>
        <w:t>unilateral prospective step</w:t>
      </w:r>
      <w:r w:rsidR="0099254A">
        <w:rPr>
          <w:lang w:eastAsia="ja-JP"/>
        </w:rPr>
        <w:t>-</w:t>
      </w:r>
      <w:r>
        <w:rPr>
          <w:lang w:eastAsia="ja-JP"/>
        </w:rPr>
        <w:t>downs except in exceptional circumstances</w:t>
      </w:r>
    </w:p>
    <w:p w14:paraId="2E37C716" w14:textId="13CA5BCB" w:rsidR="00380854" w:rsidRDefault="004D5764" w:rsidP="00734A11">
      <w:pPr>
        <w:pStyle w:val="ListBullet"/>
        <w:rPr>
          <w:lang w:eastAsia="ja-JP"/>
        </w:rPr>
      </w:pPr>
      <w:r>
        <w:rPr>
          <w:lang w:eastAsia="ja-JP"/>
        </w:rPr>
        <w:lastRenderedPageBreak/>
        <w:t>restricting</w:t>
      </w:r>
      <w:r w:rsidRPr="00530CA6">
        <w:rPr>
          <w:lang w:eastAsia="ja-JP"/>
        </w:rPr>
        <w:t xml:space="preserve"> </w:t>
      </w:r>
      <w:r w:rsidR="00380854" w:rsidRPr="00530CA6">
        <w:rPr>
          <w:lang w:eastAsia="ja-JP"/>
        </w:rPr>
        <w:t xml:space="preserve">unilateral changes to </w:t>
      </w:r>
      <w:r w:rsidR="00380854">
        <w:rPr>
          <w:lang w:eastAsia="ja-JP"/>
        </w:rPr>
        <w:t xml:space="preserve">the terms and conditions in </w:t>
      </w:r>
      <w:r w:rsidR="00380854" w:rsidRPr="00530CA6">
        <w:rPr>
          <w:lang w:eastAsia="ja-JP"/>
        </w:rPr>
        <w:t>agreements</w:t>
      </w:r>
    </w:p>
    <w:p w14:paraId="2CDD5A81" w14:textId="55302B4C" w:rsidR="004A4CF5" w:rsidRDefault="004A4CF5" w:rsidP="00734A11">
      <w:pPr>
        <w:pStyle w:val="ListBullet"/>
        <w:rPr>
          <w:lang w:eastAsia="ja-JP"/>
        </w:rPr>
      </w:pPr>
      <w:r>
        <w:rPr>
          <w:lang w:eastAsia="ja-JP"/>
        </w:rPr>
        <w:t>prohibiting exclusive supply combined with maximum volume</w:t>
      </w:r>
    </w:p>
    <w:p w14:paraId="42E5D397" w14:textId="77777777" w:rsidR="004A4CF5" w:rsidRDefault="004A4CF5" w:rsidP="00734A11">
      <w:pPr>
        <w:pStyle w:val="ListBullet"/>
        <w:rPr>
          <w:lang w:eastAsia="ja-JP"/>
        </w:rPr>
      </w:pPr>
      <w:r>
        <w:rPr>
          <w:lang w:eastAsia="ja-JP"/>
        </w:rPr>
        <w:t>prohibiting exclusive supply combined with tier pricing.</w:t>
      </w:r>
    </w:p>
    <w:p w14:paraId="05F321B3" w14:textId="77777777" w:rsidR="002C1B38" w:rsidRDefault="0073474B" w:rsidP="00293588">
      <w:pPr>
        <w:pStyle w:val="Heading3"/>
        <w:numPr>
          <w:ilvl w:val="0"/>
          <w:numId w:val="0"/>
        </w:numPr>
        <w:spacing w:before="120" w:after="120" w:line="276" w:lineRule="auto"/>
        <w:ind w:left="964" w:hanging="964"/>
      </w:pPr>
      <w:r>
        <w:t>New milk trading and marketing arrangements</w:t>
      </w:r>
    </w:p>
    <w:p w14:paraId="1F686BA2" w14:textId="75AF4588" w:rsidR="00F04F39" w:rsidRDefault="00471735" w:rsidP="00293588">
      <w:pPr>
        <w:spacing w:before="120" w:after="120"/>
      </w:pPr>
      <w:proofErr w:type="gramStart"/>
      <w:r>
        <w:t>A</w:t>
      </w:r>
      <w:r w:rsidR="00467155">
        <w:t xml:space="preserve"> number of</w:t>
      </w:r>
      <w:proofErr w:type="gramEnd"/>
      <w:r w:rsidR="00467155">
        <w:t xml:space="preserve"> emerging approaches to </w:t>
      </w:r>
      <w:r w:rsidR="00467155">
        <w:rPr>
          <w:lang w:val="en"/>
        </w:rPr>
        <w:t xml:space="preserve">alternative milk pricing and trading concepts aim to support farmers </w:t>
      </w:r>
      <w:r w:rsidR="00707874">
        <w:rPr>
          <w:lang w:val="en"/>
        </w:rPr>
        <w:t xml:space="preserve">to </w:t>
      </w:r>
      <w:r w:rsidR="00467155">
        <w:rPr>
          <w:lang w:val="en"/>
        </w:rPr>
        <w:t>have a greater role in managing the sale of their milk.</w:t>
      </w:r>
      <w:r>
        <w:t xml:space="preserve"> </w:t>
      </w:r>
      <w:r w:rsidR="0073474B">
        <w:t xml:space="preserve">The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 xml:space="preserve">ode </w:t>
      </w:r>
      <w:r w:rsidR="0073474B">
        <w:t xml:space="preserve">does not prohibit </w:t>
      </w:r>
      <w:r w:rsidR="00467155">
        <w:t xml:space="preserve">these </w:t>
      </w:r>
      <w:r w:rsidR="0073474B">
        <w:t>new or emerging milk trading and marketing arrangements</w:t>
      </w:r>
      <w:r w:rsidR="006F23F2">
        <w:t xml:space="preserve"> </w:t>
      </w:r>
      <w:proofErr w:type="gramStart"/>
      <w:r w:rsidR="006F23F2">
        <w:t>as long as</w:t>
      </w:r>
      <w:proofErr w:type="gramEnd"/>
      <w:r w:rsidR="006F23F2">
        <w:t xml:space="preserve"> they are consistent with</w:t>
      </w:r>
      <w:r w:rsidR="00975C57">
        <w:t xml:space="preserve"> the</w:t>
      </w:r>
      <w:r w:rsidR="006F23F2">
        <w:t xml:space="preserve"> </w:t>
      </w:r>
      <w:r w:rsidR="00814B06">
        <w:rPr>
          <w:rFonts w:asciiTheme="majorHAnsi" w:hAnsiTheme="majorHAnsi"/>
        </w:rPr>
        <w:t>c</w:t>
      </w:r>
      <w:r w:rsidR="004D6AD8" w:rsidRPr="004D253D">
        <w:rPr>
          <w:rFonts w:asciiTheme="majorHAnsi" w:hAnsiTheme="majorHAnsi"/>
        </w:rPr>
        <w:t>ode</w:t>
      </w:r>
      <w:r w:rsidR="0073474B">
        <w:t>.</w:t>
      </w:r>
      <w:bookmarkEnd w:id="4"/>
      <w:bookmarkEnd w:id="5"/>
    </w:p>
    <w:sectPr w:rsidR="00F04F39" w:rsidSect="004402C5">
      <w:headerReference w:type="default" r:id="rId12"/>
      <w:footerReference w:type="default" r:id="rId13"/>
      <w:headerReference w:type="first" r:id="rId14"/>
      <w:pgSz w:w="11906" w:h="16838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8AA41" w14:textId="77777777" w:rsidR="004A1065" w:rsidRDefault="004A1065">
      <w:pPr>
        <w:spacing w:after="0" w:line="240" w:lineRule="auto"/>
      </w:pPr>
      <w:r>
        <w:separator/>
      </w:r>
    </w:p>
  </w:endnote>
  <w:endnote w:type="continuationSeparator" w:id="0">
    <w:p w14:paraId="77C87A45" w14:textId="77777777" w:rsidR="004A1065" w:rsidRDefault="004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DDD2" w14:textId="5C4AFAB7" w:rsidR="00C54D36" w:rsidRDefault="0045563F">
    <w:pPr>
      <w:pStyle w:val="Footer"/>
    </w:pPr>
    <w:r>
      <w:t>Department of Agriculture</w:t>
    </w:r>
    <w:r w:rsidR="004D3B99">
      <w:t xml:space="preserve">, </w:t>
    </w:r>
    <w:proofErr w:type="gramStart"/>
    <w:r w:rsidR="004D3B99">
      <w:t>Water</w:t>
    </w:r>
    <w:proofErr w:type="gramEnd"/>
    <w:r w:rsidR="004D3B99">
      <w:t xml:space="preserve"> and the Environment</w:t>
    </w:r>
  </w:p>
  <w:p w14:paraId="3DDB986E" w14:textId="77777777" w:rsidR="00C54D36" w:rsidRDefault="0045563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262D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0C71C" w14:textId="77777777" w:rsidR="004A1065" w:rsidRDefault="004A1065">
      <w:pPr>
        <w:spacing w:after="0" w:line="240" w:lineRule="auto"/>
      </w:pPr>
      <w:r>
        <w:separator/>
      </w:r>
    </w:p>
  </w:footnote>
  <w:footnote w:type="continuationSeparator" w:id="0">
    <w:p w14:paraId="5E985C15" w14:textId="77777777" w:rsidR="004A1065" w:rsidRDefault="004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91C58" w14:textId="44B6A1DA" w:rsidR="003F3ADB" w:rsidRDefault="00D83F45" w:rsidP="003F3ADB">
    <w:pPr>
      <w:pStyle w:val="Header"/>
    </w:pPr>
    <w:r>
      <w:t xml:space="preserve">Farmer guide to </w:t>
    </w:r>
    <w:r w:rsidR="00F32B35">
      <w:t xml:space="preserve">the </w:t>
    </w:r>
    <w:r w:rsidR="003F3ADB">
      <w:t xml:space="preserve">Dairy </w:t>
    </w:r>
    <w:r w:rsidR="004D3B99">
      <w:t xml:space="preserve">Industry </w:t>
    </w:r>
    <w:r w:rsidR="003F3ADB">
      <w:t>Code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0D2B8" w14:textId="04620FDD" w:rsidR="00C54D36" w:rsidRDefault="004D3B99">
    <w:pPr>
      <w:pStyle w:val="Header"/>
      <w:jc w:val="left"/>
    </w:pPr>
    <w:r>
      <w:rPr>
        <w:noProof/>
      </w:rPr>
      <w:drawing>
        <wp:inline distT="0" distB="0" distL="0" distR="0" wp14:anchorId="5B34B01B" wp14:editId="0F54E2FD">
          <wp:extent cx="2371725" cy="7715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6C2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F5CC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3783F4B"/>
    <w:multiLevelType w:val="hybridMultilevel"/>
    <w:tmpl w:val="A8287C00"/>
    <w:lvl w:ilvl="0" w:tplc="38D83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20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4F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47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4A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7AB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7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C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E1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932BB"/>
    <w:multiLevelType w:val="hybridMultilevel"/>
    <w:tmpl w:val="EEA246DA"/>
    <w:lvl w:ilvl="0" w:tplc="CBD8C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0E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2F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6C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07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C8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05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CB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C6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01CBF"/>
    <w:multiLevelType w:val="multilevel"/>
    <w:tmpl w:val="6BA652B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7F35B6"/>
    <w:multiLevelType w:val="hybridMultilevel"/>
    <w:tmpl w:val="90BC1ADE"/>
    <w:lvl w:ilvl="0" w:tplc="EB7ED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12056DAA"/>
    <w:multiLevelType w:val="hybridMultilevel"/>
    <w:tmpl w:val="C5CCCECC"/>
    <w:lvl w:ilvl="0" w:tplc="26D28F26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FEAD2A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15851E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FC4DD2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632C24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B9E9D0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586E2B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458C8A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480D7F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E020A8"/>
    <w:multiLevelType w:val="hybridMultilevel"/>
    <w:tmpl w:val="6B0C2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B606F"/>
    <w:multiLevelType w:val="hybridMultilevel"/>
    <w:tmpl w:val="E0560262"/>
    <w:lvl w:ilvl="0" w:tplc="CBA896F2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06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80F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C5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84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68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C1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7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1CA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71580"/>
    <w:multiLevelType w:val="hybridMultilevel"/>
    <w:tmpl w:val="16AAE240"/>
    <w:lvl w:ilvl="0" w:tplc="30684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8A0C7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0A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7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CD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80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AF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47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2C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28D5"/>
    <w:multiLevelType w:val="multilevel"/>
    <w:tmpl w:val="BE78A4F8"/>
    <w:numStyleLink w:val="Numberlist"/>
  </w:abstractNum>
  <w:abstractNum w:abstractNumId="17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103637"/>
    <w:multiLevelType w:val="multilevel"/>
    <w:tmpl w:val="BE78A4F8"/>
    <w:numStyleLink w:val="Numberlist"/>
  </w:abstractNum>
  <w:abstractNum w:abstractNumId="19" w15:restartNumberingAfterBreak="0">
    <w:nsid w:val="37CE08B7"/>
    <w:multiLevelType w:val="multilevel"/>
    <w:tmpl w:val="1AB872A6"/>
    <w:lvl w:ilvl="0">
      <w:start w:val="1"/>
      <w:numFmt w:val="decimal"/>
      <w:pStyle w:val="BoxText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D5794A"/>
    <w:multiLevelType w:val="multilevel"/>
    <w:tmpl w:val="6BA652B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F54DE3"/>
    <w:multiLevelType w:val="hybridMultilevel"/>
    <w:tmpl w:val="758870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A15FE"/>
    <w:multiLevelType w:val="multilevel"/>
    <w:tmpl w:val="F36C17E8"/>
    <w:numStyleLink w:val="Headinglist"/>
  </w:abstractNum>
  <w:abstractNum w:abstractNumId="23" w15:restartNumberingAfterBreak="0">
    <w:nsid w:val="3C3D2AEF"/>
    <w:multiLevelType w:val="hybridMultilevel"/>
    <w:tmpl w:val="38F6A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F4729"/>
    <w:multiLevelType w:val="multilevel"/>
    <w:tmpl w:val="A0241B28"/>
    <w:numStyleLink w:val="List1"/>
  </w:abstractNum>
  <w:abstractNum w:abstractNumId="25" w15:restartNumberingAfterBreak="0">
    <w:nsid w:val="486800B4"/>
    <w:multiLevelType w:val="multilevel"/>
    <w:tmpl w:val="A0241B28"/>
    <w:numStyleLink w:val="List1"/>
  </w:abstractNum>
  <w:abstractNum w:abstractNumId="26" w15:restartNumberingAfterBreak="0">
    <w:nsid w:val="48DE2E4A"/>
    <w:multiLevelType w:val="hybridMultilevel"/>
    <w:tmpl w:val="B7086130"/>
    <w:lvl w:ilvl="0" w:tplc="B8A2D10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20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E1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C0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8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8F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2A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20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C9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159DC"/>
    <w:multiLevelType w:val="multilevel"/>
    <w:tmpl w:val="BE78A4F8"/>
    <w:numStyleLink w:val="Numberlist"/>
  </w:abstractNum>
  <w:abstractNum w:abstractNumId="2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0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3" w15:restartNumberingAfterBreak="0">
    <w:nsid w:val="644274BF"/>
    <w:multiLevelType w:val="hybridMultilevel"/>
    <w:tmpl w:val="27B0E122"/>
    <w:lvl w:ilvl="0" w:tplc="EB7ED608">
      <w:start w:val="1"/>
      <w:numFmt w:val="lowerLetter"/>
      <w:lvlText w:val="(%1)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C10A1"/>
    <w:multiLevelType w:val="multilevel"/>
    <w:tmpl w:val="BE78A4F8"/>
    <w:numStyleLink w:val="Numberlist"/>
  </w:abstractNum>
  <w:abstractNum w:abstractNumId="36" w15:restartNumberingAfterBreak="0">
    <w:nsid w:val="733934B7"/>
    <w:multiLevelType w:val="multilevel"/>
    <w:tmpl w:val="A0241B28"/>
    <w:numStyleLink w:val="List1"/>
  </w:abstractNum>
  <w:abstractNum w:abstractNumId="37" w15:restartNumberingAfterBreak="0">
    <w:nsid w:val="7EAE2589"/>
    <w:multiLevelType w:val="multilevel"/>
    <w:tmpl w:val="6BA652B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4"/>
  </w:num>
  <w:num w:numId="5">
    <w:abstractNumId w:val="31"/>
  </w:num>
  <w:num w:numId="6">
    <w:abstractNumId w:val="32"/>
  </w:num>
  <w:num w:numId="7">
    <w:abstractNumId w:val="11"/>
  </w:num>
  <w:num w:numId="8">
    <w:abstractNumId w:val="17"/>
  </w:num>
  <w:num w:numId="9">
    <w:abstractNumId w:val="22"/>
  </w:num>
  <w:num w:numId="10">
    <w:abstractNumId w:val="11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5"/>
  </w:num>
  <w:num w:numId="16">
    <w:abstractNumId w:val="2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18"/>
  </w:num>
  <w:num w:numId="22">
    <w:abstractNumId w:val="27"/>
  </w:num>
  <w:num w:numId="23">
    <w:abstractNumId w:val="35"/>
  </w:num>
  <w:num w:numId="24">
    <w:abstractNumId w:val="16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8"/>
  </w:num>
  <w:num w:numId="29">
    <w:abstractNumId w:val="30"/>
  </w:num>
  <w:num w:numId="30">
    <w:abstractNumId w:val="12"/>
  </w:num>
  <w:num w:numId="31">
    <w:abstractNumId w:val="8"/>
  </w:num>
  <w:num w:numId="32">
    <w:abstractNumId w:val="7"/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9"/>
  </w:num>
  <w:num w:numId="37">
    <w:abstractNumId w:val="20"/>
  </w:num>
  <w:num w:numId="38">
    <w:abstractNumId w:val="37"/>
  </w:num>
  <w:num w:numId="39">
    <w:abstractNumId w:val="21"/>
  </w:num>
  <w:num w:numId="40">
    <w:abstractNumId w:val="10"/>
  </w:num>
  <w:num w:numId="41">
    <w:abstractNumId w:val="33"/>
  </w:num>
  <w:num w:numId="42">
    <w:abstractNumId w:val="22"/>
  </w:num>
  <w:num w:numId="4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39"/>
    <w:rsid w:val="000000DC"/>
    <w:rsid w:val="00002BA7"/>
    <w:rsid w:val="00006B78"/>
    <w:rsid w:val="00011C78"/>
    <w:rsid w:val="000126CE"/>
    <w:rsid w:val="00013A5C"/>
    <w:rsid w:val="00014DB3"/>
    <w:rsid w:val="00024367"/>
    <w:rsid w:val="00053EE2"/>
    <w:rsid w:val="00054260"/>
    <w:rsid w:val="00071A46"/>
    <w:rsid w:val="000854B4"/>
    <w:rsid w:val="00085932"/>
    <w:rsid w:val="000914DF"/>
    <w:rsid w:val="0009394C"/>
    <w:rsid w:val="000942EC"/>
    <w:rsid w:val="00097B8A"/>
    <w:rsid w:val="000A24F1"/>
    <w:rsid w:val="000A3CC0"/>
    <w:rsid w:val="000C2563"/>
    <w:rsid w:val="000E6993"/>
    <w:rsid w:val="0010021B"/>
    <w:rsid w:val="00117BAA"/>
    <w:rsid w:val="00122AC8"/>
    <w:rsid w:val="00127DD0"/>
    <w:rsid w:val="00134C1B"/>
    <w:rsid w:val="0014092B"/>
    <w:rsid w:val="00155AA4"/>
    <w:rsid w:val="00157FEF"/>
    <w:rsid w:val="001633F8"/>
    <w:rsid w:val="001669F0"/>
    <w:rsid w:val="00172E82"/>
    <w:rsid w:val="0019016C"/>
    <w:rsid w:val="00190398"/>
    <w:rsid w:val="00191D54"/>
    <w:rsid w:val="00192770"/>
    <w:rsid w:val="001B24ED"/>
    <w:rsid w:val="001C6446"/>
    <w:rsid w:val="001E05B2"/>
    <w:rsid w:val="001E318A"/>
    <w:rsid w:val="001E450D"/>
    <w:rsid w:val="001E5BAA"/>
    <w:rsid w:val="001F4123"/>
    <w:rsid w:val="001F5C3D"/>
    <w:rsid w:val="001F6E5A"/>
    <w:rsid w:val="00201228"/>
    <w:rsid w:val="00202F68"/>
    <w:rsid w:val="002035B2"/>
    <w:rsid w:val="00204488"/>
    <w:rsid w:val="002053CB"/>
    <w:rsid w:val="00211629"/>
    <w:rsid w:val="002274A7"/>
    <w:rsid w:val="00244E7B"/>
    <w:rsid w:val="00250F88"/>
    <w:rsid w:val="0025105D"/>
    <w:rsid w:val="00275951"/>
    <w:rsid w:val="00276962"/>
    <w:rsid w:val="00281432"/>
    <w:rsid w:val="002820F0"/>
    <w:rsid w:val="0028335C"/>
    <w:rsid w:val="00293331"/>
    <w:rsid w:val="00293588"/>
    <w:rsid w:val="00295013"/>
    <w:rsid w:val="00296CE6"/>
    <w:rsid w:val="002A305E"/>
    <w:rsid w:val="002A3AD7"/>
    <w:rsid w:val="002A7E00"/>
    <w:rsid w:val="002B0498"/>
    <w:rsid w:val="002B2243"/>
    <w:rsid w:val="002B3D03"/>
    <w:rsid w:val="002B55B2"/>
    <w:rsid w:val="002B6476"/>
    <w:rsid w:val="002C1B38"/>
    <w:rsid w:val="002D18E9"/>
    <w:rsid w:val="002D4FC5"/>
    <w:rsid w:val="002E6A9F"/>
    <w:rsid w:val="002F0AC6"/>
    <w:rsid w:val="002F2ACE"/>
    <w:rsid w:val="00306AE2"/>
    <w:rsid w:val="00310C3A"/>
    <w:rsid w:val="0031276C"/>
    <w:rsid w:val="00321CB2"/>
    <w:rsid w:val="00331A1C"/>
    <w:rsid w:val="00362CAA"/>
    <w:rsid w:val="00380854"/>
    <w:rsid w:val="00391514"/>
    <w:rsid w:val="00391D6C"/>
    <w:rsid w:val="00394859"/>
    <w:rsid w:val="003B2885"/>
    <w:rsid w:val="003C1B81"/>
    <w:rsid w:val="003C1EF8"/>
    <w:rsid w:val="003D58F9"/>
    <w:rsid w:val="003E07EB"/>
    <w:rsid w:val="003E0F2B"/>
    <w:rsid w:val="003E229E"/>
    <w:rsid w:val="003F3ADB"/>
    <w:rsid w:val="003F476F"/>
    <w:rsid w:val="004027D8"/>
    <w:rsid w:val="0040347B"/>
    <w:rsid w:val="004108BC"/>
    <w:rsid w:val="00417A79"/>
    <w:rsid w:val="00421FE9"/>
    <w:rsid w:val="0042260C"/>
    <w:rsid w:val="00427DDB"/>
    <w:rsid w:val="00432DDE"/>
    <w:rsid w:val="004402C5"/>
    <w:rsid w:val="004426E8"/>
    <w:rsid w:val="00446269"/>
    <w:rsid w:val="0045563F"/>
    <w:rsid w:val="00457989"/>
    <w:rsid w:val="0046225D"/>
    <w:rsid w:val="004642DF"/>
    <w:rsid w:val="00467155"/>
    <w:rsid w:val="00471735"/>
    <w:rsid w:val="00475AF9"/>
    <w:rsid w:val="004A1065"/>
    <w:rsid w:val="004A4CF5"/>
    <w:rsid w:val="004B1C09"/>
    <w:rsid w:val="004B2025"/>
    <w:rsid w:val="004D3B99"/>
    <w:rsid w:val="004D545F"/>
    <w:rsid w:val="004D5764"/>
    <w:rsid w:val="004D6914"/>
    <w:rsid w:val="004D6AD8"/>
    <w:rsid w:val="004E7F26"/>
    <w:rsid w:val="004F31EF"/>
    <w:rsid w:val="005206F2"/>
    <w:rsid w:val="0052350F"/>
    <w:rsid w:val="00524542"/>
    <w:rsid w:val="00530CA6"/>
    <w:rsid w:val="005362DC"/>
    <w:rsid w:val="00536FAE"/>
    <w:rsid w:val="005433D7"/>
    <w:rsid w:val="00561D3D"/>
    <w:rsid w:val="00562A31"/>
    <w:rsid w:val="00576009"/>
    <w:rsid w:val="005764A2"/>
    <w:rsid w:val="00595D68"/>
    <w:rsid w:val="005A6E35"/>
    <w:rsid w:val="005D214D"/>
    <w:rsid w:val="005F0A46"/>
    <w:rsid w:val="005F0F6A"/>
    <w:rsid w:val="005F57EE"/>
    <w:rsid w:val="006134EE"/>
    <w:rsid w:val="00626CF6"/>
    <w:rsid w:val="00636AF3"/>
    <w:rsid w:val="0064363B"/>
    <w:rsid w:val="00645988"/>
    <w:rsid w:val="006527C9"/>
    <w:rsid w:val="006556BC"/>
    <w:rsid w:val="00663EB8"/>
    <w:rsid w:val="00671D7B"/>
    <w:rsid w:val="006738A9"/>
    <w:rsid w:val="00674816"/>
    <w:rsid w:val="00675A1F"/>
    <w:rsid w:val="00677DDA"/>
    <w:rsid w:val="006817A0"/>
    <w:rsid w:val="006876D5"/>
    <w:rsid w:val="00695A7E"/>
    <w:rsid w:val="006977CC"/>
    <w:rsid w:val="006A1FBC"/>
    <w:rsid w:val="006A2F9B"/>
    <w:rsid w:val="006B1853"/>
    <w:rsid w:val="006B7900"/>
    <w:rsid w:val="006C1CA4"/>
    <w:rsid w:val="006C2AEC"/>
    <w:rsid w:val="006C6776"/>
    <w:rsid w:val="006D261A"/>
    <w:rsid w:val="006D5F22"/>
    <w:rsid w:val="006E2B9E"/>
    <w:rsid w:val="006F23F2"/>
    <w:rsid w:val="006F3D5D"/>
    <w:rsid w:val="006F413F"/>
    <w:rsid w:val="006F5C56"/>
    <w:rsid w:val="00707874"/>
    <w:rsid w:val="00730573"/>
    <w:rsid w:val="007317C4"/>
    <w:rsid w:val="00731BA3"/>
    <w:rsid w:val="0073474B"/>
    <w:rsid w:val="00734A11"/>
    <w:rsid w:val="00745C97"/>
    <w:rsid w:val="00746369"/>
    <w:rsid w:val="007471B6"/>
    <w:rsid w:val="00764BA6"/>
    <w:rsid w:val="00765407"/>
    <w:rsid w:val="00767F52"/>
    <w:rsid w:val="00771E4A"/>
    <w:rsid w:val="007778A2"/>
    <w:rsid w:val="007834C3"/>
    <w:rsid w:val="00792AF9"/>
    <w:rsid w:val="00794D68"/>
    <w:rsid w:val="007A1163"/>
    <w:rsid w:val="007B58F4"/>
    <w:rsid w:val="007C51DC"/>
    <w:rsid w:val="007F0B25"/>
    <w:rsid w:val="008032B1"/>
    <w:rsid w:val="00805053"/>
    <w:rsid w:val="00813572"/>
    <w:rsid w:val="00814B06"/>
    <w:rsid w:val="00815189"/>
    <w:rsid w:val="00831263"/>
    <w:rsid w:val="0083262D"/>
    <w:rsid w:val="00834784"/>
    <w:rsid w:val="00834AD1"/>
    <w:rsid w:val="008530EF"/>
    <w:rsid w:val="00860FDC"/>
    <w:rsid w:val="00862130"/>
    <w:rsid w:val="0087007C"/>
    <w:rsid w:val="008829CA"/>
    <w:rsid w:val="00882EFC"/>
    <w:rsid w:val="00883979"/>
    <w:rsid w:val="00891B8E"/>
    <w:rsid w:val="00891FA9"/>
    <w:rsid w:val="008A351C"/>
    <w:rsid w:val="008A72FF"/>
    <w:rsid w:val="008B6E07"/>
    <w:rsid w:val="008C4117"/>
    <w:rsid w:val="008C7BC9"/>
    <w:rsid w:val="008D448A"/>
    <w:rsid w:val="008D7760"/>
    <w:rsid w:val="008E4171"/>
    <w:rsid w:val="008E6E2A"/>
    <w:rsid w:val="00901996"/>
    <w:rsid w:val="00905253"/>
    <w:rsid w:val="00911057"/>
    <w:rsid w:val="00915A13"/>
    <w:rsid w:val="00916DEA"/>
    <w:rsid w:val="00920F58"/>
    <w:rsid w:val="00934580"/>
    <w:rsid w:val="009530BB"/>
    <w:rsid w:val="00954F5A"/>
    <w:rsid w:val="00960734"/>
    <w:rsid w:val="00964CEB"/>
    <w:rsid w:val="009716C5"/>
    <w:rsid w:val="00975C57"/>
    <w:rsid w:val="00986D2E"/>
    <w:rsid w:val="009906A6"/>
    <w:rsid w:val="0099254A"/>
    <w:rsid w:val="009952A4"/>
    <w:rsid w:val="009A0443"/>
    <w:rsid w:val="009B1200"/>
    <w:rsid w:val="009B78C1"/>
    <w:rsid w:val="009E006D"/>
    <w:rsid w:val="009E01B3"/>
    <w:rsid w:val="009E0A6A"/>
    <w:rsid w:val="009F5277"/>
    <w:rsid w:val="00A015C3"/>
    <w:rsid w:val="00A12BC5"/>
    <w:rsid w:val="00A15374"/>
    <w:rsid w:val="00A2029C"/>
    <w:rsid w:val="00A42D07"/>
    <w:rsid w:val="00A46232"/>
    <w:rsid w:val="00A623B2"/>
    <w:rsid w:val="00A754E4"/>
    <w:rsid w:val="00AA18DA"/>
    <w:rsid w:val="00AC2196"/>
    <w:rsid w:val="00AD1C2A"/>
    <w:rsid w:val="00AD2EEB"/>
    <w:rsid w:val="00AD6713"/>
    <w:rsid w:val="00AE576E"/>
    <w:rsid w:val="00B02EA9"/>
    <w:rsid w:val="00B107C9"/>
    <w:rsid w:val="00B130D9"/>
    <w:rsid w:val="00B15EC7"/>
    <w:rsid w:val="00B27913"/>
    <w:rsid w:val="00B37EAD"/>
    <w:rsid w:val="00B438E9"/>
    <w:rsid w:val="00B50157"/>
    <w:rsid w:val="00B543B7"/>
    <w:rsid w:val="00B601FA"/>
    <w:rsid w:val="00B61C47"/>
    <w:rsid w:val="00B832E9"/>
    <w:rsid w:val="00B84030"/>
    <w:rsid w:val="00B9061B"/>
    <w:rsid w:val="00B92413"/>
    <w:rsid w:val="00B9796F"/>
    <w:rsid w:val="00BA43D4"/>
    <w:rsid w:val="00BB3A4C"/>
    <w:rsid w:val="00BC25F2"/>
    <w:rsid w:val="00BC3E3B"/>
    <w:rsid w:val="00BD50F4"/>
    <w:rsid w:val="00BE3DEB"/>
    <w:rsid w:val="00BF0299"/>
    <w:rsid w:val="00C04F4A"/>
    <w:rsid w:val="00C272DA"/>
    <w:rsid w:val="00C27942"/>
    <w:rsid w:val="00C318C9"/>
    <w:rsid w:val="00C33D1D"/>
    <w:rsid w:val="00C47D10"/>
    <w:rsid w:val="00C51185"/>
    <w:rsid w:val="00C54D36"/>
    <w:rsid w:val="00C60E9A"/>
    <w:rsid w:val="00C647C6"/>
    <w:rsid w:val="00C676D1"/>
    <w:rsid w:val="00C70C9D"/>
    <w:rsid w:val="00C71082"/>
    <w:rsid w:val="00C72A3C"/>
    <w:rsid w:val="00C73C1A"/>
    <w:rsid w:val="00C76256"/>
    <w:rsid w:val="00C8122A"/>
    <w:rsid w:val="00C948AD"/>
    <w:rsid w:val="00C94DEF"/>
    <w:rsid w:val="00CB427E"/>
    <w:rsid w:val="00CC6553"/>
    <w:rsid w:val="00CD4F61"/>
    <w:rsid w:val="00CE21EF"/>
    <w:rsid w:val="00CE7BE9"/>
    <w:rsid w:val="00CF5D26"/>
    <w:rsid w:val="00D03DB4"/>
    <w:rsid w:val="00D0620B"/>
    <w:rsid w:val="00D17EC7"/>
    <w:rsid w:val="00D27F1D"/>
    <w:rsid w:val="00D4335D"/>
    <w:rsid w:val="00D512F4"/>
    <w:rsid w:val="00D52A39"/>
    <w:rsid w:val="00D54856"/>
    <w:rsid w:val="00D574A5"/>
    <w:rsid w:val="00D642EB"/>
    <w:rsid w:val="00D655ED"/>
    <w:rsid w:val="00D74C96"/>
    <w:rsid w:val="00D81CFB"/>
    <w:rsid w:val="00D83F45"/>
    <w:rsid w:val="00D966C1"/>
    <w:rsid w:val="00DA0B8D"/>
    <w:rsid w:val="00DA2193"/>
    <w:rsid w:val="00DB2D19"/>
    <w:rsid w:val="00DC696E"/>
    <w:rsid w:val="00DC7133"/>
    <w:rsid w:val="00DD00B2"/>
    <w:rsid w:val="00DD176B"/>
    <w:rsid w:val="00DD2A8A"/>
    <w:rsid w:val="00DD310A"/>
    <w:rsid w:val="00DD32F4"/>
    <w:rsid w:val="00DE0E80"/>
    <w:rsid w:val="00DE1849"/>
    <w:rsid w:val="00DF4F42"/>
    <w:rsid w:val="00E02E2B"/>
    <w:rsid w:val="00E0494E"/>
    <w:rsid w:val="00E10E26"/>
    <w:rsid w:val="00E31300"/>
    <w:rsid w:val="00E316E0"/>
    <w:rsid w:val="00E40EF9"/>
    <w:rsid w:val="00E46F6C"/>
    <w:rsid w:val="00E533FA"/>
    <w:rsid w:val="00E61610"/>
    <w:rsid w:val="00E66B35"/>
    <w:rsid w:val="00E760FE"/>
    <w:rsid w:val="00E76936"/>
    <w:rsid w:val="00E82066"/>
    <w:rsid w:val="00E853FB"/>
    <w:rsid w:val="00E863FC"/>
    <w:rsid w:val="00E93A36"/>
    <w:rsid w:val="00EA32AE"/>
    <w:rsid w:val="00EB4FE8"/>
    <w:rsid w:val="00EB67BB"/>
    <w:rsid w:val="00EC2C06"/>
    <w:rsid w:val="00EC7DBF"/>
    <w:rsid w:val="00ED39F8"/>
    <w:rsid w:val="00EF4FA0"/>
    <w:rsid w:val="00F04F39"/>
    <w:rsid w:val="00F13E72"/>
    <w:rsid w:val="00F22DC4"/>
    <w:rsid w:val="00F27E41"/>
    <w:rsid w:val="00F30348"/>
    <w:rsid w:val="00F32B35"/>
    <w:rsid w:val="00F426C8"/>
    <w:rsid w:val="00F56E69"/>
    <w:rsid w:val="00F57331"/>
    <w:rsid w:val="00F667C5"/>
    <w:rsid w:val="00F81280"/>
    <w:rsid w:val="00F81506"/>
    <w:rsid w:val="00F96C8E"/>
    <w:rsid w:val="00F96D06"/>
    <w:rsid w:val="00FB185E"/>
    <w:rsid w:val="00FB1B34"/>
    <w:rsid w:val="00FB5AE4"/>
    <w:rsid w:val="00FC224D"/>
    <w:rsid w:val="00FD2EAA"/>
    <w:rsid w:val="00FE4F0A"/>
    <w:rsid w:val="00FF48A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25B66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pageBreakBefore/>
      <w:numPr>
        <w:numId w:val="9"/>
      </w:numPr>
      <w:spacing w:after="240" w:line="240" w:lineRule="auto"/>
      <w:outlineLvl w:val="1"/>
    </w:pPr>
    <w:rPr>
      <w:rFonts w:ascii="Calibri" w:eastAsiaTheme="minorEastAsia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,列"/>
    <w:basedOn w:val="Normal"/>
    <w:link w:val="ListParagraphChar"/>
    <w:uiPriority w:val="34"/>
    <w:qFormat/>
    <w:rsid w:val="009A0443"/>
    <w:pPr>
      <w:ind w:left="720"/>
      <w:contextualSpacing/>
    </w:p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qFormat/>
    <w:rsid w:val="009A0443"/>
    <w:rPr>
      <w:rFonts w:eastAsiaTheme="minorHAnsi" w:cstheme="minorBidi"/>
      <w:sz w:val="22"/>
      <w:szCs w:val="22"/>
      <w:lang w:eastAsia="en-US"/>
    </w:rPr>
  </w:style>
  <w:style w:type="paragraph" w:customStyle="1" w:styleId="BoxTextListNumber">
    <w:name w:val="Box Text List Number"/>
    <w:basedOn w:val="BoxText"/>
    <w:qFormat/>
    <w:rsid w:val="009906A6"/>
    <w:pPr>
      <w:numPr>
        <w:numId w:val="33"/>
      </w:numPr>
      <w:spacing w:line="240" w:lineRule="auto"/>
    </w:pPr>
  </w:style>
  <w:style w:type="paragraph" w:styleId="Revision">
    <w:name w:val="Revision"/>
    <w:hidden/>
    <w:uiPriority w:val="99"/>
    <w:semiHidden/>
    <w:rsid w:val="00F426C8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81FE20-D718-4AF9-AE61-2D5B93CDB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Farmer guide to the Dairy Code of Conduct</vt:lpstr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Farmer guide to the Dairy Code of Conduct</dc:title>
  <dc:creator>Department of Agriculture</dc:creator>
  <cp:lastModifiedBy>Belinda Reithmiller</cp:lastModifiedBy>
  <cp:revision>5</cp:revision>
  <cp:lastPrinted>2019-12-09T21:59:00Z</cp:lastPrinted>
  <dcterms:created xsi:type="dcterms:W3CDTF">2019-12-12T07:00:00Z</dcterms:created>
  <dcterms:modified xsi:type="dcterms:W3CDTF">2020-10-02T05:04:00Z</dcterms:modified>
</cp:coreProperties>
</file>