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30D0" w14:textId="192E3BE0" w:rsidR="00B82095" w:rsidRDefault="0089720B" w:rsidP="0099431F">
      <w:pPr>
        <w:pStyle w:val="Heading1"/>
      </w:pPr>
      <w:r w:rsidRPr="0089720B">
        <w:t xml:space="preserve">Environmental Biosecurity Interdepartmental Group </w:t>
      </w:r>
      <w:r w:rsidR="00444876">
        <w:t>a</w:t>
      </w:r>
      <w:r w:rsidRPr="0089720B">
        <w:t xml:space="preserve">nnual </w:t>
      </w:r>
      <w:r w:rsidR="00444876">
        <w:t>r</w:t>
      </w:r>
      <w:r w:rsidRPr="0089720B">
        <w:t>eport 2025</w:t>
      </w:r>
    </w:p>
    <w:p w14:paraId="7A60B21F" w14:textId="04B3BF9A" w:rsidR="00347AA5" w:rsidRDefault="00444876" w:rsidP="00347AA5">
      <w:r w:rsidRPr="00444876">
        <w:t xml:space="preserve">Environmental biosecurity protects Australia’s environment, cultural assets and way of life by reducing risks and impacts from pests, weeds and diseases. The Environmental Biosecurity Interdepartmental Group (EBIG) brings together </w:t>
      </w:r>
      <w:r w:rsidR="00FE005F">
        <w:t>Australian Government</w:t>
      </w:r>
      <w:r w:rsidR="00FE005F" w:rsidRPr="00444876">
        <w:t xml:space="preserve"> </w:t>
      </w:r>
      <w:r w:rsidRPr="00444876">
        <w:t>agriculture and environment departments to strengthen national collaboration on environmental biosecurity matters.</w:t>
      </w:r>
    </w:p>
    <w:p w14:paraId="2019CF16" w14:textId="359CCB34" w:rsidR="00444876" w:rsidRDefault="00444876" w:rsidP="00444876">
      <w:pPr>
        <w:pStyle w:val="Heading2"/>
      </w:pPr>
      <w:r w:rsidRPr="00444876">
        <w:t>Achievements</w:t>
      </w:r>
    </w:p>
    <w:p w14:paraId="62DCE390" w14:textId="2816661D" w:rsidR="00FE005F" w:rsidRPr="00540575" w:rsidRDefault="00FE005F" w:rsidP="00BB2BBC">
      <w:r>
        <w:rPr>
          <w:lang w:eastAsia="ja-JP"/>
        </w:rPr>
        <w:t>In 2025, EBIG:</w:t>
      </w:r>
    </w:p>
    <w:p w14:paraId="74499EEA" w14:textId="49DB9B7B" w:rsidR="00444876" w:rsidRDefault="00FE005F" w:rsidP="00444876">
      <w:pPr>
        <w:pStyle w:val="ListBullet"/>
        <w:rPr>
          <w:lang w:eastAsia="ja-JP"/>
        </w:rPr>
      </w:pPr>
      <w:r>
        <w:rPr>
          <w:lang w:eastAsia="ja-JP"/>
        </w:rPr>
        <w:t>f</w:t>
      </w:r>
      <w:r w:rsidR="00444876">
        <w:rPr>
          <w:lang w:eastAsia="ja-JP"/>
        </w:rPr>
        <w:t>ostered collaboration on shared national priorities including the National Myrtle Rust Working Group and Feral Cat Taskforce</w:t>
      </w:r>
    </w:p>
    <w:p w14:paraId="47626E5E" w14:textId="4470ECC7" w:rsidR="00444876" w:rsidRDefault="00FE005F" w:rsidP="00444876">
      <w:pPr>
        <w:pStyle w:val="ListBullet"/>
        <w:rPr>
          <w:lang w:eastAsia="ja-JP"/>
        </w:rPr>
      </w:pPr>
      <w:r>
        <w:rPr>
          <w:lang w:eastAsia="ja-JP"/>
        </w:rPr>
        <w:t>c</w:t>
      </w:r>
      <w:r w:rsidR="00444876">
        <w:rPr>
          <w:lang w:eastAsia="ja-JP"/>
        </w:rPr>
        <w:t>ontributed to national environmental biosecurity policy advice via the Environment and Invasives Committee, and its working groups and the Environment Biosecurity Advisory Group</w:t>
      </w:r>
    </w:p>
    <w:p w14:paraId="2630F3A0" w14:textId="0C23CF8D" w:rsidR="00444876" w:rsidRDefault="00FE005F" w:rsidP="00444876">
      <w:pPr>
        <w:pStyle w:val="ListBullet"/>
        <w:rPr>
          <w:lang w:eastAsia="ja-JP"/>
        </w:rPr>
      </w:pPr>
      <w:r>
        <w:rPr>
          <w:lang w:eastAsia="ja-JP"/>
        </w:rPr>
        <w:t>p</w:t>
      </w:r>
      <w:r w:rsidR="00444876">
        <w:rPr>
          <w:lang w:eastAsia="ja-JP"/>
        </w:rPr>
        <w:t>rovided national leadership, built partnerships and raised awareness at key events</w:t>
      </w:r>
      <w:r>
        <w:rPr>
          <w:lang w:eastAsia="ja-JP"/>
        </w:rPr>
        <w:t>,</w:t>
      </w:r>
      <w:r w:rsidR="00444876">
        <w:rPr>
          <w:lang w:eastAsia="ja-JP"/>
        </w:rPr>
        <w:t xml:space="preserve"> including the One Health Symposium 2025, 2025 National Landcare Conference, the 2025 Australian International Union for Conservation of Nature Species Survival Symposium and 2025 River Reflections conference</w:t>
      </w:r>
    </w:p>
    <w:p w14:paraId="3EFF150C" w14:textId="77E5BFC3" w:rsidR="00444876" w:rsidRDefault="00FE005F" w:rsidP="00444876">
      <w:pPr>
        <w:pStyle w:val="ListBullet"/>
        <w:rPr>
          <w:lang w:eastAsia="ja-JP"/>
        </w:rPr>
      </w:pPr>
      <w:r>
        <w:rPr>
          <w:lang w:eastAsia="ja-JP"/>
        </w:rPr>
        <w:t>s</w:t>
      </w:r>
      <w:r w:rsidR="00444876">
        <w:rPr>
          <w:lang w:eastAsia="ja-JP"/>
        </w:rPr>
        <w:t>upported national preparedness and response, including the Exotic Environmental Pest List review and progressing H5 bird flu preparedness activities</w:t>
      </w:r>
    </w:p>
    <w:p w14:paraId="5AD7319E" w14:textId="4021AF92" w:rsidR="00444876" w:rsidRDefault="00FE005F" w:rsidP="00444876">
      <w:pPr>
        <w:pStyle w:val="ListBullet"/>
        <w:rPr>
          <w:lang w:eastAsia="ja-JP"/>
        </w:rPr>
      </w:pPr>
      <w:r>
        <w:rPr>
          <w:lang w:eastAsia="ja-JP"/>
        </w:rPr>
        <w:t>p</w:t>
      </w:r>
      <w:r w:rsidR="00444876">
        <w:rPr>
          <w:lang w:eastAsia="ja-JP"/>
        </w:rPr>
        <w:t>rioritised engagement and consideration of First Nations values, and extended investment in Indigenous-led pest and weed management in northern Australia</w:t>
      </w:r>
    </w:p>
    <w:p w14:paraId="0C976673" w14:textId="5D578787" w:rsidR="00444876" w:rsidRDefault="00FE005F" w:rsidP="00444876">
      <w:pPr>
        <w:pStyle w:val="ListBullet"/>
        <w:rPr>
          <w:lang w:eastAsia="ja-JP"/>
        </w:rPr>
      </w:pPr>
      <w:r>
        <w:rPr>
          <w:lang w:eastAsia="ja-JP"/>
        </w:rPr>
        <w:t>s</w:t>
      </w:r>
      <w:r w:rsidR="00444876">
        <w:rPr>
          <w:lang w:eastAsia="ja-JP"/>
        </w:rPr>
        <w:t>upported delivery of national action plans and coordination programs to manage priority pests targeting feral deer, feral pigs, foxes and feral cats</w:t>
      </w:r>
    </w:p>
    <w:p w14:paraId="2741FA68" w14:textId="60A7C257" w:rsidR="00444876" w:rsidRDefault="00FE005F" w:rsidP="00444876">
      <w:pPr>
        <w:pStyle w:val="ListBullet"/>
        <w:rPr>
          <w:lang w:eastAsia="ja-JP"/>
        </w:rPr>
      </w:pPr>
      <w:r>
        <w:rPr>
          <w:lang w:eastAsia="ja-JP"/>
        </w:rPr>
        <w:t>i</w:t>
      </w:r>
      <w:r w:rsidR="00444876">
        <w:rPr>
          <w:lang w:eastAsia="ja-JP"/>
        </w:rPr>
        <w:t>nvested in innovative control tools for invasive species like carp, rabbits, feral cats and weeds</w:t>
      </w:r>
    </w:p>
    <w:p w14:paraId="29303D34" w14:textId="52DCC142" w:rsidR="00444876" w:rsidRDefault="00FE005F" w:rsidP="00444876">
      <w:pPr>
        <w:pStyle w:val="ListBullet"/>
        <w:rPr>
          <w:lang w:eastAsia="ja-JP"/>
        </w:rPr>
      </w:pPr>
      <w:r>
        <w:rPr>
          <w:lang w:eastAsia="ja-JP"/>
        </w:rPr>
        <w:t>a</w:t>
      </w:r>
      <w:r w:rsidR="00444876">
        <w:rPr>
          <w:lang w:eastAsia="ja-JP"/>
        </w:rPr>
        <w:t>dvocated for national collaborative action to reduce key threats to native species through national threat abatement planning</w:t>
      </w:r>
    </w:p>
    <w:p w14:paraId="3BB53F0C" w14:textId="159A4B14" w:rsidR="00444876" w:rsidRDefault="00FE005F" w:rsidP="00444876">
      <w:pPr>
        <w:pStyle w:val="ListBullet"/>
        <w:rPr>
          <w:lang w:eastAsia="ja-JP"/>
        </w:rPr>
      </w:pPr>
      <w:r>
        <w:rPr>
          <w:lang w:eastAsia="ja-JP"/>
        </w:rPr>
        <w:t>c</w:t>
      </w:r>
      <w:r w:rsidR="00444876">
        <w:rPr>
          <w:lang w:eastAsia="ja-JP"/>
        </w:rPr>
        <w:t>onsidered recommendations by the Inspector-General of Biosecurity, including further strengthening of cross-departmental engagement on environmental biosecurity.</w:t>
      </w:r>
    </w:p>
    <w:p w14:paraId="4EF89DF2" w14:textId="0B5AAC4C" w:rsidR="00444876" w:rsidRDefault="00444876" w:rsidP="00BB2BBC">
      <w:pPr>
        <w:pStyle w:val="BoxHeading"/>
        <w:keepNext/>
      </w:pPr>
      <w:r w:rsidRPr="00444876">
        <w:lastRenderedPageBreak/>
        <w:t>Highlight: 2025 Environmental Biosecurity Roundtable</w:t>
      </w:r>
    </w:p>
    <w:p w14:paraId="515ACDAB" w14:textId="60BF8A14" w:rsidR="00FE005F" w:rsidRDefault="00444876" w:rsidP="00BB2BBC">
      <w:pPr>
        <w:pStyle w:val="BoxText"/>
        <w:keepNext/>
        <w:rPr>
          <w:lang w:eastAsia="ja-JP"/>
        </w:rPr>
      </w:pPr>
      <w:r>
        <w:rPr>
          <w:lang w:eastAsia="ja-JP"/>
        </w:rPr>
        <w:t>The 2025 Environmental Biosecurity Roundtable</w:t>
      </w:r>
      <w:r w:rsidR="00FE005F">
        <w:rPr>
          <w:lang w:eastAsia="ja-JP"/>
        </w:rPr>
        <w:t>, ‘Facing the future together’</w:t>
      </w:r>
      <w:r w:rsidR="002F2461">
        <w:rPr>
          <w:lang w:eastAsia="ja-JP"/>
        </w:rPr>
        <w:t>,</w:t>
      </w:r>
      <w:r w:rsidR="00FE005F">
        <w:rPr>
          <w:lang w:eastAsia="ja-JP"/>
        </w:rPr>
        <w:t xml:space="preserve"> was held on 11 September at Melbourne Zoo.</w:t>
      </w:r>
    </w:p>
    <w:p w14:paraId="41C63C51" w14:textId="1538F76F" w:rsidR="00444876" w:rsidRDefault="00444876" w:rsidP="00BB2BBC">
      <w:pPr>
        <w:pStyle w:val="BoxText"/>
        <w:keepNext/>
        <w:rPr>
          <w:lang w:eastAsia="ja-JP"/>
        </w:rPr>
      </w:pPr>
      <w:r>
        <w:rPr>
          <w:lang w:eastAsia="ja-JP"/>
        </w:rPr>
        <w:t xml:space="preserve">The event was hosted by </w:t>
      </w:r>
      <w:r w:rsidR="00FE005F">
        <w:rPr>
          <w:lang w:eastAsia="ja-JP"/>
        </w:rPr>
        <w:t xml:space="preserve">the </w:t>
      </w:r>
      <w:r>
        <w:rPr>
          <w:lang w:eastAsia="ja-JP"/>
        </w:rPr>
        <w:t>D</w:t>
      </w:r>
      <w:r w:rsidR="00FE005F">
        <w:rPr>
          <w:lang w:eastAsia="ja-JP"/>
        </w:rPr>
        <w:t xml:space="preserve">epartment of </w:t>
      </w:r>
      <w:r>
        <w:rPr>
          <w:lang w:eastAsia="ja-JP"/>
        </w:rPr>
        <w:t>A</w:t>
      </w:r>
      <w:r w:rsidR="00FE005F">
        <w:rPr>
          <w:lang w:eastAsia="ja-JP"/>
        </w:rPr>
        <w:t xml:space="preserve">griculture, </w:t>
      </w:r>
      <w:r>
        <w:rPr>
          <w:lang w:eastAsia="ja-JP"/>
        </w:rPr>
        <w:t>F</w:t>
      </w:r>
      <w:r w:rsidR="00FE005F">
        <w:rPr>
          <w:lang w:eastAsia="ja-JP"/>
        </w:rPr>
        <w:t xml:space="preserve">isheries and </w:t>
      </w:r>
      <w:r>
        <w:rPr>
          <w:lang w:eastAsia="ja-JP"/>
        </w:rPr>
        <w:t>F</w:t>
      </w:r>
      <w:r w:rsidR="00FE005F">
        <w:rPr>
          <w:lang w:eastAsia="ja-JP"/>
        </w:rPr>
        <w:t>orestry</w:t>
      </w:r>
      <w:r>
        <w:rPr>
          <w:lang w:eastAsia="ja-JP"/>
        </w:rPr>
        <w:t xml:space="preserve"> and </w:t>
      </w:r>
      <w:r w:rsidR="00FE005F">
        <w:rPr>
          <w:lang w:eastAsia="ja-JP"/>
        </w:rPr>
        <w:t xml:space="preserve">the </w:t>
      </w:r>
      <w:r>
        <w:rPr>
          <w:lang w:eastAsia="ja-JP"/>
        </w:rPr>
        <w:t>D</w:t>
      </w:r>
      <w:r w:rsidR="00FE005F">
        <w:rPr>
          <w:lang w:eastAsia="ja-JP"/>
        </w:rPr>
        <w:t xml:space="preserve">epartment of </w:t>
      </w:r>
      <w:r>
        <w:rPr>
          <w:lang w:eastAsia="ja-JP"/>
        </w:rPr>
        <w:t>C</w:t>
      </w:r>
      <w:r w:rsidR="00FE005F">
        <w:rPr>
          <w:lang w:eastAsia="ja-JP"/>
        </w:rPr>
        <w:t xml:space="preserve">limate </w:t>
      </w:r>
      <w:r>
        <w:rPr>
          <w:lang w:eastAsia="ja-JP"/>
        </w:rPr>
        <w:t>C</w:t>
      </w:r>
      <w:r w:rsidR="00FE005F">
        <w:rPr>
          <w:lang w:eastAsia="ja-JP"/>
        </w:rPr>
        <w:t xml:space="preserve">hange, </w:t>
      </w:r>
      <w:r>
        <w:rPr>
          <w:lang w:eastAsia="ja-JP"/>
        </w:rPr>
        <w:t>E</w:t>
      </w:r>
      <w:r w:rsidR="00FE005F">
        <w:rPr>
          <w:lang w:eastAsia="ja-JP"/>
        </w:rPr>
        <w:t xml:space="preserve">nergy, the </w:t>
      </w:r>
      <w:r>
        <w:rPr>
          <w:lang w:eastAsia="ja-JP"/>
        </w:rPr>
        <w:t>E</w:t>
      </w:r>
      <w:r w:rsidR="00FE005F">
        <w:rPr>
          <w:lang w:eastAsia="ja-JP"/>
        </w:rPr>
        <w:t xml:space="preserve">nvironment and </w:t>
      </w:r>
      <w:r>
        <w:rPr>
          <w:lang w:eastAsia="ja-JP"/>
        </w:rPr>
        <w:t>W</w:t>
      </w:r>
      <w:r w:rsidR="00FE005F">
        <w:rPr>
          <w:lang w:eastAsia="ja-JP"/>
        </w:rPr>
        <w:t>ater</w:t>
      </w:r>
      <w:r>
        <w:rPr>
          <w:lang w:eastAsia="ja-JP"/>
        </w:rPr>
        <w:t xml:space="preserve"> and welcomed 68 participants from 38</w:t>
      </w:r>
      <w:r w:rsidR="00FE005F">
        <w:rPr>
          <w:lang w:eastAsia="ja-JP"/>
        </w:rPr>
        <w:t> </w:t>
      </w:r>
      <w:r>
        <w:rPr>
          <w:lang w:eastAsia="ja-JP"/>
        </w:rPr>
        <w:t>organisations.</w:t>
      </w:r>
    </w:p>
    <w:p w14:paraId="38898833" w14:textId="276BC8ED" w:rsidR="00444876" w:rsidRDefault="00444876" w:rsidP="00BB2BBC">
      <w:pPr>
        <w:pStyle w:val="BoxText"/>
        <w:rPr>
          <w:lang w:eastAsia="ja-JP"/>
        </w:rPr>
      </w:pPr>
      <w:r>
        <w:rPr>
          <w:lang w:eastAsia="ja-JP"/>
        </w:rPr>
        <w:t xml:space="preserve">The roundtable </w:t>
      </w:r>
      <w:r w:rsidR="00FE005F">
        <w:rPr>
          <w:lang w:eastAsia="ja-JP"/>
        </w:rPr>
        <w:t xml:space="preserve">was a great success. It </w:t>
      </w:r>
      <w:r>
        <w:rPr>
          <w:lang w:eastAsia="ja-JP"/>
        </w:rPr>
        <w:t>highlighted the importance of collaboration and shared responsibility. The agenda included panels, workshops and presentations. The day focused on sharing knowledge and setting priorities for future work.</w:t>
      </w:r>
    </w:p>
    <w:p w14:paraId="72C47F50" w14:textId="4111BAFB" w:rsidR="00444876" w:rsidRDefault="00444876" w:rsidP="00444876">
      <w:pPr>
        <w:pStyle w:val="Heading2"/>
      </w:pPr>
      <w:r>
        <w:t xml:space="preserve">2026 </w:t>
      </w:r>
      <w:r w:rsidR="00BB2BBC">
        <w:t>outlook</w:t>
      </w:r>
    </w:p>
    <w:p w14:paraId="0BB2968D" w14:textId="77777777" w:rsidR="00FE005F" w:rsidRDefault="00FE005F" w:rsidP="00444876">
      <w:pPr>
        <w:rPr>
          <w:lang w:eastAsia="ja-JP"/>
        </w:rPr>
      </w:pPr>
      <w:r>
        <w:rPr>
          <w:lang w:eastAsia="ja-JP"/>
        </w:rPr>
        <w:t>In 2026, EBIG will:</w:t>
      </w:r>
    </w:p>
    <w:p w14:paraId="7755025E" w14:textId="5BDA3CFE" w:rsidR="00444876" w:rsidRDefault="00FE005F" w:rsidP="00BB2BBC">
      <w:pPr>
        <w:pStyle w:val="ListBullet"/>
        <w:rPr>
          <w:lang w:eastAsia="ja-JP"/>
        </w:rPr>
      </w:pPr>
      <w:r>
        <w:rPr>
          <w:lang w:eastAsia="ja-JP"/>
        </w:rPr>
        <w:t>p</w:t>
      </w:r>
      <w:r w:rsidR="00444876">
        <w:rPr>
          <w:lang w:eastAsia="ja-JP"/>
        </w:rPr>
        <w:t>rogress action to deliver global biodiversity targets including for invasive species through Australia’s Strategy for Nature</w:t>
      </w:r>
    </w:p>
    <w:p w14:paraId="1348B5FB" w14:textId="231E7A14" w:rsidR="00444876" w:rsidRDefault="00FE005F" w:rsidP="00BB2BBC">
      <w:pPr>
        <w:pStyle w:val="ListBullet"/>
        <w:rPr>
          <w:lang w:eastAsia="ja-JP"/>
        </w:rPr>
      </w:pPr>
      <w:r>
        <w:rPr>
          <w:lang w:eastAsia="ja-JP"/>
        </w:rPr>
        <w:t>i</w:t>
      </w:r>
      <w:r w:rsidR="00444876">
        <w:rPr>
          <w:lang w:eastAsia="ja-JP"/>
        </w:rPr>
        <w:t>mplement agreed recommendations from the Inspector-General of Biosecurity environmental biosecurity review</w:t>
      </w:r>
    </w:p>
    <w:p w14:paraId="6AD9B913" w14:textId="5E62B104" w:rsidR="00444876" w:rsidRPr="00444876" w:rsidRDefault="00FE005F" w:rsidP="00BB2BBC">
      <w:pPr>
        <w:pStyle w:val="ListBullet"/>
        <w:rPr>
          <w:lang w:eastAsia="ja-JP"/>
        </w:rPr>
      </w:pPr>
      <w:r>
        <w:rPr>
          <w:lang w:eastAsia="ja-JP"/>
        </w:rPr>
        <w:t>h</w:t>
      </w:r>
      <w:r w:rsidR="00444876">
        <w:rPr>
          <w:lang w:eastAsia="ja-JP"/>
        </w:rPr>
        <w:t>ost the 2026 Environmental Biosecurity Roundtable</w:t>
      </w:r>
    </w:p>
    <w:p w14:paraId="6A9E56F4" w14:textId="77777777" w:rsidR="00B82095" w:rsidRPr="0080517C" w:rsidRDefault="000913B5" w:rsidP="00BB2BBC">
      <w:pPr>
        <w:pStyle w:val="Heading2"/>
      </w:pPr>
      <w:r>
        <w:t>More</w:t>
      </w:r>
      <w:r w:rsidR="00B82095" w:rsidRPr="0080517C">
        <w:t xml:space="preserve"> information</w:t>
      </w:r>
    </w:p>
    <w:p w14:paraId="553FD53E" w14:textId="58D0A57C" w:rsidR="00FE005F" w:rsidRPr="00BB2BBC" w:rsidRDefault="00FE005F" w:rsidP="00FE005F">
      <w:pPr>
        <w:rPr>
          <w:rStyle w:val="Hyperlink"/>
        </w:rPr>
      </w:pPr>
      <w:r>
        <w:t>Learn more about</w:t>
      </w:r>
      <w:r w:rsidR="00BB2BBC" w:rsidRPr="00BB2BBC">
        <w:t xml:space="preserve"> </w:t>
      </w:r>
      <w:hyperlink r:id="rId11" w:history="1">
        <w:r w:rsidR="00BB2BBC" w:rsidRPr="00BB2BBC">
          <w:rPr>
            <w:rStyle w:val="Hyperlink"/>
          </w:rPr>
          <w:t>working together for environmental biosecurity</w:t>
        </w:r>
      </w:hyperlink>
      <w:r w:rsidR="00F66DB2">
        <w:t>.</w:t>
      </w:r>
    </w:p>
    <w:p w14:paraId="64847F17" w14:textId="11659C0B" w:rsidR="00B82095" w:rsidRDefault="00B82095" w:rsidP="000E7803">
      <w:pPr>
        <w:spacing w:after="360"/>
        <w:rPr>
          <w:lang w:eastAsia="ja-JP"/>
        </w:rPr>
      </w:pPr>
      <w:r w:rsidRPr="00017ACB">
        <w:rPr>
          <w:lang w:eastAsia="ja-JP"/>
        </w:rPr>
        <w:t xml:space="preserve">Email </w:t>
      </w:r>
      <w:hyperlink r:id="rId12" w:history="1">
        <w:r w:rsidR="00FE005F" w:rsidRPr="00BC27BB">
          <w:rPr>
            <w:rStyle w:val="Hyperlink"/>
          </w:rPr>
          <w:t>ebo@aff.gov.au</w:t>
        </w:r>
      </w:hyperlink>
    </w:p>
    <w:p w14:paraId="4A0C80F4" w14:textId="77777777" w:rsidR="000A5BA0" w:rsidRDefault="000A5BA0" w:rsidP="00441CB1">
      <w:pPr>
        <w:pStyle w:val="Normalsmall"/>
        <w:spacing w:after="0"/>
      </w:pPr>
      <w:r>
        <w:rPr>
          <w:rStyle w:val="Strong"/>
        </w:rPr>
        <w:t>Acknowledgement of Country</w:t>
      </w:r>
    </w:p>
    <w:p w14:paraId="5CBBE42F"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F2DCD38" w14:textId="77777777" w:rsidR="00E9781D" w:rsidRDefault="00E9781D" w:rsidP="00E9781D">
      <w:pPr>
        <w:pStyle w:val="Normalsmall"/>
        <w:spacing w:before="360"/>
      </w:pPr>
      <w:r>
        <w:t>© Commonwealth of Australia 202</w:t>
      </w:r>
      <w:r w:rsidR="00441CB1">
        <w:t>6</w:t>
      </w:r>
    </w:p>
    <w:p w14:paraId="0B26B7A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675F96F8" w14:textId="77777777" w:rsidR="00E9781D" w:rsidRDefault="00E9781D" w:rsidP="00E9781D">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592F8F1E"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2E00" w14:textId="77777777" w:rsidR="0089720B" w:rsidRDefault="0089720B">
      <w:r>
        <w:separator/>
      </w:r>
    </w:p>
    <w:p w14:paraId="2B54A93E" w14:textId="77777777" w:rsidR="0089720B" w:rsidRDefault="0089720B"/>
    <w:p w14:paraId="69ED7115" w14:textId="77777777" w:rsidR="0089720B" w:rsidRDefault="0089720B"/>
  </w:endnote>
  <w:endnote w:type="continuationSeparator" w:id="0">
    <w:p w14:paraId="1C040B52" w14:textId="77777777" w:rsidR="0089720B" w:rsidRDefault="0089720B">
      <w:r>
        <w:continuationSeparator/>
      </w:r>
    </w:p>
    <w:p w14:paraId="623310B8" w14:textId="77777777" w:rsidR="0089720B" w:rsidRDefault="0089720B"/>
    <w:p w14:paraId="5C154B11" w14:textId="77777777" w:rsidR="0089720B" w:rsidRDefault="0089720B"/>
  </w:endnote>
  <w:endnote w:type="continuationNotice" w:id="1">
    <w:p w14:paraId="36AED049" w14:textId="77777777" w:rsidR="0089720B" w:rsidRDefault="0089720B">
      <w:pPr>
        <w:pStyle w:val="Footer"/>
      </w:pPr>
    </w:p>
    <w:p w14:paraId="6B7949F2" w14:textId="77777777" w:rsidR="0089720B" w:rsidRDefault="0089720B"/>
    <w:p w14:paraId="2716C96B" w14:textId="77777777" w:rsidR="0089720B" w:rsidRDefault="0089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4FB4"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715C7C2D" wp14:editId="2062E1D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3A3C03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C7C2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3A3C03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D467" w14:textId="01D52A87" w:rsidR="000542B4" w:rsidRDefault="005A3361" w:rsidP="00191D2A">
    <w:pPr>
      <w:pStyle w:val="Footer"/>
      <w:tabs>
        <w:tab w:val="clear" w:pos="4536"/>
        <w:tab w:val="center" w:pos="2410"/>
      </w:tabs>
    </w:pPr>
    <w:r>
      <w:rPr>
        <w:noProof/>
      </w:rPr>
      <mc:AlternateContent>
        <mc:Choice Requires="wps">
          <w:drawing>
            <wp:anchor distT="0" distB="0" distL="0" distR="0" simplePos="0" relativeHeight="251677696" behindDoc="0" locked="0" layoutInCell="1" allowOverlap="1" wp14:anchorId="58055C23" wp14:editId="2531AF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C9997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55C2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CC9997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91D2A">
      <w:t>Australian Government</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5DD" w14:textId="74346EF4"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35ECAF17" wp14:editId="5AA6E323">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B9145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CAF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7B9145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91D2A">
      <w:t>Australian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7BB3" w14:textId="77777777" w:rsidR="0089720B" w:rsidRDefault="0089720B">
      <w:r>
        <w:separator/>
      </w:r>
    </w:p>
    <w:p w14:paraId="6A016262" w14:textId="77777777" w:rsidR="0089720B" w:rsidRDefault="0089720B"/>
    <w:p w14:paraId="52283A11" w14:textId="77777777" w:rsidR="0089720B" w:rsidRDefault="0089720B"/>
  </w:footnote>
  <w:footnote w:type="continuationSeparator" w:id="0">
    <w:p w14:paraId="36E2B894" w14:textId="77777777" w:rsidR="0089720B" w:rsidRDefault="0089720B">
      <w:r>
        <w:continuationSeparator/>
      </w:r>
    </w:p>
    <w:p w14:paraId="32CFD21E" w14:textId="77777777" w:rsidR="0089720B" w:rsidRDefault="0089720B"/>
    <w:p w14:paraId="69BCA642" w14:textId="77777777" w:rsidR="0089720B" w:rsidRDefault="0089720B"/>
  </w:footnote>
  <w:footnote w:type="continuationNotice" w:id="1">
    <w:p w14:paraId="7A064D20" w14:textId="77777777" w:rsidR="0089720B" w:rsidRDefault="0089720B">
      <w:pPr>
        <w:pStyle w:val="Footer"/>
      </w:pPr>
    </w:p>
    <w:p w14:paraId="5EC9CAD2" w14:textId="77777777" w:rsidR="0089720B" w:rsidRDefault="0089720B"/>
    <w:p w14:paraId="7E76C06A" w14:textId="77777777" w:rsidR="0089720B" w:rsidRDefault="00897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22DD"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755C88D0" wp14:editId="3881A14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FABE4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C88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5FABE4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3FDE" w14:textId="574A67A4" w:rsidR="000542B4" w:rsidRDefault="005A3361">
    <w:pPr>
      <w:pStyle w:val="Header"/>
    </w:pPr>
    <w:r>
      <w:rPr>
        <w:noProof/>
      </w:rPr>
      <mc:AlternateContent>
        <mc:Choice Requires="wps">
          <w:drawing>
            <wp:anchor distT="0" distB="0" distL="0" distR="0" simplePos="0" relativeHeight="251674624" behindDoc="0" locked="0" layoutInCell="1" allowOverlap="1" wp14:anchorId="4D9CA44B" wp14:editId="361FDC6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CB3A0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CA4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FCB3A0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FE005F" w:rsidRPr="00FE005F">
      <w:t>Environmental Biosecurity Interdepartmental Group annual report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72B8" w14:textId="411393A1" w:rsidR="000E455C" w:rsidRDefault="0089720B" w:rsidP="00A8157A">
    <w:pPr>
      <w:pStyle w:val="Footer"/>
      <w:spacing w:after="0"/>
      <w:jc w:val="left"/>
    </w:pPr>
    <w:r>
      <w:rPr>
        <w:noProof/>
      </w:rPr>
      <w:drawing>
        <wp:inline distT="0" distB="0" distL="0" distR="0" wp14:anchorId="68677479" wp14:editId="57548D05">
          <wp:extent cx="2470722" cy="714878"/>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70722" cy="714878"/>
                  </a:xfrm>
                  <a:prstGeom prst="rect">
                    <a:avLst/>
                  </a:prstGeom>
                </pic:spPr>
              </pic:pic>
            </a:graphicData>
          </a:graphic>
        </wp:inline>
      </w:drawing>
    </w:r>
    <w:r w:rsidR="005A3361">
      <w:rPr>
        <w:noProof/>
      </w:rPr>
      <mc:AlternateContent>
        <mc:Choice Requires="wps">
          <w:drawing>
            <wp:anchor distT="0" distB="0" distL="0" distR="0" simplePos="0" relativeHeight="251672576" behindDoc="0" locked="0" layoutInCell="1" allowOverlap="1" wp14:anchorId="6F6F9DDD" wp14:editId="2713678C">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B3126B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9DD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B3126B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 w:numId="15" w16cid:durableId="774177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0B"/>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0B66"/>
    <w:rsid w:val="000913B5"/>
    <w:rsid w:val="000A5BA0"/>
    <w:rsid w:val="000B3924"/>
    <w:rsid w:val="000B3C44"/>
    <w:rsid w:val="000C0412"/>
    <w:rsid w:val="000C4558"/>
    <w:rsid w:val="000E455C"/>
    <w:rsid w:val="000E4D74"/>
    <w:rsid w:val="000E7803"/>
    <w:rsid w:val="000F0491"/>
    <w:rsid w:val="00113B5C"/>
    <w:rsid w:val="001233A8"/>
    <w:rsid w:val="00127B9F"/>
    <w:rsid w:val="0013173D"/>
    <w:rsid w:val="00143A7B"/>
    <w:rsid w:val="00144601"/>
    <w:rsid w:val="00160A94"/>
    <w:rsid w:val="00160DC0"/>
    <w:rsid w:val="00190D7E"/>
    <w:rsid w:val="00191D2A"/>
    <w:rsid w:val="001929D2"/>
    <w:rsid w:val="001A6968"/>
    <w:rsid w:val="001B54D1"/>
    <w:rsid w:val="001C45E1"/>
    <w:rsid w:val="001D0EF3"/>
    <w:rsid w:val="0020140C"/>
    <w:rsid w:val="00201BFB"/>
    <w:rsid w:val="00203DE1"/>
    <w:rsid w:val="00220618"/>
    <w:rsid w:val="00237A69"/>
    <w:rsid w:val="00275B58"/>
    <w:rsid w:val="00284B53"/>
    <w:rsid w:val="00296F50"/>
    <w:rsid w:val="002B1FAF"/>
    <w:rsid w:val="002B6E0A"/>
    <w:rsid w:val="002E0D11"/>
    <w:rsid w:val="002E3FD4"/>
    <w:rsid w:val="002F2461"/>
    <w:rsid w:val="002F4595"/>
    <w:rsid w:val="00300AFD"/>
    <w:rsid w:val="003032C0"/>
    <w:rsid w:val="00313401"/>
    <w:rsid w:val="00336B60"/>
    <w:rsid w:val="00347AA5"/>
    <w:rsid w:val="0035108D"/>
    <w:rsid w:val="003569F9"/>
    <w:rsid w:val="00363C00"/>
    <w:rsid w:val="00366721"/>
    <w:rsid w:val="00370990"/>
    <w:rsid w:val="00375165"/>
    <w:rsid w:val="0037698A"/>
    <w:rsid w:val="00392124"/>
    <w:rsid w:val="003937B8"/>
    <w:rsid w:val="003F73D7"/>
    <w:rsid w:val="00411260"/>
    <w:rsid w:val="0041573A"/>
    <w:rsid w:val="004365E8"/>
    <w:rsid w:val="00441CB1"/>
    <w:rsid w:val="00442630"/>
    <w:rsid w:val="0044304D"/>
    <w:rsid w:val="00444876"/>
    <w:rsid w:val="00446CB3"/>
    <w:rsid w:val="0047209F"/>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40575"/>
    <w:rsid w:val="0054262A"/>
    <w:rsid w:val="00553E9D"/>
    <w:rsid w:val="0055447F"/>
    <w:rsid w:val="00567DFC"/>
    <w:rsid w:val="00577F29"/>
    <w:rsid w:val="00592A61"/>
    <w:rsid w:val="005A3361"/>
    <w:rsid w:val="005A48A6"/>
    <w:rsid w:val="005B613F"/>
    <w:rsid w:val="005B656B"/>
    <w:rsid w:val="005C2BFD"/>
    <w:rsid w:val="005F11AC"/>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93E18"/>
    <w:rsid w:val="007B4C63"/>
    <w:rsid w:val="007C0010"/>
    <w:rsid w:val="007D25C5"/>
    <w:rsid w:val="007E69AF"/>
    <w:rsid w:val="007F4986"/>
    <w:rsid w:val="0080517C"/>
    <w:rsid w:val="00807AEF"/>
    <w:rsid w:val="00832638"/>
    <w:rsid w:val="00863E83"/>
    <w:rsid w:val="00864D72"/>
    <w:rsid w:val="00865130"/>
    <w:rsid w:val="00892F53"/>
    <w:rsid w:val="00895341"/>
    <w:rsid w:val="0089720B"/>
    <w:rsid w:val="008D2681"/>
    <w:rsid w:val="008E3B54"/>
    <w:rsid w:val="008F1712"/>
    <w:rsid w:val="008F382A"/>
    <w:rsid w:val="008F6FFE"/>
    <w:rsid w:val="00902E92"/>
    <w:rsid w:val="0090743D"/>
    <w:rsid w:val="00911F4A"/>
    <w:rsid w:val="00913D62"/>
    <w:rsid w:val="00916FC3"/>
    <w:rsid w:val="00930D38"/>
    <w:rsid w:val="009351C8"/>
    <w:rsid w:val="00943779"/>
    <w:rsid w:val="00961225"/>
    <w:rsid w:val="00974CD6"/>
    <w:rsid w:val="009844EA"/>
    <w:rsid w:val="0099431F"/>
    <w:rsid w:val="009A2BCD"/>
    <w:rsid w:val="009C206F"/>
    <w:rsid w:val="009C37F9"/>
    <w:rsid w:val="009C3FA3"/>
    <w:rsid w:val="009C5CE4"/>
    <w:rsid w:val="009D7044"/>
    <w:rsid w:val="009F4C7C"/>
    <w:rsid w:val="00A0018B"/>
    <w:rsid w:val="00A04AFD"/>
    <w:rsid w:val="00A130F7"/>
    <w:rsid w:val="00A138B6"/>
    <w:rsid w:val="00A201A2"/>
    <w:rsid w:val="00A32860"/>
    <w:rsid w:val="00A473C3"/>
    <w:rsid w:val="00A62CD6"/>
    <w:rsid w:val="00A62F99"/>
    <w:rsid w:val="00A65D84"/>
    <w:rsid w:val="00A67434"/>
    <w:rsid w:val="00A77E8E"/>
    <w:rsid w:val="00A8157A"/>
    <w:rsid w:val="00A92CD3"/>
    <w:rsid w:val="00AA1D89"/>
    <w:rsid w:val="00AB665C"/>
    <w:rsid w:val="00AE0D97"/>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B2BBC"/>
    <w:rsid w:val="00BC321A"/>
    <w:rsid w:val="00BC3323"/>
    <w:rsid w:val="00BD4F8E"/>
    <w:rsid w:val="00BE345B"/>
    <w:rsid w:val="00BF6B40"/>
    <w:rsid w:val="00C262AE"/>
    <w:rsid w:val="00C52FE2"/>
    <w:rsid w:val="00C6128D"/>
    <w:rsid w:val="00C73278"/>
    <w:rsid w:val="00C765C8"/>
    <w:rsid w:val="00C82029"/>
    <w:rsid w:val="00C9283A"/>
    <w:rsid w:val="00C95039"/>
    <w:rsid w:val="00CA4615"/>
    <w:rsid w:val="00CA7C6F"/>
    <w:rsid w:val="00CB4E93"/>
    <w:rsid w:val="00CD3A6F"/>
    <w:rsid w:val="00CD6263"/>
    <w:rsid w:val="00CE7F36"/>
    <w:rsid w:val="00CF7D08"/>
    <w:rsid w:val="00D04A3C"/>
    <w:rsid w:val="00D06C32"/>
    <w:rsid w:val="00D22097"/>
    <w:rsid w:val="00D36C41"/>
    <w:rsid w:val="00D4039B"/>
    <w:rsid w:val="00D55A85"/>
    <w:rsid w:val="00D750D0"/>
    <w:rsid w:val="00D87480"/>
    <w:rsid w:val="00D96EC0"/>
    <w:rsid w:val="00DB0F8E"/>
    <w:rsid w:val="00DB71FD"/>
    <w:rsid w:val="00DC453F"/>
    <w:rsid w:val="00DC57F0"/>
    <w:rsid w:val="00DE546F"/>
    <w:rsid w:val="00DF241E"/>
    <w:rsid w:val="00DF6463"/>
    <w:rsid w:val="00DF754D"/>
    <w:rsid w:val="00E223F4"/>
    <w:rsid w:val="00E25A07"/>
    <w:rsid w:val="00E333DF"/>
    <w:rsid w:val="00E44E91"/>
    <w:rsid w:val="00E60E5E"/>
    <w:rsid w:val="00E83C41"/>
    <w:rsid w:val="00E87842"/>
    <w:rsid w:val="00E9781D"/>
    <w:rsid w:val="00EA5D76"/>
    <w:rsid w:val="00EC2925"/>
    <w:rsid w:val="00EC5579"/>
    <w:rsid w:val="00EC5C40"/>
    <w:rsid w:val="00ED1D17"/>
    <w:rsid w:val="00ED774B"/>
    <w:rsid w:val="00EE0118"/>
    <w:rsid w:val="00EE49CE"/>
    <w:rsid w:val="00EE7C8D"/>
    <w:rsid w:val="00EF24B1"/>
    <w:rsid w:val="00EF3918"/>
    <w:rsid w:val="00F01D00"/>
    <w:rsid w:val="00F22825"/>
    <w:rsid w:val="00F23AF2"/>
    <w:rsid w:val="00F30857"/>
    <w:rsid w:val="00F330C3"/>
    <w:rsid w:val="00F3602D"/>
    <w:rsid w:val="00F637B6"/>
    <w:rsid w:val="00F66DB2"/>
    <w:rsid w:val="00F67822"/>
    <w:rsid w:val="00F75F33"/>
    <w:rsid w:val="00F84236"/>
    <w:rsid w:val="00FB689D"/>
    <w:rsid w:val="00FC2CE4"/>
    <w:rsid w:val="00FC379E"/>
    <w:rsid w:val="00FD337C"/>
    <w:rsid w:val="00FD3BAE"/>
    <w:rsid w:val="00FD5236"/>
    <w:rsid w:val="00FD7D5B"/>
    <w:rsid w:val="00FE005F"/>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E3B"/>
  <w15:docId w15:val="{5A3F454B-EB9F-45F9-B8BA-B1CA50DC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bo@aff.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environmental/stakeholder-engag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57acef2915613e5993774fabae4a7d59">
  <xsd:schema xmlns:xsd="http://www.w3.org/2001/XMLSchema" xmlns:xs="http://www.w3.org/2001/XMLSchema" xmlns:p="http://schemas.microsoft.com/office/2006/metadata/properties" xmlns:ns2="c527c9b7-9ec8-4c5f-a515-89657b782942" targetNamespace="http://schemas.microsoft.com/office/2006/metadata/properties" ma:root="true" ma:fieldsID="05c88171a8fd2974d8eda4a26dff6127"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577F1D-7B3B-44C8-A5E3-A6EC6BBC1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c527c9b7-9ec8-4c5f-a515-89657b782942"/>
    <ds:schemaRef ds:uri="http://purl.org/dc/elements/1.1/"/>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4</TotalTime>
  <Pages>2</Pages>
  <Words>581</Words>
  <Characters>3770</Characters>
  <Application>Microsoft Office Word</Application>
  <DocSecurity>0</DocSecurity>
  <Lines>60</Lines>
  <Paragraphs>31</Paragraphs>
  <ScaleCrop>false</ScaleCrop>
  <HeadingPairs>
    <vt:vector size="2" baseType="variant">
      <vt:variant>
        <vt:lpstr>Title</vt:lpstr>
      </vt:variant>
      <vt:variant>
        <vt:i4>1</vt:i4>
      </vt:variant>
    </vt:vector>
  </HeadingPairs>
  <TitlesOfParts>
    <vt:vector size="1" baseType="lpstr">
      <vt:lpstr>Environmental Biosecurity Interdepartmental Group annual report 2025</vt:lpstr>
    </vt:vector>
  </TitlesOfParts>
  <Company/>
  <LinksUpToDate>false</LinksUpToDate>
  <CharactersWithSpaces>4332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Biosecurity Interdepartmental Group annual report 2025</dc:title>
  <dc:creator>Australian Government</dc:creator>
  <cp:lastModifiedBy>Nash, Chelsea</cp:lastModifiedBy>
  <cp:revision>6</cp:revision>
  <cp:lastPrinted>2022-10-26T05:30:00Z</cp:lastPrinted>
  <dcterms:created xsi:type="dcterms:W3CDTF">2026-05-13T00:55:00Z</dcterms:created>
  <dcterms:modified xsi:type="dcterms:W3CDTF">2026-05-14T03:09:00Z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ies>
</file>