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FCDD" w14:textId="28CBAB52" w:rsidR="0040284F" w:rsidRDefault="00A34F32" w:rsidP="0013173D">
      <w:pPr>
        <w:pStyle w:val="Date"/>
      </w:pPr>
      <w:r>
        <w:t xml:space="preserve">November </w:t>
      </w:r>
      <w:r w:rsidR="00B82095">
        <w:t>20</w:t>
      </w:r>
      <w:r w:rsidR="0044304D">
        <w:t>2</w:t>
      </w:r>
      <w:r w:rsidR="004A46C2">
        <w:t>5</w:t>
      </w:r>
    </w:p>
    <w:p w14:paraId="0E5D3650" w14:textId="77777777" w:rsidR="0040284F" w:rsidRDefault="00C95B80" w:rsidP="004F7076">
      <w:pPr>
        <w:pStyle w:val="Heading1"/>
      </w:pPr>
      <w:bookmarkStart w:id="0" w:name="_Toc208567558"/>
      <w:bookmarkStart w:id="1" w:name="_Toc208570241"/>
      <w:bookmarkStart w:id="2" w:name="_Toc209001248"/>
      <w:bookmarkStart w:id="3" w:name="_Toc209457610"/>
      <w:bookmarkStart w:id="4" w:name="_Toc209517089"/>
      <w:bookmarkStart w:id="5" w:name="_Toc210124241"/>
      <w:bookmarkStart w:id="6" w:name="_Ref210125232"/>
      <w:r w:rsidRPr="003E6B45">
        <w:t>Climate-related financial disclosures: what does it mean for farm</w:t>
      </w:r>
      <w:r>
        <w:t xml:space="preserve"> businesses</w:t>
      </w:r>
      <w:r w:rsidRPr="003E6B45">
        <w:t>?</w:t>
      </w:r>
      <w:bookmarkEnd w:id="0"/>
      <w:bookmarkEnd w:id="1"/>
      <w:bookmarkEnd w:id="2"/>
    </w:p>
    <w:p w14:paraId="4FAA27CC" w14:textId="77777777" w:rsidR="0040284F" w:rsidRDefault="00184D12" w:rsidP="00CB4BAD">
      <w:pPr>
        <w:pStyle w:val="TOCHeading"/>
        <w:rPr>
          <w:sz w:val="32"/>
          <w:szCs w:val="32"/>
        </w:rPr>
      </w:pPr>
      <w:r w:rsidRPr="004638E7">
        <w:rPr>
          <w:sz w:val="32"/>
          <w:szCs w:val="32"/>
        </w:rPr>
        <w:t>Contents</w:t>
      </w:r>
    </w:p>
    <w:p w14:paraId="000CF767" w14:textId="186FA88C" w:rsidR="00681B45" w:rsidRDefault="002F2481">
      <w:pPr>
        <w:pStyle w:val="TOC1"/>
        <w:rPr>
          <w:rFonts w:eastAsiaTheme="minorEastAsia"/>
          <w:b w:val="0"/>
          <w:kern w:val="2"/>
          <w:sz w:val="24"/>
          <w:szCs w:val="24"/>
          <w:lang w:eastAsia="en-AU"/>
          <w14:ligatures w14:val="standardContextual"/>
        </w:rPr>
      </w:pPr>
      <w:r>
        <w:fldChar w:fldCharType="begin"/>
      </w:r>
      <w:r>
        <w:instrText xml:space="preserve"> TOC \h \z \t "Heading 2,1,Heading 3,2,Heading 4,3" </w:instrText>
      </w:r>
      <w:r>
        <w:fldChar w:fldCharType="separate"/>
      </w:r>
      <w:hyperlink w:anchor="_Toc210317867" w:history="1">
        <w:r w:rsidR="00681B45" w:rsidRPr="00DA370E">
          <w:rPr>
            <w:rStyle w:val="Hyperlink"/>
          </w:rPr>
          <w:t>Summary</w:t>
        </w:r>
        <w:r w:rsidR="00681B45">
          <w:rPr>
            <w:webHidden/>
          </w:rPr>
          <w:tab/>
        </w:r>
        <w:r w:rsidR="00681B45">
          <w:rPr>
            <w:webHidden/>
          </w:rPr>
          <w:fldChar w:fldCharType="begin"/>
        </w:r>
        <w:r w:rsidR="00681B45">
          <w:rPr>
            <w:webHidden/>
          </w:rPr>
          <w:instrText xml:space="preserve"> PAGEREF _Toc210317867 \h </w:instrText>
        </w:r>
        <w:r w:rsidR="00681B45">
          <w:rPr>
            <w:webHidden/>
          </w:rPr>
        </w:r>
        <w:r w:rsidR="00681B45">
          <w:rPr>
            <w:webHidden/>
          </w:rPr>
          <w:fldChar w:fldCharType="separate"/>
        </w:r>
        <w:r w:rsidR="001067FF">
          <w:rPr>
            <w:webHidden/>
          </w:rPr>
          <w:t>ii</w:t>
        </w:r>
        <w:r w:rsidR="00681B45">
          <w:rPr>
            <w:webHidden/>
          </w:rPr>
          <w:fldChar w:fldCharType="end"/>
        </w:r>
      </w:hyperlink>
    </w:p>
    <w:p w14:paraId="0C7BDF52" w14:textId="59A0EFBF" w:rsidR="00681B45" w:rsidRDefault="00681B45">
      <w:pPr>
        <w:pStyle w:val="TOC2"/>
        <w:rPr>
          <w:rFonts w:eastAsiaTheme="minorEastAsia"/>
          <w:kern w:val="2"/>
          <w:sz w:val="24"/>
          <w:szCs w:val="24"/>
          <w:lang w:eastAsia="en-AU"/>
          <w14:ligatures w14:val="standardContextual"/>
        </w:rPr>
      </w:pPr>
      <w:hyperlink w:anchor="_Toc210317868" w:history="1">
        <w:r w:rsidRPr="00DA370E">
          <w:rPr>
            <w:rStyle w:val="Hyperlink"/>
          </w:rPr>
          <w:t>Climate-related financial disclosures decision tree</w:t>
        </w:r>
        <w:r>
          <w:rPr>
            <w:webHidden/>
          </w:rPr>
          <w:tab/>
        </w:r>
        <w:r>
          <w:rPr>
            <w:webHidden/>
          </w:rPr>
          <w:fldChar w:fldCharType="begin"/>
        </w:r>
        <w:r>
          <w:rPr>
            <w:webHidden/>
          </w:rPr>
          <w:instrText xml:space="preserve"> PAGEREF _Toc210317868 \h </w:instrText>
        </w:r>
        <w:r>
          <w:rPr>
            <w:webHidden/>
          </w:rPr>
        </w:r>
        <w:r>
          <w:rPr>
            <w:webHidden/>
          </w:rPr>
          <w:fldChar w:fldCharType="separate"/>
        </w:r>
        <w:r w:rsidR="001067FF">
          <w:rPr>
            <w:webHidden/>
          </w:rPr>
          <w:t>ii</w:t>
        </w:r>
        <w:r>
          <w:rPr>
            <w:webHidden/>
          </w:rPr>
          <w:fldChar w:fldCharType="end"/>
        </w:r>
      </w:hyperlink>
    </w:p>
    <w:p w14:paraId="07330969" w14:textId="234F8EB5" w:rsidR="00681B45" w:rsidRDefault="00681B45">
      <w:pPr>
        <w:pStyle w:val="TOC1"/>
        <w:rPr>
          <w:rFonts w:eastAsiaTheme="minorEastAsia"/>
          <w:b w:val="0"/>
          <w:kern w:val="2"/>
          <w:sz w:val="24"/>
          <w:szCs w:val="24"/>
          <w:lang w:eastAsia="en-AU"/>
          <w14:ligatures w14:val="standardContextual"/>
        </w:rPr>
      </w:pPr>
      <w:hyperlink w:anchor="_Toc210317869" w:history="1">
        <w:r w:rsidRPr="00DA370E">
          <w:rPr>
            <w:rStyle w:val="Hyperlink"/>
          </w:rPr>
          <w:t>Introduction</w:t>
        </w:r>
        <w:r>
          <w:rPr>
            <w:webHidden/>
          </w:rPr>
          <w:tab/>
        </w:r>
        <w:r>
          <w:rPr>
            <w:webHidden/>
          </w:rPr>
          <w:fldChar w:fldCharType="begin"/>
        </w:r>
        <w:r>
          <w:rPr>
            <w:webHidden/>
          </w:rPr>
          <w:instrText xml:space="preserve"> PAGEREF _Toc210317869 \h </w:instrText>
        </w:r>
        <w:r>
          <w:rPr>
            <w:webHidden/>
          </w:rPr>
        </w:r>
        <w:r>
          <w:rPr>
            <w:webHidden/>
          </w:rPr>
          <w:fldChar w:fldCharType="separate"/>
        </w:r>
        <w:r w:rsidR="001067FF">
          <w:rPr>
            <w:webHidden/>
          </w:rPr>
          <w:t>1</w:t>
        </w:r>
        <w:r>
          <w:rPr>
            <w:webHidden/>
          </w:rPr>
          <w:fldChar w:fldCharType="end"/>
        </w:r>
      </w:hyperlink>
    </w:p>
    <w:p w14:paraId="4BFCC041" w14:textId="4D02E1E0" w:rsidR="00681B45" w:rsidRDefault="00681B45">
      <w:pPr>
        <w:pStyle w:val="TOC2"/>
        <w:rPr>
          <w:rFonts w:eastAsiaTheme="minorEastAsia"/>
          <w:kern w:val="2"/>
          <w:sz w:val="24"/>
          <w:szCs w:val="24"/>
          <w:lang w:eastAsia="en-AU"/>
          <w14:ligatures w14:val="standardContextual"/>
        </w:rPr>
      </w:pPr>
      <w:hyperlink w:anchor="_Toc210317870" w:history="1">
        <w:r w:rsidRPr="00DA370E">
          <w:rPr>
            <w:rStyle w:val="Hyperlink"/>
          </w:rPr>
          <w:t>What are climate-related financial disclosures?</w:t>
        </w:r>
        <w:r>
          <w:rPr>
            <w:webHidden/>
          </w:rPr>
          <w:tab/>
        </w:r>
        <w:r>
          <w:rPr>
            <w:webHidden/>
          </w:rPr>
          <w:fldChar w:fldCharType="begin"/>
        </w:r>
        <w:r>
          <w:rPr>
            <w:webHidden/>
          </w:rPr>
          <w:instrText xml:space="preserve"> PAGEREF _Toc210317870 \h </w:instrText>
        </w:r>
        <w:r>
          <w:rPr>
            <w:webHidden/>
          </w:rPr>
        </w:r>
        <w:r>
          <w:rPr>
            <w:webHidden/>
          </w:rPr>
          <w:fldChar w:fldCharType="separate"/>
        </w:r>
        <w:r w:rsidR="001067FF">
          <w:rPr>
            <w:webHidden/>
          </w:rPr>
          <w:t>1</w:t>
        </w:r>
        <w:r>
          <w:rPr>
            <w:webHidden/>
          </w:rPr>
          <w:fldChar w:fldCharType="end"/>
        </w:r>
      </w:hyperlink>
    </w:p>
    <w:p w14:paraId="3A684D5B" w14:textId="56A38719" w:rsidR="00681B45" w:rsidRDefault="00681B45">
      <w:pPr>
        <w:pStyle w:val="TOC2"/>
        <w:rPr>
          <w:rFonts w:eastAsiaTheme="minorEastAsia"/>
          <w:kern w:val="2"/>
          <w:sz w:val="24"/>
          <w:szCs w:val="24"/>
          <w:lang w:eastAsia="en-AU"/>
          <w14:ligatures w14:val="standardContextual"/>
        </w:rPr>
      </w:pPr>
      <w:hyperlink w:anchor="_Toc210317871" w:history="1">
        <w:r w:rsidRPr="00DA370E">
          <w:rPr>
            <w:rStyle w:val="Hyperlink"/>
          </w:rPr>
          <w:t>Why are climate-related financial disclosures now mandatory?</w:t>
        </w:r>
        <w:r>
          <w:rPr>
            <w:webHidden/>
          </w:rPr>
          <w:tab/>
        </w:r>
        <w:r>
          <w:rPr>
            <w:webHidden/>
          </w:rPr>
          <w:fldChar w:fldCharType="begin"/>
        </w:r>
        <w:r>
          <w:rPr>
            <w:webHidden/>
          </w:rPr>
          <w:instrText xml:space="preserve"> PAGEREF _Toc210317871 \h </w:instrText>
        </w:r>
        <w:r>
          <w:rPr>
            <w:webHidden/>
          </w:rPr>
        </w:r>
        <w:r>
          <w:rPr>
            <w:webHidden/>
          </w:rPr>
          <w:fldChar w:fldCharType="separate"/>
        </w:r>
        <w:r w:rsidR="001067FF">
          <w:rPr>
            <w:webHidden/>
          </w:rPr>
          <w:t>1</w:t>
        </w:r>
        <w:r>
          <w:rPr>
            <w:webHidden/>
          </w:rPr>
          <w:fldChar w:fldCharType="end"/>
        </w:r>
      </w:hyperlink>
    </w:p>
    <w:p w14:paraId="4E6C7838" w14:textId="62362DA1" w:rsidR="00681B45" w:rsidRDefault="00681B45">
      <w:pPr>
        <w:pStyle w:val="TOC3"/>
        <w:rPr>
          <w:rFonts w:eastAsiaTheme="minorEastAsia"/>
          <w:kern w:val="2"/>
          <w:sz w:val="24"/>
          <w:szCs w:val="24"/>
          <w:lang w:eastAsia="en-AU"/>
          <w14:ligatures w14:val="standardContextual"/>
        </w:rPr>
      </w:pPr>
      <w:hyperlink w:anchor="_Toc210317872" w:history="1">
        <w:r w:rsidRPr="00DA370E">
          <w:rPr>
            <w:rStyle w:val="Hyperlink"/>
          </w:rPr>
          <w:t>Climate-related risks impact financial performance of businesses</w:t>
        </w:r>
        <w:r>
          <w:rPr>
            <w:webHidden/>
          </w:rPr>
          <w:tab/>
        </w:r>
        <w:r>
          <w:rPr>
            <w:webHidden/>
          </w:rPr>
          <w:fldChar w:fldCharType="begin"/>
        </w:r>
        <w:r>
          <w:rPr>
            <w:webHidden/>
          </w:rPr>
          <w:instrText xml:space="preserve"> PAGEREF _Toc210317872 \h </w:instrText>
        </w:r>
        <w:r>
          <w:rPr>
            <w:webHidden/>
          </w:rPr>
        </w:r>
        <w:r>
          <w:rPr>
            <w:webHidden/>
          </w:rPr>
          <w:fldChar w:fldCharType="separate"/>
        </w:r>
        <w:r w:rsidR="001067FF">
          <w:rPr>
            <w:webHidden/>
          </w:rPr>
          <w:t>1</w:t>
        </w:r>
        <w:r>
          <w:rPr>
            <w:webHidden/>
          </w:rPr>
          <w:fldChar w:fldCharType="end"/>
        </w:r>
      </w:hyperlink>
    </w:p>
    <w:p w14:paraId="324CE638" w14:textId="271E0462" w:rsidR="00681B45" w:rsidRDefault="00681B45">
      <w:pPr>
        <w:pStyle w:val="TOC2"/>
        <w:rPr>
          <w:rFonts w:eastAsiaTheme="minorEastAsia"/>
          <w:kern w:val="2"/>
          <w:sz w:val="24"/>
          <w:szCs w:val="24"/>
          <w:lang w:eastAsia="en-AU"/>
          <w14:ligatures w14:val="standardContextual"/>
        </w:rPr>
      </w:pPr>
      <w:hyperlink w:anchor="_Toc210317873" w:history="1">
        <w:r w:rsidRPr="00DA370E">
          <w:rPr>
            <w:rStyle w:val="Hyperlink"/>
          </w:rPr>
          <w:t>Are only large businesses required to prepare a sustainability report?</w:t>
        </w:r>
        <w:r>
          <w:rPr>
            <w:webHidden/>
          </w:rPr>
          <w:tab/>
        </w:r>
        <w:r>
          <w:rPr>
            <w:webHidden/>
          </w:rPr>
          <w:fldChar w:fldCharType="begin"/>
        </w:r>
        <w:r>
          <w:rPr>
            <w:webHidden/>
          </w:rPr>
          <w:instrText xml:space="preserve"> PAGEREF _Toc210317873 \h </w:instrText>
        </w:r>
        <w:r>
          <w:rPr>
            <w:webHidden/>
          </w:rPr>
        </w:r>
        <w:r>
          <w:rPr>
            <w:webHidden/>
          </w:rPr>
          <w:fldChar w:fldCharType="separate"/>
        </w:r>
        <w:r w:rsidR="001067FF">
          <w:rPr>
            <w:webHidden/>
          </w:rPr>
          <w:t>2</w:t>
        </w:r>
        <w:r>
          <w:rPr>
            <w:webHidden/>
          </w:rPr>
          <w:fldChar w:fldCharType="end"/>
        </w:r>
      </w:hyperlink>
    </w:p>
    <w:p w14:paraId="4B28BF12" w14:textId="62B52F5B" w:rsidR="00681B45" w:rsidRDefault="00681B45">
      <w:pPr>
        <w:pStyle w:val="TOC2"/>
        <w:rPr>
          <w:rFonts w:eastAsiaTheme="minorEastAsia"/>
          <w:kern w:val="2"/>
          <w:sz w:val="24"/>
          <w:szCs w:val="24"/>
          <w:lang w:eastAsia="en-AU"/>
          <w14:ligatures w14:val="standardContextual"/>
        </w:rPr>
      </w:pPr>
      <w:hyperlink w:anchor="_Toc210317874" w:history="1">
        <w:r w:rsidRPr="00DA370E">
          <w:rPr>
            <w:rStyle w:val="Hyperlink"/>
          </w:rPr>
          <w:t>When do the new disclosure requirements commence?</w:t>
        </w:r>
        <w:r>
          <w:rPr>
            <w:webHidden/>
          </w:rPr>
          <w:tab/>
        </w:r>
        <w:r>
          <w:rPr>
            <w:webHidden/>
          </w:rPr>
          <w:fldChar w:fldCharType="begin"/>
        </w:r>
        <w:r>
          <w:rPr>
            <w:webHidden/>
          </w:rPr>
          <w:instrText xml:space="preserve"> PAGEREF _Toc210317874 \h </w:instrText>
        </w:r>
        <w:r>
          <w:rPr>
            <w:webHidden/>
          </w:rPr>
        </w:r>
        <w:r>
          <w:rPr>
            <w:webHidden/>
          </w:rPr>
          <w:fldChar w:fldCharType="separate"/>
        </w:r>
        <w:r w:rsidR="001067FF">
          <w:rPr>
            <w:webHidden/>
          </w:rPr>
          <w:t>2</w:t>
        </w:r>
        <w:r>
          <w:rPr>
            <w:webHidden/>
          </w:rPr>
          <w:fldChar w:fldCharType="end"/>
        </w:r>
      </w:hyperlink>
    </w:p>
    <w:p w14:paraId="7536EF60" w14:textId="38984BCE" w:rsidR="00681B45" w:rsidRDefault="00681B45">
      <w:pPr>
        <w:pStyle w:val="TOC2"/>
        <w:rPr>
          <w:rFonts w:eastAsiaTheme="minorEastAsia"/>
          <w:kern w:val="2"/>
          <w:sz w:val="24"/>
          <w:szCs w:val="24"/>
          <w:lang w:eastAsia="en-AU"/>
          <w14:ligatures w14:val="standardContextual"/>
        </w:rPr>
      </w:pPr>
      <w:hyperlink w:anchor="_Toc210317875" w:history="1">
        <w:r w:rsidRPr="00DA370E">
          <w:rPr>
            <w:rStyle w:val="Hyperlink"/>
          </w:rPr>
          <w:t>How will greenhouse gas emissions be reported?</w:t>
        </w:r>
        <w:r>
          <w:rPr>
            <w:webHidden/>
          </w:rPr>
          <w:tab/>
        </w:r>
        <w:r>
          <w:rPr>
            <w:webHidden/>
          </w:rPr>
          <w:fldChar w:fldCharType="begin"/>
        </w:r>
        <w:r>
          <w:rPr>
            <w:webHidden/>
          </w:rPr>
          <w:instrText xml:space="preserve"> PAGEREF _Toc210317875 \h </w:instrText>
        </w:r>
        <w:r>
          <w:rPr>
            <w:webHidden/>
          </w:rPr>
        </w:r>
        <w:r>
          <w:rPr>
            <w:webHidden/>
          </w:rPr>
          <w:fldChar w:fldCharType="separate"/>
        </w:r>
        <w:r w:rsidR="001067FF">
          <w:rPr>
            <w:webHidden/>
          </w:rPr>
          <w:t>3</w:t>
        </w:r>
        <w:r>
          <w:rPr>
            <w:webHidden/>
          </w:rPr>
          <w:fldChar w:fldCharType="end"/>
        </w:r>
      </w:hyperlink>
    </w:p>
    <w:p w14:paraId="578A2DE9" w14:textId="478784D8" w:rsidR="00681B45" w:rsidRDefault="00681B45">
      <w:pPr>
        <w:pStyle w:val="TOC2"/>
        <w:rPr>
          <w:rFonts w:eastAsiaTheme="minorEastAsia"/>
          <w:kern w:val="2"/>
          <w:sz w:val="24"/>
          <w:szCs w:val="24"/>
          <w:lang w:eastAsia="en-AU"/>
          <w14:ligatures w14:val="standardContextual"/>
        </w:rPr>
      </w:pPr>
      <w:hyperlink w:anchor="_Toc210317876" w:history="1">
        <w:r w:rsidRPr="00DA370E">
          <w:rPr>
            <w:rStyle w:val="Hyperlink"/>
          </w:rPr>
          <w:t>What are scope 1, 2 and 3 emissions?</w:t>
        </w:r>
        <w:r>
          <w:rPr>
            <w:webHidden/>
          </w:rPr>
          <w:tab/>
        </w:r>
        <w:r>
          <w:rPr>
            <w:webHidden/>
          </w:rPr>
          <w:fldChar w:fldCharType="begin"/>
        </w:r>
        <w:r>
          <w:rPr>
            <w:webHidden/>
          </w:rPr>
          <w:instrText xml:space="preserve"> PAGEREF _Toc210317876 \h </w:instrText>
        </w:r>
        <w:r>
          <w:rPr>
            <w:webHidden/>
          </w:rPr>
        </w:r>
        <w:r>
          <w:rPr>
            <w:webHidden/>
          </w:rPr>
          <w:fldChar w:fldCharType="separate"/>
        </w:r>
        <w:r w:rsidR="001067FF">
          <w:rPr>
            <w:webHidden/>
          </w:rPr>
          <w:t>3</w:t>
        </w:r>
        <w:r>
          <w:rPr>
            <w:webHidden/>
          </w:rPr>
          <w:fldChar w:fldCharType="end"/>
        </w:r>
      </w:hyperlink>
    </w:p>
    <w:p w14:paraId="6B101D2E" w14:textId="628B460D" w:rsidR="00681B45" w:rsidRDefault="00681B45">
      <w:pPr>
        <w:pStyle w:val="TOC3"/>
        <w:rPr>
          <w:rFonts w:eastAsiaTheme="minorEastAsia"/>
          <w:kern w:val="2"/>
          <w:sz w:val="24"/>
          <w:szCs w:val="24"/>
          <w:lang w:eastAsia="en-AU"/>
          <w14:ligatures w14:val="standardContextual"/>
        </w:rPr>
      </w:pPr>
      <w:hyperlink w:anchor="_Toc210317877" w:history="1">
        <w:r w:rsidRPr="00DA370E">
          <w:rPr>
            <w:rStyle w:val="Hyperlink"/>
          </w:rPr>
          <w:t>Scope 1 – Direct emissions</w:t>
        </w:r>
        <w:r>
          <w:rPr>
            <w:webHidden/>
          </w:rPr>
          <w:tab/>
        </w:r>
        <w:r>
          <w:rPr>
            <w:webHidden/>
          </w:rPr>
          <w:fldChar w:fldCharType="begin"/>
        </w:r>
        <w:r>
          <w:rPr>
            <w:webHidden/>
          </w:rPr>
          <w:instrText xml:space="preserve"> PAGEREF _Toc210317877 \h </w:instrText>
        </w:r>
        <w:r>
          <w:rPr>
            <w:webHidden/>
          </w:rPr>
        </w:r>
        <w:r>
          <w:rPr>
            <w:webHidden/>
          </w:rPr>
          <w:fldChar w:fldCharType="separate"/>
        </w:r>
        <w:r w:rsidR="001067FF">
          <w:rPr>
            <w:webHidden/>
          </w:rPr>
          <w:t>3</w:t>
        </w:r>
        <w:r>
          <w:rPr>
            <w:webHidden/>
          </w:rPr>
          <w:fldChar w:fldCharType="end"/>
        </w:r>
      </w:hyperlink>
    </w:p>
    <w:p w14:paraId="643C703C" w14:textId="1008BE83" w:rsidR="00681B45" w:rsidRDefault="00681B45">
      <w:pPr>
        <w:pStyle w:val="TOC3"/>
        <w:rPr>
          <w:rFonts w:eastAsiaTheme="minorEastAsia"/>
          <w:kern w:val="2"/>
          <w:sz w:val="24"/>
          <w:szCs w:val="24"/>
          <w:lang w:eastAsia="en-AU"/>
          <w14:ligatures w14:val="standardContextual"/>
        </w:rPr>
      </w:pPr>
      <w:hyperlink w:anchor="_Toc210317878" w:history="1">
        <w:r w:rsidRPr="00DA370E">
          <w:rPr>
            <w:rStyle w:val="Hyperlink"/>
          </w:rPr>
          <w:t>Scope 2 – Indirect energy emissions</w:t>
        </w:r>
        <w:r>
          <w:rPr>
            <w:webHidden/>
          </w:rPr>
          <w:tab/>
        </w:r>
        <w:r>
          <w:rPr>
            <w:webHidden/>
          </w:rPr>
          <w:fldChar w:fldCharType="begin"/>
        </w:r>
        <w:r>
          <w:rPr>
            <w:webHidden/>
          </w:rPr>
          <w:instrText xml:space="preserve"> PAGEREF _Toc210317878 \h </w:instrText>
        </w:r>
        <w:r>
          <w:rPr>
            <w:webHidden/>
          </w:rPr>
        </w:r>
        <w:r>
          <w:rPr>
            <w:webHidden/>
          </w:rPr>
          <w:fldChar w:fldCharType="separate"/>
        </w:r>
        <w:r w:rsidR="001067FF">
          <w:rPr>
            <w:webHidden/>
          </w:rPr>
          <w:t>3</w:t>
        </w:r>
        <w:r>
          <w:rPr>
            <w:webHidden/>
          </w:rPr>
          <w:fldChar w:fldCharType="end"/>
        </w:r>
      </w:hyperlink>
    </w:p>
    <w:p w14:paraId="7DAA97D1" w14:textId="0E8F985C" w:rsidR="00681B45" w:rsidRDefault="00681B45">
      <w:pPr>
        <w:pStyle w:val="TOC3"/>
        <w:rPr>
          <w:rFonts w:eastAsiaTheme="minorEastAsia"/>
          <w:kern w:val="2"/>
          <w:sz w:val="24"/>
          <w:szCs w:val="24"/>
          <w:lang w:eastAsia="en-AU"/>
          <w14:ligatures w14:val="standardContextual"/>
        </w:rPr>
      </w:pPr>
      <w:hyperlink w:anchor="_Toc210317879" w:history="1">
        <w:r w:rsidRPr="00DA370E">
          <w:rPr>
            <w:rStyle w:val="Hyperlink"/>
          </w:rPr>
          <w:t>Scope 3 – Value chain emissions (upstream and downstream)</w:t>
        </w:r>
        <w:r>
          <w:rPr>
            <w:webHidden/>
          </w:rPr>
          <w:tab/>
        </w:r>
        <w:r>
          <w:rPr>
            <w:webHidden/>
          </w:rPr>
          <w:fldChar w:fldCharType="begin"/>
        </w:r>
        <w:r>
          <w:rPr>
            <w:webHidden/>
          </w:rPr>
          <w:instrText xml:space="preserve"> PAGEREF _Toc210317879 \h </w:instrText>
        </w:r>
        <w:r>
          <w:rPr>
            <w:webHidden/>
          </w:rPr>
        </w:r>
        <w:r>
          <w:rPr>
            <w:webHidden/>
          </w:rPr>
          <w:fldChar w:fldCharType="separate"/>
        </w:r>
        <w:r w:rsidR="001067FF">
          <w:rPr>
            <w:webHidden/>
          </w:rPr>
          <w:t>4</w:t>
        </w:r>
        <w:r>
          <w:rPr>
            <w:webHidden/>
          </w:rPr>
          <w:fldChar w:fldCharType="end"/>
        </w:r>
      </w:hyperlink>
    </w:p>
    <w:p w14:paraId="148F2DF5" w14:textId="3F5468E3" w:rsidR="00681B45" w:rsidRDefault="00681B45">
      <w:pPr>
        <w:pStyle w:val="TOC1"/>
        <w:rPr>
          <w:rFonts w:eastAsiaTheme="minorEastAsia"/>
          <w:b w:val="0"/>
          <w:kern w:val="2"/>
          <w:sz w:val="24"/>
          <w:szCs w:val="24"/>
          <w:lang w:eastAsia="en-AU"/>
          <w14:ligatures w14:val="standardContextual"/>
        </w:rPr>
      </w:pPr>
      <w:hyperlink w:anchor="_Toc210317880" w:history="1">
        <w:r w:rsidRPr="00DA370E">
          <w:rPr>
            <w:rStyle w:val="Hyperlink"/>
          </w:rPr>
          <w:t>Implications for farm businesses</w:t>
        </w:r>
        <w:r>
          <w:rPr>
            <w:webHidden/>
          </w:rPr>
          <w:tab/>
        </w:r>
        <w:r>
          <w:rPr>
            <w:webHidden/>
          </w:rPr>
          <w:fldChar w:fldCharType="begin"/>
        </w:r>
        <w:r>
          <w:rPr>
            <w:webHidden/>
          </w:rPr>
          <w:instrText xml:space="preserve"> PAGEREF _Toc210317880 \h </w:instrText>
        </w:r>
        <w:r>
          <w:rPr>
            <w:webHidden/>
          </w:rPr>
        </w:r>
        <w:r>
          <w:rPr>
            <w:webHidden/>
          </w:rPr>
          <w:fldChar w:fldCharType="separate"/>
        </w:r>
        <w:r w:rsidR="001067FF">
          <w:rPr>
            <w:webHidden/>
          </w:rPr>
          <w:t>4</w:t>
        </w:r>
        <w:r>
          <w:rPr>
            <w:webHidden/>
          </w:rPr>
          <w:fldChar w:fldCharType="end"/>
        </w:r>
      </w:hyperlink>
    </w:p>
    <w:p w14:paraId="53E2BB63" w14:textId="10FE7D13" w:rsidR="00681B45" w:rsidRDefault="00681B45">
      <w:pPr>
        <w:pStyle w:val="TOC2"/>
        <w:rPr>
          <w:rFonts w:eastAsiaTheme="minorEastAsia"/>
          <w:kern w:val="2"/>
          <w:sz w:val="24"/>
          <w:szCs w:val="24"/>
          <w:lang w:eastAsia="en-AU"/>
          <w14:ligatures w14:val="standardContextual"/>
        </w:rPr>
      </w:pPr>
      <w:hyperlink w:anchor="_Toc210317881" w:history="1">
        <w:r w:rsidRPr="00DA370E">
          <w:rPr>
            <w:rStyle w:val="Hyperlink"/>
          </w:rPr>
          <w:t>How do I know if the reporting requirements apply directly to my farm business?</w:t>
        </w:r>
        <w:r>
          <w:rPr>
            <w:webHidden/>
          </w:rPr>
          <w:tab/>
        </w:r>
        <w:r>
          <w:rPr>
            <w:webHidden/>
          </w:rPr>
          <w:fldChar w:fldCharType="begin"/>
        </w:r>
        <w:r>
          <w:rPr>
            <w:webHidden/>
          </w:rPr>
          <w:instrText xml:space="preserve"> PAGEREF _Toc210317881 \h </w:instrText>
        </w:r>
        <w:r>
          <w:rPr>
            <w:webHidden/>
          </w:rPr>
        </w:r>
        <w:r>
          <w:rPr>
            <w:webHidden/>
          </w:rPr>
          <w:fldChar w:fldCharType="separate"/>
        </w:r>
        <w:r w:rsidR="001067FF">
          <w:rPr>
            <w:webHidden/>
          </w:rPr>
          <w:t>4</w:t>
        </w:r>
        <w:r>
          <w:rPr>
            <w:webHidden/>
          </w:rPr>
          <w:fldChar w:fldCharType="end"/>
        </w:r>
      </w:hyperlink>
    </w:p>
    <w:p w14:paraId="3C3BA553" w14:textId="3AB3C6A5" w:rsidR="00681B45" w:rsidRDefault="00681B45">
      <w:pPr>
        <w:pStyle w:val="TOC3"/>
        <w:rPr>
          <w:rFonts w:eastAsiaTheme="minorEastAsia"/>
          <w:kern w:val="2"/>
          <w:sz w:val="24"/>
          <w:szCs w:val="24"/>
          <w:lang w:eastAsia="en-AU"/>
          <w14:ligatures w14:val="standardContextual"/>
        </w:rPr>
      </w:pPr>
      <w:hyperlink w:anchor="_Toc210317882" w:history="1">
        <w:r w:rsidRPr="00DA370E">
          <w:rPr>
            <w:rStyle w:val="Hyperlink"/>
          </w:rPr>
          <w:t>For sole traders, partnerships and trusts</w:t>
        </w:r>
        <w:r>
          <w:rPr>
            <w:webHidden/>
          </w:rPr>
          <w:tab/>
        </w:r>
        <w:r>
          <w:rPr>
            <w:webHidden/>
          </w:rPr>
          <w:fldChar w:fldCharType="begin"/>
        </w:r>
        <w:r>
          <w:rPr>
            <w:webHidden/>
          </w:rPr>
          <w:instrText xml:space="preserve"> PAGEREF _Toc210317882 \h </w:instrText>
        </w:r>
        <w:r>
          <w:rPr>
            <w:webHidden/>
          </w:rPr>
        </w:r>
        <w:r>
          <w:rPr>
            <w:webHidden/>
          </w:rPr>
          <w:fldChar w:fldCharType="separate"/>
        </w:r>
        <w:r w:rsidR="001067FF">
          <w:rPr>
            <w:webHidden/>
          </w:rPr>
          <w:t>4</w:t>
        </w:r>
        <w:r>
          <w:rPr>
            <w:webHidden/>
          </w:rPr>
          <w:fldChar w:fldCharType="end"/>
        </w:r>
      </w:hyperlink>
    </w:p>
    <w:p w14:paraId="57422B41" w14:textId="156ACDAB" w:rsidR="00681B45" w:rsidRDefault="00681B45">
      <w:pPr>
        <w:pStyle w:val="TOC3"/>
        <w:rPr>
          <w:rFonts w:eastAsiaTheme="minorEastAsia"/>
          <w:kern w:val="2"/>
          <w:sz w:val="24"/>
          <w:szCs w:val="24"/>
          <w:lang w:eastAsia="en-AU"/>
          <w14:ligatures w14:val="standardContextual"/>
        </w:rPr>
      </w:pPr>
      <w:hyperlink w:anchor="_Toc210317883" w:history="1">
        <w:r w:rsidRPr="00DA370E">
          <w:rPr>
            <w:rStyle w:val="Hyperlink"/>
          </w:rPr>
          <w:t>For companies</w:t>
        </w:r>
        <w:r>
          <w:rPr>
            <w:webHidden/>
          </w:rPr>
          <w:tab/>
        </w:r>
        <w:r>
          <w:rPr>
            <w:webHidden/>
          </w:rPr>
          <w:fldChar w:fldCharType="begin"/>
        </w:r>
        <w:r>
          <w:rPr>
            <w:webHidden/>
          </w:rPr>
          <w:instrText xml:space="preserve"> PAGEREF _Toc210317883 \h </w:instrText>
        </w:r>
        <w:r>
          <w:rPr>
            <w:webHidden/>
          </w:rPr>
        </w:r>
        <w:r>
          <w:rPr>
            <w:webHidden/>
          </w:rPr>
          <w:fldChar w:fldCharType="separate"/>
        </w:r>
        <w:r w:rsidR="001067FF">
          <w:rPr>
            <w:webHidden/>
          </w:rPr>
          <w:t>4</w:t>
        </w:r>
        <w:r>
          <w:rPr>
            <w:webHidden/>
          </w:rPr>
          <w:fldChar w:fldCharType="end"/>
        </w:r>
      </w:hyperlink>
    </w:p>
    <w:p w14:paraId="20824F1B" w14:textId="4708AA92" w:rsidR="00681B45" w:rsidRDefault="00681B45">
      <w:pPr>
        <w:pStyle w:val="TOC2"/>
        <w:rPr>
          <w:rFonts w:eastAsiaTheme="minorEastAsia"/>
          <w:kern w:val="2"/>
          <w:sz w:val="24"/>
          <w:szCs w:val="24"/>
          <w:lang w:eastAsia="en-AU"/>
          <w14:ligatures w14:val="standardContextual"/>
        </w:rPr>
      </w:pPr>
      <w:hyperlink w:anchor="_Toc210317884" w:history="1">
        <w:r w:rsidRPr="00DA370E">
          <w:rPr>
            <w:rStyle w:val="Hyperlink"/>
          </w:rPr>
          <w:t>Will the reporting requirements apply indirectly to my farm business?</w:t>
        </w:r>
        <w:r>
          <w:rPr>
            <w:webHidden/>
          </w:rPr>
          <w:tab/>
        </w:r>
        <w:r>
          <w:rPr>
            <w:webHidden/>
          </w:rPr>
          <w:fldChar w:fldCharType="begin"/>
        </w:r>
        <w:r>
          <w:rPr>
            <w:webHidden/>
          </w:rPr>
          <w:instrText xml:space="preserve"> PAGEREF _Toc210317884 \h </w:instrText>
        </w:r>
        <w:r>
          <w:rPr>
            <w:webHidden/>
          </w:rPr>
        </w:r>
        <w:r>
          <w:rPr>
            <w:webHidden/>
          </w:rPr>
          <w:fldChar w:fldCharType="separate"/>
        </w:r>
        <w:r w:rsidR="001067FF">
          <w:rPr>
            <w:webHidden/>
          </w:rPr>
          <w:t>5</w:t>
        </w:r>
        <w:r>
          <w:rPr>
            <w:webHidden/>
          </w:rPr>
          <w:fldChar w:fldCharType="end"/>
        </w:r>
      </w:hyperlink>
    </w:p>
    <w:p w14:paraId="42218744" w14:textId="20782CBF" w:rsidR="00681B45" w:rsidRDefault="00681B45">
      <w:pPr>
        <w:pStyle w:val="TOC2"/>
        <w:rPr>
          <w:rFonts w:eastAsiaTheme="minorEastAsia"/>
          <w:kern w:val="2"/>
          <w:sz w:val="24"/>
          <w:szCs w:val="24"/>
          <w:lang w:eastAsia="en-AU"/>
          <w14:ligatures w14:val="standardContextual"/>
        </w:rPr>
      </w:pPr>
      <w:hyperlink w:anchor="_Toc210317885" w:history="1">
        <w:r w:rsidRPr="00DA370E">
          <w:rPr>
            <w:rStyle w:val="Hyperlink"/>
          </w:rPr>
          <w:t>What should I do if I am asked to provide farm-level emissions data under the new requirements?</w:t>
        </w:r>
        <w:r>
          <w:rPr>
            <w:webHidden/>
          </w:rPr>
          <w:tab/>
        </w:r>
        <w:r>
          <w:rPr>
            <w:webHidden/>
          </w:rPr>
          <w:fldChar w:fldCharType="begin"/>
        </w:r>
        <w:r>
          <w:rPr>
            <w:webHidden/>
          </w:rPr>
          <w:instrText xml:space="preserve"> PAGEREF _Toc210317885 \h </w:instrText>
        </w:r>
        <w:r>
          <w:rPr>
            <w:webHidden/>
          </w:rPr>
        </w:r>
        <w:r>
          <w:rPr>
            <w:webHidden/>
          </w:rPr>
          <w:fldChar w:fldCharType="separate"/>
        </w:r>
        <w:r w:rsidR="001067FF">
          <w:rPr>
            <w:webHidden/>
          </w:rPr>
          <w:t>5</w:t>
        </w:r>
        <w:r>
          <w:rPr>
            <w:webHidden/>
          </w:rPr>
          <w:fldChar w:fldCharType="end"/>
        </w:r>
      </w:hyperlink>
    </w:p>
    <w:p w14:paraId="1B4F07FC" w14:textId="2ABF7195" w:rsidR="00681B45" w:rsidRDefault="00681B45">
      <w:pPr>
        <w:pStyle w:val="TOC2"/>
        <w:rPr>
          <w:rFonts w:eastAsiaTheme="minorEastAsia"/>
          <w:kern w:val="2"/>
          <w:sz w:val="24"/>
          <w:szCs w:val="24"/>
          <w:lang w:eastAsia="en-AU"/>
          <w14:ligatures w14:val="standardContextual"/>
        </w:rPr>
      </w:pPr>
      <w:hyperlink w:anchor="_Toc210317886" w:history="1">
        <w:r w:rsidRPr="00DA370E">
          <w:rPr>
            <w:rStyle w:val="Hyperlink"/>
          </w:rPr>
          <w:t>Am I obligated to provide farm-level data?</w:t>
        </w:r>
        <w:r>
          <w:rPr>
            <w:webHidden/>
          </w:rPr>
          <w:tab/>
        </w:r>
        <w:r>
          <w:rPr>
            <w:webHidden/>
          </w:rPr>
          <w:fldChar w:fldCharType="begin"/>
        </w:r>
        <w:r>
          <w:rPr>
            <w:webHidden/>
          </w:rPr>
          <w:instrText xml:space="preserve"> PAGEREF _Toc210317886 \h </w:instrText>
        </w:r>
        <w:r>
          <w:rPr>
            <w:webHidden/>
          </w:rPr>
        </w:r>
        <w:r>
          <w:rPr>
            <w:webHidden/>
          </w:rPr>
          <w:fldChar w:fldCharType="separate"/>
        </w:r>
        <w:r w:rsidR="001067FF">
          <w:rPr>
            <w:webHidden/>
          </w:rPr>
          <w:t>5</w:t>
        </w:r>
        <w:r>
          <w:rPr>
            <w:webHidden/>
          </w:rPr>
          <w:fldChar w:fldCharType="end"/>
        </w:r>
      </w:hyperlink>
    </w:p>
    <w:p w14:paraId="41F1FE93" w14:textId="626A5009" w:rsidR="00681B45" w:rsidRDefault="00681B45">
      <w:pPr>
        <w:pStyle w:val="TOC3"/>
        <w:rPr>
          <w:rFonts w:eastAsiaTheme="minorEastAsia"/>
          <w:kern w:val="2"/>
          <w:sz w:val="24"/>
          <w:szCs w:val="24"/>
          <w:lang w:eastAsia="en-AU"/>
          <w14:ligatures w14:val="standardContextual"/>
        </w:rPr>
      </w:pPr>
      <w:hyperlink w:anchor="_Toc210317887" w:history="1">
        <w:r w:rsidRPr="00DA370E">
          <w:rPr>
            <w:rStyle w:val="Hyperlink"/>
          </w:rPr>
          <w:t>Other commercial considerations</w:t>
        </w:r>
        <w:r>
          <w:rPr>
            <w:webHidden/>
          </w:rPr>
          <w:tab/>
        </w:r>
        <w:r>
          <w:rPr>
            <w:webHidden/>
          </w:rPr>
          <w:fldChar w:fldCharType="begin"/>
        </w:r>
        <w:r>
          <w:rPr>
            <w:webHidden/>
          </w:rPr>
          <w:instrText xml:space="preserve"> PAGEREF _Toc210317887 \h </w:instrText>
        </w:r>
        <w:r>
          <w:rPr>
            <w:webHidden/>
          </w:rPr>
        </w:r>
        <w:r>
          <w:rPr>
            <w:webHidden/>
          </w:rPr>
          <w:fldChar w:fldCharType="separate"/>
        </w:r>
        <w:r w:rsidR="001067FF">
          <w:rPr>
            <w:webHidden/>
          </w:rPr>
          <w:t>5</w:t>
        </w:r>
        <w:r>
          <w:rPr>
            <w:webHidden/>
          </w:rPr>
          <w:fldChar w:fldCharType="end"/>
        </w:r>
      </w:hyperlink>
    </w:p>
    <w:p w14:paraId="7BC037CC" w14:textId="7FF21CB5" w:rsidR="00681B45" w:rsidRDefault="00681B45">
      <w:pPr>
        <w:pStyle w:val="TOC2"/>
        <w:rPr>
          <w:rFonts w:eastAsiaTheme="minorEastAsia"/>
          <w:kern w:val="2"/>
          <w:sz w:val="24"/>
          <w:szCs w:val="24"/>
          <w:lang w:eastAsia="en-AU"/>
          <w14:ligatures w14:val="standardContextual"/>
        </w:rPr>
      </w:pPr>
      <w:hyperlink w:anchor="_Toc210317888" w:history="1">
        <w:r w:rsidRPr="00DA370E">
          <w:rPr>
            <w:rStyle w:val="Hyperlink"/>
          </w:rPr>
          <w:t>What tools can I use to estimate on-farm emissions?</w:t>
        </w:r>
        <w:r>
          <w:rPr>
            <w:webHidden/>
          </w:rPr>
          <w:tab/>
        </w:r>
        <w:r>
          <w:rPr>
            <w:webHidden/>
          </w:rPr>
          <w:fldChar w:fldCharType="begin"/>
        </w:r>
        <w:r>
          <w:rPr>
            <w:webHidden/>
          </w:rPr>
          <w:instrText xml:space="preserve"> PAGEREF _Toc210317888 \h </w:instrText>
        </w:r>
        <w:r>
          <w:rPr>
            <w:webHidden/>
          </w:rPr>
        </w:r>
        <w:r>
          <w:rPr>
            <w:webHidden/>
          </w:rPr>
          <w:fldChar w:fldCharType="separate"/>
        </w:r>
        <w:r w:rsidR="001067FF">
          <w:rPr>
            <w:webHidden/>
          </w:rPr>
          <w:t>6</w:t>
        </w:r>
        <w:r>
          <w:rPr>
            <w:webHidden/>
          </w:rPr>
          <w:fldChar w:fldCharType="end"/>
        </w:r>
      </w:hyperlink>
    </w:p>
    <w:p w14:paraId="18298A9E" w14:textId="04E66A8C" w:rsidR="00681B45" w:rsidRDefault="00681B45">
      <w:pPr>
        <w:pStyle w:val="TOC2"/>
        <w:rPr>
          <w:rFonts w:eastAsiaTheme="minorEastAsia"/>
          <w:kern w:val="2"/>
          <w:sz w:val="24"/>
          <w:szCs w:val="24"/>
          <w:lang w:eastAsia="en-AU"/>
          <w14:ligatures w14:val="standardContextual"/>
        </w:rPr>
      </w:pPr>
      <w:hyperlink w:anchor="_Toc210317889" w:history="1">
        <w:r w:rsidRPr="00DA370E">
          <w:rPr>
            <w:rStyle w:val="Hyperlink"/>
          </w:rPr>
          <w:t>What practical insights can farmers gain from sustainability reports?</w:t>
        </w:r>
        <w:r>
          <w:rPr>
            <w:webHidden/>
          </w:rPr>
          <w:tab/>
        </w:r>
        <w:r>
          <w:rPr>
            <w:webHidden/>
          </w:rPr>
          <w:fldChar w:fldCharType="begin"/>
        </w:r>
        <w:r>
          <w:rPr>
            <w:webHidden/>
          </w:rPr>
          <w:instrText xml:space="preserve"> PAGEREF _Toc210317889 \h </w:instrText>
        </w:r>
        <w:r>
          <w:rPr>
            <w:webHidden/>
          </w:rPr>
        </w:r>
        <w:r>
          <w:rPr>
            <w:webHidden/>
          </w:rPr>
          <w:fldChar w:fldCharType="separate"/>
        </w:r>
        <w:r w:rsidR="001067FF">
          <w:rPr>
            <w:webHidden/>
          </w:rPr>
          <w:t>6</w:t>
        </w:r>
        <w:r>
          <w:rPr>
            <w:webHidden/>
          </w:rPr>
          <w:fldChar w:fldCharType="end"/>
        </w:r>
      </w:hyperlink>
    </w:p>
    <w:p w14:paraId="0CB78C78" w14:textId="7F135EE8" w:rsidR="00681B45" w:rsidRDefault="00681B45">
      <w:pPr>
        <w:pStyle w:val="TOC2"/>
        <w:rPr>
          <w:rFonts w:eastAsiaTheme="minorEastAsia"/>
          <w:kern w:val="2"/>
          <w:sz w:val="24"/>
          <w:szCs w:val="24"/>
          <w:lang w:eastAsia="en-AU"/>
          <w14:ligatures w14:val="standardContextual"/>
        </w:rPr>
      </w:pPr>
      <w:hyperlink w:anchor="_Toc210317890" w:history="1">
        <w:r w:rsidRPr="00DA370E">
          <w:rPr>
            <w:rStyle w:val="Hyperlink"/>
          </w:rPr>
          <w:t>How do I benefit from ‘knowing my number’?</w:t>
        </w:r>
        <w:r>
          <w:rPr>
            <w:webHidden/>
          </w:rPr>
          <w:tab/>
        </w:r>
        <w:r>
          <w:rPr>
            <w:webHidden/>
          </w:rPr>
          <w:fldChar w:fldCharType="begin"/>
        </w:r>
        <w:r>
          <w:rPr>
            <w:webHidden/>
          </w:rPr>
          <w:instrText xml:space="preserve"> PAGEREF _Toc210317890 \h </w:instrText>
        </w:r>
        <w:r>
          <w:rPr>
            <w:webHidden/>
          </w:rPr>
        </w:r>
        <w:r>
          <w:rPr>
            <w:webHidden/>
          </w:rPr>
          <w:fldChar w:fldCharType="separate"/>
        </w:r>
        <w:r w:rsidR="001067FF">
          <w:rPr>
            <w:webHidden/>
          </w:rPr>
          <w:t>7</w:t>
        </w:r>
        <w:r>
          <w:rPr>
            <w:webHidden/>
          </w:rPr>
          <w:fldChar w:fldCharType="end"/>
        </w:r>
      </w:hyperlink>
    </w:p>
    <w:p w14:paraId="78948C7D" w14:textId="44C26486" w:rsidR="00681B45" w:rsidRDefault="00681B45">
      <w:pPr>
        <w:pStyle w:val="TOC2"/>
        <w:rPr>
          <w:rFonts w:eastAsiaTheme="minorEastAsia"/>
          <w:kern w:val="2"/>
          <w:sz w:val="24"/>
          <w:szCs w:val="24"/>
          <w:lang w:eastAsia="en-AU"/>
          <w14:ligatures w14:val="standardContextual"/>
        </w:rPr>
      </w:pPr>
      <w:hyperlink w:anchor="_Toc210317891" w:history="1">
        <w:r w:rsidRPr="00DA370E">
          <w:rPr>
            <w:rStyle w:val="Hyperlink"/>
          </w:rPr>
          <w:t>Where can I access professional advice?</w:t>
        </w:r>
        <w:r>
          <w:rPr>
            <w:webHidden/>
          </w:rPr>
          <w:tab/>
        </w:r>
        <w:r>
          <w:rPr>
            <w:webHidden/>
          </w:rPr>
          <w:fldChar w:fldCharType="begin"/>
        </w:r>
        <w:r>
          <w:rPr>
            <w:webHidden/>
          </w:rPr>
          <w:instrText xml:space="preserve"> PAGEREF _Toc210317891 \h </w:instrText>
        </w:r>
        <w:r>
          <w:rPr>
            <w:webHidden/>
          </w:rPr>
        </w:r>
        <w:r>
          <w:rPr>
            <w:webHidden/>
          </w:rPr>
          <w:fldChar w:fldCharType="separate"/>
        </w:r>
        <w:r w:rsidR="001067FF">
          <w:rPr>
            <w:webHidden/>
          </w:rPr>
          <w:t>7</w:t>
        </w:r>
        <w:r>
          <w:rPr>
            <w:webHidden/>
          </w:rPr>
          <w:fldChar w:fldCharType="end"/>
        </w:r>
      </w:hyperlink>
    </w:p>
    <w:p w14:paraId="2E4783B3" w14:textId="75DEA0C0" w:rsidR="0040284F" w:rsidRDefault="002F2481" w:rsidP="0040179A">
      <w:pPr>
        <w:pStyle w:val="Heading2"/>
      </w:pPr>
      <w:r>
        <w:fldChar w:fldCharType="end"/>
      </w:r>
      <w:bookmarkStart w:id="7" w:name="_Toc210317867"/>
      <w:r w:rsidR="00B71F7E" w:rsidRPr="00AE72A5">
        <w:t>Summary</w:t>
      </w:r>
      <w:bookmarkEnd w:id="3"/>
      <w:bookmarkEnd w:id="4"/>
      <w:bookmarkEnd w:id="5"/>
      <w:bookmarkEnd w:id="6"/>
      <w:bookmarkEnd w:id="7"/>
    </w:p>
    <w:p w14:paraId="2A7BE827" w14:textId="77777777" w:rsidR="0040284F" w:rsidRDefault="005A232B" w:rsidP="005A232B">
      <w:bookmarkStart w:id="8" w:name="_Toc209457611"/>
      <w:bookmarkStart w:id="9" w:name="_Toc209517090"/>
      <w:bookmarkStart w:id="10" w:name="_Toc210124242"/>
      <w:bookmarkStart w:id="11" w:name="_Ref210125249"/>
      <w:r>
        <w:t>Public c</w:t>
      </w:r>
      <w:r w:rsidRPr="00FA560F">
        <w:t xml:space="preserve">ompanies are </w:t>
      </w:r>
      <w:r>
        <w:t xml:space="preserve">already </w:t>
      </w:r>
      <w:r w:rsidRPr="00FA560F">
        <w:t xml:space="preserve">required to disclose material </w:t>
      </w:r>
      <w:r>
        <w:t xml:space="preserve">information about </w:t>
      </w:r>
      <w:r w:rsidRPr="00FA560F">
        <w:t xml:space="preserve">financial risks to their business as part of their annual and continuous disclosure obligations under the </w:t>
      </w:r>
      <w:r w:rsidRPr="000F5AF0">
        <w:rPr>
          <w:i/>
          <w:iCs/>
        </w:rPr>
        <w:t>Corporations Act 2001</w:t>
      </w:r>
      <w:r>
        <w:t>.</w:t>
      </w:r>
    </w:p>
    <w:p w14:paraId="4DDBE545" w14:textId="77777777" w:rsidR="0040284F" w:rsidRDefault="005A232B" w:rsidP="005A232B">
      <w:r>
        <w:t xml:space="preserve">Many </w:t>
      </w:r>
      <w:r w:rsidRPr="00DC468A">
        <w:t xml:space="preserve">large companies </w:t>
      </w:r>
      <w:r>
        <w:t>had</w:t>
      </w:r>
      <w:r w:rsidRPr="00DC468A">
        <w:t xml:space="preserve"> already started disclosing their climate risks and opportunities in response to demands from their investors</w:t>
      </w:r>
      <w:r>
        <w:t>.</w:t>
      </w:r>
    </w:p>
    <w:p w14:paraId="6C6DCE75" w14:textId="77777777" w:rsidR="0040284F" w:rsidRDefault="005A232B" w:rsidP="005A232B">
      <w:r>
        <w:t xml:space="preserve">In 2024, </w:t>
      </w:r>
      <w:r w:rsidRPr="00A5331D">
        <w:t xml:space="preserve">Australia introduced requirements for large businesses and financial institutions to disclose </w:t>
      </w:r>
      <w:r>
        <w:t xml:space="preserve">material </w:t>
      </w:r>
      <w:r w:rsidRPr="00A5331D">
        <w:t xml:space="preserve">information on </w:t>
      </w:r>
      <w:r w:rsidRPr="009E3655">
        <w:rPr>
          <w:rStyle w:val="Strong"/>
        </w:rPr>
        <w:t>climate-related financial risks and opportunities</w:t>
      </w:r>
      <w:r w:rsidRPr="00A5331D">
        <w:t>.</w:t>
      </w:r>
    </w:p>
    <w:p w14:paraId="5F8949CA" w14:textId="77777777" w:rsidR="0040284F" w:rsidRDefault="005A232B" w:rsidP="005A232B">
      <w:r w:rsidRPr="000D071B">
        <w:t>These disclosures must be contained in a ‘sustainability report’ and lodged with the Australian Securities and Investments Commission (ASIC) as part of the annual reports</w:t>
      </w:r>
      <w:r>
        <w:t>. I</w:t>
      </w:r>
      <w:r w:rsidRPr="00A83AE7">
        <w:t xml:space="preserve">nvestors and </w:t>
      </w:r>
      <w:r>
        <w:t>others who rely on financial reports can use this information to support their decisions.</w:t>
      </w:r>
    </w:p>
    <w:p w14:paraId="3A968EA2" w14:textId="77777777" w:rsidR="0040284F" w:rsidRDefault="005A232B" w:rsidP="005A232B">
      <w:r w:rsidRPr="00A83AE7">
        <w:t xml:space="preserve">The new requirements </w:t>
      </w:r>
      <w:r>
        <w:t xml:space="preserve">are being phased-in over three years. They have already </w:t>
      </w:r>
      <w:r w:rsidRPr="00A83AE7">
        <w:t xml:space="preserve">commenced for the largest entities </w:t>
      </w:r>
      <w:r>
        <w:t>for the</w:t>
      </w:r>
      <w:r w:rsidRPr="00A83AE7">
        <w:t xml:space="preserve"> financial years beginning on or after 1 January 2025</w:t>
      </w:r>
      <w:r>
        <w:t>.</w:t>
      </w:r>
    </w:p>
    <w:p w14:paraId="40FE8DB4" w14:textId="77777777" w:rsidR="0040284F" w:rsidRDefault="005A232B" w:rsidP="005A232B">
      <w:r>
        <w:t>ASIC</w:t>
      </w:r>
      <w:r w:rsidRPr="00A83AE7">
        <w:t xml:space="preserve"> </w:t>
      </w:r>
      <w:r>
        <w:t>has</w:t>
      </w:r>
      <w:r w:rsidRPr="00A83AE7">
        <w:t xml:space="preserve"> published a </w:t>
      </w:r>
      <w:hyperlink r:id="rId11" w:history="1">
        <w:r w:rsidRPr="0078538E">
          <w:rPr>
            <w:rStyle w:val="Hyperlink"/>
          </w:rPr>
          <w:t>regulatory guide</w:t>
        </w:r>
      </w:hyperlink>
      <w:r w:rsidRPr="00A83AE7">
        <w:t xml:space="preserve"> alongside a host of information on </w:t>
      </w:r>
      <w:hyperlink r:id="rId12" w:history="1">
        <w:r w:rsidRPr="00400768">
          <w:rPr>
            <w:rStyle w:val="Hyperlink"/>
          </w:rPr>
          <w:t>sustainability reporting requirements</w:t>
        </w:r>
      </w:hyperlink>
      <w:r>
        <w:t xml:space="preserve"> on </w:t>
      </w:r>
      <w:r w:rsidRPr="00A83AE7">
        <w:t xml:space="preserve">their website. This </w:t>
      </w:r>
      <w:r>
        <w:t xml:space="preserve">information </w:t>
      </w:r>
      <w:r w:rsidRPr="00A83AE7">
        <w:t xml:space="preserve">may assist business owners </w:t>
      </w:r>
      <w:r w:rsidRPr="004D45CE">
        <w:t xml:space="preserve">and other stakeholders </w:t>
      </w:r>
      <w:r w:rsidRPr="00A83AE7">
        <w:t>that wish to learn more about the new requirements.</w:t>
      </w:r>
    </w:p>
    <w:p w14:paraId="6D5A6C6B" w14:textId="77777777" w:rsidR="0040284F" w:rsidRDefault="005A232B" w:rsidP="005A232B">
      <w:r w:rsidRPr="00A83AE7">
        <w:t xml:space="preserve">Businesses </w:t>
      </w:r>
      <w:r w:rsidRPr="004D29D0">
        <w:t>that do not have to lodge an annual financial report with ASIC under Chapter 2M of the Corporations Act are</w:t>
      </w:r>
      <w:r w:rsidRPr="00A83AE7">
        <w:t xml:space="preserve"> not required to prepare a sustainability report.</w:t>
      </w:r>
    </w:p>
    <w:p w14:paraId="42E9AE8E" w14:textId="77777777" w:rsidR="0040284F" w:rsidRDefault="005A232B" w:rsidP="005A232B">
      <w:pPr>
        <w:rPr>
          <w:rStyle w:val="Strong"/>
        </w:rPr>
      </w:pPr>
      <w:r w:rsidRPr="003A09C1">
        <w:rPr>
          <w:rStyle w:val="Strong"/>
        </w:rPr>
        <w:t xml:space="preserve">This means that </w:t>
      </w:r>
      <w:proofErr w:type="gramStart"/>
      <w:r w:rsidRPr="003A09C1">
        <w:rPr>
          <w:rStyle w:val="Strong"/>
        </w:rPr>
        <w:t>the vast majority of</w:t>
      </w:r>
      <w:proofErr w:type="gramEnd"/>
      <w:r w:rsidRPr="003A09C1">
        <w:rPr>
          <w:rStyle w:val="Strong"/>
        </w:rPr>
        <w:t xml:space="preserve"> Australian farmers will not have any direct legal obligations under the climate-related financial disclosure rules.</w:t>
      </w:r>
    </w:p>
    <w:p w14:paraId="36F002DA" w14:textId="77777777" w:rsidR="0040284F" w:rsidRDefault="005A232B" w:rsidP="005A232B">
      <w:r>
        <w:t xml:space="preserve">Farmers are however asking questions about the requirement for scope 3 emissions reporting in climate-related financial disclosures. </w:t>
      </w:r>
      <w:r w:rsidRPr="0037221F">
        <w:t>Scope 3 greenhouse gas emissions are those that occur in the value chain of an entity, such as emissions associated with purchased goods</w:t>
      </w:r>
      <w:r>
        <w:t>.</w:t>
      </w:r>
    </w:p>
    <w:p w14:paraId="048D6595" w14:textId="77777777" w:rsidR="0040284F" w:rsidRDefault="005A232B" w:rsidP="005A232B">
      <w:r>
        <w:t>Reporting e</w:t>
      </w:r>
      <w:r w:rsidRPr="00FA64DB">
        <w:t xml:space="preserve">ntities </w:t>
      </w:r>
      <w:r>
        <w:t>are permitted to</w:t>
      </w:r>
      <w:r w:rsidRPr="00FA64DB">
        <w:t xml:space="preserve"> estimate scope 3 emissions using industry averages or secondary data</w:t>
      </w:r>
      <w:r>
        <w:t>.</w:t>
      </w:r>
      <w:r w:rsidRPr="00FA64DB">
        <w:t xml:space="preserve"> </w:t>
      </w:r>
      <w:r>
        <w:t>In some cases, reporting entities may choose to request ‘primary data’ from entities in the value chain to help develop estimates</w:t>
      </w:r>
      <w:r w:rsidRPr="00AC5C40">
        <w:t>.</w:t>
      </w:r>
    </w:p>
    <w:p w14:paraId="010C9730" w14:textId="77777777" w:rsidR="0040284F" w:rsidRDefault="005A232B" w:rsidP="005A232B">
      <w:r w:rsidRPr="00DB5ECF">
        <w:t xml:space="preserve">If </w:t>
      </w:r>
      <w:r>
        <w:t>a farmer is</w:t>
      </w:r>
      <w:r w:rsidRPr="00DB5ECF">
        <w:t xml:space="preserve"> asked for information to support scope 3 emissions reporting</w:t>
      </w:r>
      <w:r>
        <w:t xml:space="preserve"> under the new requirements</w:t>
      </w:r>
      <w:r w:rsidRPr="00DB5ECF">
        <w:t xml:space="preserve">, </w:t>
      </w:r>
      <w:r>
        <w:t>they</w:t>
      </w:r>
      <w:r w:rsidRPr="00DB5ECF">
        <w:t xml:space="preserve"> </w:t>
      </w:r>
      <w:r>
        <w:t>can</w:t>
      </w:r>
      <w:r w:rsidRPr="00DB5ECF">
        <w:t xml:space="preserve"> </w:t>
      </w:r>
      <w:r>
        <w:t>note</w:t>
      </w:r>
      <w:r w:rsidRPr="00DB5ECF">
        <w:t xml:space="preserve"> that</w:t>
      </w:r>
      <w:r>
        <w:t xml:space="preserve"> the use of</w:t>
      </w:r>
      <w:r w:rsidRPr="00DB5ECF">
        <w:t xml:space="preserve"> farm-level data is not </w:t>
      </w:r>
      <w:r>
        <w:t>mandatory. They can also</w:t>
      </w:r>
      <w:r w:rsidRPr="00DB5ECF">
        <w:t xml:space="preserve"> </w:t>
      </w:r>
      <w:r>
        <w:t>ask whether the customer or supplier</w:t>
      </w:r>
      <w:r w:rsidRPr="00DB5ECF">
        <w:t xml:space="preserve"> </w:t>
      </w:r>
      <w:r>
        <w:t xml:space="preserve">has </w:t>
      </w:r>
      <w:r w:rsidRPr="00DB5ECF">
        <w:t>consider</w:t>
      </w:r>
      <w:r>
        <w:t>ed</w:t>
      </w:r>
      <w:r w:rsidRPr="00DB5ECF">
        <w:t xml:space="preserve"> using industry averages or secondary data.</w:t>
      </w:r>
    </w:p>
    <w:p w14:paraId="500B6F9F" w14:textId="77777777" w:rsidR="0040284F" w:rsidRDefault="005A232B" w:rsidP="00F56862">
      <w:pPr>
        <w:pStyle w:val="Heading3"/>
      </w:pPr>
      <w:bookmarkStart w:id="12" w:name="_Toc210317868"/>
      <w:r>
        <w:t>Climate-related financial disclosures decision tree</w:t>
      </w:r>
      <w:bookmarkEnd w:id="12"/>
    </w:p>
    <w:p w14:paraId="1668FCD7" w14:textId="5260E60B" w:rsidR="0040284F" w:rsidRDefault="005A232B" w:rsidP="005A232B">
      <w:r>
        <w:t xml:space="preserve">Following the steps in the </w:t>
      </w:r>
      <w:r w:rsidRPr="007B0474">
        <w:t xml:space="preserve">decision tree </w:t>
      </w:r>
      <w:r>
        <w:t>(</w:t>
      </w:r>
      <w:r w:rsidR="005A01FB">
        <w:fldChar w:fldCharType="begin"/>
      </w:r>
      <w:r w:rsidR="005A01FB">
        <w:instrText xml:space="preserve"> REF _Ref210299063 \h </w:instrText>
      </w:r>
      <w:r w:rsidR="005A01FB">
        <w:fldChar w:fldCharType="separate"/>
      </w:r>
      <w:r w:rsidR="001067FF">
        <w:t xml:space="preserve">Figure </w:t>
      </w:r>
      <w:r w:rsidR="001067FF">
        <w:rPr>
          <w:noProof/>
        </w:rPr>
        <w:t>1</w:t>
      </w:r>
      <w:r w:rsidR="005A01FB">
        <w:fldChar w:fldCharType="end"/>
      </w:r>
      <w:r>
        <w:t>) may</w:t>
      </w:r>
      <w:r w:rsidRPr="007B0474">
        <w:t xml:space="preserve"> help </w:t>
      </w:r>
      <w:r>
        <w:t xml:space="preserve">you understand what </w:t>
      </w:r>
      <w:r w:rsidRPr="007B0474">
        <w:t xml:space="preserve">the climate-related financial disclosures </w:t>
      </w:r>
      <w:r>
        <w:t>regime could mean for you and your farming business</w:t>
      </w:r>
      <w:r w:rsidRPr="007B0474">
        <w:t xml:space="preserve">. </w:t>
      </w:r>
      <w:r w:rsidRPr="00AC24AB">
        <w:t>This focuses only on the reporting thresholds for companies (including any consolidated subsidiaries). For the complete list of reporting thresholds, refer to ASIC</w:t>
      </w:r>
      <w:r>
        <w:t>’s</w:t>
      </w:r>
      <w:r w:rsidRPr="00AC24AB">
        <w:t xml:space="preserve"> </w:t>
      </w:r>
      <w:hyperlink r:id="rId13" w:history="1">
        <w:r w:rsidRPr="00635D16">
          <w:rPr>
            <w:rStyle w:val="Hyperlink"/>
          </w:rPr>
          <w:t xml:space="preserve">Regulatory Guide 280 </w:t>
        </w:r>
        <w:r w:rsidR="009B6ADD">
          <w:rPr>
            <w:rStyle w:val="Hyperlink"/>
          </w:rPr>
          <w:t>s</w:t>
        </w:r>
        <w:r w:rsidRPr="00635D16">
          <w:rPr>
            <w:rStyle w:val="Hyperlink"/>
          </w:rPr>
          <w:t>ustainability reporting</w:t>
        </w:r>
      </w:hyperlink>
      <w:r w:rsidRPr="00AC24AB">
        <w:t>.</w:t>
      </w:r>
    </w:p>
    <w:p w14:paraId="4A53C282" w14:textId="676F5D65" w:rsidR="0040284F" w:rsidRDefault="004C3DEB" w:rsidP="004C3DEB">
      <w:pPr>
        <w:pStyle w:val="Caption"/>
      </w:pPr>
      <w:bookmarkStart w:id="13" w:name="_Ref210299063"/>
      <w:bookmarkStart w:id="14" w:name="_Toc210302413"/>
      <w:r>
        <w:t xml:space="preserve">Figure </w:t>
      </w:r>
      <w:r>
        <w:fldChar w:fldCharType="begin"/>
      </w:r>
      <w:r>
        <w:instrText xml:space="preserve"> SEQ Figure \* ARABIC </w:instrText>
      </w:r>
      <w:r>
        <w:fldChar w:fldCharType="separate"/>
      </w:r>
      <w:r w:rsidR="001067FF">
        <w:rPr>
          <w:noProof/>
        </w:rPr>
        <w:t>1</w:t>
      </w:r>
      <w:r>
        <w:fldChar w:fldCharType="end"/>
      </w:r>
      <w:bookmarkEnd w:id="13"/>
      <w:r w:rsidRPr="004C3DEB">
        <w:t xml:space="preserve"> </w:t>
      </w:r>
      <w:r w:rsidRPr="00B71389">
        <w:t>climate-related financial disclosures decision tree</w:t>
      </w:r>
      <w:bookmarkEnd w:id="14"/>
    </w:p>
    <w:p w14:paraId="6F8423F1" w14:textId="77777777" w:rsidR="0040284F" w:rsidRDefault="001A32F0" w:rsidP="001A32F0">
      <w:pPr>
        <w:spacing w:after="0" w:line="240" w:lineRule="auto"/>
        <w:rPr>
          <w:rFonts w:ascii="Times New Roman" w:eastAsia="Times New Roman" w:hAnsi="Times New Roman" w:cs="Times New Roman"/>
          <w:sz w:val="24"/>
          <w:szCs w:val="24"/>
          <w:lang w:eastAsia="en-AU"/>
        </w:rPr>
      </w:pPr>
      <w:r w:rsidRPr="007C1D6C">
        <w:rPr>
          <w:rFonts w:ascii="Times New Roman" w:eastAsia="Times New Roman" w:hAnsi="Times New Roman" w:cs="Times New Roman"/>
          <w:noProof/>
          <w:sz w:val="24"/>
          <w:szCs w:val="24"/>
          <w:lang w:eastAsia="en-AU"/>
        </w:rPr>
        <w:drawing>
          <wp:inline distT="0" distB="0" distL="0" distR="0" wp14:anchorId="19864412" wp14:editId="2739D563">
            <wp:extent cx="5728108" cy="5942330"/>
            <wp:effectExtent l="0" t="0" r="6350" b="1270"/>
            <wp:docPr id="2112189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89337"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28108" cy="5942330"/>
                    </a:xfrm>
                    <a:prstGeom prst="rect">
                      <a:avLst/>
                    </a:prstGeom>
                    <a:noFill/>
                    <a:ln>
                      <a:noFill/>
                    </a:ln>
                  </pic:spPr>
                </pic:pic>
              </a:graphicData>
            </a:graphic>
          </wp:inline>
        </w:drawing>
      </w:r>
    </w:p>
    <w:p w14:paraId="1AAF17FF" w14:textId="2FF28256" w:rsidR="00496032" w:rsidRDefault="001A32F0" w:rsidP="00C44334">
      <w:pPr>
        <w:pStyle w:val="FigureTableNoteSource"/>
        <w:contextualSpacing w:val="0"/>
        <w:sectPr w:rsidR="00496032" w:rsidSect="00015B8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fmt="lowerRoman" w:start="1"/>
          <w:cols w:space="708"/>
          <w:titlePg/>
          <w:docGrid w:linePitch="360"/>
        </w:sectPr>
      </w:pPr>
      <w:r w:rsidRPr="00205080">
        <w:t xml:space="preserve">Note: This </w:t>
      </w:r>
      <w:r>
        <w:t>fact sheet includes</w:t>
      </w:r>
      <w:r w:rsidRPr="00205080">
        <w:t xml:space="preserve"> general information</w:t>
      </w:r>
      <w:r>
        <w:t xml:space="preserve"> that is</w:t>
      </w:r>
      <w:r w:rsidRPr="00205080">
        <w:t xml:space="preserve"> focused on small-to-medium sized businesses</w:t>
      </w:r>
      <w:r>
        <w:t xml:space="preserve">. This fact sheet draws on </w:t>
      </w:r>
      <w:r w:rsidRPr="00803DEE">
        <w:t>ASIC’s</w:t>
      </w:r>
      <w:r w:rsidRPr="00334354">
        <w:t xml:space="preserve"> </w:t>
      </w:r>
      <w:hyperlink r:id="rId21" w:history="1">
        <w:r w:rsidRPr="00BB15AE">
          <w:rPr>
            <w:rStyle w:val="Hyperlink"/>
          </w:rPr>
          <w:t>guidance for small business</w:t>
        </w:r>
      </w:hyperlink>
      <w:r w:rsidRPr="00205080">
        <w:t xml:space="preserve">. As a small-to-medium sized business, you may also choose to obtain your own advice about the new sustainability reporting requirements, and how </w:t>
      </w:r>
      <w:r w:rsidR="00E07992">
        <w:t>they</w:t>
      </w:r>
      <w:r w:rsidR="00E07992" w:rsidRPr="00205080">
        <w:t xml:space="preserve"> </w:t>
      </w:r>
      <w:r w:rsidRPr="00205080">
        <w:t>may impact you. Larger businesses</w:t>
      </w:r>
      <w:r>
        <w:t>,</w:t>
      </w:r>
      <w:r w:rsidRPr="00FA39B5">
        <w:t xml:space="preserve"> </w:t>
      </w:r>
      <w:r>
        <w:t>and any entities captured by the mandatory climate-related financial disclosure regime,</w:t>
      </w:r>
      <w:r w:rsidRPr="00205080">
        <w:t xml:space="preserve"> should refer to ASIC’s </w:t>
      </w:r>
      <w:hyperlink r:id="rId22" w:history="1">
        <w:r w:rsidRPr="006D08D8">
          <w:rPr>
            <w:rStyle w:val="Hyperlink"/>
          </w:rPr>
          <w:t>regulatory guide</w:t>
        </w:r>
      </w:hyperlink>
      <w:r w:rsidRPr="00205080">
        <w:t>.</w:t>
      </w:r>
      <w:r w:rsidR="009F30C7">
        <w:t xml:space="preserve"> </w:t>
      </w:r>
      <w:r w:rsidR="00D45173">
        <w:t xml:space="preserve">If your business is or will be required to </w:t>
      </w:r>
      <w:r w:rsidR="00483793">
        <w:t xml:space="preserve">prepare a </w:t>
      </w:r>
      <w:r w:rsidR="0097614A">
        <w:t>s</w:t>
      </w:r>
      <w:r w:rsidR="004D6DD3">
        <w:t xml:space="preserve">ustainability </w:t>
      </w:r>
      <w:r w:rsidR="0097614A">
        <w:t>r</w:t>
      </w:r>
      <w:r w:rsidR="004D6DD3">
        <w:t xml:space="preserve">eport, </w:t>
      </w:r>
      <w:r w:rsidR="0055137A">
        <w:t xml:space="preserve">you may </w:t>
      </w:r>
      <w:r w:rsidR="0082769E">
        <w:t xml:space="preserve">refer to ASIC’s </w:t>
      </w:r>
      <w:hyperlink r:id="rId23" w:history="1">
        <w:r w:rsidR="002E0DFD">
          <w:rPr>
            <w:rStyle w:val="Hyperlink"/>
          </w:rPr>
          <w:t>information</w:t>
        </w:r>
        <w:r w:rsidR="0082769E" w:rsidRPr="00EE5046">
          <w:rPr>
            <w:rStyle w:val="Hyperlink"/>
          </w:rPr>
          <w:t xml:space="preserve"> </w:t>
        </w:r>
        <w:r w:rsidR="009D2EF3" w:rsidRPr="00EE5046">
          <w:rPr>
            <w:rStyle w:val="Hyperlink"/>
          </w:rPr>
          <w:t>for</w:t>
        </w:r>
        <w:r w:rsidR="008B2D68" w:rsidRPr="00EE5046">
          <w:rPr>
            <w:rStyle w:val="Hyperlink"/>
          </w:rPr>
          <w:t xml:space="preserve"> pre</w:t>
        </w:r>
        <w:r w:rsidR="00D64A1D" w:rsidRPr="00EE5046">
          <w:rPr>
            <w:rStyle w:val="Hyperlink"/>
          </w:rPr>
          <w:t xml:space="preserve">parers of </w:t>
        </w:r>
        <w:r w:rsidR="0097614A">
          <w:rPr>
            <w:rStyle w:val="Hyperlink"/>
          </w:rPr>
          <w:t>s</w:t>
        </w:r>
        <w:r w:rsidR="00D64A1D" w:rsidRPr="00EE5046">
          <w:rPr>
            <w:rStyle w:val="Hyperlink"/>
          </w:rPr>
          <w:t>ustainab</w:t>
        </w:r>
        <w:r w:rsidR="00485973" w:rsidRPr="00EE5046">
          <w:rPr>
            <w:rStyle w:val="Hyperlink"/>
          </w:rPr>
          <w:t xml:space="preserve">ility </w:t>
        </w:r>
        <w:r w:rsidR="0097614A">
          <w:rPr>
            <w:rStyle w:val="Hyperlink"/>
          </w:rPr>
          <w:t>r</w:t>
        </w:r>
        <w:r w:rsidR="00485973" w:rsidRPr="00EE5046">
          <w:rPr>
            <w:rStyle w:val="Hyperlink"/>
          </w:rPr>
          <w:t>eports</w:t>
        </w:r>
      </w:hyperlink>
      <w:r w:rsidR="009B79B6">
        <w:t>.</w:t>
      </w:r>
    </w:p>
    <w:p w14:paraId="462FB59D" w14:textId="77777777" w:rsidR="0040284F" w:rsidRDefault="00A93395" w:rsidP="00BE30C4">
      <w:pPr>
        <w:pStyle w:val="Heading2"/>
        <w:spacing w:before="0"/>
      </w:pPr>
      <w:bookmarkStart w:id="15" w:name="_Toc210317869"/>
      <w:r>
        <w:t>Introduction</w:t>
      </w:r>
      <w:bookmarkEnd w:id="8"/>
      <w:bookmarkEnd w:id="9"/>
      <w:bookmarkEnd w:id="10"/>
      <w:bookmarkEnd w:id="11"/>
      <w:bookmarkEnd w:id="15"/>
    </w:p>
    <w:p w14:paraId="3EE6504F" w14:textId="77777777" w:rsidR="00E32561" w:rsidRDefault="00E32561" w:rsidP="00E32561">
      <w:pPr>
        <w:pStyle w:val="Heading3"/>
        <w:ind w:left="964" w:hanging="964"/>
      </w:pPr>
      <w:bookmarkStart w:id="16" w:name="_Toc210317870"/>
      <w:bookmarkStart w:id="17" w:name="_Toc210220521"/>
      <w:bookmarkStart w:id="18" w:name="_Toc209457612"/>
      <w:bookmarkStart w:id="19" w:name="_Toc209457618"/>
      <w:bookmarkStart w:id="20" w:name="_Toc209517097"/>
      <w:bookmarkStart w:id="21" w:name="_Toc210124249"/>
      <w:bookmarkStart w:id="22" w:name="_Ref210125262"/>
      <w:r>
        <w:t xml:space="preserve">What </w:t>
      </w:r>
      <w:proofErr w:type="gramStart"/>
      <w:r>
        <w:t>are</w:t>
      </w:r>
      <w:proofErr w:type="gramEnd"/>
      <w:r>
        <w:t xml:space="preserve"> climate-related financial disclosures?</w:t>
      </w:r>
      <w:bookmarkEnd w:id="16"/>
    </w:p>
    <w:p w14:paraId="24A3C4F6" w14:textId="77777777" w:rsidR="00E32561" w:rsidRPr="00E32561" w:rsidRDefault="00E32561" w:rsidP="00E32561">
      <w:r w:rsidRPr="00E32561">
        <w:t>Climate-related financial disclosures refer to information about an entity’s climate-related risks and opportunities.</w:t>
      </w:r>
    </w:p>
    <w:p w14:paraId="39C7D82D" w14:textId="77777777" w:rsidR="00E32561" w:rsidRPr="00E32561" w:rsidRDefault="00E32561" w:rsidP="00E32561">
      <w:r w:rsidRPr="00E32561">
        <w:t xml:space="preserve">The information explains how climate risks and opportunities are managed and measured to investors, regulators and other stakeholders. This includes disclosures about an entity’s governance, strategy, risk management, and metrics and targets (such as emissions) that affect its financial performance and </w:t>
      </w:r>
      <w:proofErr w:type="gramStart"/>
      <w:r w:rsidRPr="00E32561">
        <w:t>future prospects</w:t>
      </w:r>
      <w:proofErr w:type="gramEnd"/>
      <w:r w:rsidRPr="00E32561">
        <w:t>.</w:t>
      </w:r>
    </w:p>
    <w:p w14:paraId="42BD02C6" w14:textId="77777777" w:rsidR="00E32561" w:rsidRPr="00E32561" w:rsidRDefault="00E32561" w:rsidP="00E32561">
      <w:r w:rsidRPr="00E32561">
        <w:t>Internationally, there is an increasing focus on the quality and standardisation of climate-related financial disclosures. Australia has contributed to the development of global standards since the establishment of the Task Force on Climate-related Financial Disclosures in 2015 and, more recently, the International Sustainability Standards Board in 2021.</w:t>
      </w:r>
    </w:p>
    <w:p w14:paraId="337E9AF2" w14:textId="7F545700" w:rsidR="002212F4" w:rsidRDefault="00E32561" w:rsidP="00E32561">
      <w:r w:rsidRPr="00E32561">
        <w:t xml:space="preserve">More information is available on ASIC’s </w:t>
      </w:r>
      <w:hyperlink r:id="rId24" w:history="1">
        <w:r w:rsidRPr="001E079E">
          <w:rPr>
            <w:rStyle w:val="Hyperlink"/>
          </w:rPr>
          <w:t>sustainability reporting</w:t>
        </w:r>
      </w:hyperlink>
      <w:r w:rsidRPr="00E32561">
        <w:t xml:space="preserve"> page.</w:t>
      </w:r>
    </w:p>
    <w:p w14:paraId="16849682" w14:textId="77777777" w:rsidR="00C50E43" w:rsidRDefault="00C50E43" w:rsidP="00C50E43">
      <w:pPr>
        <w:pStyle w:val="Heading3"/>
      </w:pPr>
      <w:bookmarkStart w:id="23" w:name="_Toc210317871"/>
      <w:r>
        <w:t>Why are climate-related financial disclosures now mandatory?</w:t>
      </w:r>
      <w:bookmarkEnd w:id="23"/>
    </w:p>
    <w:p w14:paraId="778EB3AB" w14:textId="77777777" w:rsidR="00C50E43" w:rsidRDefault="00C50E43" w:rsidP="00C50E43">
      <w:r>
        <w:t>Public companies are already required to disclose material information about financial risks to their business as part of their annual and continuous disclosure obligations under the Corporations Act.</w:t>
      </w:r>
    </w:p>
    <w:p w14:paraId="388F9B09" w14:textId="77777777" w:rsidR="00C50E43" w:rsidRDefault="00C50E43" w:rsidP="00C50E43">
      <w:r>
        <w:t>Many large companies had already started disclosing their climate risks and opportunities in response to demands from their investors.</w:t>
      </w:r>
    </w:p>
    <w:p w14:paraId="783B821B" w14:textId="77777777" w:rsidR="00C50E43" w:rsidRDefault="00C50E43" w:rsidP="00C50E43">
      <w:r>
        <w:t>In 2024, Australia introduced mandatory climate-related financial disclosures for some companies. This will require certain entities to prepare a sustainability report alongside annual financial statements. The introduction of standardised reporting clarifies how disclosures apply for the purpose of climate-related risks.</w:t>
      </w:r>
    </w:p>
    <w:p w14:paraId="1DFB3DD9" w14:textId="619A8AB7" w:rsidR="00C50E43" w:rsidRDefault="00C50E43" w:rsidP="00C50E43">
      <w:r>
        <w:t>The new requirements in Australia reflect similar changes underway in many other countries. Climate</w:t>
      </w:r>
      <w:r w:rsidR="00DF22D5">
        <w:noBreakHyphen/>
      </w:r>
      <w:r>
        <w:t>related financial disclosures aim to improve the quality of information available for decision making to help keep Australia an attractive place to invest.</w:t>
      </w:r>
    </w:p>
    <w:p w14:paraId="4A806102" w14:textId="77777777" w:rsidR="00C50E43" w:rsidRDefault="00C50E43" w:rsidP="00C50E43">
      <w:r>
        <w:t>Mandatory climate-related financial disclosures will:</w:t>
      </w:r>
    </w:p>
    <w:p w14:paraId="3A1665E4" w14:textId="7DC767CA" w:rsidR="00C50E43" w:rsidRDefault="00C50E43" w:rsidP="00C63541">
      <w:pPr>
        <w:pStyle w:val="ListBullet"/>
        <w:numPr>
          <w:ilvl w:val="0"/>
          <w:numId w:val="3"/>
        </w:numPr>
        <w:ind w:left="454" w:hanging="454"/>
      </w:pPr>
      <w:r>
        <w:t>help investors and stakeholders understand which companies are most exposed to climate risks and opportunities and how they are responding</w:t>
      </w:r>
    </w:p>
    <w:p w14:paraId="084F9F58" w14:textId="202788EF" w:rsidR="00C50E43" w:rsidRDefault="00C50E43" w:rsidP="00C63541">
      <w:pPr>
        <w:pStyle w:val="ListBullet"/>
        <w:numPr>
          <w:ilvl w:val="0"/>
          <w:numId w:val="3"/>
        </w:numPr>
        <w:ind w:left="454" w:hanging="454"/>
      </w:pPr>
      <w:r>
        <w:t>standardise information disclosed by companies to enable readers to compare them</w:t>
      </w:r>
    </w:p>
    <w:p w14:paraId="71A09954" w14:textId="0400AF4F" w:rsidR="00C50E43" w:rsidRDefault="00C50E43" w:rsidP="00C63541">
      <w:pPr>
        <w:pStyle w:val="ListBullet"/>
        <w:numPr>
          <w:ilvl w:val="0"/>
          <w:numId w:val="3"/>
        </w:numPr>
        <w:ind w:left="454" w:hanging="454"/>
      </w:pPr>
      <w:r>
        <w:t>provide material information on the climate-related financial risks and opportunities that can inform investor decision making</w:t>
      </w:r>
    </w:p>
    <w:p w14:paraId="39272BB8" w14:textId="2F7C470A" w:rsidR="00C50E43" w:rsidRDefault="00C50E43" w:rsidP="00C63541">
      <w:pPr>
        <w:pStyle w:val="ListBullet"/>
        <w:numPr>
          <w:ilvl w:val="0"/>
          <w:numId w:val="3"/>
        </w:numPr>
        <w:ind w:left="454" w:hanging="454"/>
      </w:pPr>
      <w:r>
        <w:t>enable international comparability by aligning Australia’s reporting requirements with international standards</w:t>
      </w:r>
    </w:p>
    <w:p w14:paraId="2EC50398" w14:textId="2A843B56" w:rsidR="00C50E43" w:rsidRDefault="00C50E43" w:rsidP="00C63541">
      <w:pPr>
        <w:pStyle w:val="ListBullet"/>
        <w:numPr>
          <w:ilvl w:val="0"/>
          <w:numId w:val="3"/>
        </w:numPr>
        <w:ind w:left="454" w:hanging="454"/>
      </w:pPr>
      <w:r>
        <w:t>give greater transparency over the emissions footprint of large companies and any targets they may have to reduce them.</w:t>
      </w:r>
    </w:p>
    <w:p w14:paraId="57279836" w14:textId="77777777" w:rsidR="00C50E43" w:rsidRDefault="00C50E43" w:rsidP="0071682B">
      <w:pPr>
        <w:pStyle w:val="Heading4"/>
      </w:pPr>
      <w:bookmarkStart w:id="24" w:name="_Toc210317872"/>
      <w:r>
        <w:t>Climate-related risks impact financial performance of businesses</w:t>
      </w:r>
      <w:bookmarkEnd w:id="24"/>
    </w:p>
    <w:p w14:paraId="25074016" w14:textId="77777777" w:rsidR="00C50E43" w:rsidRDefault="00C50E43" w:rsidP="00C50E43">
      <w:r>
        <w:t>Businesses that operate in the Australian and global agri-food supply chain may be particularly exposed to climate-related risks.</w:t>
      </w:r>
    </w:p>
    <w:p w14:paraId="2232581F" w14:textId="77777777" w:rsidR="00C50E43" w:rsidRDefault="00C50E43" w:rsidP="00C50E43">
      <w:r>
        <w:t>Climate-related physical risks (such as natural disasters, droughts and heatwaves) and climate-related transition risks (such as technology disruption, changing consumer preferences and shifts in export markets) could impact many aspects of an entity’s financial performance. Material information should be disclosed to investors and stakeholders, including on business assets, liabilities, cash flows, operating models and longer-term strategies.</w:t>
      </w:r>
    </w:p>
    <w:p w14:paraId="47E29A9F" w14:textId="00C88818" w:rsidR="00C50E43" w:rsidRPr="00E32561" w:rsidRDefault="00C50E43" w:rsidP="00C50E43">
      <w:r>
        <w:t xml:space="preserve">Further information about climate-related risks in Australia – including for Australia’s agriculture, fisheries and forestry sector – can be found in </w:t>
      </w:r>
      <w:hyperlink r:id="rId25" w:history="1">
        <w:r w:rsidRPr="006C2F0D">
          <w:rPr>
            <w:rStyle w:val="Hyperlink"/>
          </w:rPr>
          <w:t>Australia's National Climate Risk Assessment</w:t>
        </w:r>
      </w:hyperlink>
      <w:r>
        <w:t>.</w:t>
      </w:r>
    </w:p>
    <w:p w14:paraId="2CD40A69" w14:textId="77777777" w:rsidR="0040284F" w:rsidRDefault="00874F9B" w:rsidP="00C31A3C">
      <w:pPr>
        <w:pStyle w:val="Heading3"/>
      </w:pPr>
      <w:bookmarkStart w:id="25" w:name="_Toc210317873"/>
      <w:r>
        <w:t>Are only large businesses required to prepare a sustainability report?</w:t>
      </w:r>
      <w:bookmarkEnd w:id="17"/>
      <w:bookmarkEnd w:id="25"/>
    </w:p>
    <w:p w14:paraId="35E01B27" w14:textId="7C0060E5" w:rsidR="0040284F" w:rsidRDefault="00874F9B" w:rsidP="00874F9B">
      <w:r w:rsidRPr="00776CC6">
        <w:rPr>
          <w:rStyle w:val="Strong"/>
        </w:rPr>
        <w:t>Yes</w:t>
      </w:r>
      <w:r w:rsidR="00A57774">
        <w:t>.</w:t>
      </w:r>
      <w:r>
        <w:t xml:space="preserve"> </w:t>
      </w:r>
      <w:r w:rsidR="00A57774">
        <w:t>O</w:t>
      </w:r>
      <w:r w:rsidRPr="003E6B45">
        <w:t xml:space="preserve">nly those businesses that are required to lodge an annual financial report with ASIC under Chapter 2M of the Corporations Act </w:t>
      </w:r>
      <w:r w:rsidRPr="008417DA">
        <w:t xml:space="preserve">and meet additional size or emission thresholds </w:t>
      </w:r>
      <w:r w:rsidRPr="003E6B45">
        <w:t>will be required to prepare a sustainability report.</w:t>
      </w:r>
    </w:p>
    <w:p w14:paraId="5055C074" w14:textId="77777777" w:rsidR="0040284F" w:rsidRDefault="00874F9B" w:rsidP="00874F9B">
      <w:pPr>
        <w:rPr>
          <w:rStyle w:val="Strong"/>
        </w:rPr>
      </w:pPr>
      <w:r w:rsidRPr="003A09C1">
        <w:rPr>
          <w:rStyle w:val="Strong"/>
        </w:rPr>
        <w:t xml:space="preserve">This means that </w:t>
      </w:r>
      <w:proofErr w:type="gramStart"/>
      <w:r w:rsidRPr="003A09C1">
        <w:rPr>
          <w:rStyle w:val="Strong"/>
        </w:rPr>
        <w:t>the vast majority of</w:t>
      </w:r>
      <w:proofErr w:type="gramEnd"/>
      <w:r w:rsidRPr="003A09C1">
        <w:rPr>
          <w:rStyle w:val="Strong"/>
        </w:rPr>
        <w:t xml:space="preserve"> Australian farmers will not have any direct legal obligations under the climate-related financial disclosure rules.</w:t>
      </w:r>
    </w:p>
    <w:p w14:paraId="64E71092" w14:textId="77777777" w:rsidR="0040284F" w:rsidRDefault="00874F9B" w:rsidP="00874F9B">
      <w:r>
        <w:t xml:space="preserve">The Australian Securities and Investments Commission (ASIC) </w:t>
      </w:r>
      <w:r w:rsidRPr="00A83AE7">
        <w:t>administer</w:t>
      </w:r>
      <w:r>
        <w:t>s</w:t>
      </w:r>
      <w:r w:rsidRPr="00A83AE7">
        <w:t xml:space="preserve"> the mandatory sustainability reporting </w:t>
      </w:r>
      <w:r>
        <w:t>obligations</w:t>
      </w:r>
      <w:r w:rsidRPr="00A83AE7">
        <w:t xml:space="preserve">. </w:t>
      </w:r>
      <w:r>
        <w:t>ASIC</w:t>
      </w:r>
      <w:r w:rsidRPr="00A83AE7">
        <w:t xml:space="preserve"> </w:t>
      </w:r>
      <w:r>
        <w:t>has</w:t>
      </w:r>
      <w:r w:rsidRPr="00A83AE7">
        <w:t xml:space="preserve"> published a </w:t>
      </w:r>
      <w:hyperlink r:id="rId26" w:history="1">
        <w:r w:rsidRPr="0078538E">
          <w:rPr>
            <w:rStyle w:val="Hyperlink"/>
          </w:rPr>
          <w:t>regulatory guide</w:t>
        </w:r>
      </w:hyperlink>
      <w:r w:rsidRPr="00A83AE7">
        <w:t xml:space="preserve"> alongside a host of information on </w:t>
      </w:r>
      <w:hyperlink r:id="rId27" w:history="1">
        <w:r w:rsidRPr="00400768">
          <w:rPr>
            <w:rStyle w:val="Hyperlink"/>
          </w:rPr>
          <w:t>sustainability reporting requirements</w:t>
        </w:r>
      </w:hyperlink>
      <w:r w:rsidRPr="00A83AE7">
        <w:t xml:space="preserve">. This may </w:t>
      </w:r>
      <w:r>
        <w:t xml:space="preserve">help </w:t>
      </w:r>
      <w:r w:rsidRPr="00A83AE7">
        <w:t>business</w:t>
      </w:r>
      <w:r>
        <w:t>es</w:t>
      </w:r>
      <w:r w:rsidRPr="00A83AE7">
        <w:t xml:space="preserve"> that </w:t>
      </w:r>
      <w:r>
        <w:t xml:space="preserve">are seeking further information </w:t>
      </w:r>
      <w:r w:rsidRPr="00A83AE7">
        <w:t>about the new requirements.</w:t>
      </w:r>
    </w:p>
    <w:p w14:paraId="2D2CC563" w14:textId="77777777" w:rsidR="0040284F" w:rsidRDefault="00874F9B" w:rsidP="00C31A3C">
      <w:pPr>
        <w:pStyle w:val="Heading3"/>
      </w:pPr>
      <w:bookmarkStart w:id="26" w:name="_Toc209457615"/>
      <w:bookmarkStart w:id="27" w:name="_Toc210220522"/>
      <w:bookmarkStart w:id="28" w:name="_Toc210317874"/>
      <w:r w:rsidRPr="00A83AE7">
        <w:t>Wh</w:t>
      </w:r>
      <w:r>
        <w:t>en do the new disclosure requirements commence</w:t>
      </w:r>
      <w:r w:rsidRPr="00A83AE7">
        <w:t>?</w:t>
      </w:r>
      <w:bookmarkEnd w:id="26"/>
      <w:bookmarkEnd w:id="27"/>
      <w:bookmarkEnd w:id="28"/>
    </w:p>
    <w:p w14:paraId="05792ED1" w14:textId="77777777" w:rsidR="0040284F" w:rsidRDefault="00874F9B" w:rsidP="00874F9B">
      <w:pPr>
        <w:keepNext/>
      </w:pPr>
      <w:r w:rsidRPr="00A83AE7">
        <w:t xml:space="preserve">The new </w:t>
      </w:r>
      <w:r>
        <w:t>disclosure</w:t>
      </w:r>
      <w:r w:rsidRPr="00A83AE7">
        <w:t xml:space="preserve"> requirements are being phased</w:t>
      </w:r>
      <w:r>
        <w:t>-</w:t>
      </w:r>
      <w:r w:rsidRPr="00A83AE7">
        <w:t xml:space="preserve">in over </w:t>
      </w:r>
      <w:r>
        <w:t>three years</w:t>
      </w:r>
      <w:r w:rsidRPr="00A83AE7">
        <w:t xml:space="preserve"> according to the size of the </w:t>
      </w:r>
      <w:r>
        <w:t>reporting entity</w:t>
      </w:r>
      <w:r w:rsidRPr="00A83AE7">
        <w:t xml:space="preserve">. </w:t>
      </w:r>
      <w:r w:rsidRPr="003A09C1">
        <w:rPr>
          <w:rStyle w:val="Strong"/>
        </w:rPr>
        <w:t>Reporting entities will be required to report on scope 3 emissions in their second year of reporting.</w:t>
      </w:r>
    </w:p>
    <w:p w14:paraId="67151950" w14:textId="182540BE" w:rsidR="00874F9B" w:rsidRPr="00FB17B9" w:rsidRDefault="005543CC" w:rsidP="00FB17B9">
      <w:pPr>
        <w:pStyle w:val="Caption"/>
      </w:pPr>
      <w:bookmarkStart w:id="29" w:name="_Ref210299155"/>
      <w:bookmarkStart w:id="30" w:name="_Toc210302434"/>
      <w:r w:rsidRPr="00FB17B9">
        <w:t xml:space="preserve">Table </w:t>
      </w:r>
      <w:r w:rsidRPr="00FB17B9">
        <w:fldChar w:fldCharType="begin"/>
      </w:r>
      <w:r w:rsidRPr="00FB17B9">
        <w:instrText xml:space="preserve"> SEQ Table \* ARABIC </w:instrText>
      </w:r>
      <w:r w:rsidRPr="00FB17B9">
        <w:fldChar w:fldCharType="separate"/>
      </w:r>
      <w:r w:rsidR="001067FF">
        <w:rPr>
          <w:noProof/>
        </w:rPr>
        <w:t>1</w:t>
      </w:r>
      <w:r w:rsidRPr="00FB17B9">
        <w:fldChar w:fldCharType="end"/>
      </w:r>
      <w:bookmarkEnd w:id="29"/>
      <w:r w:rsidR="00FB17B9" w:rsidRPr="00FB17B9">
        <w:t xml:space="preserve"> groups and timing for climate disclosures</w:t>
      </w:r>
      <w:bookmarkEnd w:id="30"/>
    </w:p>
    <w:tbl>
      <w:tblPr>
        <w:tblW w:w="5000" w:type="pct"/>
        <w:tblBorders>
          <w:top w:val="single" w:sz="4" w:space="0" w:color="auto"/>
          <w:bottom w:val="single" w:sz="4" w:space="0" w:color="auto"/>
          <w:insideH w:val="single" w:sz="4"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325"/>
        <w:gridCol w:w="5034"/>
        <w:gridCol w:w="3053"/>
      </w:tblGrid>
      <w:tr w:rsidR="00874F9B" w:rsidRPr="00A83AE7" w14:paraId="5BF9C7EB" w14:textId="77777777" w:rsidTr="00B342ED">
        <w:trPr>
          <w:trHeight w:val="465"/>
          <w:tblHeader/>
        </w:trPr>
        <w:tc>
          <w:tcPr>
            <w:tcW w:w="704" w:type="pct"/>
            <w:shd w:val="clear" w:color="auto" w:fill="FFFFFF" w:themeFill="background1"/>
            <w:tcMar>
              <w:top w:w="120" w:type="dxa"/>
              <w:left w:w="180" w:type="dxa"/>
              <w:bottom w:w="120" w:type="dxa"/>
              <w:right w:w="180" w:type="dxa"/>
            </w:tcMar>
            <w:hideMark/>
          </w:tcPr>
          <w:p w14:paraId="6B0BCB65" w14:textId="77777777" w:rsidR="00874F9B" w:rsidRPr="006827FB" w:rsidRDefault="00874F9B" w:rsidP="006827FB">
            <w:pPr>
              <w:pStyle w:val="TableHeading"/>
            </w:pPr>
            <w:bookmarkStart w:id="31" w:name="Title_1"/>
            <w:bookmarkEnd w:id="31"/>
            <w:r w:rsidRPr="006827FB">
              <w:t>Group</w:t>
            </w:r>
          </w:p>
        </w:tc>
        <w:tc>
          <w:tcPr>
            <w:tcW w:w="2674" w:type="pct"/>
            <w:shd w:val="clear" w:color="auto" w:fill="FFFFFF" w:themeFill="background1"/>
            <w:tcMar>
              <w:top w:w="120" w:type="dxa"/>
              <w:left w:w="180" w:type="dxa"/>
              <w:bottom w:w="120" w:type="dxa"/>
              <w:right w:w="180" w:type="dxa"/>
            </w:tcMar>
            <w:hideMark/>
          </w:tcPr>
          <w:p w14:paraId="3E86E3B1" w14:textId="77777777" w:rsidR="00874F9B" w:rsidRPr="006827FB" w:rsidRDefault="00874F9B" w:rsidP="006827FB">
            <w:pPr>
              <w:pStyle w:val="TableHeading"/>
            </w:pPr>
            <w:r w:rsidRPr="006827FB">
              <w:t>Satisfies at least two out of the following three criteria</w:t>
            </w:r>
          </w:p>
        </w:tc>
        <w:tc>
          <w:tcPr>
            <w:tcW w:w="1622" w:type="pct"/>
            <w:shd w:val="clear" w:color="auto" w:fill="FFFFFF" w:themeFill="background1"/>
            <w:tcMar>
              <w:top w:w="120" w:type="dxa"/>
              <w:left w:w="180" w:type="dxa"/>
              <w:bottom w:w="120" w:type="dxa"/>
              <w:right w:w="180" w:type="dxa"/>
            </w:tcMar>
            <w:hideMark/>
          </w:tcPr>
          <w:p w14:paraId="57D9DCD5" w14:textId="77777777" w:rsidR="00874F9B" w:rsidRPr="006827FB" w:rsidRDefault="00874F9B" w:rsidP="006827FB">
            <w:pPr>
              <w:pStyle w:val="TableHeading"/>
            </w:pPr>
            <w:r w:rsidRPr="006827FB">
              <w:t>Begins reporting</w:t>
            </w:r>
          </w:p>
        </w:tc>
      </w:tr>
      <w:tr w:rsidR="00874F9B" w:rsidRPr="00A83AE7" w14:paraId="5EA9AAB3" w14:textId="77777777" w:rsidTr="00B342ED">
        <w:trPr>
          <w:trHeight w:val="1302"/>
        </w:trPr>
        <w:tc>
          <w:tcPr>
            <w:tcW w:w="704" w:type="pct"/>
            <w:shd w:val="clear" w:color="auto" w:fill="FFFFFF" w:themeFill="background1"/>
            <w:tcMar>
              <w:top w:w="120" w:type="dxa"/>
              <w:left w:w="180" w:type="dxa"/>
              <w:bottom w:w="120" w:type="dxa"/>
              <w:right w:w="180" w:type="dxa"/>
            </w:tcMar>
            <w:vAlign w:val="center"/>
            <w:hideMark/>
          </w:tcPr>
          <w:p w14:paraId="18777BD5" w14:textId="77777777" w:rsidR="00874F9B" w:rsidRPr="006827FB" w:rsidRDefault="00874F9B" w:rsidP="006827FB">
            <w:pPr>
              <w:pStyle w:val="TableText"/>
            </w:pPr>
            <w:r w:rsidRPr="006827FB">
              <w:t>Group 1</w:t>
            </w:r>
          </w:p>
        </w:tc>
        <w:tc>
          <w:tcPr>
            <w:tcW w:w="2674" w:type="pct"/>
            <w:shd w:val="clear" w:color="auto" w:fill="FFFFFF" w:themeFill="background1"/>
            <w:tcMar>
              <w:top w:w="120" w:type="dxa"/>
              <w:left w:w="180" w:type="dxa"/>
              <w:bottom w:w="120" w:type="dxa"/>
              <w:right w:w="180" w:type="dxa"/>
            </w:tcMar>
            <w:vAlign w:val="center"/>
            <w:hideMark/>
          </w:tcPr>
          <w:p w14:paraId="4FA3DF65" w14:textId="77777777" w:rsidR="0040284F" w:rsidRDefault="00874F9B" w:rsidP="00F24BD0">
            <w:pPr>
              <w:pStyle w:val="TableBullet"/>
              <w:rPr>
                <w:lang w:eastAsia="en-AU"/>
              </w:rPr>
            </w:pPr>
            <w:r w:rsidRPr="002B0E1E">
              <w:rPr>
                <w:lang w:eastAsia="en-AU"/>
              </w:rPr>
              <w:t>Revenue equal to or greater than $500 million</w:t>
            </w:r>
          </w:p>
          <w:p w14:paraId="0CE5C29B" w14:textId="77777777" w:rsidR="0040284F" w:rsidRDefault="00874F9B" w:rsidP="00F24BD0">
            <w:pPr>
              <w:pStyle w:val="TableBullet"/>
              <w:rPr>
                <w:lang w:eastAsia="en-AU"/>
              </w:rPr>
            </w:pPr>
            <w:r w:rsidRPr="002B0E1E">
              <w:rPr>
                <w:lang w:eastAsia="en-AU"/>
              </w:rPr>
              <w:t>Assets equal to or greater than $1 billion</w:t>
            </w:r>
          </w:p>
          <w:p w14:paraId="08DA6E3A" w14:textId="5BC41851" w:rsidR="00874F9B" w:rsidRPr="002B0E1E" w:rsidRDefault="00874F9B" w:rsidP="00F24BD0">
            <w:pPr>
              <w:pStyle w:val="TableBullet"/>
              <w:rPr>
                <w:lang w:eastAsia="en-AU"/>
              </w:rPr>
            </w:pPr>
            <w:r w:rsidRPr="002B0E1E">
              <w:rPr>
                <w:lang w:eastAsia="en-AU"/>
              </w:rPr>
              <w:t>500 employees or more</w:t>
            </w:r>
          </w:p>
        </w:tc>
        <w:tc>
          <w:tcPr>
            <w:tcW w:w="1622" w:type="pct"/>
            <w:shd w:val="clear" w:color="auto" w:fill="FFFFFF" w:themeFill="background1"/>
            <w:tcMar>
              <w:top w:w="120" w:type="dxa"/>
              <w:left w:w="180" w:type="dxa"/>
              <w:bottom w:w="120" w:type="dxa"/>
              <w:right w:w="180" w:type="dxa"/>
            </w:tcMar>
            <w:vAlign w:val="center"/>
            <w:hideMark/>
          </w:tcPr>
          <w:p w14:paraId="5A2166E5" w14:textId="016DE482" w:rsidR="0040284F" w:rsidRDefault="00874F9B" w:rsidP="00F24BD0">
            <w:pPr>
              <w:pStyle w:val="TableText"/>
            </w:pPr>
            <w:r w:rsidRPr="002B0E1E">
              <w:t>Financial years beginning on or between 1 January 2025 to 30</w:t>
            </w:r>
            <w:r w:rsidR="0014196B">
              <w:t> </w:t>
            </w:r>
            <w:r w:rsidRPr="002B0E1E">
              <w:t>June 2026.</w:t>
            </w:r>
          </w:p>
          <w:p w14:paraId="66DA4583" w14:textId="6E62AA05" w:rsidR="00874F9B" w:rsidRPr="002B0E1E" w:rsidRDefault="00874F9B" w:rsidP="00F24BD0">
            <w:pPr>
              <w:pStyle w:val="TableText"/>
            </w:pPr>
            <w:r w:rsidRPr="002B0E1E">
              <w:t>Reports lodged from 2026</w:t>
            </w:r>
            <w:r w:rsidR="00CC506F">
              <w:t>.</w:t>
            </w:r>
          </w:p>
        </w:tc>
      </w:tr>
      <w:tr w:rsidR="00874F9B" w:rsidRPr="00A83AE7" w14:paraId="06605D64" w14:textId="77777777" w:rsidTr="00B342ED">
        <w:trPr>
          <w:trHeight w:val="1302"/>
        </w:trPr>
        <w:tc>
          <w:tcPr>
            <w:tcW w:w="704" w:type="pct"/>
            <w:shd w:val="clear" w:color="auto" w:fill="FFFFFF" w:themeFill="background1"/>
            <w:tcMar>
              <w:top w:w="120" w:type="dxa"/>
              <w:left w:w="180" w:type="dxa"/>
              <w:bottom w:w="120" w:type="dxa"/>
              <w:right w:w="180" w:type="dxa"/>
            </w:tcMar>
            <w:vAlign w:val="center"/>
            <w:hideMark/>
          </w:tcPr>
          <w:p w14:paraId="2E067563" w14:textId="77777777" w:rsidR="00874F9B" w:rsidRPr="006827FB" w:rsidRDefault="00874F9B" w:rsidP="006827FB">
            <w:pPr>
              <w:pStyle w:val="TableText"/>
            </w:pPr>
            <w:r w:rsidRPr="006827FB">
              <w:t>Group 2</w:t>
            </w:r>
          </w:p>
        </w:tc>
        <w:tc>
          <w:tcPr>
            <w:tcW w:w="2674" w:type="pct"/>
            <w:shd w:val="clear" w:color="auto" w:fill="FFFFFF" w:themeFill="background1"/>
            <w:tcMar>
              <w:top w:w="120" w:type="dxa"/>
              <w:left w:w="180" w:type="dxa"/>
              <w:bottom w:w="120" w:type="dxa"/>
              <w:right w:w="180" w:type="dxa"/>
            </w:tcMar>
            <w:vAlign w:val="center"/>
            <w:hideMark/>
          </w:tcPr>
          <w:p w14:paraId="0FFB3C69" w14:textId="77777777" w:rsidR="0040284F" w:rsidRDefault="00874F9B" w:rsidP="00F24BD0">
            <w:pPr>
              <w:pStyle w:val="TableBullet"/>
              <w:rPr>
                <w:lang w:eastAsia="en-AU"/>
              </w:rPr>
            </w:pPr>
            <w:r w:rsidRPr="002B0E1E">
              <w:rPr>
                <w:lang w:eastAsia="en-AU"/>
              </w:rPr>
              <w:t>Revenue equal to or greater than $200 million</w:t>
            </w:r>
          </w:p>
          <w:p w14:paraId="0111FA36" w14:textId="77777777" w:rsidR="0040284F" w:rsidRDefault="00874F9B" w:rsidP="00F24BD0">
            <w:pPr>
              <w:pStyle w:val="TableBullet"/>
              <w:rPr>
                <w:lang w:eastAsia="en-AU"/>
              </w:rPr>
            </w:pPr>
            <w:r w:rsidRPr="002B0E1E">
              <w:rPr>
                <w:lang w:eastAsia="en-AU"/>
              </w:rPr>
              <w:t>Assets equal to or greater than $500 million</w:t>
            </w:r>
          </w:p>
          <w:p w14:paraId="2AD41794" w14:textId="68F10321" w:rsidR="00874F9B" w:rsidRPr="002B0E1E" w:rsidRDefault="00874F9B" w:rsidP="00F24BD0">
            <w:pPr>
              <w:pStyle w:val="TableBullet"/>
              <w:rPr>
                <w:lang w:eastAsia="en-AU"/>
              </w:rPr>
            </w:pPr>
            <w:r w:rsidRPr="002B0E1E">
              <w:rPr>
                <w:lang w:eastAsia="en-AU"/>
              </w:rPr>
              <w:t>250 or more employees</w:t>
            </w:r>
          </w:p>
        </w:tc>
        <w:tc>
          <w:tcPr>
            <w:tcW w:w="1622" w:type="pct"/>
            <w:shd w:val="clear" w:color="auto" w:fill="FFFFFF" w:themeFill="background1"/>
            <w:tcMar>
              <w:top w:w="120" w:type="dxa"/>
              <w:left w:w="180" w:type="dxa"/>
              <w:bottom w:w="120" w:type="dxa"/>
              <w:right w:w="180" w:type="dxa"/>
            </w:tcMar>
            <w:vAlign w:val="center"/>
            <w:hideMark/>
          </w:tcPr>
          <w:p w14:paraId="2599550B" w14:textId="721A546B" w:rsidR="00874F9B" w:rsidRPr="002B0E1E" w:rsidRDefault="00874F9B" w:rsidP="00F24BD0">
            <w:pPr>
              <w:pStyle w:val="TableText"/>
            </w:pPr>
            <w:r w:rsidRPr="002B0E1E">
              <w:t>Financial years beginning on or between 1 July 2026 to 30</w:t>
            </w:r>
            <w:r w:rsidR="005F0E77">
              <w:t> </w:t>
            </w:r>
            <w:r w:rsidRPr="002B0E1E">
              <w:t>June</w:t>
            </w:r>
            <w:r w:rsidR="005F0E77">
              <w:t> </w:t>
            </w:r>
            <w:r w:rsidRPr="002B0E1E">
              <w:t>2027. Reports lodged from 2027</w:t>
            </w:r>
            <w:r w:rsidR="00CC506F">
              <w:t>.</w:t>
            </w:r>
          </w:p>
        </w:tc>
      </w:tr>
      <w:tr w:rsidR="00874F9B" w:rsidRPr="00A83AE7" w14:paraId="535DED09" w14:textId="77777777" w:rsidTr="00B342ED">
        <w:trPr>
          <w:trHeight w:val="1302"/>
        </w:trPr>
        <w:tc>
          <w:tcPr>
            <w:tcW w:w="704" w:type="pct"/>
            <w:shd w:val="clear" w:color="auto" w:fill="FFFFFF" w:themeFill="background1"/>
            <w:tcMar>
              <w:top w:w="120" w:type="dxa"/>
              <w:left w:w="180" w:type="dxa"/>
              <w:bottom w:w="120" w:type="dxa"/>
              <w:right w:w="180" w:type="dxa"/>
            </w:tcMar>
            <w:vAlign w:val="center"/>
            <w:hideMark/>
          </w:tcPr>
          <w:p w14:paraId="39EB895D" w14:textId="77777777" w:rsidR="00874F9B" w:rsidRPr="006827FB" w:rsidRDefault="00874F9B" w:rsidP="006827FB">
            <w:pPr>
              <w:pStyle w:val="TableText"/>
            </w:pPr>
            <w:r w:rsidRPr="006827FB">
              <w:t>Group 3</w:t>
            </w:r>
          </w:p>
        </w:tc>
        <w:tc>
          <w:tcPr>
            <w:tcW w:w="2674" w:type="pct"/>
            <w:shd w:val="clear" w:color="auto" w:fill="FFFFFF" w:themeFill="background1"/>
            <w:tcMar>
              <w:top w:w="120" w:type="dxa"/>
              <w:left w:w="180" w:type="dxa"/>
              <w:bottom w:w="120" w:type="dxa"/>
              <w:right w:w="180" w:type="dxa"/>
            </w:tcMar>
            <w:vAlign w:val="center"/>
            <w:hideMark/>
          </w:tcPr>
          <w:p w14:paraId="6C71810C" w14:textId="77777777" w:rsidR="0040284F" w:rsidRDefault="00874F9B" w:rsidP="00F24BD0">
            <w:pPr>
              <w:pStyle w:val="TableBullet"/>
              <w:rPr>
                <w:lang w:eastAsia="en-AU"/>
              </w:rPr>
            </w:pPr>
            <w:r w:rsidRPr="002B0E1E">
              <w:rPr>
                <w:lang w:eastAsia="en-AU"/>
              </w:rPr>
              <w:t>Revenue equal to or greater than $50 million</w:t>
            </w:r>
          </w:p>
          <w:p w14:paraId="1590A2EB" w14:textId="77777777" w:rsidR="0040284F" w:rsidRDefault="00874F9B" w:rsidP="00F24BD0">
            <w:pPr>
              <w:pStyle w:val="TableBullet"/>
              <w:rPr>
                <w:lang w:eastAsia="en-AU"/>
              </w:rPr>
            </w:pPr>
            <w:r w:rsidRPr="002B0E1E">
              <w:rPr>
                <w:lang w:eastAsia="en-AU"/>
              </w:rPr>
              <w:t>Assets equal to or greater than $25 million</w:t>
            </w:r>
          </w:p>
          <w:p w14:paraId="00D2C470" w14:textId="7F164CE3" w:rsidR="00874F9B" w:rsidRPr="002B0E1E" w:rsidRDefault="00874F9B" w:rsidP="00F24BD0">
            <w:pPr>
              <w:pStyle w:val="TableBullet"/>
              <w:rPr>
                <w:lang w:eastAsia="en-AU"/>
              </w:rPr>
            </w:pPr>
            <w:r w:rsidRPr="002B0E1E">
              <w:rPr>
                <w:lang w:eastAsia="en-AU"/>
              </w:rPr>
              <w:t>100 or more employees</w:t>
            </w:r>
          </w:p>
        </w:tc>
        <w:tc>
          <w:tcPr>
            <w:tcW w:w="1622" w:type="pct"/>
            <w:shd w:val="clear" w:color="auto" w:fill="FFFFFF" w:themeFill="background1"/>
            <w:tcMar>
              <w:top w:w="120" w:type="dxa"/>
              <w:left w:w="180" w:type="dxa"/>
              <w:bottom w:w="120" w:type="dxa"/>
              <w:right w:w="180" w:type="dxa"/>
            </w:tcMar>
            <w:vAlign w:val="center"/>
            <w:hideMark/>
          </w:tcPr>
          <w:p w14:paraId="30C6BD6E" w14:textId="38F2A453" w:rsidR="00874F9B" w:rsidRPr="002B0E1E" w:rsidRDefault="00874F9B" w:rsidP="00F24BD0">
            <w:pPr>
              <w:pStyle w:val="TableText"/>
            </w:pPr>
            <w:r w:rsidRPr="002B0E1E">
              <w:t>Financial years beginning on or from 1 July 2027. Reports lodged from 2028</w:t>
            </w:r>
            <w:r w:rsidR="00CC506F">
              <w:t>.</w:t>
            </w:r>
          </w:p>
        </w:tc>
      </w:tr>
    </w:tbl>
    <w:p w14:paraId="4EC202EA" w14:textId="7D19B418" w:rsidR="0040284F" w:rsidRDefault="00874F9B" w:rsidP="00071D02">
      <w:pPr>
        <w:pStyle w:val="FigureTableNoteSource"/>
      </w:pPr>
      <w:r w:rsidRPr="00A83AE7">
        <w:t>Note: this table is designed to support small businesses to better understand the size thresholds</w:t>
      </w:r>
      <w:r>
        <w:t>, however it does not include all reporting entities and thresholds</w:t>
      </w:r>
      <w:r w:rsidRPr="00A83AE7">
        <w:t>. Large businesses, financial institutions</w:t>
      </w:r>
      <w:r>
        <w:t xml:space="preserve"> and </w:t>
      </w:r>
      <w:r w:rsidRPr="00A83AE7">
        <w:t xml:space="preserve">entities reporting under the </w:t>
      </w:r>
      <w:r w:rsidRPr="00FB080D">
        <w:rPr>
          <w:rStyle w:val="Emphasis"/>
        </w:rPr>
        <w:t>National Greenhouse Energy Reporting Act</w:t>
      </w:r>
      <w:r w:rsidR="00954B84">
        <w:rPr>
          <w:rStyle w:val="Emphasis"/>
        </w:rPr>
        <w:t xml:space="preserve"> 2017</w:t>
      </w:r>
      <w:r w:rsidRPr="00A83AE7">
        <w:t xml:space="preserve"> should refer to</w:t>
      </w:r>
      <w:r>
        <w:t xml:space="preserve"> </w:t>
      </w:r>
      <w:hyperlink r:id="rId28" w:history="1">
        <w:r w:rsidRPr="00950D92">
          <w:rPr>
            <w:rStyle w:val="Hyperlink"/>
          </w:rPr>
          <w:t xml:space="preserve">ASIC’s Regulatory Guide 280: </w:t>
        </w:r>
        <w:r w:rsidR="009F18C4">
          <w:rPr>
            <w:rStyle w:val="Hyperlink"/>
          </w:rPr>
          <w:t>s</w:t>
        </w:r>
        <w:r w:rsidRPr="00950D92">
          <w:rPr>
            <w:rStyle w:val="Hyperlink"/>
          </w:rPr>
          <w:t xml:space="preserve">ustainability </w:t>
        </w:r>
        <w:r w:rsidR="009F18C4">
          <w:rPr>
            <w:rStyle w:val="Hyperlink"/>
          </w:rPr>
          <w:t>r</w:t>
        </w:r>
        <w:r w:rsidRPr="00950D92">
          <w:rPr>
            <w:rStyle w:val="Hyperlink"/>
          </w:rPr>
          <w:t>eporting</w:t>
        </w:r>
      </w:hyperlink>
      <w:r w:rsidRPr="00A83AE7">
        <w:t xml:space="preserve"> where the grouping and phasing of requirements are </w:t>
      </w:r>
      <w:r>
        <w:t>described</w:t>
      </w:r>
      <w:r w:rsidRPr="00A83AE7">
        <w:t xml:space="preserve"> in full.</w:t>
      </w:r>
    </w:p>
    <w:p w14:paraId="54F64A37" w14:textId="77777777" w:rsidR="0040284F" w:rsidRDefault="00874F9B" w:rsidP="008C32E3">
      <w:pPr>
        <w:pStyle w:val="Heading3"/>
      </w:pPr>
      <w:bookmarkStart w:id="32" w:name="_Toc209457616"/>
      <w:bookmarkStart w:id="33" w:name="_Toc210220525"/>
      <w:bookmarkStart w:id="34" w:name="_Toc210317875"/>
      <w:bookmarkEnd w:id="18"/>
      <w:r>
        <w:t>How will greenhouse gas emissions be reported?</w:t>
      </w:r>
      <w:bookmarkEnd w:id="32"/>
      <w:bookmarkEnd w:id="33"/>
      <w:bookmarkEnd w:id="34"/>
    </w:p>
    <w:p w14:paraId="4D03F8DE" w14:textId="77777777" w:rsidR="0040284F" w:rsidRDefault="00874F9B" w:rsidP="00874F9B">
      <w:r>
        <w:t xml:space="preserve">The Australian Sustainability Reporting Standards </w:t>
      </w:r>
      <w:r w:rsidRPr="0079560F">
        <w:t>on Climate-related Disclosures (also referred to as AASB S2)</w:t>
      </w:r>
      <w:r>
        <w:t xml:space="preserve"> includes disclosure requirements on climate-related metrics and targets. These align with international reporting standards by requiring material information relating to:</w:t>
      </w:r>
    </w:p>
    <w:p w14:paraId="2F060105" w14:textId="77777777" w:rsidR="0040284F" w:rsidRDefault="00874F9B" w:rsidP="00267510">
      <w:pPr>
        <w:pStyle w:val="ListBullet"/>
      </w:pPr>
      <w:r>
        <w:t>a company’s scope 1, 2 and 3 greenhouse gas emissions</w:t>
      </w:r>
    </w:p>
    <w:p w14:paraId="584B73BD" w14:textId="77777777" w:rsidR="0040284F" w:rsidRDefault="00874F9B" w:rsidP="00267510">
      <w:pPr>
        <w:pStyle w:val="ListBullet"/>
      </w:pPr>
      <w:r>
        <w:t>any q</w:t>
      </w:r>
      <w:r w:rsidRPr="00C13D1A">
        <w:t xml:space="preserve">uantitative and qualitative climate-related targets </w:t>
      </w:r>
      <w:r>
        <w:t>a company</w:t>
      </w:r>
      <w:r w:rsidRPr="00C13D1A">
        <w:t xml:space="preserve"> has set </w:t>
      </w:r>
      <w:r>
        <w:t>and</w:t>
      </w:r>
      <w:r w:rsidRPr="00C13D1A">
        <w:t xml:space="preserve"> progress towards </w:t>
      </w:r>
      <w:r>
        <w:t>these targets</w:t>
      </w:r>
    </w:p>
    <w:p w14:paraId="217F7EB9" w14:textId="7227E35B" w:rsidR="0040284F" w:rsidRDefault="00874F9B" w:rsidP="00267510">
      <w:pPr>
        <w:pStyle w:val="ListBullet"/>
      </w:pPr>
      <w:r>
        <w:t>the amount of assets or business activities vulnerable to physical and transitional climate risks</w:t>
      </w:r>
      <w:r w:rsidRPr="005653C3">
        <w:t xml:space="preserve"> or aligned to climate-related opportunities, and the amount</w:t>
      </w:r>
      <w:r w:rsidR="00BA4056">
        <w:t xml:space="preserve"> of</w:t>
      </w:r>
      <w:r w:rsidRPr="005653C3">
        <w:t xml:space="preserve"> capital deployed towards them</w:t>
      </w:r>
      <w:r>
        <w:t>.</w:t>
      </w:r>
    </w:p>
    <w:p w14:paraId="0D050E5E" w14:textId="77777777" w:rsidR="0040284F" w:rsidRDefault="00874F9B" w:rsidP="00874F9B">
      <w:r>
        <w:t>Reporting on emissions and any targets is relevant to climate risk disclosure because it:</w:t>
      </w:r>
    </w:p>
    <w:p w14:paraId="4494E6C2" w14:textId="5E1EF773" w:rsidR="0040284F" w:rsidRDefault="00874F9B" w:rsidP="00267510">
      <w:pPr>
        <w:pStyle w:val="ListBullet"/>
      </w:pPr>
      <w:r>
        <w:t>helps to quantify transition risks and signals preparedness for the net</w:t>
      </w:r>
      <w:r w:rsidR="00DC42DE">
        <w:t xml:space="preserve"> </w:t>
      </w:r>
      <w:r>
        <w:t>zero transition</w:t>
      </w:r>
    </w:p>
    <w:p w14:paraId="5AC73762" w14:textId="77777777" w:rsidR="0040284F" w:rsidRDefault="00874F9B" w:rsidP="00267510">
      <w:pPr>
        <w:pStyle w:val="ListBullet"/>
      </w:pPr>
      <w:r>
        <w:t>provides capital markets with information to price transition risks into valuations and inform lending decisions</w:t>
      </w:r>
    </w:p>
    <w:p w14:paraId="2A91E220" w14:textId="77777777" w:rsidR="0040284F" w:rsidRDefault="00874F9B" w:rsidP="00267510">
      <w:pPr>
        <w:pStyle w:val="ListBullet"/>
      </w:pPr>
      <w:r w:rsidRPr="00133B30">
        <w:t xml:space="preserve">provides transparency over ambitions and </w:t>
      </w:r>
      <w:r>
        <w:t>progress and how they link to corporate governance and executive performance</w:t>
      </w:r>
    </w:p>
    <w:p w14:paraId="7605B41C" w14:textId="77777777" w:rsidR="0040284F" w:rsidRDefault="00874F9B" w:rsidP="00267510">
      <w:pPr>
        <w:pStyle w:val="ListBullet"/>
      </w:pPr>
      <w:r>
        <w:t>enables comparison and scenario analysis by banks, insurers, rating agencies and government.</w:t>
      </w:r>
    </w:p>
    <w:p w14:paraId="4D6626F1" w14:textId="7AE8EBE4" w:rsidR="0040284F" w:rsidRDefault="00874F9B" w:rsidP="00874F9B">
      <w:r>
        <w:t xml:space="preserve">Further information about climate-related </w:t>
      </w:r>
      <w:r w:rsidRPr="00EF3D42">
        <w:t xml:space="preserve">financial disclosure requirements, including </w:t>
      </w:r>
      <w:r>
        <w:t>metrics and targets, is available</w:t>
      </w:r>
      <w:r w:rsidR="005D3C59">
        <w:t xml:space="preserve"> in the </w:t>
      </w:r>
      <w:hyperlink r:id="rId29" w:history="1">
        <w:r w:rsidR="006852A2">
          <w:rPr>
            <w:rStyle w:val="Hyperlink"/>
          </w:rPr>
          <w:t>AASB S2 Climate-related Disclosures Standard</w:t>
        </w:r>
      </w:hyperlink>
      <w:r>
        <w:t>.</w:t>
      </w:r>
    </w:p>
    <w:p w14:paraId="7F01F1BD" w14:textId="77777777" w:rsidR="0040284F" w:rsidRDefault="00874F9B" w:rsidP="00B90C18">
      <w:pPr>
        <w:pStyle w:val="Heading3"/>
      </w:pPr>
      <w:bookmarkStart w:id="35" w:name="_Toc209457617"/>
      <w:bookmarkStart w:id="36" w:name="_Toc210220526"/>
      <w:bookmarkStart w:id="37" w:name="_Toc210317876"/>
      <w:r w:rsidRPr="00A8382B">
        <w:t xml:space="preserve">What </w:t>
      </w:r>
      <w:proofErr w:type="gramStart"/>
      <w:r w:rsidRPr="00A8382B">
        <w:t>are</w:t>
      </w:r>
      <w:proofErr w:type="gramEnd"/>
      <w:r w:rsidRPr="00A8382B">
        <w:t xml:space="preserve"> scope </w:t>
      </w:r>
      <w:r>
        <w:t xml:space="preserve">1, 2 and </w:t>
      </w:r>
      <w:r w:rsidRPr="00A8382B">
        <w:t>3 emissions?</w:t>
      </w:r>
      <w:bookmarkEnd w:id="35"/>
      <w:bookmarkEnd w:id="36"/>
      <w:bookmarkEnd w:id="37"/>
    </w:p>
    <w:p w14:paraId="6EA51B3A" w14:textId="77777777" w:rsidR="0040284F" w:rsidRDefault="00874F9B" w:rsidP="00874F9B">
      <w:r>
        <w:t>Greenhouse gas emissions are categorised into three ‘scopes’ to ensure everyone accounts for and reports emissions on the same basis.</w:t>
      </w:r>
    </w:p>
    <w:p w14:paraId="7A796F61" w14:textId="671D9FB8" w:rsidR="0040284F" w:rsidRDefault="002C2183" w:rsidP="00874F9B">
      <w:r>
        <w:t>Since 2009, c</w:t>
      </w:r>
      <w:r w:rsidR="00874F9B" w:rsidRPr="00402766">
        <w:t xml:space="preserve">ompanies </w:t>
      </w:r>
      <w:r w:rsidR="00874F9B">
        <w:t>that</w:t>
      </w:r>
      <w:r w:rsidR="00874F9B" w:rsidRPr="00402766">
        <w:t xml:space="preserve"> have large scope 1 and 2 emissions or are large energy consumers or producers are required to report under</w:t>
      </w:r>
      <w:r w:rsidR="00874F9B">
        <w:t xml:space="preserve"> the </w:t>
      </w:r>
      <w:hyperlink r:id="rId30" w:history="1">
        <w:r w:rsidR="00874F9B" w:rsidRPr="00184EC4">
          <w:rPr>
            <w:rStyle w:val="Hyperlink"/>
          </w:rPr>
          <w:t>National Greenhouse and Energy Reporting (NGER) Scheme</w:t>
        </w:r>
      </w:hyperlink>
      <w:r w:rsidR="00874F9B">
        <w:t xml:space="preserve"> administered by the Clea</w:t>
      </w:r>
      <w:r w:rsidR="00E80D30">
        <w:t>n</w:t>
      </w:r>
      <w:r w:rsidR="00874F9B">
        <w:t xml:space="preserve"> Energy Regulator.</w:t>
      </w:r>
    </w:p>
    <w:p w14:paraId="3FF00B4D" w14:textId="77777777" w:rsidR="0040284F" w:rsidRDefault="00874F9B" w:rsidP="00874F9B">
      <w:pPr>
        <w:pStyle w:val="Heading4"/>
      </w:pPr>
      <w:bookmarkStart w:id="38" w:name="_Toc210317877"/>
      <w:r>
        <w:t>Scope 1 – Direct emissions</w:t>
      </w:r>
      <w:bookmarkEnd w:id="38"/>
    </w:p>
    <w:p w14:paraId="6B5A0714" w14:textId="77777777" w:rsidR="0040284F" w:rsidRDefault="00874F9B" w:rsidP="00874F9B">
      <w:r w:rsidRPr="008F5703">
        <w:t>Direct greenhouse gas emissions that occur from sources that are owned or controlled by an entity</w:t>
      </w:r>
      <w:r>
        <w:t>.</w:t>
      </w:r>
    </w:p>
    <w:p w14:paraId="6C198D22" w14:textId="77777777" w:rsidR="0040284F" w:rsidRPr="00CD0840" w:rsidRDefault="00874F9B" w:rsidP="00CD0840">
      <w:pPr>
        <w:rPr>
          <w:rStyle w:val="Strong"/>
        </w:rPr>
      </w:pPr>
      <w:r w:rsidRPr="00CD0840">
        <w:rPr>
          <w:rStyle w:val="Strong"/>
        </w:rPr>
        <w:t xml:space="preserve">Example: </w:t>
      </w:r>
    </w:p>
    <w:p w14:paraId="62921CF8" w14:textId="77777777" w:rsidR="0040284F" w:rsidRDefault="00874F9B" w:rsidP="00874F9B">
      <w:r>
        <w:t>For a food processor, scope 1 emissions would include emissions from boilers, refrigeration gases and company trucks.</w:t>
      </w:r>
    </w:p>
    <w:p w14:paraId="1BDEF2AA" w14:textId="768541F6" w:rsidR="0040284F" w:rsidRDefault="00874F9B" w:rsidP="00874F9B">
      <w:r>
        <w:t xml:space="preserve">Large companies are already required to report scope 1 emissions through the </w:t>
      </w:r>
      <w:hyperlink r:id="rId31" w:history="1">
        <w:r w:rsidRPr="00184EC4">
          <w:rPr>
            <w:rStyle w:val="Hyperlink"/>
          </w:rPr>
          <w:t>National Greenhouse and Energy Reporting (NGER) Scheme</w:t>
        </w:r>
      </w:hyperlink>
      <w:r>
        <w:t xml:space="preserve"> administered by the Clea</w:t>
      </w:r>
      <w:r w:rsidR="00E80D30">
        <w:t>n</w:t>
      </w:r>
      <w:r>
        <w:t xml:space="preserve"> Energy Regulator.</w:t>
      </w:r>
    </w:p>
    <w:p w14:paraId="6315D63D" w14:textId="77777777" w:rsidR="0040284F" w:rsidRDefault="00874F9B" w:rsidP="00874F9B">
      <w:pPr>
        <w:pStyle w:val="Heading4"/>
      </w:pPr>
      <w:bookmarkStart w:id="39" w:name="_Toc210317878"/>
      <w:r>
        <w:t>Scope 2 – Indirect energy emissions</w:t>
      </w:r>
      <w:bookmarkEnd w:id="39"/>
    </w:p>
    <w:p w14:paraId="138CD9F2" w14:textId="77777777" w:rsidR="0040284F" w:rsidRDefault="00874F9B" w:rsidP="00874F9B">
      <w:r w:rsidRPr="00FD058F">
        <w:t>Indirect greenhouse gas emissions from the generation of purchased or acquired electricity, steam, heating or cooling consumed by an entity.</w:t>
      </w:r>
    </w:p>
    <w:p w14:paraId="341E3543" w14:textId="77777777" w:rsidR="0040284F" w:rsidRPr="00CD0840" w:rsidRDefault="00874F9B" w:rsidP="00CD0840">
      <w:pPr>
        <w:rPr>
          <w:rStyle w:val="Strong"/>
        </w:rPr>
      </w:pPr>
      <w:r w:rsidRPr="00CD0840">
        <w:rPr>
          <w:rStyle w:val="Strong"/>
        </w:rPr>
        <w:t xml:space="preserve">Example: </w:t>
      </w:r>
    </w:p>
    <w:p w14:paraId="3EB7FCF7" w14:textId="77777777" w:rsidR="0040284F" w:rsidRDefault="00874F9B" w:rsidP="00874F9B">
      <w:r w:rsidRPr="00012302">
        <w:t>The embedded emissions in a</w:t>
      </w:r>
      <w:r>
        <w:t xml:space="preserve"> supermarket’s</w:t>
      </w:r>
      <w:r w:rsidRPr="00012302">
        <w:t xml:space="preserve"> electricity bills.</w:t>
      </w:r>
    </w:p>
    <w:p w14:paraId="4E89B07C" w14:textId="71407EB0" w:rsidR="0040284F" w:rsidRDefault="00874F9B" w:rsidP="00874F9B">
      <w:r>
        <w:t xml:space="preserve">Large companies are already required to report scope 2 emissions through the </w:t>
      </w:r>
      <w:hyperlink r:id="rId32" w:history="1">
        <w:r w:rsidRPr="00184EC4">
          <w:rPr>
            <w:rStyle w:val="Hyperlink"/>
          </w:rPr>
          <w:t>Nati</w:t>
        </w:r>
        <w:r w:rsidRPr="000D35AF">
          <w:rPr>
            <w:rStyle w:val="Hyperlink"/>
          </w:rPr>
          <w:t xml:space="preserve">onal Greenhouse and </w:t>
        </w:r>
        <w:r w:rsidRPr="00184EC4">
          <w:rPr>
            <w:rStyle w:val="Hyperlink"/>
          </w:rPr>
          <w:t>Energy Reporting (NGER) Scheme</w:t>
        </w:r>
      </w:hyperlink>
      <w:r>
        <w:t xml:space="preserve"> administered by the Clea</w:t>
      </w:r>
      <w:r w:rsidR="00F54D04">
        <w:t>n</w:t>
      </w:r>
      <w:r>
        <w:t xml:space="preserve"> Energy Regulator.</w:t>
      </w:r>
    </w:p>
    <w:p w14:paraId="6E980D9B" w14:textId="77777777" w:rsidR="0040284F" w:rsidRDefault="00874F9B" w:rsidP="00874F9B">
      <w:pPr>
        <w:pStyle w:val="Heading4"/>
      </w:pPr>
      <w:bookmarkStart w:id="40" w:name="_Toc210317879"/>
      <w:r>
        <w:t>Scope 3 – Value chain emissions (upstream and downstream)</w:t>
      </w:r>
      <w:bookmarkEnd w:id="40"/>
    </w:p>
    <w:p w14:paraId="70EB2009" w14:textId="77777777" w:rsidR="0040284F" w:rsidRDefault="00874F9B" w:rsidP="00874F9B">
      <w:r w:rsidRPr="001958D7">
        <w:t xml:space="preserve">Indirect greenhouse gas emissions (not included in </w:t>
      </w:r>
      <w:r>
        <w:t>s</w:t>
      </w:r>
      <w:r w:rsidRPr="001958D7">
        <w:t>cope 2 greenhouse gas emissions) that occur in the value chain of an entity</w:t>
      </w:r>
      <w:r>
        <w:t>. This includes</w:t>
      </w:r>
      <w:r w:rsidRPr="001958D7">
        <w:t xml:space="preserve"> both upstream and downstream emissions</w:t>
      </w:r>
      <w:r>
        <w:t>, such as what a business buys, sells or finances</w:t>
      </w:r>
      <w:r w:rsidRPr="00C45DB3">
        <w:t>.</w:t>
      </w:r>
    </w:p>
    <w:p w14:paraId="155DB8C6" w14:textId="77777777" w:rsidR="0040284F" w:rsidRPr="00CD0840" w:rsidRDefault="00874F9B" w:rsidP="00CD0840">
      <w:pPr>
        <w:rPr>
          <w:rStyle w:val="Strong"/>
        </w:rPr>
      </w:pPr>
      <w:r w:rsidRPr="00CD0840">
        <w:rPr>
          <w:rStyle w:val="Strong"/>
        </w:rPr>
        <w:t>Examples:</w:t>
      </w:r>
    </w:p>
    <w:p w14:paraId="00D26E9C" w14:textId="77777777" w:rsidR="0040284F" w:rsidRDefault="00874F9B" w:rsidP="00874F9B">
      <w:r w:rsidRPr="00E8526E">
        <w:t>For businesses like supermarkets</w:t>
      </w:r>
      <w:r>
        <w:t xml:space="preserve"> and</w:t>
      </w:r>
      <w:r w:rsidRPr="00E8526E">
        <w:t xml:space="preserve"> food </w:t>
      </w:r>
      <w:r>
        <w:t>manufacturers,</w:t>
      </w:r>
      <w:r w:rsidRPr="00E8526E">
        <w:t xml:space="preserve"> </w:t>
      </w:r>
      <w:r>
        <w:t>s</w:t>
      </w:r>
      <w:r w:rsidRPr="00E8526E">
        <w:t xml:space="preserve">cope 3 emissions </w:t>
      </w:r>
      <w:r>
        <w:t>may include emissions associated with:</w:t>
      </w:r>
    </w:p>
    <w:p w14:paraId="06AC7A12" w14:textId="77777777" w:rsidR="0040284F" w:rsidRDefault="00874F9B" w:rsidP="000D35AF">
      <w:pPr>
        <w:pStyle w:val="ListBullet"/>
      </w:pPr>
      <w:r>
        <w:t>the production of food and products they buy from farms and suppliers</w:t>
      </w:r>
    </w:p>
    <w:p w14:paraId="27FC720F" w14:textId="77777777" w:rsidR="0040284F" w:rsidRDefault="00874F9B" w:rsidP="000D35AF">
      <w:pPr>
        <w:pStyle w:val="ListBullet"/>
      </w:pPr>
      <w:r>
        <w:t>the transportation, processing, packaging, and storage of products after purchase</w:t>
      </w:r>
    </w:p>
    <w:p w14:paraId="439A1A6D" w14:textId="77777777" w:rsidR="0040284F" w:rsidRDefault="00874F9B" w:rsidP="000D35AF">
      <w:pPr>
        <w:pStyle w:val="ListBullet"/>
      </w:pPr>
      <w:r>
        <w:t>the waste generated from their operations and products</w:t>
      </w:r>
    </w:p>
    <w:p w14:paraId="0C0514F7" w14:textId="77777777" w:rsidR="0040284F" w:rsidRDefault="00874F9B" w:rsidP="000D35AF">
      <w:pPr>
        <w:pStyle w:val="ListBullet"/>
      </w:pPr>
      <w:r>
        <w:t>other</w:t>
      </w:r>
      <w:r w:rsidRPr="001A7E0E">
        <w:t xml:space="preserve"> purchased goods and services</w:t>
      </w:r>
    </w:p>
    <w:p w14:paraId="0CFC530D" w14:textId="77777777" w:rsidR="0040284F" w:rsidRDefault="00874F9B" w:rsidP="000D35AF">
      <w:pPr>
        <w:pStyle w:val="ListBullet"/>
      </w:pPr>
      <w:r>
        <w:t>business travel and e</w:t>
      </w:r>
      <w:r w:rsidRPr="001A7E0E">
        <w:t>mployee commuting.</w:t>
      </w:r>
    </w:p>
    <w:p w14:paraId="38A10635" w14:textId="77777777" w:rsidR="0040284F" w:rsidRDefault="00874F9B" w:rsidP="00874F9B">
      <w:r w:rsidRPr="00E8526E">
        <w:t xml:space="preserve">For </w:t>
      </w:r>
      <w:r>
        <w:t>banks,</w:t>
      </w:r>
      <w:r w:rsidRPr="00E8526E">
        <w:t xml:space="preserve"> </w:t>
      </w:r>
      <w:r>
        <w:t>s</w:t>
      </w:r>
      <w:r w:rsidRPr="00E8526E">
        <w:t xml:space="preserve">cope 3 emissions </w:t>
      </w:r>
      <w:r>
        <w:t>include financed emissions – these are the emissions generated by the projects and activities the bank finances through loans and investments.</w:t>
      </w:r>
    </w:p>
    <w:p w14:paraId="4E75CC89" w14:textId="77777777" w:rsidR="0040284F" w:rsidRDefault="00EA28FB" w:rsidP="00EA28FB">
      <w:pPr>
        <w:pStyle w:val="Heading2"/>
      </w:pPr>
      <w:bookmarkStart w:id="41" w:name="_Toc210317880"/>
      <w:r>
        <w:t>Implications for farm businesses</w:t>
      </w:r>
      <w:bookmarkEnd w:id="19"/>
      <w:bookmarkEnd w:id="20"/>
      <w:bookmarkEnd w:id="21"/>
      <w:bookmarkEnd w:id="22"/>
      <w:bookmarkEnd w:id="41"/>
    </w:p>
    <w:p w14:paraId="3B47C863" w14:textId="77777777" w:rsidR="0040284F" w:rsidRDefault="0065313A" w:rsidP="0065313A">
      <w:pPr>
        <w:pStyle w:val="Heading3"/>
      </w:pPr>
      <w:bookmarkStart w:id="42" w:name="_How_do_I"/>
      <w:bookmarkStart w:id="43" w:name="_Toc209457619"/>
      <w:bookmarkStart w:id="44" w:name="_Ref210309241"/>
      <w:bookmarkStart w:id="45" w:name="_Toc210317881"/>
      <w:bookmarkStart w:id="46" w:name="_Toc210220528"/>
      <w:bookmarkEnd w:id="42"/>
      <w:r>
        <w:t>How do I know if</w:t>
      </w:r>
      <w:r w:rsidRPr="00A83AE7">
        <w:t xml:space="preserve"> the reporting requirements </w:t>
      </w:r>
      <w:r w:rsidRPr="00A838CA">
        <w:t>apply directly to my</w:t>
      </w:r>
      <w:r w:rsidRPr="00A83AE7">
        <w:t xml:space="preserve"> farm business?</w:t>
      </w:r>
      <w:bookmarkEnd w:id="43"/>
      <w:bookmarkEnd w:id="44"/>
      <w:bookmarkEnd w:id="45"/>
    </w:p>
    <w:p w14:paraId="187A07D3" w14:textId="77777777" w:rsidR="0040284F" w:rsidRDefault="0065313A">
      <w:pPr>
        <w:rPr>
          <w:rStyle w:val="Strong"/>
        </w:rPr>
      </w:pPr>
      <w:proofErr w:type="gramStart"/>
      <w:r w:rsidRPr="003A09C1">
        <w:rPr>
          <w:rStyle w:val="Strong"/>
        </w:rPr>
        <w:t>The vast majority of</w:t>
      </w:r>
      <w:proofErr w:type="gramEnd"/>
      <w:r w:rsidRPr="003A09C1">
        <w:rPr>
          <w:rStyle w:val="Strong"/>
        </w:rPr>
        <w:t xml:space="preserve"> Australian farmers will not have any direct legal obligations under the climate</w:t>
      </w:r>
      <w:r w:rsidR="0072008B">
        <w:rPr>
          <w:rStyle w:val="Strong"/>
        </w:rPr>
        <w:noBreakHyphen/>
      </w:r>
      <w:r w:rsidRPr="003A09C1">
        <w:rPr>
          <w:rStyle w:val="Strong"/>
        </w:rPr>
        <w:t>related financial disclosure rules.</w:t>
      </w:r>
    </w:p>
    <w:p w14:paraId="5C990F9A" w14:textId="43546AB2" w:rsidR="0040284F" w:rsidRDefault="0065313A">
      <w:r w:rsidRPr="00012302">
        <w:t xml:space="preserve">Only those businesses that are required to lodge an annual financial report with ASIC under Chapter 2M of the Corporations Act </w:t>
      </w:r>
      <w:r w:rsidRPr="00B7780E">
        <w:t xml:space="preserve">and meet size or emission thresholds </w:t>
      </w:r>
      <w:r w:rsidRPr="00012302">
        <w:t>will be required to prepare a sustainability report</w:t>
      </w:r>
      <w:r>
        <w:t xml:space="preserve"> (</w:t>
      </w:r>
      <w:r w:rsidR="00A95092">
        <w:fldChar w:fldCharType="begin"/>
      </w:r>
      <w:r w:rsidR="00A95092">
        <w:instrText xml:space="preserve"> REF _Ref210299155 \h </w:instrText>
      </w:r>
      <w:r w:rsidR="00A95092">
        <w:fldChar w:fldCharType="separate"/>
      </w:r>
      <w:r w:rsidR="001067FF" w:rsidRPr="00FB17B9">
        <w:t xml:space="preserve">Table </w:t>
      </w:r>
      <w:r w:rsidR="001067FF">
        <w:rPr>
          <w:noProof/>
        </w:rPr>
        <w:t>1</w:t>
      </w:r>
      <w:r w:rsidR="00A95092">
        <w:fldChar w:fldCharType="end"/>
      </w:r>
      <w:r>
        <w:t>)</w:t>
      </w:r>
      <w:r w:rsidRPr="00012302">
        <w:t>.</w:t>
      </w:r>
      <w:r>
        <w:t xml:space="preserve"> These obligations are being phased in over three years.</w:t>
      </w:r>
    </w:p>
    <w:p w14:paraId="0307501F" w14:textId="77777777" w:rsidR="0040284F" w:rsidRDefault="0065313A">
      <w:pPr>
        <w:pStyle w:val="Heading4"/>
      </w:pPr>
      <w:bookmarkStart w:id="47" w:name="_Toc210317882"/>
      <w:r>
        <w:t>For s</w:t>
      </w:r>
      <w:r w:rsidRPr="004058A1">
        <w:t>ole trader</w:t>
      </w:r>
      <w:r w:rsidRPr="0002537A">
        <w:t>s</w:t>
      </w:r>
      <w:r w:rsidRPr="004058A1">
        <w:t>, partnerships and trusts</w:t>
      </w:r>
      <w:bookmarkEnd w:id="47"/>
    </w:p>
    <w:p w14:paraId="59A51011" w14:textId="77777777" w:rsidR="0040284F" w:rsidRDefault="0065313A">
      <w:r w:rsidRPr="00A83AE7">
        <w:t xml:space="preserve">If you operate your farming business as a sole trader or through a partnership or trust, the sustainability reporting </w:t>
      </w:r>
      <w:r w:rsidRPr="003E05A2">
        <w:t xml:space="preserve">requirements </w:t>
      </w:r>
      <w:r w:rsidRPr="003E05A2">
        <w:rPr>
          <w:rStyle w:val="Strong"/>
        </w:rPr>
        <w:t>will not</w:t>
      </w:r>
      <w:r w:rsidRPr="003E05A2">
        <w:t xml:space="preserve"> directly</w:t>
      </w:r>
      <w:r w:rsidRPr="00A83AE7">
        <w:t xml:space="preserve"> apply to you.</w:t>
      </w:r>
    </w:p>
    <w:p w14:paraId="42DFF91B" w14:textId="77777777" w:rsidR="0040284F" w:rsidRDefault="0065313A">
      <w:pPr>
        <w:pStyle w:val="Heading4"/>
      </w:pPr>
      <w:bookmarkStart w:id="48" w:name="_Toc210317883"/>
      <w:r>
        <w:t>For c</w:t>
      </w:r>
      <w:r w:rsidRPr="004058A1">
        <w:t>ompanies</w:t>
      </w:r>
      <w:bookmarkEnd w:id="48"/>
    </w:p>
    <w:p w14:paraId="217B8AD1" w14:textId="77777777" w:rsidR="0040284F" w:rsidRDefault="0065313A">
      <w:r w:rsidRPr="00A83AE7">
        <w:t>The new reporting requirements will not directly apply to small-to-medium sized businesses</w:t>
      </w:r>
      <w:r>
        <w:t>, as</w:t>
      </w:r>
      <w:r w:rsidRPr="00A83AE7">
        <w:t xml:space="preserve"> </w:t>
      </w:r>
      <w:r>
        <w:t>these b</w:t>
      </w:r>
      <w:r w:rsidRPr="00A83AE7">
        <w:t xml:space="preserve">usinesses </w:t>
      </w:r>
      <w:r>
        <w:t>are not required</w:t>
      </w:r>
      <w:r w:rsidRPr="00A83AE7">
        <w:t xml:space="preserve"> to </w:t>
      </w:r>
      <w:r>
        <w:t>lodge</w:t>
      </w:r>
      <w:r w:rsidRPr="00A83AE7">
        <w:t xml:space="preserve"> an annual financial report </w:t>
      </w:r>
      <w:r>
        <w:t xml:space="preserve">with ASIC </w:t>
      </w:r>
      <w:r w:rsidRPr="00A83AE7">
        <w:t xml:space="preserve">under </w:t>
      </w:r>
      <w:r>
        <w:t xml:space="preserve">Chapter 2M of </w:t>
      </w:r>
      <w:r w:rsidRPr="00A83AE7">
        <w:t>the Corporations Act.</w:t>
      </w:r>
    </w:p>
    <w:p w14:paraId="7DD1AA1A" w14:textId="77777777" w:rsidR="0040284F" w:rsidRDefault="0065313A">
      <w:r w:rsidRPr="00A83AE7">
        <w:t xml:space="preserve">If you operate your farming business using a company structure, these reporting requirements </w:t>
      </w:r>
      <w:r w:rsidRPr="003A09C1">
        <w:rPr>
          <w:rStyle w:val="Strong"/>
        </w:rPr>
        <w:t>will only apply to you if</w:t>
      </w:r>
      <w:r w:rsidRPr="00A83AE7">
        <w:t xml:space="preserve"> </w:t>
      </w:r>
      <w:r>
        <w:t>your</w:t>
      </w:r>
      <w:r w:rsidRPr="00A83AE7">
        <w:t xml:space="preserve"> company </w:t>
      </w:r>
      <w:r>
        <w:t xml:space="preserve">(including any consolidated subsidiaries) </w:t>
      </w:r>
      <w:r w:rsidRPr="003E05A2">
        <w:t xml:space="preserve">satisfies </w:t>
      </w:r>
      <w:r w:rsidRPr="003E05A2">
        <w:rPr>
          <w:rStyle w:val="Strong"/>
        </w:rPr>
        <w:t>at least two</w:t>
      </w:r>
      <w:r w:rsidRPr="003E05A2">
        <w:t xml:space="preserve"> of</w:t>
      </w:r>
      <w:r w:rsidRPr="00A83AE7">
        <w:t xml:space="preserve"> the following criteria</w:t>
      </w:r>
      <w:r>
        <w:t xml:space="preserve"> at the end of the financial year</w:t>
      </w:r>
      <w:r w:rsidRPr="00A83AE7">
        <w:t>:</w:t>
      </w:r>
    </w:p>
    <w:p w14:paraId="333013AC" w14:textId="77777777" w:rsidR="0040284F" w:rsidRDefault="0065313A" w:rsidP="006464B1">
      <w:pPr>
        <w:pStyle w:val="ListBullet"/>
      </w:pPr>
      <w:r w:rsidRPr="00A83AE7">
        <w:t xml:space="preserve">the company has earned revenue of $50 million </w:t>
      </w:r>
      <w:r>
        <w:t>or more</w:t>
      </w:r>
    </w:p>
    <w:p w14:paraId="6F7FD6EE" w14:textId="77777777" w:rsidR="0040284F" w:rsidRDefault="0065313A" w:rsidP="006464B1">
      <w:pPr>
        <w:pStyle w:val="ListBullet"/>
      </w:pPr>
      <w:r w:rsidRPr="00A83AE7">
        <w:t>the company has assets of $25 million</w:t>
      </w:r>
      <w:r>
        <w:t xml:space="preserve"> or more</w:t>
      </w:r>
    </w:p>
    <w:p w14:paraId="5B806D45" w14:textId="77777777" w:rsidR="0040284F" w:rsidRDefault="0065313A" w:rsidP="006464B1">
      <w:pPr>
        <w:pStyle w:val="ListBullet"/>
      </w:pPr>
      <w:r w:rsidRPr="00A83AE7">
        <w:t xml:space="preserve">the company has 100 </w:t>
      </w:r>
      <w:r>
        <w:t xml:space="preserve">or more </w:t>
      </w:r>
      <w:r w:rsidRPr="00A83AE7">
        <w:t>employees.</w:t>
      </w:r>
    </w:p>
    <w:p w14:paraId="3868AD30" w14:textId="147B8457" w:rsidR="0040284F" w:rsidRDefault="0065313A">
      <w:r>
        <w:t>The decision tree (</w:t>
      </w:r>
      <w:r w:rsidR="00DE4EEC">
        <w:fldChar w:fldCharType="begin"/>
      </w:r>
      <w:r w:rsidR="00DE4EEC">
        <w:instrText xml:space="preserve"> REF _Ref210299063 \h </w:instrText>
      </w:r>
      <w:r w:rsidR="00DE4EEC">
        <w:fldChar w:fldCharType="separate"/>
      </w:r>
      <w:r w:rsidR="001067FF">
        <w:t xml:space="preserve">Figure </w:t>
      </w:r>
      <w:r w:rsidR="001067FF">
        <w:rPr>
          <w:noProof/>
        </w:rPr>
        <w:t>1</w:t>
      </w:r>
      <w:r w:rsidR="00DE4EEC">
        <w:fldChar w:fldCharType="end"/>
      </w:r>
      <w:r>
        <w:t>) may also help you determine if and how the new requirements apply to your business.</w:t>
      </w:r>
    </w:p>
    <w:p w14:paraId="212E6C37" w14:textId="77777777" w:rsidR="0040284F" w:rsidRDefault="0065313A">
      <w:r>
        <w:t xml:space="preserve">If your company meets two or more of these criteria you </w:t>
      </w:r>
      <w:r w:rsidRPr="00A83AE7">
        <w:t>sh</w:t>
      </w:r>
      <w:r>
        <w:t xml:space="preserve">ould </w:t>
      </w:r>
      <w:r w:rsidRPr="00A83AE7">
        <w:t xml:space="preserve">consider the information on ASIC’s </w:t>
      </w:r>
      <w:hyperlink r:id="rId33" w:history="1">
        <w:r w:rsidRPr="00567B57">
          <w:rPr>
            <w:rStyle w:val="Hyperlink"/>
          </w:rPr>
          <w:t>sustainability reporting</w:t>
        </w:r>
      </w:hyperlink>
      <w:r w:rsidRPr="00A83AE7">
        <w:t xml:space="preserve"> page, which explains how </w:t>
      </w:r>
      <w:r>
        <w:t xml:space="preserve">and when </w:t>
      </w:r>
      <w:r w:rsidRPr="00A83AE7">
        <w:t xml:space="preserve">the </w:t>
      </w:r>
      <w:r>
        <w:t xml:space="preserve">new </w:t>
      </w:r>
      <w:r w:rsidRPr="00A83AE7">
        <w:t xml:space="preserve">requirements apply </w:t>
      </w:r>
      <w:r>
        <w:t>in addition to existing corporate annual reporting requirements</w:t>
      </w:r>
      <w:r w:rsidRPr="00A83AE7">
        <w:t>.</w:t>
      </w:r>
    </w:p>
    <w:p w14:paraId="51DA6389" w14:textId="77777777" w:rsidR="0040284F" w:rsidRDefault="0065313A" w:rsidP="00AC6F23">
      <w:pPr>
        <w:pStyle w:val="Heading3"/>
      </w:pPr>
      <w:bookmarkStart w:id="49" w:name="_Toc210317884"/>
      <w:r w:rsidRPr="00A83AE7">
        <w:t xml:space="preserve">Will the reporting requirements </w:t>
      </w:r>
      <w:r w:rsidRPr="00E41E6D">
        <w:t>apply indirectly to</w:t>
      </w:r>
      <w:r w:rsidRPr="00A83AE7">
        <w:t xml:space="preserve"> my farm business?</w:t>
      </w:r>
      <w:bookmarkEnd w:id="49"/>
    </w:p>
    <w:p w14:paraId="6905687D" w14:textId="77777777" w:rsidR="0040284F" w:rsidRDefault="0065313A">
      <w:pPr>
        <w:rPr>
          <w:rStyle w:val="Strong"/>
        </w:rPr>
      </w:pPr>
      <w:r w:rsidRPr="003A09C1">
        <w:rPr>
          <w:rStyle w:val="Strong"/>
        </w:rPr>
        <w:t>The new reporting rules do not require large businesses or financial institutions to collect farm-level data from their suppliers and customers to meet the reporting requirements.</w:t>
      </w:r>
    </w:p>
    <w:p w14:paraId="21100770" w14:textId="77777777" w:rsidR="0040284F" w:rsidRDefault="0065313A" w:rsidP="0090070F">
      <w:r>
        <w:t>Reporting entities are allowed to</w:t>
      </w:r>
      <w:r w:rsidRPr="00A83AE7">
        <w:t xml:space="preserve"> use</w:t>
      </w:r>
      <w:r>
        <w:t xml:space="preserve"> industry averages</w:t>
      </w:r>
      <w:r w:rsidRPr="00A83AE7">
        <w:t xml:space="preserve"> and </w:t>
      </w:r>
      <w:r>
        <w:t xml:space="preserve">secondary data </w:t>
      </w:r>
      <w:r w:rsidRPr="00A83AE7">
        <w:t xml:space="preserve">to estimate </w:t>
      </w:r>
      <w:r>
        <w:t>and disclose s</w:t>
      </w:r>
      <w:r w:rsidRPr="00A83AE7">
        <w:t>cope 3 emissions.</w:t>
      </w:r>
      <w:r>
        <w:t xml:space="preserve"> </w:t>
      </w:r>
      <w:r w:rsidRPr="00CE2E1B">
        <w:t xml:space="preserve">Scope 3 emissions may also be </w:t>
      </w:r>
      <w:r>
        <w:t>estimated</w:t>
      </w:r>
      <w:r w:rsidRPr="00CE2E1B">
        <w:t xml:space="preserve"> via data collected from entities in the value chain (‘primary data’).</w:t>
      </w:r>
    </w:p>
    <w:p w14:paraId="3C26298F" w14:textId="3AF5C5A4" w:rsidR="0040284F" w:rsidRDefault="0065313A" w:rsidP="00BE5D65">
      <w:pPr>
        <w:pStyle w:val="Heading3"/>
      </w:pPr>
      <w:bookmarkStart w:id="50" w:name="_Toc210317885"/>
      <w:r w:rsidRPr="009D04A2">
        <w:t>What should I do if I am asked to provide farm-level emissions data under the</w:t>
      </w:r>
      <w:r w:rsidR="004B3859">
        <w:t xml:space="preserve"> </w:t>
      </w:r>
      <w:r w:rsidRPr="009D04A2">
        <w:t>new requirements?</w:t>
      </w:r>
      <w:bookmarkEnd w:id="50"/>
    </w:p>
    <w:p w14:paraId="3E17C985" w14:textId="77777777" w:rsidR="0040284F" w:rsidRDefault="0065313A" w:rsidP="0090070F">
      <w:r>
        <w:t>Many of Australia’s largest companies already make climate-related financial disclosures and have been doing so for many years on a voluntary basis. This has included large companies – such as supermarkets and food companies – estimating scope 3 emissions drawing on industry average data.</w:t>
      </w:r>
    </w:p>
    <w:p w14:paraId="467B0F27" w14:textId="77777777" w:rsidR="0040284F" w:rsidRDefault="0065313A">
      <w:r>
        <w:t xml:space="preserve">Sometimes companies have </w:t>
      </w:r>
      <w:r w:rsidRPr="00A83AE7">
        <w:t xml:space="preserve">estimated their </w:t>
      </w:r>
      <w:r>
        <w:t>s</w:t>
      </w:r>
      <w:r w:rsidRPr="00A83AE7">
        <w:t xml:space="preserve">cope 3 emissions </w:t>
      </w:r>
      <w:r>
        <w:t>using</w:t>
      </w:r>
      <w:r w:rsidRPr="00A83AE7">
        <w:t xml:space="preserve"> a sample of farm</w:t>
      </w:r>
      <w:r>
        <w:t xml:space="preserve"> businesses that have participated in a voluntary program</w:t>
      </w:r>
      <w:r w:rsidRPr="00A83AE7">
        <w:t>.</w:t>
      </w:r>
    </w:p>
    <w:p w14:paraId="530216F6" w14:textId="77777777" w:rsidR="0040284F" w:rsidRDefault="0065313A">
      <w:pPr>
        <w:rPr>
          <w:rStyle w:val="Strong"/>
        </w:rPr>
      </w:pPr>
      <w:r w:rsidRPr="003A09C1">
        <w:rPr>
          <w:rStyle w:val="Strong"/>
        </w:rPr>
        <w:t>The Australian Sustainability Reporting Standards on Climate-related Disclosures enable secondary data (such as industry average data) to be used by reporting entities to estimate scope 3 emissions.</w:t>
      </w:r>
    </w:p>
    <w:p w14:paraId="6C890BAE" w14:textId="77777777" w:rsidR="0040284F" w:rsidRDefault="0065313A">
      <w:pPr>
        <w:rPr>
          <w:b/>
          <w:bCs/>
        </w:rPr>
      </w:pPr>
      <w:r w:rsidRPr="003E6B45">
        <w:rPr>
          <w:b/>
          <w:bCs/>
        </w:rPr>
        <w:t>Farm-level dat</w:t>
      </w:r>
      <w:r w:rsidRPr="00957707">
        <w:rPr>
          <w:rStyle w:val="Strong"/>
        </w:rPr>
        <w:t>a is not a</w:t>
      </w:r>
      <w:r w:rsidRPr="003E6B45">
        <w:rPr>
          <w:b/>
          <w:bCs/>
        </w:rPr>
        <w:t xml:space="preserve"> requirement for reporting entities to </w:t>
      </w:r>
      <w:r w:rsidRPr="00DC4AB8">
        <w:rPr>
          <w:b/>
          <w:bCs/>
        </w:rPr>
        <w:t>estimate</w:t>
      </w:r>
      <w:r w:rsidRPr="003E6B45">
        <w:rPr>
          <w:b/>
          <w:bCs/>
        </w:rPr>
        <w:t xml:space="preserve"> scope 3 emissions</w:t>
      </w:r>
      <w:r w:rsidRPr="00DC4AB8">
        <w:rPr>
          <w:b/>
          <w:bCs/>
        </w:rPr>
        <w:t>.</w:t>
      </w:r>
    </w:p>
    <w:p w14:paraId="157E4FAD" w14:textId="77777777" w:rsidR="0040284F" w:rsidRDefault="0065313A">
      <w:r w:rsidRPr="00A83AE7">
        <w:t xml:space="preserve">If you are asked </w:t>
      </w:r>
      <w:r>
        <w:t xml:space="preserve">by a customer or supplier </w:t>
      </w:r>
      <w:r w:rsidRPr="00A83AE7">
        <w:t xml:space="preserve">for </w:t>
      </w:r>
      <w:r>
        <w:t xml:space="preserve">farm-level data to support their </w:t>
      </w:r>
      <w:r w:rsidRPr="00A83AE7">
        <w:t>climate-related financial disclosure</w:t>
      </w:r>
      <w:r>
        <w:t>s</w:t>
      </w:r>
      <w:r w:rsidRPr="00A83AE7">
        <w:t>, you may wish to:</w:t>
      </w:r>
    </w:p>
    <w:p w14:paraId="53605BF2" w14:textId="77777777" w:rsidR="0040284F" w:rsidRDefault="0065313A" w:rsidP="00F60805">
      <w:pPr>
        <w:pStyle w:val="ListBullet"/>
      </w:pPr>
      <w:r>
        <w:t>note that farm-level data is not required for scope 3 reporting as part of climate-related financial disclosures</w:t>
      </w:r>
    </w:p>
    <w:p w14:paraId="5056A838" w14:textId="77777777" w:rsidR="0040284F" w:rsidRDefault="0065313A" w:rsidP="00F60805">
      <w:pPr>
        <w:pStyle w:val="ListBullet"/>
      </w:pPr>
      <w:r>
        <w:t>ask whether the customer or supplier has considered using secondary data (such as industry averages) instead of farm-level data</w:t>
      </w:r>
    </w:p>
    <w:p w14:paraId="45A9419E" w14:textId="77777777" w:rsidR="0040284F" w:rsidRDefault="0065313A" w:rsidP="00F60805">
      <w:pPr>
        <w:pStyle w:val="ListBullet"/>
      </w:pPr>
      <w:r w:rsidRPr="00A83AE7">
        <w:t xml:space="preserve">clarify with the </w:t>
      </w:r>
      <w:r>
        <w:t xml:space="preserve">customer or </w:t>
      </w:r>
      <w:r w:rsidRPr="00A83AE7">
        <w:t xml:space="preserve">supplier the type of documents or records they </w:t>
      </w:r>
      <w:r>
        <w:t>are seeking from you</w:t>
      </w:r>
      <w:r w:rsidRPr="00A83AE7">
        <w:t>.</w:t>
      </w:r>
    </w:p>
    <w:p w14:paraId="0DE50489" w14:textId="77777777" w:rsidR="0040284F" w:rsidRDefault="0065313A" w:rsidP="00223043">
      <w:pPr>
        <w:pStyle w:val="Heading3"/>
      </w:pPr>
      <w:bookmarkStart w:id="51" w:name="_Toc210317886"/>
      <w:r>
        <w:t>Am I obligated to provide farm-level data?</w:t>
      </w:r>
      <w:bookmarkEnd w:id="51"/>
    </w:p>
    <w:p w14:paraId="4C2BCA06" w14:textId="0F7D7570" w:rsidR="0040284F" w:rsidRDefault="0065313A">
      <w:pPr>
        <w:rPr>
          <w:bCs/>
        </w:rPr>
      </w:pPr>
      <w:r w:rsidRPr="00AC13BF">
        <w:rPr>
          <w:rStyle w:val="Strong"/>
        </w:rPr>
        <w:t>No</w:t>
      </w:r>
      <w:r w:rsidRPr="00957707">
        <w:t>. If</w:t>
      </w:r>
      <w:r w:rsidRPr="00F157EA">
        <w:rPr>
          <w:bCs/>
        </w:rPr>
        <w:t xml:space="preserve"> </w:t>
      </w:r>
      <w:r>
        <w:rPr>
          <w:bCs/>
        </w:rPr>
        <w:t xml:space="preserve">your farm business is not a large company that meets the reporting </w:t>
      </w:r>
      <w:r w:rsidRPr="00F6438B">
        <w:rPr>
          <w:bCs/>
        </w:rPr>
        <w:t>thresholds (</w:t>
      </w:r>
      <w:r w:rsidRPr="00F5254E">
        <w:rPr>
          <w:bCs/>
        </w:rPr>
        <w:t>refer</w:t>
      </w:r>
      <w:r w:rsidR="007C2C86">
        <w:rPr>
          <w:bCs/>
        </w:rPr>
        <w:t xml:space="preserve"> to </w:t>
      </w:r>
      <w:r w:rsidR="00D97BB5">
        <w:rPr>
          <w:bCs/>
        </w:rPr>
        <w:t>the</w:t>
      </w:r>
      <w:r w:rsidR="004E1742">
        <w:rPr>
          <w:bCs/>
        </w:rPr>
        <w:t xml:space="preserve"> </w:t>
      </w:r>
      <w:r w:rsidR="00DB245B">
        <w:rPr>
          <w:bCs/>
        </w:rPr>
        <w:t>‘</w:t>
      </w:r>
      <w:r w:rsidR="005953F1" w:rsidRPr="003C0DFC">
        <w:fldChar w:fldCharType="begin"/>
      </w:r>
      <w:r w:rsidR="005953F1" w:rsidRPr="003C0DFC">
        <w:instrText xml:space="preserve"> REF _Ref210309241 \h </w:instrText>
      </w:r>
      <w:r w:rsidR="003C0DFC">
        <w:instrText xml:space="preserve"> \* MERGEFORMAT </w:instrText>
      </w:r>
      <w:r w:rsidR="005953F1" w:rsidRPr="003C0DFC">
        <w:fldChar w:fldCharType="separate"/>
      </w:r>
      <w:r w:rsidR="001067FF">
        <w:t>How do I know if</w:t>
      </w:r>
      <w:r w:rsidR="001067FF" w:rsidRPr="00A83AE7">
        <w:t xml:space="preserve"> the reporting requirements </w:t>
      </w:r>
      <w:r w:rsidR="001067FF" w:rsidRPr="00A838CA">
        <w:t>apply directly to my</w:t>
      </w:r>
      <w:r w:rsidR="001067FF" w:rsidRPr="00A83AE7">
        <w:t xml:space="preserve"> farm business?</w:t>
      </w:r>
      <w:r w:rsidR="005953F1" w:rsidRPr="003C0DFC">
        <w:fldChar w:fldCharType="end"/>
      </w:r>
      <w:r w:rsidR="00DB245B" w:rsidRPr="00791BB2">
        <w:t>’</w:t>
      </w:r>
      <w:r w:rsidR="00D97BB5">
        <w:t xml:space="preserve"> section</w:t>
      </w:r>
      <w:r w:rsidRPr="00F6438B">
        <w:rPr>
          <w:bCs/>
        </w:rPr>
        <w:t>),</w:t>
      </w:r>
      <w:r>
        <w:rPr>
          <w:bCs/>
        </w:rPr>
        <w:t xml:space="preserve"> there is no legislative or regulatory requirement to provide farm-level data to another entity that does meet the reporting thresholds. The other entity </w:t>
      </w:r>
      <w:proofErr w:type="gramStart"/>
      <w:r>
        <w:rPr>
          <w:bCs/>
        </w:rPr>
        <w:t>is able to</w:t>
      </w:r>
      <w:proofErr w:type="gramEnd"/>
      <w:r>
        <w:rPr>
          <w:bCs/>
        </w:rPr>
        <w:t xml:space="preserve"> use secondary data (such as publicly available industry</w:t>
      </w:r>
      <w:r w:rsidR="00DD3359">
        <w:rPr>
          <w:bCs/>
        </w:rPr>
        <w:noBreakHyphen/>
      </w:r>
      <w:r>
        <w:rPr>
          <w:bCs/>
        </w:rPr>
        <w:t xml:space="preserve">level estimates) to comply with the </w:t>
      </w:r>
      <w:r>
        <w:t>Australian Sustainability Reporting Standards</w:t>
      </w:r>
      <w:r>
        <w:rPr>
          <w:bCs/>
        </w:rPr>
        <w:t>.</w:t>
      </w:r>
    </w:p>
    <w:p w14:paraId="0E6CDB82" w14:textId="77777777" w:rsidR="0040284F" w:rsidRDefault="0065313A">
      <w:pPr>
        <w:pStyle w:val="Heading4"/>
      </w:pPr>
      <w:bookmarkStart w:id="52" w:name="_Toc210317887"/>
      <w:r>
        <w:t>Other commercial considerations</w:t>
      </w:r>
      <w:bookmarkEnd w:id="52"/>
    </w:p>
    <w:p w14:paraId="4DCCD9FA" w14:textId="77777777" w:rsidR="0040284F" w:rsidRDefault="0065313A" w:rsidP="00223043">
      <w:r>
        <w:t>While Australia’s legislative arrangements underpinning climate-related financial disclosures have been designed to minimise the cost or burden of reporting scope 3 emissions, there may be other commercial reasons a company may request farm-level data. Often in these instances, farm-level data is aggregated across a larger group of producers.</w:t>
      </w:r>
    </w:p>
    <w:p w14:paraId="05B4F62C" w14:textId="77777777" w:rsidR="0040284F" w:rsidRDefault="0065313A" w:rsidP="00223043">
      <w:r>
        <w:t>Examples of these commercial arrangements may include:</w:t>
      </w:r>
    </w:p>
    <w:p w14:paraId="2470FF09" w14:textId="77777777" w:rsidR="0040284F" w:rsidRDefault="0065313A" w:rsidP="00223043">
      <w:pPr>
        <w:pStyle w:val="ListBullet"/>
      </w:pPr>
      <w:r w:rsidRPr="00476CE0">
        <w:t>industry certification schemes or brand commitments that include claims around emissions</w:t>
      </w:r>
    </w:p>
    <w:p w14:paraId="5807D7EA" w14:textId="77777777" w:rsidR="0040284F" w:rsidRDefault="0065313A" w:rsidP="00223043">
      <w:pPr>
        <w:pStyle w:val="ListBullet"/>
      </w:pPr>
      <w:r>
        <w:t>emissions targets set by companies in the domestic or global supply chain that require emissions data from suppliers</w:t>
      </w:r>
    </w:p>
    <w:p w14:paraId="2D6BF3B3" w14:textId="77777777" w:rsidR="0040284F" w:rsidRDefault="0065313A" w:rsidP="00223043">
      <w:pPr>
        <w:pStyle w:val="ListBullet"/>
      </w:pPr>
      <w:r>
        <w:t>sustainability-linked loans and access to finance that include emissions-related criteria</w:t>
      </w:r>
    </w:p>
    <w:p w14:paraId="499489A5" w14:textId="4A655550" w:rsidR="0040284F" w:rsidRDefault="0065313A" w:rsidP="00223043">
      <w:pPr>
        <w:pStyle w:val="ListBullet"/>
      </w:pPr>
      <w:r>
        <w:t xml:space="preserve">industry sustainability programs that track progress against a range of </w:t>
      </w:r>
      <w:r w:rsidR="00D26476">
        <w:t>environmental, social and governance</w:t>
      </w:r>
      <w:r>
        <w:t xml:space="preserve"> criteria, including emissions</w:t>
      </w:r>
    </w:p>
    <w:p w14:paraId="2707C3B1" w14:textId="77777777" w:rsidR="0040284F" w:rsidRDefault="0065313A" w:rsidP="00223043">
      <w:pPr>
        <w:pStyle w:val="ListBullet"/>
      </w:pPr>
      <w:r>
        <w:t>gaining a competitive advantage – including in export markets – where lower emissions credentials for a food and fibre product may be commercially advantageous.</w:t>
      </w:r>
    </w:p>
    <w:p w14:paraId="1527F1FF" w14:textId="48254649" w:rsidR="0040284F" w:rsidRDefault="0065313A">
      <w:pPr>
        <w:rPr>
          <w:bCs/>
        </w:rPr>
      </w:pPr>
      <w:proofErr w:type="gramStart"/>
      <w:r>
        <w:rPr>
          <w:bCs/>
        </w:rPr>
        <w:t>A number of</w:t>
      </w:r>
      <w:proofErr w:type="gramEnd"/>
      <w:r>
        <w:rPr>
          <w:bCs/>
        </w:rPr>
        <w:t xml:space="preserve"> industry organisations, large companies and financial institutions in the agri-food supply chain have programs and initiatives to support farm businesses</w:t>
      </w:r>
      <w:r w:rsidR="00776F6F">
        <w:rPr>
          <w:bCs/>
        </w:rPr>
        <w:t xml:space="preserve"> to</w:t>
      </w:r>
      <w:r>
        <w:rPr>
          <w:bCs/>
        </w:rPr>
        <w:t xml:space="preserve"> estimate farm-level emissions. These are sometimes part of broader training programs offered to farmers.</w:t>
      </w:r>
    </w:p>
    <w:p w14:paraId="2DAB2A57" w14:textId="6ADAB407" w:rsidR="0040284F" w:rsidRDefault="0065313A">
      <w:r w:rsidRPr="00A83AE7">
        <w:t xml:space="preserve">Some businesses have set voluntary emissions reduction targets, including for their </w:t>
      </w:r>
      <w:r>
        <w:t>s</w:t>
      </w:r>
      <w:r w:rsidRPr="00A83AE7">
        <w:t>cope</w:t>
      </w:r>
      <w:r>
        <w:t> </w:t>
      </w:r>
      <w:r w:rsidRPr="00A83AE7">
        <w:t xml:space="preserve">3 emissions. Reporting emissions reduction against these targets over time </w:t>
      </w:r>
      <w:r>
        <w:t>may</w:t>
      </w:r>
      <w:r w:rsidRPr="00A83AE7">
        <w:t xml:space="preserve"> require specific data, such as farm</w:t>
      </w:r>
      <w:r w:rsidR="00D21B71">
        <w:noBreakHyphen/>
      </w:r>
      <w:r w:rsidRPr="00A83AE7">
        <w:t>level data.</w:t>
      </w:r>
    </w:p>
    <w:p w14:paraId="3361F5C7" w14:textId="7D9CC960" w:rsidR="0040284F" w:rsidRDefault="0065313A">
      <w:r w:rsidRPr="00A83AE7">
        <w:t xml:space="preserve">Even before climate-related financial disclosures were made mandatory, some businesses estimated their </w:t>
      </w:r>
      <w:r>
        <w:t>s</w:t>
      </w:r>
      <w:r w:rsidRPr="00A83AE7">
        <w:t xml:space="preserve">cope 3 emissions based on a sample of farmers who were interested or incentivised to opt-in to voluntary programs. In other cases, businesses </w:t>
      </w:r>
      <w:r w:rsidR="00AB1861">
        <w:t xml:space="preserve">have </w:t>
      </w:r>
      <w:r w:rsidRPr="00A83AE7">
        <w:t>focus</w:t>
      </w:r>
      <w:r w:rsidR="00AB1861">
        <w:t>sed</w:t>
      </w:r>
      <w:r w:rsidRPr="00A83AE7">
        <w:t xml:space="preserve"> on their largest suppliers or customers to estimate their </w:t>
      </w:r>
      <w:r>
        <w:t>s</w:t>
      </w:r>
      <w:r w:rsidRPr="00A83AE7">
        <w:t>cope 3 emissions.</w:t>
      </w:r>
    </w:p>
    <w:p w14:paraId="7E5A534A" w14:textId="77777777" w:rsidR="0040284F" w:rsidRDefault="0065313A" w:rsidP="00D339B1">
      <w:pPr>
        <w:pStyle w:val="Heading3"/>
      </w:pPr>
      <w:bookmarkStart w:id="53" w:name="_Toc210317888"/>
      <w:r w:rsidRPr="00A83AE7">
        <w:t xml:space="preserve">What tools can I use to estimate </w:t>
      </w:r>
      <w:r>
        <w:t>on-farm</w:t>
      </w:r>
      <w:r w:rsidRPr="00A83AE7">
        <w:t xml:space="preserve"> emissions?</w:t>
      </w:r>
      <w:bookmarkEnd w:id="53"/>
    </w:p>
    <w:p w14:paraId="35350C1D" w14:textId="77777777" w:rsidR="0040284F" w:rsidRDefault="0065313A">
      <w:r>
        <w:t>Australia’s</w:t>
      </w:r>
      <w:r w:rsidRPr="00A83AE7">
        <w:t xml:space="preserve"> agriculture industry has been investing in technologies and practices needed to understand their emissions and manage climate risk for </w:t>
      </w:r>
      <w:r>
        <w:t>many years</w:t>
      </w:r>
      <w:r w:rsidRPr="00A83AE7">
        <w:t xml:space="preserve">. There are several industry-led calculators available to farmers to calculate </w:t>
      </w:r>
      <w:r>
        <w:t>greenhouse gas</w:t>
      </w:r>
      <w:r w:rsidRPr="00A83AE7">
        <w:t xml:space="preserve"> emissions for a range of commodities, including beef, sheep, grains, cotton, pork, poultry, eggs and sugar.</w:t>
      </w:r>
      <w:r>
        <w:t xml:space="preserve"> </w:t>
      </w:r>
      <w:proofErr w:type="gramStart"/>
      <w:r w:rsidRPr="00A83AE7">
        <w:t>A number of</w:t>
      </w:r>
      <w:proofErr w:type="gramEnd"/>
      <w:r w:rsidRPr="00A83AE7">
        <w:t xml:space="preserve"> software developers have built add-ons for common accounting platforms to support emissions reporting using existing data.</w:t>
      </w:r>
    </w:p>
    <w:p w14:paraId="49B90ECB" w14:textId="6A9CF763" w:rsidR="0040284F" w:rsidRDefault="0065313A">
      <w:r w:rsidRPr="00A83AE7">
        <w:t>The Department of Climate Change, Energy, the Environment and Water</w:t>
      </w:r>
      <w:r w:rsidR="00604A54">
        <w:t xml:space="preserve"> (DCCEEW)</w:t>
      </w:r>
      <w:r w:rsidRPr="00A83AE7">
        <w:t xml:space="preserve"> is developing voluntary emissions estimation and reporting ‘standards’ (VEERS) for the agriculture, fisheries and forestry industries to </w:t>
      </w:r>
      <w:r w:rsidRPr="009C2CAD">
        <w:t>improve the quality and consistency of greenhouse gas estimation methods and the various tools used by the industry</w:t>
      </w:r>
      <w:r w:rsidRPr="00A83AE7">
        <w:t>.</w:t>
      </w:r>
      <w:r>
        <w:t xml:space="preserve"> For more information on the VEERS visit </w:t>
      </w:r>
      <w:r w:rsidR="00604A54">
        <w:t>DCCEEW</w:t>
      </w:r>
      <w:r w:rsidR="002E6D31">
        <w:t xml:space="preserve">’s </w:t>
      </w:r>
      <w:hyperlink r:id="rId34" w:history="1">
        <w:r w:rsidR="00562315">
          <w:rPr>
            <w:rStyle w:val="Hyperlink"/>
          </w:rPr>
          <w:t>Voluntary emissions estimation and reporting standards</w:t>
        </w:r>
      </w:hyperlink>
      <w:r w:rsidR="00562315">
        <w:t xml:space="preserve"> webpage</w:t>
      </w:r>
      <w:r>
        <w:t>.</w:t>
      </w:r>
    </w:p>
    <w:p w14:paraId="6D22951F" w14:textId="2C3C112F" w:rsidR="0040284F" w:rsidRDefault="0065313A">
      <w:pPr>
        <w:rPr>
          <w:iCs/>
        </w:rPr>
      </w:pPr>
      <w:r>
        <w:rPr>
          <w:iCs/>
        </w:rPr>
        <w:t xml:space="preserve">The Government is providing $6.4 million to </w:t>
      </w:r>
      <w:r w:rsidRPr="005317BE">
        <w:rPr>
          <w:iCs/>
        </w:rPr>
        <w:t>Agricultural Innovation Australia</w:t>
      </w:r>
      <w:r>
        <w:rPr>
          <w:iCs/>
        </w:rPr>
        <w:t xml:space="preserve"> (AIA), </w:t>
      </w:r>
      <w:r w:rsidRPr="005317BE">
        <w:rPr>
          <w:iCs/>
        </w:rPr>
        <w:t>in partnership with the Zero Net Emissions Agriculture CRC</w:t>
      </w:r>
      <w:r>
        <w:rPr>
          <w:iCs/>
        </w:rPr>
        <w:t xml:space="preserve">, to </w:t>
      </w:r>
      <w:r w:rsidRPr="00500681">
        <w:rPr>
          <w:iCs/>
        </w:rPr>
        <w:t xml:space="preserve">help greenhouse gas calculators and accounting tools </w:t>
      </w:r>
      <w:r>
        <w:rPr>
          <w:iCs/>
        </w:rPr>
        <w:t>align with the VEERS</w:t>
      </w:r>
      <w:r w:rsidRPr="00500681">
        <w:rPr>
          <w:iCs/>
        </w:rPr>
        <w:t>.</w:t>
      </w:r>
      <w:r>
        <w:rPr>
          <w:iCs/>
        </w:rPr>
        <w:t xml:space="preserve"> This will improve the consistency of calculators, give farmers greater confidence in </w:t>
      </w:r>
      <w:r w:rsidRPr="0081049F">
        <w:rPr>
          <w:iCs/>
        </w:rPr>
        <w:t>their business</w:t>
      </w:r>
      <w:r>
        <w:rPr>
          <w:iCs/>
        </w:rPr>
        <w:t>’</w:t>
      </w:r>
      <w:r w:rsidRPr="0081049F">
        <w:rPr>
          <w:iCs/>
        </w:rPr>
        <w:t xml:space="preserve"> emissions profile </w:t>
      </w:r>
      <w:r>
        <w:rPr>
          <w:iCs/>
        </w:rPr>
        <w:t xml:space="preserve">and help inform their </w:t>
      </w:r>
      <w:r w:rsidRPr="0081049F">
        <w:rPr>
          <w:iCs/>
        </w:rPr>
        <w:t>action</w:t>
      </w:r>
      <w:r>
        <w:rPr>
          <w:iCs/>
        </w:rPr>
        <w:t>s</w:t>
      </w:r>
      <w:r w:rsidRPr="0081049F">
        <w:rPr>
          <w:iCs/>
        </w:rPr>
        <w:t xml:space="preserve"> to reduce on-farm emissions.</w:t>
      </w:r>
      <w:r>
        <w:rPr>
          <w:iCs/>
        </w:rPr>
        <w:t xml:space="preserve"> For more information on the funding to AIA, visit</w:t>
      </w:r>
      <w:r w:rsidR="00F64233">
        <w:rPr>
          <w:iCs/>
        </w:rPr>
        <w:t xml:space="preserve"> the Department of Agriculture, Fisheries and Forestry’s</w:t>
      </w:r>
      <w:r>
        <w:rPr>
          <w:iCs/>
        </w:rPr>
        <w:t xml:space="preserve"> </w:t>
      </w:r>
      <w:hyperlink r:id="rId35" w:history="1">
        <w:r w:rsidR="00F64233">
          <w:rPr>
            <w:rStyle w:val="Hyperlink"/>
            <w:iCs/>
          </w:rPr>
          <w:t>Improving Consistency of On-farm Emissions Estimates Program</w:t>
        </w:r>
      </w:hyperlink>
      <w:r w:rsidR="00F64233">
        <w:t xml:space="preserve"> webpage</w:t>
      </w:r>
      <w:r>
        <w:rPr>
          <w:iCs/>
        </w:rPr>
        <w:t>.</w:t>
      </w:r>
    </w:p>
    <w:p w14:paraId="774F0AC0" w14:textId="5A2B2A7A" w:rsidR="0040284F" w:rsidRDefault="00BB4C9D">
      <w:r>
        <w:t xml:space="preserve">The </w:t>
      </w:r>
      <w:hyperlink r:id="rId36" w:history="1">
        <w:r>
          <w:rPr>
            <w:rStyle w:val="Hyperlink"/>
          </w:rPr>
          <w:t>Carbon Farming Outreach Program</w:t>
        </w:r>
      </w:hyperlink>
      <w:r w:rsidR="0065313A" w:rsidRPr="00374700">
        <w:t xml:space="preserve"> </w:t>
      </w:r>
      <w:r w:rsidR="0065313A">
        <w:t xml:space="preserve">is also </w:t>
      </w:r>
      <w:r w:rsidR="0065313A" w:rsidRPr="00374700">
        <w:t>support</w:t>
      </w:r>
      <w:r w:rsidR="0065313A">
        <w:t>ing</w:t>
      </w:r>
      <w:r w:rsidR="0065313A" w:rsidRPr="00374700">
        <w:t xml:space="preserve"> Australian farmers and land managers</w:t>
      </w:r>
      <w:r w:rsidR="0065313A">
        <w:t xml:space="preserve"> </w:t>
      </w:r>
      <w:r w:rsidR="0065313A" w:rsidRPr="00374700">
        <w:t xml:space="preserve">to </w:t>
      </w:r>
      <w:r w:rsidR="0065313A">
        <w:t xml:space="preserve">understand and </w:t>
      </w:r>
      <w:r w:rsidR="0065313A" w:rsidRPr="00374700">
        <w:t xml:space="preserve">manage </w:t>
      </w:r>
      <w:r w:rsidR="0065313A">
        <w:t xml:space="preserve">their </w:t>
      </w:r>
      <w:r w:rsidR="0065313A" w:rsidRPr="00374700">
        <w:t>emissions.</w:t>
      </w:r>
    </w:p>
    <w:p w14:paraId="344A4355" w14:textId="77777777" w:rsidR="0040284F" w:rsidRDefault="0065313A" w:rsidP="00343D62">
      <w:pPr>
        <w:pStyle w:val="Heading3"/>
      </w:pPr>
      <w:bookmarkStart w:id="54" w:name="_Toc210317889"/>
      <w:r>
        <w:t>What practical insights can farmers gain from sustainability reports?</w:t>
      </w:r>
      <w:bookmarkEnd w:id="54"/>
    </w:p>
    <w:p w14:paraId="7145650A" w14:textId="77777777" w:rsidR="0040284F" w:rsidRDefault="0065313A">
      <w:r w:rsidRPr="00A83AE7">
        <w:t>Your farming business may be able to use these reports to better understand the approach larger customers, suppliers and competitors are taking to climate change.</w:t>
      </w:r>
    </w:p>
    <w:p w14:paraId="026A4EBC" w14:textId="77777777" w:rsidR="0040284F" w:rsidRDefault="0065313A">
      <w:r w:rsidRPr="00A83AE7">
        <w:t xml:space="preserve">For example, you may be able to </w:t>
      </w:r>
      <w:r>
        <w:t>see</w:t>
      </w:r>
      <w:r w:rsidRPr="00A83AE7">
        <w:t>:</w:t>
      </w:r>
    </w:p>
    <w:p w14:paraId="5BE796CA" w14:textId="77777777" w:rsidR="0040284F" w:rsidRDefault="0065313A" w:rsidP="00C21754">
      <w:pPr>
        <w:pStyle w:val="ListBullet"/>
      </w:pPr>
      <w:r w:rsidRPr="00A83AE7">
        <w:t xml:space="preserve">how your insurance company is positioned to respond to extreme weather events and how this </w:t>
      </w:r>
      <w:r>
        <w:t>could</w:t>
      </w:r>
      <w:r w:rsidRPr="00A83AE7">
        <w:t xml:space="preserve"> impact your future insurance arrangements</w:t>
      </w:r>
    </w:p>
    <w:p w14:paraId="3FF919EB" w14:textId="77777777" w:rsidR="0040284F" w:rsidRDefault="0065313A" w:rsidP="00C21754">
      <w:pPr>
        <w:pStyle w:val="ListBullet"/>
      </w:pPr>
      <w:r w:rsidRPr="00A83AE7">
        <w:t>the climate-related risks and resilience of an important customer, supplier or key piece of infrastructure your farming business relies on</w:t>
      </w:r>
      <w:r>
        <w:t xml:space="preserve">. This information might help you </w:t>
      </w:r>
      <w:r w:rsidRPr="00A83AE7">
        <w:t>take steps to build a more resilient business</w:t>
      </w:r>
    </w:p>
    <w:p w14:paraId="39D4E29F" w14:textId="77777777" w:rsidR="0040284F" w:rsidRDefault="0065313A" w:rsidP="00C21754">
      <w:pPr>
        <w:pStyle w:val="ListBullet"/>
      </w:pPr>
      <w:r w:rsidRPr="00A83AE7">
        <w:t>the climate-related opportunities being pursued by large businesses and financial institutions, which may create opportunities for small business to generate new income streams</w:t>
      </w:r>
    </w:p>
    <w:p w14:paraId="2E96F5A5" w14:textId="77777777" w:rsidR="0040284F" w:rsidRDefault="0065313A" w:rsidP="00C21754">
      <w:pPr>
        <w:pStyle w:val="ListBullet"/>
      </w:pPr>
      <w:r w:rsidRPr="00A83AE7">
        <w:t>any potential longer-term structural changes in the industry in which you operate, providing information to help you to ‘future-proof’ your farming business.</w:t>
      </w:r>
    </w:p>
    <w:p w14:paraId="1F7D1873" w14:textId="200C9159" w:rsidR="0040284F" w:rsidRDefault="0065313A">
      <w:proofErr w:type="gramStart"/>
      <w:r>
        <w:t>A number of</w:t>
      </w:r>
      <w:proofErr w:type="gramEnd"/>
      <w:r>
        <w:t xml:space="preserve"> companies and financial institutions in the agri-food sector have programs and initiatives in place to support fa</w:t>
      </w:r>
      <w:r w:rsidR="000F273F">
        <w:t>r</w:t>
      </w:r>
      <w:r>
        <w:t>mers estimate and understand their on-farm emissions.</w:t>
      </w:r>
    </w:p>
    <w:p w14:paraId="0E363FCD" w14:textId="77777777" w:rsidR="0040284F" w:rsidRDefault="0065313A" w:rsidP="00C21754">
      <w:pPr>
        <w:pStyle w:val="Heading3"/>
      </w:pPr>
      <w:bookmarkStart w:id="55" w:name="_Toc210317890"/>
      <w:r>
        <w:t>How do I benefit from ‘knowing my number’?</w:t>
      </w:r>
      <w:bookmarkEnd w:id="55"/>
    </w:p>
    <w:p w14:paraId="2B784A12" w14:textId="77777777" w:rsidR="0040284F" w:rsidRDefault="0065313A">
      <w:r>
        <w:t>K</w:t>
      </w:r>
      <w:r w:rsidRPr="00A83AE7">
        <w:t xml:space="preserve">nowing and understanding the emissions profile of </w:t>
      </w:r>
      <w:r>
        <w:t xml:space="preserve">your </w:t>
      </w:r>
      <w:r w:rsidRPr="00A83AE7">
        <w:t xml:space="preserve">business is a fundamental first step to managing emissions. ‘Knowing your number’ allows farmers to build a connected picture of production </w:t>
      </w:r>
      <w:r>
        <w:t>emissions, carbon storage</w:t>
      </w:r>
      <w:r w:rsidRPr="00A83AE7">
        <w:t xml:space="preserve"> and energy use</w:t>
      </w:r>
      <w:r>
        <w:t>. This information allows you to make</w:t>
      </w:r>
      <w:r w:rsidRPr="00A83AE7">
        <w:t xml:space="preserve"> inform</w:t>
      </w:r>
      <w:r>
        <w:t>ed</w:t>
      </w:r>
      <w:r w:rsidRPr="00A83AE7">
        <w:t xml:space="preserve"> business decisions. </w:t>
      </w:r>
      <w:r>
        <w:t>For example, a</w:t>
      </w:r>
      <w:r w:rsidRPr="00A83AE7">
        <w:t xml:space="preserve"> producer that has a lower emissions intensity of production </w:t>
      </w:r>
      <w:r>
        <w:t xml:space="preserve">may </w:t>
      </w:r>
      <w:r w:rsidRPr="00A83AE7">
        <w:t>be well-placed to negotiate preferential supply contracts and lower cost finance.</w:t>
      </w:r>
    </w:p>
    <w:p w14:paraId="29761808" w14:textId="77777777" w:rsidR="0040284F" w:rsidRDefault="0065313A" w:rsidP="00C21754">
      <w:pPr>
        <w:pStyle w:val="Heading3"/>
      </w:pPr>
      <w:bookmarkStart w:id="56" w:name="_Toc210317891"/>
      <w:r>
        <w:t>Where can I access professional advice?</w:t>
      </w:r>
      <w:bookmarkEnd w:id="56"/>
    </w:p>
    <w:p w14:paraId="013E51C0" w14:textId="77777777" w:rsidR="0040284F" w:rsidRDefault="0065313A">
      <w:r w:rsidRPr="00A83AE7">
        <w:t>Your accountant, tax agent or other professional advisor may be able to provide you with some information on the likelihood of your farming business crossing into a</w:t>
      </w:r>
      <w:r>
        <w:t xml:space="preserve"> reporting</w:t>
      </w:r>
      <w:r w:rsidRPr="00A83AE7">
        <w:t xml:space="preserve"> threshold in the future and, if so, what it means for you and your business.</w:t>
      </w:r>
    </w:p>
    <w:p w14:paraId="2A5F3821" w14:textId="77777777" w:rsidR="0040284F" w:rsidRPr="008C0559" w:rsidRDefault="0065313A">
      <w:r w:rsidRPr="00A83AE7">
        <w:t xml:space="preserve">If your farming business is large enough to meet the threshold for mandatory climate-related financial reporting, you will already be preparing and lodging a financial report with ASIC. These reports are </w:t>
      </w:r>
      <w:r w:rsidRPr="008C0559">
        <w:t>generally prepared by the company’s accountant or tax agent.</w:t>
      </w:r>
    </w:p>
    <w:p w14:paraId="0118468B" w14:textId="116C499B" w:rsidR="0040284F" w:rsidRPr="008C0559" w:rsidRDefault="00E63CE0">
      <w:r w:rsidRPr="008C0559">
        <w:fldChar w:fldCharType="begin"/>
      </w:r>
      <w:r w:rsidRPr="008C0559">
        <w:instrText xml:space="preserve"> REF _Ref210299063 \h </w:instrText>
      </w:r>
      <w:r w:rsidR="008C0559">
        <w:instrText xml:space="preserve"> \* MERGEFORMAT </w:instrText>
      </w:r>
      <w:r w:rsidRPr="008C0559">
        <w:fldChar w:fldCharType="separate"/>
      </w:r>
      <w:r w:rsidR="001067FF">
        <w:t xml:space="preserve">Figure </w:t>
      </w:r>
      <w:r w:rsidR="001067FF">
        <w:rPr>
          <w:noProof/>
        </w:rPr>
        <w:t>1</w:t>
      </w:r>
      <w:r w:rsidRPr="008C0559">
        <w:fldChar w:fldCharType="end"/>
      </w:r>
      <w:r w:rsidR="0065313A" w:rsidRPr="008C0559">
        <w:t xml:space="preserve"> may also help you understand how the sustainability report regime (incorporating climate</w:t>
      </w:r>
      <w:r w:rsidR="007E2202" w:rsidRPr="008C0559">
        <w:noBreakHyphen/>
      </w:r>
      <w:r w:rsidR="0065313A" w:rsidRPr="008C0559">
        <w:t>related financial disclosures) might apply to your business.</w:t>
      </w:r>
    </w:p>
    <w:bookmarkEnd w:id="46"/>
    <w:p w14:paraId="6A9F254D" w14:textId="77777777" w:rsidR="0040284F" w:rsidRDefault="000A5BA0" w:rsidP="000A5BA0">
      <w:pPr>
        <w:pStyle w:val="Normalsmall"/>
      </w:pPr>
      <w:r>
        <w:rPr>
          <w:rStyle w:val="Strong"/>
        </w:rPr>
        <w:t>Acknowledgement of Country</w:t>
      </w:r>
    </w:p>
    <w:p w14:paraId="5A5F35D6" w14:textId="77777777" w:rsidR="0040284F"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D77F74E" w14:textId="77777777" w:rsidR="0040284F" w:rsidRDefault="00E9781D" w:rsidP="00E9781D">
      <w:pPr>
        <w:pStyle w:val="Normalsmall"/>
        <w:spacing w:before="360"/>
      </w:pPr>
      <w:r>
        <w:t>© Commonwealth of Australia 202</w:t>
      </w:r>
      <w:r w:rsidR="004A46C2">
        <w:t>5</w:t>
      </w:r>
    </w:p>
    <w:p w14:paraId="72FA27DF" w14:textId="77777777" w:rsidR="0040284F" w:rsidRDefault="00E9781D" w:rsidP="00E9781D">
      <w:pPr>
        <w:pStyle w:val="Normalsmall"/>
      </w:pPr>
      <w:r>
        <w:t>Unless otherwise noted, copyright (and any other intellectual property rights) in this publication is owned by the Commonwealth of Australia (referred to as the Commonwealth).</w:t>
      </w:r>
    </w:p>
    <w:p w14:paraId="6CF7440C" w14:textId="77777777" w:rsidR="0040284F" w:rsidRDefault="00E9781D" w:rsidP="00E9781D">
      <w:pPr>
        <w:pStyle w:val="Normalsmall"/>
      </w:pPr>
      <w:r>
        <w:t xml:space="preserve">All material in this publication is licensed under a </w:t>
      </w:r>
      <w:hyperlink r:id="rId37" w:history="1">
        <w:r>
          <w:rPr>
            <w:rStyle w:val="Hyperlink"/>
          </w:rPr>
          <w:t>Creative Commons Attribution 4.0 International Licence</w:t>
        </w:r>
      </w:hyperlink>
      <w:r>
        <w:t xml:space="preserve"> except content supplied by third parties, logos and the Commonwealth Coat of Arms.</w:t>
      </w:r>
    </w:p>
    <w:p w14:paraId="5DBDB3AE" w14:textId="73535DB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777745">
      <w:headerReference w:type="first" r:id="rId38"/>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4946" w14:textId="77777777" w:rsidR="00C61D2E" w:rsidRDefault="00C61D2E">
      <w:r>
        <w:separator/>
      </w:r>
    </w:p>
    <w:p w14:paraId="2B47D41A" w14:textId="77777777" w:rsidR="00C61D2E" w:rsidRDefault="00C61D2E"/>
    <w:p w14:paraId="7DA0C2D5" w14:textId="77777777" w:rsidR="00C61D2E" w:rsidRDefault="00C61D2E"/>
  </w:endnote>
  <w:endnote w:type="continuationSeparator" w:id="0">
    <w:p w14:paraId="340B4AD9" w14:textId="77777777" w:rsidR="00C61D2E" w:rsidRDefault="00C61D2E">
      <w:r>
        <w:continuationSeparator/>
      </w:r>
    </w:p>
    <w:p w14:paraId="304332D0" w14:textId="77777777" w:rsidR="00C61D2E" w:rsidRDefault="00C61D2E"/>
    <w:p w14:paraId="1D011015" w14:textId="77777777" w:rsidR="00C61D2E" w:rsidRDefault="00C61D2E"/>
  </w:endnote>
  <w:endnote w:type="continuationNotice" w:id="1">
    <w:p w14:paraId="4DA1E972" w14:textId="77777777" w:rsidR="00C61D2E" w:rsidRDefault="00C61D2E">
      <w:pPr>
        <w:pStyle w:val="Footer"/>
      </w:pPr>
    </w:p>
    <w:p w14:paraId="5785ABDB" w14:textId="77777777" w:rsidR="00C61D2E" w:rsidRDefault="00C61D2E"/>
    <w:p w14:paraId="3E1ECA8C" w14:textId="77777777" w:rsidR="00C61D2E" w:rsidRDefault="00C61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4539" w14:textId="77777777" w:rsidR="00F637B6" w:rsidRDefault="005A3361">
    <w:pPr>
      <w:pStyle w:val="Footer"/>
    </w:pPr>
    <w:r>
      <w:rPr>
        <w:noProof/>
      </w:rPr>
      <mc:AlternateContent>
        <mc:Choice Requires="wps">
          <w:drawing>
            <wp:anchor distT="0" distB="0" distL="0" distR="0" simplePos="0" relativeHeight="251658242" behindDoc="0" locked="0" layoutInCell="1" allowOverlap="1" wp14:anchorId="37E9B8F6" wp14:editId="1C697A27">
              <wp:simplePos x="635" y="635"/>
              <wp:positionH relativeFrom="page">
                <wp:align>center</wp:align>
              </wp:positionH>
              <wp:positionV relativeFrom="page">
                <wp:align>bottom</wp:align>
              </wp:positionV>
              <wp:extent cx="551815" cy="404495"/>
              <wp:effectExtent l="0" t="0" r="635" b="0"/>
              <wp:wrapNone/>
              <wp:docPr id="13571606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41719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9B8F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741719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5E07" w14:textId="77777777" w:rsidR="000542B4" w:rsidRDefault="005A3361" w:rsidP="00BC3323">
    <w:pPr>
      <w:pStyle w:val="Footer"/>
    </w:pPr>
    <w:r>
      <w:rPr>
        <w:noProof/>
      </w:rPr>
      <mc:AlternateContent>
        <mc:Choice Requires="wps">
          <w:drawing>
            <wp:anchor distT="0" distB="0" distL="0" distR="0" simplePos="0" relativeHeight="251658243" behindDoc="0" locked="0" layoutInCell="1" allowOverlap="1" wp14:anchorId="157FFA45" wp14:editId="69B0E335">
              <wp:simplePos x="794657" y="10047514"/>
              <wp:positionH relativeFrom="page">
                <wp:align>center</wp:align>
              </wp:positionH>
              <wp:positionV relativeFrom="page">
                <wp:align>bottom</wp:align>
              </wp:positionV>
              <wp:extent cx="551815" cy="404495"/>
              <wp:effectExtent l="0" t="0" r="635" b="0"/>
              <wp:wrapNone/>
              <wp:docPr id="21395452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2E511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FFA4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32E511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867292412"/>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7591" w14:textId="77B160B1" w:rsidR="00577F29" w:rsidRDefault="005A3361" w:rsidP="00296F50">
    <w:pPr>
      <w:pStyle w:val="Footer"/>
    </w:pPr>
    <w:r>
      <w:rPr>
        <w:noProof/>
      </w:rPr>
      <mc:AlternateContent>
        <mc:Choice Requires="wps">
          <w:drawing>
            <wp:anchor distT="0" distB="0" distL="0" distR="0" simplePos="0" relativeHeight="251658246" behindDoc="0" locked="0" layoutInCell="1" allowOverlap="1" wp14:anchorId="7518583B" wp14:editId="41FDD076">
              <wp:simplePos x="794657" y="10047514"/>
              <wp:positionH relativeFrom="page">
                <wp:align>center</wp:align>
              </wp:positionH>
              <wp:positionV relativeFrom="page">
                <wp:align>bottom</wp:align>
              </wp:positionV>
              <wp:extent cx="551815" cy="404495"/>
              <wp:effectExtent l="0" t="0" r="635" b="0"/>
              <wp:wrapNone/>
              <wp:docPr id="8760585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D992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8583B"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ED992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2082125442"/>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DE50" w14:textId="77777777" w:rsidR="00C61D2E" w:rsidRDefault="00C61D2E">
      <w:r>
        <w:separator/>
      </w:r>
    </w:p>
    <w:p w14:paraId="3AC25DBB" w14:textId="77777777" w:rsidR="00C61D2E" w:rsidRDefault="00C61D2E"/>
    <w:p w14:paraId="4D92B164" w14:textId="77777777" w:rsidR="00C61D2E" w:rsidRDefault="00C61D2E"/>
  </w:footnote>
  <w:footnote w:type="continuationSeparator" w:id="0">
    <w:p w14:paraId="57F0CFC3" w14:textId="77777777" w:rsidR="00C61D2E" w:rsidRDefault="00C61D2E">
      <w:r>
        <w:continuationSeparator/>
      </w:r>
    </w:p>
    <w:p w14:paraId="4C5F3EC9" w14:textId="77777777" w:rsidR="00C61D2E" w:rsidRDefault="00C61D2E"/>
    <w:p w14:paraId="7CF881C7" w14:textId="77777777" w:rsidR="00C61D2E" w:rsidRDefault="00C61D2E"/>
  </w:footnote>
  <w:footnote w:type="continuationNotice" w:id="1">
    <w:p w14:paraId="2976B56C" w14:textId="77777777" w:rsidR="00C61D2E" w:rsidRDefault="00C61D2E">
      <w:pPr>
        <w:pStyle w:val="Footer"/>
      </w:pPr>
    </w:p>
    <w:p w14:paraId="4A1AADAD" w14:textId="77777777" w:rsidR="00C61D2E" w:rsidRDefault="00C61D2E"/>
    <w:p w14:paraId="7C859D96" w14:textId="77777777" w:rsidR="00C61D2E" w:rsidRDefault="00C61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14DE" w14:textId="77777777" w:rsidR="00F637B6" w:rsidRDefault="005A3361">
    <w:pPr>
      <w:pStyle w:val="Header"/>
    </w:pPr>
    <w:r>
      <w:rPr>
        <w:noProof/>
      </w:rPr>
      <mc:AlternateContent>
        <mc:Choice Requires="wps">
          <w:drawing>
            <wp:anchor distT="0" distB="0" distL="0" distR="0" simplePos="0" relativeHeight="251658240" behindDoc="0" locked="0" layoutInCell="1" allowOverlap="1" wp14:anchorId="1BD0EA9A" wp14:editId="38C4E06D">
              <wp:simplePos x="635" y="635"/>
              <wp:positionH relativeFrom="page">
                <wp:align>center</wp:align>
              </wp:positionH>
              <wp:positionV relativeFrom="page">
                <wp:align>top</wp:align>
              </wp:positionV>
              <wp:extent cx="551815" cy="404495"/>
              <wp:effectExtent l="0" t="0" r="635" b="14605"/>
              <wp:wrapNone/>
              <wp:docPr id="6855227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133109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0EA9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133109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9C75" w14:textId="27B809C1" w:rsidR="000542B4" w:rsidRDefault="005A3361">
    <w:pPr>
      <w:pStyle w:val="Header"/>
    </w:pPr>
    <w:r>
      <w:rPr>
        <w:noProof/>
      </w:rPr>
      <mc:AlternateContent>
        <mc:Choice Requires="wps">
          <w:drawing>
            <wp:anchor distT="0" distB="0" distL="0" distR="0" simplePos="0" relativeHeight="251658241" behindDoc="0" locked="0" layoutInCell="1" allowOverlap="1" wp14:anchorId="73E27E33" wp14:editId="53106B1A">
              <wp:simplePos x="794657" y="609600"/>
              <wp:positionH relativeFrom="page">
                <wp:align>center</wp:align>
              </wp:positionH>
              <wp:positionV relativeFrom="page">
                <wp:align>top</wp:align>
              </wp:positionV>
              <wp:extent cx="551815" cy="404495"/>
              <wp:effectExtent l="0" t="0" r="635" b="14605"/>
              <wp:wrapNone/>
              <wp:docPr id="19324182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286E7C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27E3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286E7C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083C2D" w:rsidRPr="00083C2D">
      <w:t>Climate-related financial disclosures: what does it mean for farm businesses?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6B4C" w14:textId="7890631C" w:rsidR="000E455C" w:rsidRDefault="00804868" w:rsidP="00A8157A">
    <w:pPr>
      <w:pStyle w:val="Footer"/>
      <w:spacing w:after="0"/>
      <w:jc w:val="left"/>
    </w:pPr>
    <w:r>
      <w:rPr>
        <w:noProof/>
      </w:rPr>
      <w:drawing>
        <wp:anchor distT="0" distB="0" distL="114300" distR="114300" simplePos="0" relativeHeight="251658247" behindDoc="1" locked="0" layoutInCell="1" allowOverlap="1" wp14:anchorId="2C257E39" wp14:editId="524A8648">
          <wp:simplePos x="0" y="0"/>
          <wp:positionH relativeFrom="page">
            <wp:posOffset>-15875</wp:posOffset>
          </wp:positionH>
          <wp:positionV relativeFrom="paragraph">
            <wp:posOffset>-328295</wp:posOffset>
          </wp:positionV>
          <wp:extent cx="7563598" cy="1296181"/>
          <wp:effectExtent l="0" t="0" r="0" b="0"/>
          <wp:wrapNone/>
          <wp:docPr id="814175381" name="Picture 81417538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r w:rsidR="005A3361">
      <w:rPr>
        <w:noProof/>
      </w:rPr>
      <mc:AlternateContent>
        <mc:Choice Requires="wps">
          <w:drawing>
            <wp:anchor distT="0" distB="0" distL="0" distR="0" simplePos="0" relativeHeight="251658244" behindDoc="0" locked="0" layoutInCell="1" allowOverlap="1" wp14:anchorId="420966A8" wp14:editId="7DB42547">
              <wp:simplePos x="794657" y="609600"/>
              <wp:positionH relativeFrom="page">
                <wp:align>center</wp:align>
              </wp:positionH>
              <wp:positionV relativeFrom="page">
                <wp:align>top</wp:align>
              </wp:positionV>
              <wp:extent cx="551815" cy="404495"/>
              <wp:effectExtent l="0" t="0" r="635" b="14605"/>
              <wp:wrapNone/>
              <wp:docPr id="14330982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14240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0966A8"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A14240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3CE2" w14:textId="2866B55C" w:rsidR="003943A8" w:rsidRDefault="00ED289A">
    <w:pPr>
      <w:pStyle w:val="Header"/>
    </w:pPr>
    <w:r>
      <w:rPr>
        <w:noProof/>
      </w:rPr>
      <mc:AlternateContent>
        <mc:Choice Requires="wps">
          <w:drawing>
            <wp:anchor distT="0" distB="0" distL="0" distR="0" simplePos="0" relativeHeight="251658249" behindDoc="0" locked="0" layoutInCell="1" allowOverlap="1" wp14:anchorId="5F224AF1" wp14:editId="41A1DFAF">
              <wp:simplePos x="794657" y="609600"/>
              <wp:positionH relativeFrom="page">
                <wp:align>center</wp:align>
              </wp:positionH>
              <wp:positionV relativeFrom="page">
                <wp:align>top</wp:align>
              </wp:positionV>
              <wp:extent cx="551815" cy="404495"/>
              <wp:effectExtent l="0" t="0" r="635" b="14605"/>
              <wp:wrapNone/>
              <wp:docPr id="9151322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15D538" w14:textId="77777777" w:rsidR="00ED289A" w:rsidRPr="005A3361" w:rsidRDefault="00ED289A" w:rsidP="00ED289A">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24AF1"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4215D538" w14:textId="77777777" w:rsidR="00ED289A" w:rsidRPr="005A3361" w:rsidRDefault="00ED289A" w:rsidP="00ED289A">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Pr="00083C2D">
      <w:t>Climate-related financial disclosures: what does it mean for farm businesses?</w:t>
    </w:r>
    <w:r>
      <w:rPr>
        <w:noProof/>
      </w:rPr>
      <mc:AlternateContent>
        <mc:Choice Requires="wps">
          <w:drawing>
            <wp:anchor distT="0" distB="0" distL="0" distR="0" simplePos="0" relativeHeight="251658248" behindDoc="0" locked="0" layoutInCell="1" allowOverlap="1" wp14:anchorId="5C9533F6" wp14:editId="28840888">
              <wp:simplePos x="794657" y="609600"/>
              <wp:positionH relativeFrom="page">
                <wp:align>center</wp:align>
              </wp:positionH>
              <wp:positionV relativeFrom="page">
                <wp:align>top</wp:align>
              </wp:positionV>
              <wp:extent cx="551815" cy="404495"/>
              <wp:effectExtent l="0" t="0" r="635" b="14605"/>
              <wp:wrapNone/>
              <wp:docPr id="11047884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15AAEF" w14:textId="77777777" w:rsidR="00ED289A" w:rsidRPr="005A3361" w:rsidRDefault="00ED289A"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C9533F6" id="_x0000_s1033" type="#_x0000_t202" alt="OFFICIAL" style="position:absolute;left:0;text-align:left;margin-left:0;margin-top:0;width:43.45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6115AAEF" w14:textId="77777777" w:rsidR="00ED289A" w:rsidRPr="005A3361" w:rsidRDefault="00ED289A"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5A5E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05315"/>
    <w:multiLevelType w:val="hybridMultilevel"/>
    <w:tmpl w:val="5E5C76A8"/>
    <w:lvl w:ilvl="0" w:tplc="2E00250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D0A0D"/>
    <w:multiLevelType w:val="hybridMultilevel"/>
    <w:tmpl w:val="8D428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96281"/>
    <w:multiLevelType w:val="multilevel"/>
    <w:tmpl w:val="7E2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868035B"/>
    <w:multiLevelType w:val="multilevel"/>
    <w:tmpl w:val="C2F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7"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AB11BC"/>
    <w:multiLevelType w:val="hybridMultilevel"/>
    <w:tmpl w:val="18A26EDC"/>
    <w:lvl w:ilvl="0" w:tplc="2E00250A">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B45114"/>
    <w:multiLevelType w:val="hybridMultilevel"/>
    <w:tmpl w:val="630C6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EB0350"/>
    <w:multiLevelType w:val="hybridMultilevel"/>
    <w:tmpl w:val="656E8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69663F28"/>
    <w:multiLevelType w:val="hybridMultilevel"/>
    <w:tmpl w:val="2C205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09FA"/>
    <w:multiLevelType w:val="multilevel"/>
    <w:tmpl w:val="C8D8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10"/>
  </w:num>
  <w:num w:numId="2" w16cid:durableId="1209954464">
    <w:abstractNumId w:val="7"/>
  </w:num>
  <w:num w:numId="3" w16cid:durableId="211696695">
    <w:abstractNumId w:val="14"/>
  </w:num>
  <w:num w:numId="4" w16cid:durableId="1550148830">
    <w:abstractNumId w:val="15"/>
  </w:num>
  <w:num w:numId="5" w16cid:durableId="1460108156">
    <w:abstractNumId w:val="4"/>
  </w:num>
  <w:num w:numId="6" w16cid:durableId="1934704985">
    <w:abstractNumId w:val="11"/>
  </w:num>
  <w:num w:numId="7" w16cid:durableId="1013073201">
    <w:abstractNumId w:val="13"/>
  </w:num>
  <w:num w:numId="8" w16cid:durableId="524289160">
    <w:abstractNumId w:val="6"/>
  </w:num>
  <w:num w:numId="9" w16cid:durableId="94401862">
    <w:abstractNumId w:val="19"/>
  </w:num>
  <w:num w:numId="10" w16cid:durableId="1262253482">
    <w:abstractNumId w:val="19"/>
  </w:num>
  <w:num w:numId="11" w16cid:durableId="1504468562">
    <w:abstractNumId w:val="19"/>
  </w:num>
  <w:num w:numId="12" w16cid:durableId="1296328144">
    <w:abstractNumId w:val="19"/>
  </w:num>
  <w:num w:numId="13" w16cid:durableId="1361395064">
    <w:abstractNumId w:val="17"/>
  </w:num>
  <w:num w:numId="14" w16cid:durableId="1080635027">
    <w:abstractNumId w:val="20"/>
  </w:num>
  <w:num w:numId="15" w16cid:durableId="375351990">
    <w:abstractNumId w:val="1"/>
  </w:num>
  <w:num w:numId="16" w16cid:durableId="1254587553">
    <w:abstractNumId w:val="3"/>
  </w:num>
  <w:num w:numId="17" w16cid:durableId="1670329611">
    <w:abstractNumId w:val="18"/>
  </w:num>
  <w:num w:numId="18" w16cid:durableId="927731977">
    <w:abstractNumId w:val="5"/>
  </w:num>
  <w:num w:numId="19" w16cid:durableId="1454858611">
    <w:abstractNumId w:val="8"/>
  </w:num>
  <w:num w:numId="20" w16cid:durableId="428350987">
    <w:abstractNumId w:val="12"/>
  </w:num>
  <w:num w:numId="21" w16cid:durableId="629671675">
    <w:abstractNumId w:val="2"/>
  </w:num>
  <w:num w:numId="22" w16cid:durableId="1675496584">
    <w:abstractNumId w:val="16"/>
  </w:num>
  <w:num w:numId="23" w16cid:durableId="578564336">
    <w:abstractNumId w:val="9"/>
  </w:num>
  <w:num w:numId="24" w16cid:durableId="119657876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64"/>
    <w:rsid w:val="0000059E"/>
    <w:rsid w:val="0000066F"/>
    <w:rsid w:val="00001B53"/>
    <w:rsid w:val="00002561"/>
    <w:rsid w:val="00004204"/>
    <w:rsid w:val="000069B0"/>
    <w:rsid w:val="00015B80"/>
    <w:rsid w:val="00016B4C"/>
    <w:rsid w:val="00017ACB"/>
    <w:rsid w:val="00021590"/>
    <w:rsid w:val="00022CC0"/>
    <w:rsid w:val="00025D1B"/>
    <w:rsid w:val="000266C4"/>
    <w:rsid w:val="0002765D"/>
    <w:rsid w:val="00032D11"/>
    <w:rsid w:val="0003575E"/>
    <w:rsid w:val="00035B8D"/>
    <w:rsid w:val="0003648C"/>
    <w:rsid w:val="00036C5D"/>
    <w:rsid w:val="0003712C"/>
    <w:rsid w:val="00041B08"/>
    <w:rsid w:val="000423CC"/>
    <w:rsid w:val="0005308A"/>
    <w:rsid w:val="00054275"/>
    <w:rsid w:val="000542B4"/>
    <w:rsid w:val="000570B9"/>
    <w:rsid w:val="000602AD"/>
    <w:rsid w:val="000618F3"/>
    <w:rsid w:val="00062E94"/>
    <w:rsid w:val="00066B23"/>
    <w:rsid w:val="00066D0B"/>
    <w:rsid w:val="00070D17"/>
    <w:rsid w:val="000717D2"/>
    <w:rsid w:val="00071927"/>
    <w:rsid w:val="00071D02"/>
    <w:rsid w:val="000721C3"/>
    <w:rsid w:val="00073A39"/>
    <w:rsid w:val="00074A56"/>
    <w:rsid w:val="00075CBC"/>
    <w:rsid w:val="00080827"/>
    <w:rsid w:val="000815F1"/>
    <w:rsid w:val="00081E40"/>
    <w:rsid w:val="0008277A"/>
    <w:rsid w:val="00083C2D"/>
    <w:rsid w:val="00083E48"/>
    <w:rsid w:val="00084605"/>
    <w:rsid w:val="000861A9"/>
    <w:rsid w:val="000904C1"/>
    <w:rsid w:val="000913B5"/>
    <w:rsid w:val="00091514"/>
    <w:rsid w:val="000956C1"/>
    <w:rsid w:val="000962A9"/>
    <w:rsid w:val="000A0641"/>
    <w:rsid w:val="000A5BA0"/>
    <w:rsid w:val="000A7DDB"/>
    <w:rsid w:val="000B067A"/>
    <w:rsid w:val="000B1D42"/>
    <w:rsid w:val="000B3924"/>
    <w:rsid w:val="000B3BDC"/>
    <w:rsid w:val="000B3C44"/>
    <w:rsid w:val="000C0412"/>
    <w:rsid w:val="000C0DCF"/>
    <w:rsid w:val="000C4558"/>
    <w:rsid w:val="000D04C3"/>
    <w:rsid w:val="000D35AF"/>
    <w:rsid w:val="000D51F5"/>
    <w:rsid w:val="000D5A5D"/>
    <w:rsid w:val="000D621B"/>
    <w:rsid w:val="000D7E66"/>
    <w:rsid w:val="000E455C"/>
    <w:rsid w:val="000E4D74"/>
    <w:rsid w:val="000E7803"/>
    <w:rsid w:val="000F0491"/>
    <w:rsid w:val="000F1DBE"/>
    <w:rsid w:val="000F273F"/>
    <w:rsid w:val="000F2E6D"/>
    <w:rsid w:val="000F63D7"/>
    <w:rsid w:val="000F6800"/>
    <w:rsid w:val="000F7E1C"/>
    <w:rsid w:val="00100155"/>
    <w:rsid w:val="00104D17"/>
    <w:rsid w:val="00105842"/>
    <w:rsid w:val="001067FF"/>
    <w:rsid w:val="00106CC4"/>
    <w:rsid w:val="001078A6"/>
    <w:rsid w:val="001109F7"/>
    <w:rsid w:val="00110E9E"/>
    <w:rsid w:val="00115751"/>
    <w:rsid w:val="001176C9"/>
    <w:rsid w:val="00117E2C"/>
    <w:rsid w:val="001233A8"/>
    <w:rsid w:val="00126216"/>
    <w:rsid w:val="00127B9F"/>
    <w:rsid w:val="0013173D"/>
    <w:rsid w:val="00133D0E"/>
    <w:rsid w:val="0013639D"/>
    <w:rsid w:val="0014196B"/>
    <w:rsid w:val="00141F8B"/>
    <w:rsid w:val="001430E3"/>
    <w:rsid w:val="00143A7B"/>
    <w:rsid w:val="00144601"/>
    <w:rsid w:val="00146F5D"/>
    <w:rsid w:val="0015030A"/>
    <w:rsid w:val="00150AEB"/>
    <w:rsid w:val="00154FB4"/>
    <w:rsid w:val="00155A87"/>
    <w:rsid w:val="00156BD1"/>
    <w:rsid w:val="00156C1D"/>
    <w:rsid w:val="00160DC0"/>
    <w:rsid w:val="001663C9"/>
    <w:rsid w:val="0017478C"/>
    <w:rsid w:val="00183A55"/>
    <w:rsid w:val="00184D12"/>
    <w:rsid w:val="00190D7E"/>
    <w:rsid w:val="001929D2"/>
    <w:rsid w:val="00194BFB"/>
    <w:rsid w:val="00197128"/>
    <w:rsid w:val="001A32F0"/>
    <w:rsid w:val="001A6968"/>
    <w:rsid w:val="001B4418"/>
    <w:rsid w:val="001B6DD5"/>
    <w:rsid w:val="001B78A1"/>
    <w:rsid w:val="001C31AF"/>
    <w:rsid w:val="001C45E1"/>
    <w:rsid w:val="001C70F6"/>
    <w:rsid w:val="001D0EF3"/>
    <w:rsid w:val="001D3EEE"/>
    <w:rsid w:val="001D5651"/>
    <w:rsid w:val="001E079E"/>
    <w:rsid w:val="001E0978"/>
    <w:rsid w:val="001E5F55"/>
    <w:rsid w:val="001F1FEC"/>
    <w:rsid w:val="0020140C"/>
    <w:rsid w:val="00201BFB"/>
    <w:rsid w:val="00203DE1"/>
    <w:rsid w:val="002059AA"/>
    <w:rsid w:val="00206A9F"/>
    <w:rsid w:val="00210FF4"/>
    <w:rsid w:val="00214930"/>
    <w:rsid w:val="00215178"/>
    <w:rsid w:val="00220618"/>
    <w:rsid w:val="00220629"/>
    <w:rsid w:val="0022105F"/>
    <w:rsid w:val="002212F4"/>
    <w:rsid w:val="00223043"/>
    <w:rsid w:val="002275E4"/>
    <w:rsid w:val="00231B7D"/>
    <w:rsid w:val="002337CD"/>
    <w:rsid w:val="00237A69"/>
    <w:rsid w:val="00237D3A"/>
    <w:rsid w:val="002401B8"/>
    <w:rsid w:val="002422E3"/>
    <w:rsid w:val="002440AB"/>
    <w:rsid w:val="00246A83"/>
    <w:rsid w:val="00254C18"/>
    <w:rsid w:val="00265C4B"/>
    <w:rsid w:val="002671B4"/>
    <w:rsid w:val="00267510"/>
    <w:rsid w:val="00275433"/>
    <w:rsid w:val="00275B58"/>
    <w:rsid w:val="00277EF7"/>
    <w:rsid w:val="00283B7D"/>
    <w:rsid w:val="00284B53"/>
    <w:rsid w:val="00290DD2"/>
    <w:rsid w:val="002917FA"/>
    <w:rsid w:val="00293144"/>
    <w:rsid w:val="00296F50"/>
    <w:rsid w:val="002A105F"/>
    <w:rsid w:val="002A14D0"/>
    <w:rsid w:val="002A67A6"/>
    <w:rsid w:val="002B1FAF"/>
    <w:rsid w:val="002B3B5F"/>
    <w:rsid w:val="002C2183"/>
    <w:rsid w:val="002C4B0A"/>
    <w:rsid w:val="002C4CA5"/>
    <w:rsid w:val="002C6240"/>
    <w:rsid w:val="002C6FF9"/>
    <w:rsid w:val="002D1488"/>
    <w:rsid w:val="002D662D"/>
    <w:rsid w:val="002D7E4D"/>
    <w:rsid w:val="002E0DFD"/>
    <w:rsid w:val="002E3FD4"/>
    <w:rsid w:val="002E5949"/>
    <w:rsid w:val="002E6D31"/>
    <w:rsid w:val="002F037D"/>
    <w:rsid w:val="002F1CC5"/>
    <w:rsid w:val="002F2481"/>
    <w:rsid w:val="002F4595"/>
    <w:rsid w:val="002F75D9"/>
    <w:rsid w:val="00300AFD"/>
    <w:rsid w:val="00301CE2"/>
    <w:rsid w:val="003032C0"/>
    <w:rsid w:val="00306735"/>
    <w:rsid w:val="00307C3D"/>
    <w:rsid w:val="003138CA"/>
    <w:rsid w:val="00322607"/>
    <w:rsid w:val="00323BD2"/>
    <w:rsid w:val="003259FA"/>
    <w:rsid w:val="00325C21"/>
    <w:rsid w:val="003335C4"/>
    <w:rsid w:val="00335924"/>
    <w:rsid w:val="00336B60"/>
    <w:rsid w:val="003434E1"/>
    <w:rsid w:val="00343D62"/>
    <w:rsid w:val="00345022"/>
    <w:rsid w:val="003464F7"/>
    <w:rsid w:val="00347DAA"/>
    <w:rsid w:val="003501A6"/>
    <w:rsid w:val="00350B4C"/>
    <w:rsid w:val="0035108D"/>
    <w:rsid w:val="00351C02"/>
    <w:rsid w:val="00354BC1"/>
    <w:rsid w:val="00355D39"/>
    <w:rsid w:val="00356462"/>
    <w:rsid w:val="003569F9"/>
    <w:rsid w:val="0036299C"/>
    <w:rsid w:val="00366505"/>
    <w:rsid w:val="00366721"/>
    <w:rsid w:val="00366B72"/>
    <w:rsid w:val="00367539"/>
    <w:rsid w:val="00370302"/>
    <w:rsid w:val="00370990"/>
    <w:rsid w:val="0037530A"/>
    <w:rsid w:val="003766AC"/>
    <w:rsid w:val="0037698A"/>
    <w:rsid w:val="0038142B"/>
    <w:rsid w:val="0038373E"/>
    <w:rsid w:val="00386B91"/>
    <w:rsid w:val="00390CE3"/>
    <w:rsid w:val="00392124"/>
    <w:rsid w:val="0039279F"/>
    <w:rsid w:val="003937B8"/>
    <w:rsid w:val="003943A8"/>
    <w:rsid w:val="003A02A5"/>
    <w:rsid w:val="003A09C1"/>
    <w:rsid w:val="003A3B43"/>
    <w:rsid w:val="003A5B01"/>
    <w:rsid w:val="003A6F8E"/>
    <w:rsid w:val="003A75F7"/>
    <w:rsid w:val="003B2673"/>
    <w:rsid w:val="003C0DFC"/>
    <w:rsid w:val="003C26D7"/>
    <w:rsid w:val="003C2D42"/>
    <w:rsid w:val="003C30C5"/>
    <w:rsid w:val="003D50CE"/>
    <w:rsid w:val="003E05A2"/>
    <w:rsid w:val="003E07D6"/>
    <w:rsid w:val="003E1F25"/>
    <w:rsid w:val="003F73D7"/>
    <w:rsid w:val="0040179A"/>
    <w:rsid w:val="0040284F"/>
    <w:rsid w:val="00403F68"/>
    <w:rsid w:val="00411260"/>
    <w:rsid w:val="0041246F"/>
    <w:rsid w:val="0041485E"/>
    <w:rsid w:val="0041575E"/>
    <w:rsid w:val="004158FB"/>
    <w:rsid w:val="00423318"/>
    <w:rsid w:val="0042682E"/>
    <w:rsid w:val="00435888"/>
    <w:rsid w:val="00436513"/>
    <w:rsid w:val="004365E8"/>
    <w:rsid w:val="00436620"/>
    <w:rsid w:val="00436E61"/>
    <w:rsid w:val="0044143E"/>
    <w:rsid w:val="00442630"/>
    <w:rsid w:val="0044304D"/>
    <w:rsid w:val="00443C5A"/>
    <w:rsid w:val="00446CB3"/>
    <w:rsid w:val="004477EC"/>
    <w:rsid w:val="004505F8"/>
    <w:rsid w:val="0045115D"/>
    <w:rsid w:val="004538CA"/>
    <w:rsid w:val="00454FD8"/>
    <w:rsid w:val="004604A3"/>
    <w:rsid w:val="00461EAC"/>
    <w:rsid w:val="004638E7"/>
    <w:rsid w:val="00464233"/>
    <w:rsid w:val="00474BB1"/>
    <w:rsid w:val="00474D00"/>
    <w:rsid w:val="00475B8C"/>
    <w:rsid w:val="0047783B"/>
    <w:rsid w:val="00477888"/>
    <w:rsid w:val="00481808"/>
    <w:rsid w:val="00483793"/>
    <w:rsid w:val="00484429"/>
    <w:rsid w:val="00485973"/>
    <w:rsid w:val="00485BCA"/>
    <w:rsid w:val="00486FB6"/>
    <w:rsid w:val="00490248"/>
    <w:rsid w:val="00493210"/>
    <w:rsid w:val="00493695"/>
    <w:rsid w:val="00495068"/>
    <w:rsid w:val="00496032"/>
    <w:rsid w:val="004A231B"/>
    <w:rsid w:val="004A2D4F"/>
    <w:rsid w:val="004A46C2"/>
    <w:rsid w:val="004A4A46"/>
    <w:rsid w:val="004A66AF"/>
    <w:rsid w:val="004A7380"/>
    <w:rsid w:val="004A7988"/>
    <w:rsid w:val="004B07EC"/>
    <w:rsid w:val="004B3859"/>
    <w:rsid w:val="004B6950"/>
    <w:rsid w:val="004C2DA2"/>
    <w:rsid w:val="004C3DEB"/>
    <w:rsid w:val="004C4B39"/>
    <w:rsid w:val="004C5FF7"/>
    <w:rsid w:val="004C78E4"/>
    <w:rsid w:val="004D0888"/>
    <w:rsid w:val="004D2693"/>
    <w:rsid w:val="004D29D0"/>
    <w:rsid w:val="004D3BC7"/>
    <w:rsid w:val="004D6DD3"/>
    <w:rsid w:val="004E0D47"/>
    <w:rsid w:val="004E0F82"/>
    <w:rsid w:val="004E1742"/>
    <w:rsid w:val="004E3F82"/>
    <w:rsid w:val="004E433F"/>
    <w:rsid w:val="004E46EF"/>
    <w:rsid w:val="004E6316"/>
    <w:rsid w:val="004F7076"/>
    <w:rsid w:val="004F796F"/>
    <w:rsid w:val="005019C1"/>
    <w:rsid w:val="0050275E"/>
    <w:rsid w:val="0050351D"/>
    <w:rsid w:val="00506A68"/>
    <w:rsid w:val="00506ED9"/>
    <w:rsid w:val="00506F74"/>
    <w:rsid w:val="005070C8"/>
    <w:rsid w:val="00513A8F"/>
    <w:rsid w:val="00514CEE"/>
    <w:rsid w:val="00515287"/>
    <w:rsid w:val="005157CF"/>
    <w:rsid w:val="00517D38"/>
    <w:rsid w:val="00525070"/>
    <w:rsid w:val="0052651F"/>
    <w:rsid w:val="00531B5A"/>
    <w:rsid w:val="00546164"/>
    <w:rsid w:val="0055137A"/>
    <w:rsid w:val="00552A42"/>
    <w:rsid w:val="00553E9D"/>
    <w:rsid w:val="005543CC"/>
    <w:rsid w:val="0055447F"/>
    <w:rsid w:val="005553AA"/>
    <w:rsid w:val="00555427"/>
    <w:rsid w:val="00556DAB"/>
    <w:rsid w:val="00557A27"/>
    <w:rsid w:val="00562315"/>
    <w:rsid w:val="00562C4C"/>
    <w:rsid w:val="00567895"/>
    <w:rsid w:val="00567DFC"/>
    <w:rsid w:val="005732AA"/>
    <w:rsid w:val="00573A8C"/>
    <w:rsid w:val="00573F46"/>
    <w:rsid w:val="005747A7"/>
    <w:rsid w:val="005751D9"/>
    <w:rsid w:val="00575DB3"/>
    <w:rsid w:val="005762B7"/>
    <w:rsid w:val="00577F29"/>
    <w:rsid w:val="0058082E"/>
    <w:rsid w:val="00582742"/>
    <w:rsid w:val="00586E89"/>
    <w:rsid w:val="00590805"/>
    <w:rsid w:val="00592A61"/>
    <w:rsid w:val="00592F8A"/>
    <w:rsid w:val="005953F1"/>
    <w:rsid w:val="0059663A"/>
    <w:rsid w:val="00597718"/>
    <w:rsid w:val="005A01FB"/>
    <w:rsid w:val="005A232B"/>
    <w:rsid w:val="005A3061"/>
    <w:rsid w:val="005A3361"/>
    <w:rsid w:val="005A3942"/>
    <w:rsid w:val="005A48A6"/>
    <w:rsid w:val="005B1DAC"/>
    <w:rsid w:val="005B36B8"/>
    <w:rsid w:val="005B388F"/>
    <w:rsid w:val="005B4200"/>
    <w:rsid w:val="005B5B12"/>
    <w:rsid w:val="005B613F"/>
    <w:rsid w:val="005B656B"/>
    <w:rsid w:val="005C115E"/>
    <w:rsid w:val="005C22C9"/>
    <w:rsid w:val="005C2BFD"/>
    <w:rsid w:val="005D14AD"/>
    <w:rsid w:val="005D1D26"/>
    <w:rsid w:val="005D3C59"/>
    <w:rsid w:val="005D4713"/>
    <w:rsid w:val="005D5A8A"/>
    <w:rsid w:val="005D77FA"/>
    <w:rsid w:val="005F0E77"/>
    <w:rsid w:val="005F11AC"/>
    <w:rsid w:val="005F20F9"/>
    <w:rsid w:val="005F3976"/>
    <w:rsid w:val="005F5589"/>
    <w:rsid w:val="005F6974"/>
    <w:rsid w:val="0060299D"/>
    <w:rsid w:val="00603FC0"/>
    <w:rsid w:val="00604A54"/>
    <w:rsid w:val="006073E0"/>
    <w:rsid w:val="00607A21"/>
    <w:rsid w:val="00607A36"/>
    <w:rsid w:val="00613180"/>
    <w:rsid w:val="006156DF"/>
    <w:rsid w:val="0062010C"/>
    <w:rsid w:val="00622008"/>
    <w:rsid w:val="006241C4"/>
    <w:rsid w:val="00625D8D"/>
    <w:rsid w:val="00627F64"/>
    <w:rsid w:val="00631618"/>
    <w:rsid w:val="006343EF"/>
    <w:rsid w:val="00635733"/>
    <w:rsid w:val="006360F9"/>
    <w:rsid w:val="00640D72"/>
    <w:rsid w:val="006411A7"/>
    <w:rsid w:val="00642F36"/>
    <w:rsid w:val="00643CBA"/>
    <w:rsid w:val="006449B0"/>
    <w:rsid w:val="00644BF2"/>
    <w:rsid w:val="006464B1"/>
    <w:rsid w:val="00646917"/>
    <w:rsid w:val="00650077"/>
    <w:rsid w:val="006504DE"/>
    <w:rsid w:val="00653104"/>
    <w:rsid w:val="0065313A"/>
    <w:rsid w:val="00654E0D"/>
    <w:rsid w:val="00656587"/>
    <w:rsid w:val="0065711D"/>
    <w:rsid w:val="0066505B"/>
    <w:rsid w:val="00666145"/>
    <w:rsid w:val="00672A34"/>
    <w:rsid w:val="006753AF"/>
    <w:rsid w:val="006766F5"/>
    <w:rsid w:val="00681B45"/>
    <w:rsid w:val="00681F4B"/>
    <w:rsid w:val="00681F8A"/>
    <w:rsid w:val="00681FC1"/>
    <w:rsid w:val="006827FB"/>
    <w:rsid w:val="00682D8A"/>
    <w:rsid w:val="006852A2"/>
    <w:rsid w:val="006920C6"/>
    <w:rsid w:val="00693448"/>
    <w:rsid w:val="00695B70"/>
    <w:rsid w:val="00696682"/>
    <w:rsid w:val="00696CF0"/>
    <w:rsid w:val="006A09B2"/>
    <w:rsid w:val="006A2527"/>
    <w:rsid w:val="006A7FD8"/>
    <w:rsid w:val="006B0030"/>
    <w:rsid w:val="006B0131"/>
    <w:rsid w:val="006B04D6"/>
    <w:rsid w:val="006B0DE8"/>
    <w:rsid w:val="006B2853"/>
    <w:rsid w:val="006B49DE"/>
    <w:rsid w:val="006B59F1"/>
    <w:rsid w:val="006B6252"/>
    <w:rsid w:val="006C1D02"/>
    <w:rsid w:val="006C2F00"/>
    <w:rsid w:val="006C2F0D"/>
    <w:rsid w:val="006C31E0"/>
    <w:rsid w:val="006C3430"/>
    <w:rsid w:val="006C387F"/>
    <w:rsid w:val="006C53DA"/>
    <w:rsid w:val="006C5D56"/>
    <w:rsid w:val="006C6E4C"/>
    <w:rsid w:val="006D413F"/>
    <w:rsid w:val="006D42C7"/>
    <w:rsid w:val="006D445F"/>
    <w:rsid w:val="006E1381"/>
    <w:rsid w:val="006E353E"/>
    <w:rsid w:val="006E41C0"/>
    <w:rsid w:val="006E5523"/>
    <w:rsid w:val="006F2FB5"/>
    <w:rsid w:val="006F6FE8"/>
    <w:rsid w:val="00700A80"/>
    <w:rsid w:val="0070464B"/>
    <w:rsid w:val="00704C1C"/>
    <w:rsid w:val="0070708E"/>
    <w:rsid w:val="007110D4"/>
    <w:rsid w:val="007149BD"/>
    <w:rsid w:val="0071682B"/>
    <w:rsid w:val="0072008B"/>
    <w:rsid w:val="00721291"/>
    <w:rsid w:val="00721A4C"/>
    <w:rsid w:val="007224C8"/>
    <w:rsid w:val="007258B1"/>
    <w:rsid w:val="00725C8B"/>
    <w:rsid w:val="00732D2B"/>
    <w:rsid w:val="00736995"/>
    <w:rsid w:val="00741545"/>
    <w:rsid w:val="00741790"/>
    <w:rsid w:val="00745832"/>
    <w:rsid w:val="00747583"/>
    <w:rsid w:val="00750E38"/>
    <w:rsid w:val="00752F1A"/>
    <w:rsid w:val="00753B40"/>
    <w:rsid w:val="00754CA3"/>
    <w:rsid w:val="00763500"/>
    <w:rsid w:val="0076549B"/>
    <w:rsid w:val="00766503"/>
    <w:rsid w:val="007724F0"/>
    <w:rsid w:val="00774D71"/>
    <w:rsid w:val="00776CC6"/>
    <w:rsid w:val="00776F6F"/>
    <w:rsid w:val="00777745"/>
    <w:rsid w:val="007811A6"/>
    <w:rsid w:val="00782252"/>
    <w:rsid w:val="00790757"/>
    <w:rsid w:val="00791BB2"/>
    <w:rsid w:val="007924D8"/>
    <w:rsid w:val="00793E18"/>
    <w:rsid w:val="007A4420"/>
    <w:rsid w:val="007A48FF"/>
    <w:rsid w:val="007A598C"/>
    <w:rsid w:val="007A6ED7"/>
    <w:rsid w:val="007B4C63"/>
    <w:rsid w:val="007B72F9"/>
    <w:rsid w:val="007C0010"/>
    <w:rsid w:val="007C2C86"/>
    <w:rsid w:val="007C4947"/>
    <w:rsid w:val="007D286D"/>
    <w:rsid w:val="007D63D1"/>
    <w:rsid w:val="007E102C"/>
    <w:rsid w:val="007E2202"/>
    <w:rsid w:val="007E2CEC"/>
    <w:rsid w:val="007E2FAE"/>
    <w:rsid w:val="007E3114"/>
    <w:rsid w:val="007E69AF"/>
    <w:rsid w:val="007E6C9C"/>
    <w:rsid w:val="007F1DAE"/>
    <w:rsid w:val="007F26FB"/>
    <w:rsid w:val="007F4986"/>
    <w:rsid w:val="007F7268"/>
    <w:rsid w:val="00803C30"/>
    <w:rsid w:val="00804198"/>
    <w:rsid w:val="00804868"/>
    <w:rsid w:val="0080517C"/>
    <w:rsid w:val="00807AEF"/>
    <w:rsid w:val="0081133D"/>
    <w:rsid w:val="00813878"/>
    <w:rsid w:val="00816F1A"/>
    <w:rsid w:val="00821023"/>
    <w:rsid w:val="0082769E"/>
    <w:rsid w:val="00831F4E"/>
    <w:rsid w:val="00832638"/>
    <w:rsid w:val="00835D55"/>
    <w:rsid w:val="00837528"/>
    <w:rsid w:val="00837CD3"/>
    <w:rsid w:val="00840E89"/>
    <w:rsid w:val="0084232C"/>
    <w:rsid w:val="00844CC1"/>
    <w:rsid w:val="00847230"/>
    <w:rsid w:val="0085137A"/>
    <w:rsid w:val="00853D9F"/>
    <w:rsid w:val="008613AB"/>
    <w:rsid w:val="00863E83"/>
    <w:rsid w:val="00864D72"/>
    <w:rsid w:val="00865130"/>
    <w:rsid w:val="00866FCE"/>
    <w:rsid w:val="00871ED6"/>
    <w:rsid w:val="00874F9B"/>
    <w:rsid w:val="00880188"/>
    <w:rsid w:val="008804DE"/>
    <w:rsid w:val="008867FB"/>
    <w:rsid w:val="0088699D"/>
    <w:rsid w:val="00892F53"/>
    <w:rsid w:val="00895341"/>
    <w:rsid w:val="008A1D14"/>
    <w:rsid w:val="008A5A9F"/>
    <w:rsid w:val="008A62D8"/>
    <w:rsid w:val="008A6359"/>
    <w:rsid w:val="008A71EA"/>
    <w:rsid w:val="008B2D68"/>
    <w:rsid w:val="008C0559"/>
    <w:rsid w:val="008C094F"/>
    <w:rsid w:val="008C1893"/>
    <w:rsid w:val="008C32E3"/>
    <w:rsid w:val="008C7E24"/>
    <w:rsid w:val="008D2681"/>
    <w:rsid w:val="008D388C"/>
    <w:rsid w:val="008D39DA"/>
    <w:rsid w:val="008D6DB1"/>
    <w:rsid w:val="008D6E8E"/>
    <w:rsid w:val="008E3B54"/>
    <w:rsid w:val="008F1712"/>
    <w:rsid w:val="008F382A"/>
    <w:rsid w:val="008F41DD"/>
    <w:rsid w:val="008F55A2"/>
    <w:rsid w:val="008F62E4"/>
    <w:rsid w:val="008F6FFE"/>
    <w:rsid w:val="0090070F"/>
    <w:rsid w:val="009020FF"/>
    <w:rsid w:val="00902E92"/>
    <w:rsid w:val="0090743D"/>
    <w:rsid w:val="00911F4A"/>
    <w:rsid w:val="00913D62"/>
    <w:rsid w:val="00916625"/>
    <w:rsid w:val="00916FC3"/>
    <w:rsid w:val="00917584"/>
    <w:rsid w:val="009228C4"/>
    <w:rsid w:val="009254BC"/>
    <w:rsid w:val="009256AD"/>
    <w:rsid w:val="00927229"/>
    <w:rsid w:val="00927AE1"/>
    <w:rsid w:val="00927B70"/>
    <w:rsid w:val="00930D38"/>
    <w:rsid w:val="00932AC8"/>
    <w:rsid w:val="009351C8"/>
    <w:rsid w:val="00943779"/>
    <w:rsid w:val="009455D5"/>
    <w:rsid w:val="00947992"/>
    <w:rsid w:val="00950D92"/>
    <w:rsid w:val="009515B5"/>
    <w:rsid w:val="00954708"/>
    <w:rsid w:val="00954B84"/>
    <w:rsid w:val="00957707"/>
    <w:rsid w:val="00960251"/>
    <w:rsid w:val="00962E57"/>
    <w:rsid w:val="00964043"/>
    <w:rsid w:val="0096663A"/>
    <w:rsid w:val="00974AE5"/>
    <w:rsid w:val="00974CD6"/>
    <w:rsid w:val="0097614A"/>
    <w:rsid w:val="009844EA"/>
    <w:rsid w:val="00984A22"/>
    <w:rsid w:val="00991F38"/>
    <w:rsid w:val="00993A86"/>
    <w:rsid w:val="009961F2"/>
    <w:rsid w:val="009A2BCD"/>
    <w:rsid w:val="009B635F"/>
    <w:rsid w:val="009B6ADD"/>
    <w:rsid w:val="009B79B6"/>
    <w:rsid w:val="009C170A"/>
    <w:rsid w:val="009C206F"/>
    <w:rsid w:val="009C35CF"/>
    <w:rsid w:val="009C37F9"/>
    <w:rsid w:val="009C3FA3"/>
    <w:rsid w:val="009C5CB1"/>
    <w:rsid w:val="009C5CE4"/>
    <w:rsid w:val="009C604F"/>
    <w:rsid w:val="009D04A2"/>
    <w:rsid w:val="009D0638"/>
    <w:rsid w:val="009D1209"/>
    <w:rsid w:val="009D1D5D"/>
    <w:rsid w:val="009D2EF3"/>
    <w:rsid w:val="009D7044"/>
    <w:rsid w:val="009E3164"/>
    <w:rsid w:val="009E3655"/>
    <w:rsid w:val="009E6ABC"/>
    <w:rsid w:val="009F18C4"/>
    <w:rsid w:val="009F30C7"/>
    <w:rsid w:val="009F4C7C"/>
    <w:rsid w:val="009F7811"/>
    <w:rsid w:val="009F7B0F"/>
    <w:rsid w:val="00A0006C"/>
    <w:rsid w:val="00A0018B"/>
    <w:rsid w:val="00A003A3"/>
    <w:rsid w:val="00A013E2"/>
    <w:rsid w:val="00A02DD0"/>
    <w:rsid w:val="00A031F0"/>
    <w:rsid w:val="00A0426F"/>
    <w:rsid w:val="00A04AFD"/>
    <w:rsid w:val="00A07921"/>
    <w:rsid w:val="00A100D9"/>
    <w:rsid w:val="00A11010"/>
    <w:rsid w:val="00A130F7"/>
    <w:rsid w:val="00A138B6"/>
    <w:rsid w:val="00A17917"/>
    <w:rsid w:val="00A265A0"/>
    <w:rsid w:val="00A324CA"/>
    <w:rsid w:val="00A32860"/>
    <w:rsid w:val="00A33A91"/>
    <w:rsid w:val="00A34F32"/>
    <w:rsid w:val="00A43F41"/>
    <w:rsid w:val="00A4497A"/>
    <w:rsid w:val="00A46E84"/>
    <w:rsid w:val="00A473C3"/>
    <w:rsid w:val="00A4761A"/>
    <w:rsid w:val="00A47AF4"/>
    <w:rsid w:val="00A52165"/>
    <w:rsid w:val="00A53B66"/>
    <w:rsid w:val="00A542AD"/>
    <w:rsid w:val="00A57774"/>
    <w:rsid w:val="00A62CD6"/>
    <w:rsid w:val="00A62F99"/>
    <w:rsid w:val="00A637C2"/>
    <w:rsid w:val="00A63E9E"/>
    <w:rsid w:val="00A64FAA"/>
    <w:rsid w:val="00A65D84"/>
    <w:rsid w:val="00A66A8C"/>
    <w:rsid w:val="00A720BF"/>
    <w:rsid w:val="00A746CD"/>
    <w:rsid w:val="00A771DC"/>
    <w:rsid w:val="00A77E8E"/>
    <w:rsid w:val="00A8157A"/>
    <w:rsid w:val="00A838CA"/>
    <w:rsid w:val="00A85870"/>
    <w:rsid w:val="00A91389"/>
    <w:rsid w:val="00A92CD3"/>
    <w:rsid w:val="00A93395"/>
    <w:rsid w:val="00A95092"/>
    <w:rsid w:val="00AA1D89"/>
    <w:rsid w:val="00AA6893"/>
    <w:rsid w:val="00AA7D26"/>
    <w:rsid w:val="00AB1861"/>
    <w:rsid w:val="00AB665C"/>
    <w:rsid w:val="00AB71E4"/>
    <w:rsid w:val="00AC13BF"/>
    <w:rsid w:val="00AC2E52"/>
    <w:rsid w:val="00AC539B"/>
    <w:rsid w:val="00AC5AA3"/>
    <w:rsid w:val="00AC6F23"/>
    <w:rsid w:val="00AD0AF4"/>
    <w:rsid w:val="00AD0B68"/>
    <w:rsid w:val="00AD2B0C"/>
    <w:rsid w:val="00AD4411"/>
    <w:rsid w:val="00AE1E6E"/>
    <w:rsid w:val="00AE25C4"/>
    <w:rsid w:val="00AE40DE"/>
    <w:rsid w:val="00AE4338"/>
    <w:rsid w:val="00AE4346"/>
    <w:rsid w:val="00AE4763"/>
    <w:rsid w:val="00AF0EAA"/>
    <w:rsid w:val="00AF6C4B"/>
    <w:rsid w:val="00B0121B"/>
    <w:rsid w:val="00B01704"/>
    <w:rsid w:val="00B0455B"/>
    <w:rsid w:val="00B11E02"/>
    <w:rsid w:val="00B2004B"/>
    <w:rsid w:val="00B21CFE"/>
    <w:rsid w:val="00B22737"/>
    <w:rsid w:val="00B2280C"/>
    <w:rsid w:val="00B260CF"/>
    <w:rsid w:val="00B33584"/>
    <w:rsid w:val="00B33D63"/>
    <w:rsid w:val="00B342ED"/>
    <w:rsid w:val="00B3476F"/>
    <w:rsid w:val="00B368DD"/>
    <w:rsid w:val="00B36EF0"/>
    <w:rsid w:val="00B37942"/>
    <w:rsid w:val="00B404AB"/>
    <w:rsid w:val="00B42589"/>
    <w:rsid w:val="00B43568"/>
    <w:rsid w:val="00B50956"/>
    <w:rsid w:val="00B53899"/>
    <w:rsid w:val="00B53E9A"/>
    <w:rsid w:val="00B555D8"/>
    <w:rsid w:val="00B576BC"/>
    <w:rsid w:val="00B631BA"/>
    <w:rsid w:val="00B640FF"/>
    <w:rsid w:val="00B66A30"/>
    <w:rsid w:val="00B670D7"/>
    <w:rsid w:val="00B707A6"/>
    <w:rsid w:val="00B7140A"/>
    <w:rsid w:val="00B71F7E"/>
    <w:rsid w:val="00B72E4B"/>
    <w:rsid w:val="00B77ED0"/>
    <w:rsid w:val="00B82095"/>
    <w:rsid w:val="00B85981"/>
    <w:rsid w:val="00B86FCE"/>
    <w:rsid w:val="00B87B55"/>
    <w:rsid w:val="00B90975"/>
    <w:rsid w:val="00B90C18"/>
    <w:rsid w:val="00B926B6"/>
    <w:rsid w:val="00B92FF9"/>
    <w:rsid w:val="00B93571"/>
    <w:rsid w:val="00B9391C"/>
    <w:rsid w:val="00B94CBD"/>
    <w:rsid w:val="00BA00C5"/>
    <w:rsid w:val="00BA2806"/>
    <w:rsid w:val="00BA4056"/>
    <w:rsid w:val="00BA6767"/>
    <w:rsid w:val="00BB005F"/>
    <w:rsid w:val="00BB2AE1"/>
    <w:rsid w:val="00BB30FB"/>
    <w:rsid w:val="00BB407D"/>
    <w:rsid w:val="00BB4C9D"/>
    <w:rsid w:val="00BB62F9"/>
    <w:rsid w:val="00BC0082"/>
    <w:rsid w:val="00BC321A"/>
    <w:rsid w:val="00BC325C"/>
    <w:rsid w:val="00BC3323"/>
    <w:rsid w:val="00BC4D79"/>
    <w:rsid w:val="00BD4F8E"/>
    <w:rsid w:val="00BD5209"/>
    <w:rsid w:val="00BD7617"/>
    <w:rsid w:val="00BE30C4"/>
    <w:rsid w:val="00BE345B"/>
    <w:rsid w:val="00BE5D65"/>
    <w:rsid w:val="00BE614F"/>
    <w:rsid w:val="00BE6E5D"/>
    <w:rsid w:val="00BF030C"/>
    <w:rsid w:val="00BF1B71"/>
    <w:rsid w:val="00BF1E1A"/>
    <w:rsid w:val="00BF446C"/>
    <w:rsid w:val="00BF4B42"/>
    <w:rsid w:val="00BF6B40"/>
    <w:rsid w:val="00C004B3"/>
    <w:rsid w:val="00C013DE"/>
    <w:rsid w:val="00C01D46"/>
    <w:rsid w:val="00C01E99"/>
    <w:rsid w:val="00C029CA"/>
    <w:rsid w:val="00C03D18"/>
    <w:rsid w:val="00C0681D"/>
    <w:rsid w:val="00C1307C"/>
    <w:rsid w:val="00C168BA"/>
    <w:rsid w:val="00C2007E"/>
    <w:rsid w:val="00C20380"/>
    <w:rsid w:val="00C21754"/>
    <w:rsid w:val="00C25BA8"/>
    <w:rsid w:val="00C262AE"/>
    <w:rsid w:val="00C26830"/>
    <w:rsid w:val="00C27AA1"/>
    <w:rsid w:val="00C30957"/>
    <w:rsid w:val="00C31A3C"/>
    <w:rsid w:val="00C324F4"/>
    <w:rsid w:val="00C34071"/>
    <w:rsid w:val="00C41897"/>
    <w:rsid w:val="00C44334"/>
    <w:rsid w:val="00C4440F"/>
    <w:rsid w:val="00C44DDF"/>
    <w:rsid w:val="00C50E43"/>
    <w:rsid w:val="00C5112B"/>
    <w:rsid w:val="00C51825"/>
    <w:rsid w:val="00C51C55"/>
    <w:rsid w:val="00C60C65"/>
    <w:rsid w:val="00C6128D"/>
    <w:rsid w:val="00C6167A"/>
    <w:rsid w:val="00C61D2E"/>
    <w:rsid w:val="00C63541"/>
    <w:rsid w:val="00C65814"/>
    <w:rsid w:val="00C65BDB"/>
    <w:rsid w:val="00C67F27"/>
    <w:rsid w:val="00C72F7D"/>
    <w:rsid w:val="00C73278"/>
    <w:rsid w:val="00C765C8"/>
    <w:rsid w:val="00C77B96"/>
    <w:rsid w:val="00C82029"/>
    <w:rsid w:val="00C9283A"/>
    <w:rsid w:val="00C93F55"/>
    <w:rsid w:val="00C95039"/>
    <w:rsid w:val="00C95B80"/>
    <w:rsid w:val="00C97567"/>
    <w:rsid w:val="00CA28D2"/>
    <w:rsid w:val="00CA392E"/>
    <w:rsid w:val="00CA4615"/>
    <w:rsid w:val="00CA782C"/>
    <w:rsid w:val="00CA7C6F"/>
    <w:rsid w:val="00CB10B5"/>
    <w:rsid w:val="00CB3046"/>
    <w:rsid w:val="00CB4BAD"/>
    <w:rsid w:val="00CB4E93"/>
    <w:rsid w:val="00CC013B"/>
    <w:rsid w:val="00CC121C"/>
    <w:rsid w:val="00CC506F"/>
    <w:rsid w:val="00CD0840"/>
    <w:rsid w:val="00CD276C"/>
    <w:rsid w:val="00CD3209"/>
    <w:rsid w:val="00CD3A6F"/>
    <w:rsid w:val="00CD6263"/>
    <w:rsid w:val="00CE4670"/>
    <w:rsid w:val="00CE7F36"/>
    <w:rsid w:val="00CF180E"/>
    <w:rsid w:val="00CF7D08"/>
    <w:rsid w:val="00D02D89"/>
    <w:rsid w:val="00D04446"/>
    <w:rsid w:val="00D04A3C"/>
    <w:rsid w:val="00D06B89"/>
    <w:rsid w:val="00D06C32"/>
    <w:rsid w:val="00D07DAE"/>
    <w:rsid w:val="00D1351C"/>
    <w:rsid w:val="00D16692"/>
    <w:rsid w:val="00D21B71"/>
    <w:rsid w:val="00D22097"/>
    <w:rsid w:val="00D255BF"/>
    <w:rsid w:val="00D26476"/>
    <w:rsid w:val="00D26710"/>
    <w:rsid w:val="00D30923"/>
    <w:rsid w:val="00D339B1"/>
    <w:rsid w:val="00D3689B"/>
    <w:rsid w:val="00D36C41"/>
    <w:rsid w:val="00D4039B"/>
    <w:rsid w:val="00D40737"/>
    <w:rsid w:val="00D419F6"/>
    <w:rsid w:val="00D42403"/>
    <w:rsid w:val="00D4515C"/>
    <w:rsid w:val="00D45173"/>
    <w:rsid w:val="00D45AE5"/>
    <w:rsid w:val="00D53C55"/>
    <w:rsid w:val="00D55A33"/>
    <w:rsid w:val="00D55A85"/>
    <w:rsid w:val="00D64A1D"/>
    <w:rsid w:val="00D663F8"/>
    <w:rsid w:val="00D750D0"/>
    <w:rsid w:val="00D800EF"/>
    <w:rsid w:val="00D81A93"/>
    <w:rsid w:val="00D82F1E"/>
    <w:rsid w:val="00D8338B"/>
    <w:rsid w:val="00D85384"/>
    <w:rsid w:val="00D8625D"/>
    <w:rsid w:val="00D87480"/>
    <w:rsid w:val="00D9511B"/>
    <w:rsid w:val="00D95814"/>
    <w:rsid w:val="00D97BB5"/>
    <w:rsid w:val="00DA47AB"/>
    <w:rsid w:val="00DA5E19"/>
    <w:rsid w:val="00DB0F8E"/>
    <w:rsid w:val="00DB245B"/>
    <w:rsid w:val="00DB57A8"/>
    <w:rsid w:val="00DB71FD"/>
    <w:rsid w:val="00DB781B"/>
    <w:rsid w:val="00DC0039"/>
    <w:rsid w:val="00DC28E1"/>
    <w:rsid w:val="00DC3E03"/>
    <w:rsid w:val="00DC42DE"/>
    <w:rsid w:val="00DC4507"/>
    <w:rsid w:val="00DC453F"/>
    <w:rsid w:val="00DC45E5"/>
    <w:rsid w:val="00DC4E3A"/>
    <w:rsid w:val="00DC502E"/>
    <w:rsid w:val="00DC57F0"/>
    <w:rsid w:val="00DC7C94"/>
    <w:rsid w:val="00DD0B91"/>
    <w:rsid w:val="00DD3359"/>
    <w:rsid w:val="00DD635D"/>
    <w:rsid w:val="00DE4DAF"/>
    <w:rsid w:val="00DE4EEC"/>
    <w:rsid w:val="00DE53E7"/>
    <w:rsid w:val="00DE546F"/>
    <w:rsid w:val="00DE5F1A"/>
    <w:rsid w:val="00DF0057"/>
    <w:rsid w:val="00DF0EFF"/>
    <w:rsid w:val="00DF11E4"/>
    <w:rsid w:val="00DF22D5"/>
    <w:rsid w:val="00DF241E"/>
    <w:rsid w:val="00DF36C0"/>
    <w:rsid w:val="00DF64A6"/>
    <w:rsid w:val="00DF754D"/>
    <w:rsid w:val="00E0147D"/>
    <w:rsid w:val="00E02A14"/>
    <w:rsid w:val="00E02D8F"/>
    <w:rsid w:val="00E03569"/>
    <w:rsid w:val="00E059E3"/>
    <w:rsid w:val="00E07992"/>
    <w:rsid w:val="00E223F4"/>
    <w:rsid w:val="00E25A07"/>
    <w:rsid w:val="00E32561"/>
    <w:rsid w:val="00E333DF"/>
    <w:rsid w:val="00E41A04"/>
    <w:rsid w:val="00E41E6D"/>
    <w:rsid w:val="00E44E91"/>
    <w:rsid w:val="00E4633B"/>
    <w:rsid w:val="00E46A36"/>
    <w:rsid w:val="00E4778D"/>
    <w:rsid w:val="00E5142A"/>
    <w:rsid w:val="00E5331E"/>
    <w:rsid w:val="00E54D4B"/>
    <w:rsid w:val="00E57589"/>
    <w:rsid w:val="00E63CE0"/>
    <w:rsid w:val="00E64D04"/>
    <w:rsid w:val="00E65E82"/>
    <w:rsid w:val="00E674D2"/>
    <w:rsid w:val="00E70E8F"/>
    <w:rsid w:val="00E80D30"/>
    <w:rsid w:val="00E81F3C"/>
    <w:rsid w:val="00E83C41"/>
    <w:rsid w:val="00E85E52"/>
    <w:rsid w:val="00E87415"/>
    <w:rsid w:val="00E87842"/>
    <w:rsid w:val="00E90611"/>
    <w:rsid w:val="00E92BAF"/>
    <w:rsid w:val="00E950D9"/>
    <w:rsid w:val="00E96725"/>
    <w:rsid w:val="00E975CA"/>
    <w:rsid w:val="00E9781D"/>
    <w:rsid w:val="00E978BE"/>
    <w:rsid w:val="00EA0E3D"/>
    <w:rsid w:val="00EA28FB"/>
    <w:rsid w:val="00EA5D76"/>
    <w:rsid w:val="00EA711C"/>
    <w:rsid w:val="00EB33E2"/>
    <w:rsid w:val="00EC01B0"/>
    <w:rsid w:val="00EC2925"/>
    <w:rsid w:val="00EC2D04"/>
    <w:rsid w:val="00EC5579"/>
    <w:rsid w:val="00EC57FA"/>
    <w:rsid w:val="00EC5C40"/>
    <w:rsid w:val="00ED15A6"/>
    <w:rsid w:val="00ED289A"/>
    <w:rsid w:val="00ED620E"/>
    <w:rsid w:val="00ED774B"/>
    <w:rsid w:val="00EE0118"/>
    <w:rsid w:val="00EE2AC5"/>
    <w:rsid w:val="00EE49CE"/>
    <w:rsid w:val="00EE5046"/>
    <w:rsid w:val="00EE68FD"/>
    <w:rsid w:val="00EE7C8D"/>
    <w:rsid w:val="00EF24B1"/>
    <w:rsid w:val="00EF3918"/>
    <w:rsid w:val="00EF3C9B"/>
    <w:rsid w:val="00EF4948"/>
    <w:rsid w:val="00EF581C"/>
    <w:rsid w:val="00EF5ED0"/>
    <w:rsid w:val="00EF6C78"/>
    <w:rsid w:val="00F00C61"/>
    <w:rsid w:val="00F01806"/>
    <w:rsid w:val="00F01D00"/>
    <w:rsid w:val="00F02C44"/>
    <w:rsid w:val="00F033D9"/>
    <w:rsid w:val="00F044C3"/>
    <w:rsid w:val="00F04572"/>
    <w:rsid w:val="00F10446"/>
    <w:rsid w:val="00F14760"/>
    <w:rsid w:val="00F17019"/>
    <w:rsid w:val="00F20D6E"/>
    <w:rsid w:val="00F23AF2"/>
    <w:rsid w:val="00F24BD0"/>
    <w:rsid w:val="00F30857"/>
    <w:rsid w:val="00F32175"/>
    <w:rsid w:val="00F330C3"/>
    <w:rsid w:val="00F3602D"/>
    <w:rsid w:val="00F37F88"/>
    <w:rsid w:val="00F41735"/>
    <w:rsid w:val="00F507DE"/>
    <w:rsid w:val="00F50D4A"/>
    <w:rsid w:val="00F54D04"/>
    <w:rsid w:val="00F565D0"/>
    <w:rsid w:val="00F56862"/>
    <w:rsid w:val="00F60805"/>
    <w:rsid w:val="00F637B6"/>
    <w:rsid w:val="00F64233"/>
    <w:rsid w:val="00F6503C"/>
    <w:rsid w:val="00F668FF"/>
    <w:rsid w:val="00F67822"/>
    <w:rsid w:val="00F70BE2"/>
    <w:rsid w:val="00F70F7C"/>
    <w:rsid w:val="00F71323"/>
    <w:rsid w:val="00F72C16"/>
    <w:rsid w:val="00F735F6"/>
    <w:rsid w:val="00F746B9"/>
    <w:rsid w:val="00F75F33"/>
    <w:rsid w:val="00F76EDD"/>
    <w:rsid w:val="00F82B0D"/>
    <w:rsid w:val="00F839A7"/>
    <w:rsid w:val="00F84236"/>
    <w:rsid w:val="00F86EA1"/>
    <w:rsid w:val="00F94971"/>
    <w:rsid w:val="00FA1063"/>
    <w:rsid w:val="00FA4CC3"/>
    <w:rsid w:val="00FB080D"/>
    <w:rsid w:val="00FB17B9"/>
    <w:rsid w:val="00FB4AAF"/>
    <w:rsid w:val="00FB689D"/>
    <w:rsid w:val="00FC2006"/>
    <w:rsid w:val="00FC2CE4"/>
    <w:rsid w:val="00FC3091"/>
    <w:rsid w:val="00FC379E"/>
    <w:rsid w:val="00FC3E15"/>
    <w:rsid w:val="00FD02F3"/>
    <w:rsid w:val="00FD337C"/>
    <w:rsid w:val="00FD3BAE"/>
    <w:rsid w:val="00FD5236"/>
    <w:rsid w:val="00FD7D2F"/>
    <w:rsid w:val="00FD7D5B"/>
    <w:rsid w:val="00FE0A8A"/>
    <w:rsid w:val="00FE0F23"/>
    <w:rsid w:val="00FF123E"/>
    <w:rsid w:val="00FF2C66"/>
    <w:rsid w:val="00FF4173"/>
    <w:rsid w:val="00FF497A"/>
    <w:rsid w:val="00FF7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7F2B"/>
  <w15:docId w15:val="{1C94DE4C-2E03-4AC9-A086-3E81A213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B8"/>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qFormat/>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681B45"/>
    <w:pPr>
      <w:keepNext/>
      <w:keepLines/>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681B45"/>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35"/>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246A83"/>
    <w:pPr>
      <w:spacing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F839A7"/>
    <w:pPr>
      <w:tabs>
        <w:tab w:val="right" w:leader="dot" w:pos="9060"/>
      </w:tabs>
      <w:spacing w:before="120" w:line="240" w:lineRule="auto"/>
      <w:ind w:left="425" w:hanging="425"/>
    </w:pPr>
    <w:rPr>
      <w:noProof/>
    </w:rPr>
  </w:style>
  <w:style w:type="paragraph" w:styleId="TOC3">
    <w:name w:val="toc 3"/>
    <w:basedOn w:val="Normal"/>
    <w:next w:val="Normal"/>
    <w:uiPriority w:val="39"/>
    <w:unhideWhenUsed/>
    <w:qFormat/>
    <w:rsid w:val="00474D00"/>
    <w:pPr>
      <w:tabs>
        <w:tab w:val="right" w:leader="dot" w:pos="9072"/>
      </w:tabs>
      <w:spacing w:before="120" w:line="240" w:lineRule="auto"/>
      <w:ind w:firstLine="567"/>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24"/>
      </w:numPr>
      <w:spacing w:before="120"/>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0069B0"/>
    <w:pPr>
      <w:spacing w:before="1440" w:after="40" w:line="360" w:lineRule="auto"/>
    </w:pPr>
  </w:style>
  <w:style w:type="character" w:customStyle="1" w:styleId="DateChar">
    <w:name w:val="Date Char"/>
    <w:aliases w:val="Reference Char"/>
    <w:basedOn w:val="DefaultParagraphFont"/>
    <w:link w:val="Date"/>
    <w:uiPriority w:val="99"/>
    <w:rsid w:val="000069B0"/>
    <w:rPr>
      <w:rFonts w:asciiTheme="minorHAnsi" w:eastAsiaTheme="minorHAnsi" w:hAnsiTheme="min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FF2C66"/>
    <w:pPr>
      <w:spacing w:after="200"/>
      <w:ind w:left="720"/>
      <w:contextualSpacing/>
    </w:pPr>
    <w:rPr>
      <w:sz w:val="24"/>
    </w:rPr>
  </w:style>
  <w:style w:type="paragraph" w:styleId="TableofFigures">
    <w:name w:val="table of figures"/>
    <w:basedOn w:val="Normal"/>
    <w:next w:val="Normal"/>
    <w:uiPriority w:val="99"/>
    <w:unhideWhenUsed/>
    <w:rsid w:val="00350B4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sic.gov.au/regulatory-resources/find-a-document/regulatory-guides/rg-280-sustainability-reporting/" TargetMode="External"/><Relationship Id="rId18" Type="http://schemas.openxmlformats.org/officeDocument/2006/relationships/footer" Target="footer2.xml"/><Relationship Id="rId26" Type="http://schemas.openxmlformats.org/officeDocument/2006/relationships/hyperlink" Target="https://www.asic.gov.au/regulatory-resources/find-a-document/regulatory-guides/rg-280-sustainability-reporting/" TargetMode="External"/><Relationship Id="rId39" Type="http://schemas.openxmlformats.org/officeDocument/2006/relationships/fontTable" Target="fontTable.xml"/><Relationship Id="rId21" Type="http://schemas.openxmlformats.org/officeDocument/2006/relationships/hyperlink" Target="https://www.asic.gov.au/regulatory-resources/sustainability-reporting/sustainability-reporting-for-small-business/" TargetMode="External"/><Relationship Id="rId34" Type="http://schemas.openxmlformats.org/officeDocument/2006/relationships/hyperlink" Target="https://www.dcceew.gov.au/climate-change/emissions-reporting/voluntary-emissions-estimation-reporting-standards" TargetMode="External"/><Relationship Id="rId7" Type="http://schemas.openxmlformats.org/officeDocument/2006/relationships/settings" Target="settings.xml"/><Relationship Id="rId12" Type="http://schemas.openxmlformats.org/officeDocument/2006/relationships/hyperlink" Target="https://www.asic.gov.au/regulatory-resources/sustainability-reporting/" TargetMode="External"/><Relationship Id="rId17" Type="http://schemas.openxmlformats.org/officeDocument/2006/relationships/footer" Target="footer1.xml"/><Relationship Id="rId25" Type="http://schemas.openxmlformats.org/officeDocument/2006/relationships/hyperlink" Target="https://www.acs.gov.au/pages/national-climate-risk-assessment" TargetMode="External"/><Relationship Id="rId33" Type="http://schemas.openxmlformats.org/officeDocument/2006/relationships/hyperlink" Target="https://www.asic.gov.au/regulatory-resources/sustainability-reporting"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standards.aasb.gov.au/aasb-s2-sep-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ic.gov.au/regulatory-resources/find-a-document/regulatory-guides/rg-280-sustainability-reporting/" TargetMode="External"/><Relationship Id="rId24" Type="http://schemas.openxmlformats.org/officeDocument/2006/relationships/hyperlink" Target="https://www.asic.gov.au/regulatory-resources/sustainability-reporting/" TargetMode="External"/><Relationship Id="rId32" Type="http://schemas.openxmlformats.org/officeDocument/2006/relationships/hyperlink" Target="https://cer.gov.au/schemes/national-greenhouse-and-energy-reporting-scheme" TargetMode="External"/><Relationship Id="rId37" Type="http://schemas.openxmlformats.org/officeDocument/2006/relationships/hyperlink" Target="https://creativecommons.org/licenses/by/4.0/legalcod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sic.gov.au/regulatory-resources/sustainability-reporting/for-preparers-of-sustainability-reports/" TargetMode="External"/><Relationship Id="rId28" Type="http://schemas.openxmlformats.org/officeDocument/2006/relationships/hyperlink" Target="https://www.asic.gov.au/regulatory-resources/find-a-document/regulatory-guides/rg-280-sustainability-reporting/" TargetMode="External"/><Relationship Id="rId36" Type="http://schemas.openxmlformats.org/officeDocument/2006/relationships/hyperlink" Target="https://www.agriculture.gov.au/agriculture-land/farm-food-drought/climatechange/carbon-farming-outreach-program"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cer.gov.au/schemes/national-greenhouse-and-energy-reporting-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asic.gov.au/regulatory-resources/find-a-document/regulatory-guides/rg-280-sustainability-reporting/" TargetMode="External"/><Relationship Id="rId27" Type="http://schemas.openxmlformats.org/officeDocument/2006/relationships/hyperlink" Target="https://www.asic.gov.au/regulatory-resources/sustainability-reporting/" TargetMode="External"/><Relationship Id="rId30" Type="http://schemas.openxmlformats.org/officeDocument/2006/relationships/hyperlink" Target="https://cer.gov.au/schemes/national-greenhouse-and-energy-reporting-scheme" TargetMode="External"/><Relationship Id="rId35" Type="http://schemas.openxmlformats.org/officeDocument/2006/relationships/hyperlink" Target="https://www.agriculture.gov.au/agriculture-land/farm-food-drought/climatechange/greenhouse-gas-accounting/grant-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e08774e1-7962-4f01-bd79-c8e42aee98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4D5D4A72F81F8A49A38E9CCE32F45397" ma:contentTypeVersion="22" ma:contentTypeDescription="Create a new document." ma:contentTypeScope="" ma:versionID="d2cf16a29f55fb9092b827b61c5b85d9">
  <xsd:schema xmlns:xsd="http://www.w3.org/2001/XMLSchema" xmlns:xs="http://www.w3.org/2001/XMLSchema" xmlns:p="http://schemas.microsoft.com/office/2006/metadata/properties" xmlns:ns2="e08774e1-7962-4f01-bd79-c8e42aee98e4" xmlns:ns3="87941206-7679-49f1-aa92-c6cc368fb1af" xmlns:ns4="81c01dc6-2c49-4730-b140-874c95cac377" targetNamespace="http://schemas.microsoft.com/office/2006/metadata/properties" ma:root="true" ma:fieldsID="3f1bc81e4104dd5bb62cdb7a6d1eb4c8" ns2:_="" ns3:_="" ns4:_="">
    <xsd:import namespace="e08774e1-7962-4f01-bd79-c8e42aee98e4"/>
    <xsd:import namespace="87941206-7679-49f1-aa92-c6cc368fb1a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774e1-7962-4f01-bd79-c8e42aee9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41206-7679-49f1-aa92-c6cc368fb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66aa02-2d1f-46ef-a201-2e317db34062}" ma:internalName="TaxCatchAll" ma:showField="CatchAllData" ma:web="87941206-7679-49f1-aa92-c6cc368fb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e08774e1-7962-4f01-bd79-c8e42aee98e4"/>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27245450-8144-4E2D-8C3D-EACE7DA03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774e1-7962-4f01-bd79-c8e42aee98e4"/>
    <ds:schemaRef ds:uri="87941206-7679-49f1-aa92-c6cc368fb1a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1502</TotalTime>
  <Pages>1</Pages>
  <Words>4355</Words>
  <Characters>24826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Climate-related financial disclosures: what does it mean for farm businesses?</vt:lpstr>
    </vt:vector>
  </TitlesOfParts>
  <Company/>
  <LinksUpToDate>false</LinksUpToDate>
  <CharactersWithSpaces>29123</CharactersWithSpaces>
  <SharedDoc>false</SharedDoc>
  <HLinks>
    <vt:vector size="270" baseType="variant">
      <vt:variant>
        <vt:i4>5373952</vt:i4>
      </vt:variant>
      <vt:variant>
        <vt:i4>240</vt:i4>
      </vt:variant>
      <vt:variant>
        <vt:i4>0</vt:i4>
      </vt:variant>
      <vt:variant>
        <vt:i4>5</vt:i4>
      </vt:variant>
      <vt:variant>
        <vt:lpwstr>https://creativecommons.org/licenses/by/4.0/legalcode</vt:lpwstr>
      </vt:variant>
      <vt:variant>
        <vt:lpwstr/>
      </vt:variant>
      <vt:variant>
        <vt:i4>6946942</vt:i4>
      </vt:variant>
      <vt:variant>
        <vt:i4>234</vt:i4>
      </vt:variant>
      <vt:variant>
        <vt:i4>0</vt:i4>
      </vt:variant>
      <vt:variant>
        <vt:i4>5</vt:i4>
      </vt:variant>
      <vt:variant>
        <vt:lpwstr>https://www.agriculture.gov.au/agriculture-land/farm-food-drought/climatechange/carbon-farming-outreach-program</vt:lpwstr>
      </vt:variant>
      <vt:variant>
        <vt:lpwstr/>
      </vt:variant>
      <vt:variant>
        <vt:i4>2424931</vt:i4>
      </vt:variant>
      <vt:variant>
        <vt:i4>231</vt:i4>
      </vt:variant>
      <vt:variant>
        <vt:i4>0</vt:i4>
      </vt:variant>
      <vt:variant>
        <vt:i4>5</vt:i4>
      </vt:variant>
      <vt:variant>
        <vt:lpwstr>https://www.agriculture.gov.au/agriculture-land/farm-food-drought/climatechange/greenhouse-gas-accounting/grant-program</vt:lpwstr>
      </vt:variant>
      <vt:variant>
        <vt:lpwstr/>
      </vt:variant>
      <vt:variant>
        <vt:i4>2556020</vt:i4>
      </vt:variant>
      <vt:variant>
        <vt:i4>228</vt:i4>
      </vt:variant>
      <vt:variant>
        <vt:i4>0</vt:i4>
      </vt:variant>
      <vt:variant>
        <vt:i4>5</vt:i4>
      </vt:variant>
      <vt:variant>
        <vt:lpwstr>https://www.dcceew.gov.au/climate-change/emissions-reporting/voluntary-emissions-estimation-reporting-standards</vt:lpwstr>
      </vt:variant>
      <vt:variant>
        <vt:lpwstr/>
      </vt:variant>
      <vt:variant>
        <vt:i4>4980827</vt:i4>
      </vt:variant>
      <vt:variant>
        <vt:i4>219</vt:i4>
      </vt:variant>
      <vt:variant>
        <vt:i4>0</vt:i4>
      </vt:variant>
      <vt:variant>
        <vt:i4>5</vt:i4>
      </vt:variant>
      <vt:variant>
        <vt:lpwstr>https://www.asic.gov.au/regulatory-resources/sustainability-reporting</vt:lpwstr>
      </vt:variant>
      <vt:variant>
        <vt:lpwstr/>
      </vt:variant>
      <vt:variant>
        <vt:i4>2883643</vt:i4>
      </vt:variant>
      <vt:variant>
        <vt:i4>210</vt:i4>
      </vt:variant>
      <vt:variant>
        <vt:i4>0</vt:i4>
      </vt:variant>
      <vt:variant>
        <vt:i4>5</vt:i4>
      </vt:variant>
      <vt:variant>
        <vt:lpwstr>https://cer.gov.au/schemes/national-greenhouse-and-energy-reporting-scheme</vt:lpwstr>
      </vt:variant>
      <vt:variant>
        <vt:lpwstr/>
      </vt:variant>
      <vt:variant>
        <vt:i4>2883643</vt:i4>
      </vt:variant>
      <vt:variant>
        <vt:i4>207</vt:i4>
      </vt:variant>
      <vt:variant>
        <vt:i4>0</vt:i4>
      </vt:variant>
      <vt:variant>
        <vt:i4>5</vt:i4>
      </vt:variant>
      <vt:variant>
        <vt:lpwstr>https://cer.gov.au/schemes/national-greenhouse-and-energy-reporting-scheme</vt:lpwstr>
      </vt:variant>
      <vt:variant>
        <vt:lpwstr/>
      </vt:variant>
      <vt:variant>
        <vt:i4>2883643</vt:i4>
      </vt:variant>
      <vt:variant>
        <vt:i4>204</vt:i4>
      </vt:variant>
      <vt:variant>
        <vt:i4>0</vt:i4>
      </vt:variant>
      <vt:variant>
        <vt:i4>5</vt:i4>
      </vt:variant>
      <vt:variant>
        <vt:lpwstr>https://cer.gov.au/schemes/national-greenhouse-and-energy-reporting-scheme</vt:lpwstr>
      </vt:variant>
      <vt:variant>
        <vt:lpwstr/>
      </vt:variant>
      <vt:variant>
        <vt:i4>7143473</vt:i4>
      </vt:variant>
      <vt:variant>
        <vt:i4>198</vt:i4>
      </vt:variant>
      <vt:variant>
        <vt:i4>0</vt:i4>
      </vt:variant>
      <vt:variant>
        <vt:i4>5</vt:i4>
      </vt:variant>
      <vt:variant>
        <vt:lpwstr>https://standards.aasb.gov.au/aasb-s2-sep-2024</vt:lpwstr>
      </vt:variant>
      <vt:variant>
        <vt:lpwstr/>
      </vt:variant>
      <vt:variant>
        <vt:i4>7536763</vt:i4>
      </vt:variant>
      <vt:variant>
        <vt:i4>192</vt:i4>
      </vt:variant>
      <vt:variant>
        <vt:i4>0</vt:i4>
      </vt:variant>
      <vt:variant>
        <vt:i4>5</vt:i4>
      </vt:variant>
      <vt:variant>
        <vt:lpwstr>https://www.asic.gov.au/regulatory-resources/find-a-document/regulatory-guides/rg-280-sustainability-reporting/</vt:lpwstr>
      </vt:variant>
      <vt:variant>
        <vt:lpwstr/>
      </vt:variant>
      <vt:variant>
        <vt:i4>6488124</vt:i4>
      </vt:variant>
      <vt:variant>
        <vt:i4>186</vt:i4>
      </vt:variant>
      <vt:variant>
        <vt:i4>0</vt:i4>
      </vt:variant>
      <vt:variant>
        <vt:i4>5</vt:i4>
      </vt:variant>
      <vt:variant>
        <vt:lpwstr>https://www.asic.gov.au/regulatory-resources/sustainability-reporting/</vt:lpwstr>
      </vt:variant>
      <vt:variant>
        <vt:lpwstr/>
      </vt:variant>
      <vt:variant>
        <vt:i4>7536763</vt:i4>
      </vt:variant>
      <vt:variant>
        <vt:i4>183</vt:i4>
      </vt:variant>
      <vt:variant>
        <vt:i4>0</vt:i4>
      </vt:variant>
      <vt:variant>
        <vt:i4>5</vt:i4>
      </vt:variant>
      <vt:variant>
        <vt:lpwstr>https://www.asic.gov.au/regulatory-resources/find-a-document/regulatory-guides/rg-280-sustainability-reporting/</vt:lpwstr>
      </vt:variant>
      <vt:variant>
        <vt:lpwstr/>
      </vt:variant>
      <vt:variant>
        <vt:i4>5505038</vt:i4>
      </vt:variant>
      <vt:variant>
        <vt:i4>180</vt:i4>
      </vt:variant>
      <vt:variant>
        <vt:i4>0</vt:i4>
      </vt:variant>
      <vt:variant>
        <vt:i4>5</vt:i4>
      </vt:variant>
      <vt:variant>
        <vt:lpwstr>https://www.acs.gov.au/pages/national-climate-risk-assessment</vt:lpwstr>
      </vt:variant>
      <vt:variant>
        <vt:lpwstr/>
      </vt:variant>
      <vt:variant>
        <vt:i4>6488124</vt:i4>
      </vt:variant>
      <vt:variant>
        <vt:i4>177</vt:i4>
      </vt:variant>
      <vt:variant>
        <vt:i4>0</vt:i4>
      </vt:variant>
      <vt:variant>
        <vt:i4>5</vt:i4>
      </vt:variant>
      <vt:variant>
        <vt:lpwstr>https://www.asic.gov.au/regulatory-resources/sustainability-reporting/</vt:lpwstr>
      </vt:variant>
      <vt:variant>
        <vt:lpwstr/>
      </vt:variant>
      <vt:variant>
        <vt:i4>6357115</vt:i4>
      </vt:variant>
      <vt:variant>
        <vt:i4>174</vt:i4>
      </vt:variant>
      <vt:variant>
        <vt:i4>0</vt:i4>
      </vt:variant>
      <vt:variant>
        <vt:i4>5</vt:i4>
      </vt:variant>
      <vt:variant>
        <vt:lpwstr>https://www.asic.gov.au/regulatory-resources/sustainability-reporting/for-preparers-of-sustainability-reports/</vt:lpwstr>
      </vt:variant>
      <vt:variant>
        <vt:lpwstr/>
      </vt:variant>
      <vt:variant>
        <vt:i4>7536763</vt:i4>
      </vt:variant>
      <vt:variant>
        <vt:i4>171</vt:i4>
      </vt:variant>
      <vt:variant>
        <vt:i4>0</vt:i4>
      </vt:variant>
      <vt:variant>
        <vt:i4>5</vt:i4>
      </vt:variant>
      <vt:variant>
        <vt:lpwstr>https://www.asic.gov.au/regulatory-resources/find-a-document/regulatory-guides/rg-280-sustainability-reporting/</vt:lpwstr>
      </vt:variant>
      <vt:variant>
        <vt:lpwstr/>
      </vt:variant>
      <vt:variant>
        <vt:i4>2359357</vt:i4>
      </vt:variant>
      <vt:variant>
        <vt:i4>168</vt:i4>
      </vt:variant>
      <vt:variant>
        <vt:i4>0</vt:i4>
      </vt:variant>
      <vt:variant>
        <vt:i4>5</vt:i4>
      </vt:variant>
      <vt:variant>
        <vt:lpwstr>https://www.asic.gov.au/regulatory-resources/sustainability-reporting/sustainability-reporting-for-small-business/</vt:lpwstr>
      </vt:variant>
      <vt:variant>
        <vt:lpwstr/>
      </vt:variant>
      <vt:variant>
        <vt:i4>7536763</vt:i4>
      </vt:variant>
      <vt:variant>
        <vt:i4>162</vt:i4>
      </vt:variant>
      <vt:variant>
        <vt:i4>0</vt:i4>
      </vt:variant>
      <vt:variant>
        <vt:i4>5</vt:i4>
      </vt:variant>
      <vt:variant>
        <vt:lpwstr>https://www.asic.gov.au/regulatory-resources/find-a-document/regulatory-guides/rg-280-sustainability-reporting/</vt:lpwstr>
      </vt:variant>
      <vt:variant>
        <vt:lpwstr/>
      </vt:variant>
      <vt:variant>
        <vt:i4>6488124</vt:i4>
      </vt:variant>
      <vt:variant>
        <vt:i4>156</vt:i4>
      </vt:variant>
      <vt:variant>
        <vt:i4>0</vt:i4>
      </vt:variant>
      <vt:variant>
        <vt:i4>5</vt:i4>
      </vt:variant>
      <vt:variant>
        <vt:lpwstr>https://www.asic.gov.au/regulatory-resources/sustainability-reporting/</vt:lpwstr>
      </vt:variant>
      <vt:variant>
        <vt:lpwstr/>
      </vt:variant>
      <vt:variant>
        <vt:i4>7536763</vt:i4>
      </vt:variant>
      <vt:variant>
        <vt:i4>153</vt:i4>
      </vt:variant>
      <vt:variant>
        <vt:i4>0</vt:i4>
      </vt:variant>
      <vt:variant>
        <vt:i4>5</vt:i4>
      </vt:variant>
      <vt:variant>
        <vt:lpwstr>https://www.asic.gov.au/regulatory-resources/find-a-document/regulatory-guides/rg-280-sustainability-reporting/</vt:lpwstr>
      </vt:variant>
      <vt:variant>
        <vt:lpwstr/>
      </vt:variant>
      <vt:variant>
        <vt:i4>1769531</vt:i4>
      </vt:variant>
      <vt:variant>
        <vt:i4>146</vt:i4>
      </vt:variant>
      <vt:variant>
        <vt:i4>0</vt:i4>
      </vt:variant>
      <vt:variant>
        <vt:i4>5</vt:i4>
      </vt:variant>
      <vt:variant>
        <vt:lpwstr/>
      </vt:variant>
      <vt:variant>
        <vt:lpwstr>_Toc210317891</vt:lpwstr>
      </vt:variant>
      <vt:variant>
        <vt:i4>1769531</vt:i4>
      </vt:variant>
      <vt:variant>
        <vt:i4>140</vt:i4>
      </vt:variant>
      <vt:variant>
        <vt:i4>0</vt:i4>
      </vt:variant>
      <vt:variant>
        <vt:i4>5</vt:i4>
      </vt:variant>
      <vt:variant>
        <vt:lpwstr/>
      </vt:variant>
      <vt:variant>
        <vt:lpwstr>_Toc210317890</vt:lpwstr>
      </vt:variant>
      <vt:variant>
        <vt:i4>1703995</vt:i4>
      </vt:variant>
      <vt:variant>
        <vt:i4>134</vt:i4>
      </vt:variant>
      <vt:variant>
        <vt:i4>0</vt:i4>
      </vt:variant>
      <vt:variant>
        <vt:i4>5</vt:i4>
      </vt:variant>
      <vt:variant>
        <vt:lpwstr/>
      </vt:variant>
      <vt:variant>
        <vt:lpwstr>_Toc210317889</vt:lpwstr>
      </vt:variant>
      <vt:variant>
        <vt:i4>1703995</vt:i4>
      </vt:variant>
      <vt:variant>
        <vt:i4>128</vt:i4>
      </vt:variant>
      <vt:variant>
        <vt:i4>0</vt:i4>
      </vt:variant>
      <vt:variant>
        <vt:i4>5</vt:i4>
      </vt:variant>
      <vt:variant>
        <vt:lpwstr/>
      </vt:variant>
      <vt:variant>
        <vt:lpwstr>_Toc210317888</vt:lpwstr>
      </vt:variant>
      <vt:variant>
        <vt:i4>1703995</vt:i4>
      </vt:variant>
      <vt:variant>
        <vt:i4>122</vt:i4>
      </vt:variant>
      <vt:variant>
        <vt:i4>0</vt:i4>
      </vt:variant>
      <vt:variant>
        <vt:i4>5</vt:i4>
      </vt:variant>
      <vt:variant>
        <vt:lpwstr/>
      </vt:variant>
      <vt:variant>
        <vt:lpwstr>_Toc210317887</vt:lpwstr>
      </vt:variant>
      <vt:variant>
        <vt:i4>1703995</vt:i4>
      </vt:variant>
      <vt:variant>
        <vt:i4>116</vt:i4>
      </vt:variant>
      <vt:variant>
        <vt:i4>0</vt:i4>
      </vt:variant>
      <vt:variant>
        <vt:i4>5</vt:i4>
      </vt:variant>
      <vt:variant>
        <vt:lpwstr/>
      </vt:variant>
      <vt:variant>
        <vt:lpwstr>_Toc210317886</vt:lpwstr>
      </vt:variant>
      <vt:variant>
        <vt:i4>1703995</vt:i4>
      </vt:variant>
      <vt:variant>
        <vt:i4>110</vt:i4>
      </vt:variant>
      <vt:variant>
        <vt:i4>0</vt:i4>
      </vt:variant>
      <vt:variant>
        <vt:i4>5</vt:i4>
      </vt:variant>
      <vt:variant>
        <vt:lpwstr/>
      </vt:variant>
      <vt:variant>
        <vt:lpwstr>_Toc210317885</vt:lpwstr>
      </vt:variant>
      <vt:variant>
        <vt:i4>1703995</vt:i4>
      </vt:variant>
      <vt:variant>
        <vt:i4>104</vt:i4>
      </vt:variant>
      <vt:variant>
        <vt:i4>0</vt:i4>
      </vt:variant>
      <vt:variant>
        <vt:i4>5</vt:i4>
      </vt:variant>
      <vt:variant>
        <vt:lpwstr/>
      </vt:variant>
      <vt:variant>
        <vt:lpwstr>_Toc210317884</vt:lpwstr>
      </vt:variant>
      <vt:variant>
        <vt:i4>1703995</vt:i4>
      </vt:variant>
      <vt:variant>
        <vt:i4>98</vt:i4>
      </vt:variant>
      <vt:variant>
        <vt:i4>0</vt:i4>
      </vt:variant>
      <vt:variant>
        <vt:i4>5</vt:i4>
      </vt:variant>
      <vt:variant>
        <vt:lpwstr/>
      </vt:variant>
      <vt:variant>
        <vt:lpwstr>_Toc210317883</vt:lpwstr>
      </vt:variant>
      <vt:variant>
        <vt:i4>1703995</vt:i4>
      </vt:variant>
      <vt:variant>
        <vt:i4>92</vt:i4>
      </vt:variant>
      <vt:variant>
        <vt:i4>0</vt:i4>
      </vt:variant>
      <vt:variant>
        <vt:i4>5</vt:i4>
      </vt:variant>
      <vt:variant>
        <vt:lpwstr/>
      </vt:variant>
      <vt:variant>
        <vt:lpwstr>_Toc210317882</vt:lpwstr>
      </vt:variant>
      <vt:variant>
        <vt:i4>1703995</vt:i4>
      </vt:variant>
      <vt:variant>
        <vt:i4>86</vt:i4>
      </vt:variant>
      <vt:variant>
        <vt:i4>0</vt:i4>
      </vt:variant>
      <vt:variant>
        <vt:i4>5</vt:i4>
      </vt:variant>
      <vt:variant>
        <vt:lpwstr/>
      </vt:variant>
      <vt:variant>
        <vt:lpwstr>_Toc210317881</vt:lpwstr>
      </vt:variant>
      <vt:variant>
        <vt:i4>1703995</vt:i4>
      </vt:variant>
      <vt:variant>
        <vt:i4>80</vt:i4>
      </vt:variant>
      <vt:variant>
        <vt:i4>0</vt:i4>
      </vt:variant>
      <vt:variant>
        <vt:i4>5</vt:i4>
      </vt:variant>
      <vt:variant>
        <vt:lpwstr/>
      </vt:variant>
      <vt:variant>
        <vt:lpwstr>_Toc210317880</vt:lpwstr>
      </vt:variant>
      <vt:variant>
        <vt:i4>1376315</vt:i4>
      </vt:variant>
      <vt:variant>
        <vt:i4>74</vt:i4>
      </vt:variant>
      <vt:variant>
        <vt:i4>0</vt:i4>
      </vt:variant>
      <vt:variant>
        <vt:i4>5</vt:i4>
      </vt:variant>
      <vt:variant>
        <vt:lpwstr/>
      </vt:variant>
      <vt:variant>
        <vt:lpwstr>_Toc210317879</vt:lpwstr>
      </vt:variant>
      <vt:variant>
        <vt:i4>1376315</vt:i4>
      </vt:variant>
      <vt:variant>
        <vt:i4>68</vt:i4>
      </vt:variant>
      <vt:variant>
        <vt:i4>0</vt:i4>
      </vt:variant>
      <vt:variant>
        <vt:i4>5</vt:i4>
      </vt:variant>
      <vt:variant>
        <vt:lpwstr/>
      </vt:variant>
      <vt:variant>
        <vt:lpwstr>_Toc210317878</vt:lpwstr>
      </vt:variant>
      <vt:variant>
        <vt:i4>1376315</vt:i4>
      </vt:variant>
      <vt:variant>
        <vt:i4>62</vt:i4>
      </vt:variant>
      <vt:variant>
        <vt:i4>0</vt:i4>
      </vt:variant>
      <vt:variant>
        <vt:i4>5</vt:i4>
      </vt:variant>
      <vt:variant>
        <vt:lpwstr/>
      </vt:variant>
      <vt:variant>
        <vt:lpwstr>_Toc210317877</vt:lpwstr>
      </vt:variant>
      <vt:variant>
        <vt:i4>1376315</vt:i4>
      </vt:variant>
      <vt:variant>
        <vt:i4>56</vt:i4>
      </vt:variant>
      <vt:variant>
        <vt:i4>0</vt:i4>
      </vt:variant>
      <vt:variant>
        <vt:i4>5</vt:i4>
      </vt:variant>
      <vt:variant>
        <vt:lpwstr/>
      </vt:variant>
      <vt:variant>
        <vt:lpwstr>_Toc210317876</vt:lpwstr>
      </vt:variant>
      <vt:variant>
        <vt:i4>1376315</vt:i4>
      </vt:variant>
      <vt:variant>
        <vt:i4>50</vt:i4>
      </vt:variant>
      <vt:variant>
        <vt:i4>0</vt:i4>
      </vt:variant>
      <vt:variant>
        <vt:i4>5</vt:i4>
      </vt:variant>
      <vt:variant>
        <vt:lpwstr/>
      </vt:variant>
      <vt:variant>
        <vt:lpwstr>_Toc210317875</vt:lpwstr>
      </vt:variant>
      <vt:variant>
        <vt:i4>1376315</vt:i4>
      </vt:variant>
      <vt:variant>
        <vt:i4>44</vt:i4>
      </vt:variant>
      <vt:variant>
        <vt:i4>0</vt:i4>
      </vt:variant>
      <vt:variant>
        <vt:i4>5</vt:i4>
      </vt:variant>
      <vt:variant>
        <vt:lpwstr/>
      </vt:variant>
      <vt:variant>
        <vt:lpwstr>_Toc210317874</vt:lpwstr>
      </vt:variant>
      <vt:variant>
        <vt:i4>1376315</vt:i4>
      </vt:variant>
      <vt:variant>
        <vt:i4>38</vt:i4>
      </vt:variant>
      <vt:variant>
        <vt:i4>0</vt:i4>
      </vt:variant>
      <vt:variant>
        <vt:i4>5</vt:i4>
      </vt:variant>
      <vt:variant>
        <vt:lpwstr/>
      </vt:variant>
      <vt:variant>
        <vt:lpwstr>_Toc210317873</vt:lpwstr>
      </vt:variant>
      <vt:variant>
        <vt:i4>1376315</vt:i4>
      </vt:variant>
      <vt:variant>
        <vt:i4>32</vt:i4>
      </vt:variant>
      <vt:variant>
        <vt:i4>0</vt:i4>
      </vt:variant>
      <vt:variant>
        <vt:i4>5</vt:i4>
      </vt:variant>
      <vt:variant>
        <vt:lpwstr/>
      </vt:variant>
      <vt:variant>
        <vt:lpwstr>_Toc210317872</vt:lpwstr>
      </vt:variant>
      <vt:variant>
        <vt:i4>1376315</vt:i4>
      </vt:variant>
      <vt:variant>
        <vt:i4>26</vt:i4>
      </vt:variant>
      <vt:variant>
        <vt:i4>0</vt:i4>
      </vt:variant>
      <vt:variant>
        <vt:i4>5</vt:i4>
      </vt:variant>
      <vt:variant>
        <vt:lpwstr/>
      </vt:variant>
      <vt:variant>
        <vt:lpwstr>_Toc210317871</vt:lpwstr>
      </vt:variant>
      <vt:variant>
        <vt:i4>1376315</vt:i4>
      </vt:variant>
      <vt:variant>
        <vt:i4>20</vt:i4>
      </vt:variant>
      <vt:variant>
        <vt:i4>0</vt:i4>
      </vt:variant>
      <vt:variant>
        <vt:i4>5</vt:i4>
      </vt:variant>
      <vt:variant>
        <vt:lpwstr/>
      </vt:variant>
      <vt:variant>
        <vt:lpwstr>_Toc210317870</vt:lpwstr>
      </vt:variant>
      <vt:variant>
        <vt:i4>1310779</vt:i4>
      </vt:variant>
      <vt:variant>
        <vt:i4>14</vt:i4>
      </vt:variant>
      <vt:variant>
        <vt:i4>0</vt:i4>
      </vt:variant>
      <vt:variant>
        <vt:i4>5</vt:i4>
      </vt:variant>
      <vt:variant>
        <vt:lpwstr/>
      </vt:variant>
      <vt:variant>
        <vt:lpwstr>_Toc210317869</vt:lpwstr>
      </vt:variant>
      <vt:variant>
        <vt:i4>1310779</vt:i4>
      </vt:variant>
      <vt:variant>
        <vt:i4>8</vt:i4>
      </vt:variant>
      <vt:variant>
        <vt:i4>0</vt:i4>
      </vt:variant>
      <vt:variant>
        <vt:i4>5</vt:i4>
      </vt:variant>
      <vt:variant>
        <vt:lpwstr/>
      </vt:variant>
      <vt:variant>
        <vt:lpwstr>_Toc210317868</vt:lpwstr>
      </vt:variant>
      <vt:variant>
        <vt:i4>1310779</vt:i4>
      </vt:variant>
      <vt:variant>
        <vt:i4>2</vt:i4>
      </vt:variant>
      <vt:variant>
        <vt:i4>0</vt:i4>
      </vt:variant>
      <vt:variant>
        <vt:i4>5</vt:i4>
      </vt:variant>
      <vt:variant>
        <vt:lpwstr/>
      </vt:variant>
      <vt:variant>
        <vt:lpwstr>_Toc210317867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Climate-related financial disclosures: what does it mean for farm businesses?</dc:title>
  <dc:subject/>
  <dc:creator>Department of Agriculture, Fisheries and Forestry</dc:creator>
  <cp:keywords/>
  <cp:lastModifiedBy>Spyrou, George</cp:lastModifiedBy>
  <cp:revision>430</cp:revision>
  <cp:lastPrinted>2025-11-12T06:24:00Z</cp:lastPrinted>
  <dcterms:created xsi:type="dcterms:W3CDTF">2025-10-02T15:40:00Z</dcterms:created>
  <dcterms:modified xsi:type="dcterms:W3CDTF">2025-11-12T06:24:00Z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9b46975,6c957035,32c9ad47,47c42842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189b4681,6c4b776b,67e2e49,2db2f26a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2024-07-17T04:39:42Z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a1b1a4c9-d03e-4b43-9ffa-80a7d73d831c</vt:lpwstr>
  </property>
  <property fmtid="{D5CDD505-2E9C-101B-9397-08002B2CF9AE}" pid="14" name="MSIP_Label_933d8be6-3c40-4052-87a2-9c2adcba8759_ContentBits">
    <vt:lpwstr>3</vt:lpwstr>
  </property>
  <property fmtid="{D5CDD505-2E9C-101B-9397-08002B2CF9AE}" pid="15" name="ContentTypeId">
    <vt:lpwstr>0x0101004D5D4A72F81F8A49A38E9CCE32F45397</vt:lpwstr>
  </property>
  <property fmtid="{D5CDD505-2E9C-101B-9397-08002B2CF9AE}" pid="16" name="MediaServiceImageTags">
    <vt:lpwstr/>
  </property>
</Properties>
</file>