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DE7A93E" w:rsidR="00A25FDB" w:rsidRPr="007E2D96" w:rsidRDefault="006832EE" w:rsidP="00F713F1">
            <w:pPr>
              <w:spacing w:after="80"/>
              <w:rPr>
                <w:rFonts w:cs="Calibri"/>
                <w:color w:val="000000"/>
              </w:rPr>
            </w:pPr>
            <w:r w:rsidRPr="006832EE">
              <w:rPr>
                <w:rFonts w:cs="Calibri"/>
                <w:color w:val="000000"/>
              </w:rPr>
              <w:t>199</w:t>
            </w:r>
            <w:r w:rsidR="00D41FA9">
              <w:rPr>
                <w:rFonts w:cs="Calibri"/>
                <w:color w:val="000000"/>
              </w:rPr>
              <w:t>48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9A05D96" w:rsidR="009A3029" w:rsidRPr="00A25FDB" w:rsidRDefault="00BB7B81" w:rsidP="009A3029">
            <w:pPr>
              <w:spacing w:after="80"/>
              <w:rPr>
                <w:lang w:eastAsia="en-US"/>
              </w:rPr>
            </w:pPr>
            <w:r w:rsidRPr="00BB7B81">
              <w:rPr>
                <w:lang w:eastAsia="en-US"/>
              </w:rPr>
              <w:t>United States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182ACD35" w:rsidR="00E03DAF" w:rsidRPr="00A25FDB" w:rsidRDefault="00A008D7" w:rsidP="00BB7B81">
            <w:pPr>
              <w:spacing w:after="80"/>
              <w:rPr>
                <w:lang w:eastAsia="en-US"/>
              </w:rPr>
            </w:pPr>
            <w:r w:rsidRPr="00A008D7">
              <w:rPr>
                <w:lang w:eastAsia="en-US"/>
              </w:rPr>
              <w:t>Longevity mushrooms chocolate fudge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121BDA8F" w:rsidR="00E03DAF" w:rsidRPr="008149C9" w:rsidRDefault="00A008D7" w:rsidP="008149C9">
            <w:pPr>
              <w:spacing w:after="80"/>
              <w:rPr>
                <w:lang w:eastAsia="en-US"/>
              </w:rPr>
            </w:pPr>
            <w:r w:rsidRPr="008149C9">
              <w:rPr>
                <w:lang w:eastAsia="en-US"/>
              </w:rPr>
              <w:t>Cymbiotika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D9FA1F2" w:rsidR="00563E5F" w:rsidRPr="005548D5" w:rsidRDefault="008149C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E6AE1F7" w:rsidR="00563E5F" w:rsidRPr="005548D5" w:rsidRDefault="008149C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29/08/2025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8149C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C1AF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32EE"/>
    <w:rsid w:val="006853D9"/>
    <w:rsid w:val="00691A58"/>
    <w:rsid w:val="006940C9"/>
    <w:rsid w:val="0069554B"/>
    <w:rsid w:val="00696B88"/>
    <w:rsid w:val="00697BEC"/>
    <w:rsid w:val="006A0711"/>
    <w:rsid w:val="006A2D43"/>
    <w:rsid w:val="006B06D2"/>
    <w:rsid w:val="006B0C24"/>
    <w:rsid w:val="006B66E6"/>
    <w:rsid w:val="006C0655"/>
    <w:rsid w:val="006C4D05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02D10"/>
    <w:rsid w:val="008149C9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08D7"/>
    <w:rsid w:val="00A047C8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6187E"/>
    <w:rsid w:val="00B83D09"/>
    <w:rsid w:val="00B85317"/>
    <w:rsid w:val="00B950A2"/>
    <w:rsid w:val="00BA5B0B"/>
    <w:rsid w:val="00BB04A5"/>
    <w:rsid w:val="00BB115B"/>
    <w:rsid w:val="00BB4E5F"/>
    <w:rsid w:val="00BB7B81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15959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402B"/>
    <w:rsid w:val="00D36FA2"/>
    <w:rsid w:val="00D41FA9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325C9"/>
    <w:rsid w:val="00F43D1B"/>
    <w:rsid w:val="00F43FAD"/>
    <w:rsid w:val="00F448DD"/>
    <w:rsid w:val="00F50817"/>
    <w:rsid w:val="00F56EF2"/>
    <w:rsid w:val="00F67C0D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6A2D43"/>
    <w:rsid w:val="00864B02"/>
    <w:rsid w:val="00874082"/>
    <w:rsid w:val="00930100"/>
    <w:rsid w:val="009B2650"/>
    <w:rsid w:val="009B6C97"/>
    <w:rsid w:val="009C1743"/>
    <w:rsid w:val="00A31D80"/>
    <w:rsid w:val="00A5788D"/>
    <w:rsid w:val="00A94BAD"/>
    <w:rsid w:val="00AE7F1F"/>
    <w:rsid w:val="00AF2A46"/>
    <w:rsid w:val="00B236D7"/>
    <w:rsid w:val="00B24A43"/>
    <w:rsid w:val="00BB4E5F"/>
    <w:rsid w:val="00C15959"/>
    <w:rsid w:val="00CC600A"/>
    <w:rsid w:val="00CC773C"/>
    <w:rsid w:val="00CE6687"/>
    <w:rsid w:val="00D65F2D"/>
    <w:rsid w:val="00E95192"/>
    <w:rsid w:val="00F07241"/>
    <w:rsid w:val="00F325C9"/>
    <w:rsid w:val="00F43D1B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5c4441c-8b19-4e95-82cc-73606ec6ba0e"/>
    <ds:schemaRef ds:uri="68cbf7e4-70d6-4716-b944-9db67f0d9a11"/>
    <ds:schemaRef ds:uri="e9500ca1-f70f-428d-9145-870602b25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2025-08-27T22:03:00Z</dcterms:created>
  <dcterms:modified xsi:type="dcterms:W3CDTF">2025-08-29T04:10:00Z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