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9D85" w14:textId="7EEFF73B" w:rsidR="006119CC" w:rsidRDefault="006119CC" w:rsidP="00A0494C">
      <w:pPr>
        <w:spacing w:after="300"/>
        <w:jc w:val="center"/>
        <w:rPr>
          <w:b/>
          <w:bCs/>
          <w:sz w:val="28"/>
          <w:szCs w:val="28"/>
        </w:rPr>
      </w:pPr>
      <w:r w:rsidRPr="006119CC">
        <w:rPr>
          <w:b/>
          <w:bCs/>
          <w:sz w:val="28"/>
          <w:szCs w:val="28"/>
        </w:rPr>
        <w:t xml:space="preserve">HORSE INDUSTRY CONSULTATIVE COMMITTEE </w:t>
      </w:r>
      <w:r w:rsidRPr="006119CC">
        <w:rPr>
          <w:b/>
          <w:bCs/>
          <w:sz w:val="28"/>
          <w:szCs w:val="28"/>
        </w:rPr>
        <w:br/>
        <w:t>MEETING 31 MINUTES</w:t>
      </w:r>
    </w:p>
    <w:p w14:paraId="01FD142F" w14:textId="4F2B9AE6" w:rsidR="004F0EC4" w:rsidRDefault="006119CC" w:rsidP="004F0EC4">
      <w:pPr>
        <w:jc w:val="center"/>
        <w:rPr>
          <w:b/>
          <w:bCs/>
          <w:sz w:val="28"/>
          <w:szCs w:val="28"/>
        </w:rPr>
      </w:pPr>
      <w:r>
        <w:rPr>
          <w:b/>
          <w:bCs/>
          <w:sz w:val="28"/>
          <w:szCs w:val="28"/>
        </w:rPr>
        <w:t>1 May 2025 9:</w:t>
      </w:r>
      <w:r w:rsidR="00334929">
        <w:rPr>
          <w:b/>
          <w:bCs/>
          <w:sz w:val="28"/>
          <w:szCs w:val="28"/>
        </w:rPr>
        <w:t>30</w:t>
      </w:r>
      <w:r>
        <w:rPr>
          <w:b/>
          <w:bCs/>
          <w:sz w:val="28"/>
          <w:szCs w:val="28"/>
        </w:rPr>
        <w:t xml:space="preserve">am </w:t>
      </w:r>
      <w:r w:rsidR="004F0EC4">
        <w:rPr>
          <w:b/>
          <w:bCs/>
          <w:sz w:val="28"/>
          <w:szCs w:val="28"/>
        </w:rPr>
        <w:t>–</w:t>
      </w:r>
      <w:r>
        <w:rPr>
          <w:b/>
          <w:bCs/>
          <w:sz w:val="28"/>
          <w:szCs w:val="28"/>
        </w:rPr>
        <w:t xml:space="preserve"> </w:t>
      </w:r>
      <w:r w:rsidR="004F0EC4">
        <w:rPr>
          <w:b/>
          <w:bCs/>
          <w:sz w:val="28"/>
          <w:szCs w:val="28"/>
        </w:rPr>
        <w:t>11:</w:t>
      </w:r>
      <w:r w:rsidR="00334929">
        <w:rPr>
          <w:b/>
          <w:bCs/>
          <w:sz w:val="28"/>
          <w:szCs w:val="28"/>
        </w:rPr>
        <w:t>25</w:t>
      </w:r>
      <w:r w:rsidR="004F0EC4">
        <w:rPr>
          <w:b/>
          <w:bCs/>
          <w:sz w:val="28"/>
          <w:szCs w:val="28"/>
        </w:rPr>
        <w:t>am AEDT</w:t>
      </w:r>
      <w:r w:rsidR="004F0EC4">
        <w:rPr>
          <w:b/>
          <w:bCs/>
          <w:sz w:val="28"/>
          <w:szCs w:val="28"/>
        </w:rPr>
        <w:br/>
        <w:t xml:space="preserve">Department of Agriculture, Fisheries and Forestry </w:t>
      </w:r>
      <w:r w:rsidR="004F0EC4">
        <w:rPr>
          <w:b/>
          <w:bCs/>
          <w:sz w:val="28"/>
          <w:szCs w:val="28"/>
        </w:rPr>
        <w:br/>
        <w:t xml:space="preserve">Canberra ACT 2601 </w:t>
      </w:r>
    </w:p>
    <w:p w14:paraId="51222948" w14:textId="77777777" w:rsidR="00ED4AC2" w:rsidRDefault="00ED4AC2" w:rsidP="00ED4AC2">
      <w:pPr>
        <w:shd w:val="clear" w:color="auto" w:fill="9CC2E5" w:themeFill="accent1" w:themeFillTint="99"/>
        <w:rPr>
          <w:b/>
          <w:bCs/>
        </w:rPr>
        <w:sectPr w:rsidR="00ED4AC2" w:rsidSect="00114A10">
          <w:headerReference w:type="even" r:id="rId11"/>
          <w:headerReference w:type="default" r:id="rId12"/>
          <w:footerReference w:type="even" r:id="rId13"/>
          <w:footerReference w:type="default" r:id="rId14"/>
          <w:headerReference w:type="first" r:id="rId15"/>
          <w:footerReference w:type="first" r:id="rId16"/>
          <w:pgSz w:w="11906" w:h="16838" w:code="9"/>
          <w:pgMar w:top="960" w:right="851" w:bottom="284" w:left="851" w:header="567" w:footer="437" w:gutter="0"/>
          <w:cols w:space="708"/>
          <w:docGrid w:linePitch="360"/>
        </w:sectPr>
      </w:pPr>
    </w:p>
    <w:p w14:paraId="121B9ADC" w14:textId="12313A37" w:rsidR="004626B0" w:rsidRPr="00ED4AC2" w:rsidRDefault="004F0EC4" w:rsidP="00ED4AC2">
      <w:pPr>
        <w:shd w:val="clear" w:color="auto" w:fill="DEEAF6" w:themeFill="accent1" w:themeFillTint="33"/>
        <w:rPr>
          <w:b/>
          <w:bCs/>
        </w:rPr>
        <w:sectPr w:rsidR="004626B0" w:rsidRPr="00ED4AC2" w:rsidSect="00114A10">
          <w:type w:val="continuous"/>
          <w:pgSz w:w="11906" w:h="16838" w:code="9"/>
          <w:pgMar w:top="960" w:right="851" w:bottom="284" w:left="851" w:header="567" w:footer="437" w:gutter="0"/>
          <w:cols w:space="708"/>
          <w:titlePg/>
          <w:docGrid w:linePitch="360"/>
        </w:sectPr>
      </w:pPr>
      <w:r>
        <w:rPr>
          <w:b/>
          <w:bCs/>
        </w:rPr>
        <w:t>Participants</w:t>
      </w:r>
    </w:p>
    <w:p w14:paraId="163951AD" w14:textId="3F8A3B42" w:rsidR="004F0EC4" w:rsidRDefault="004F0EC4" w:rsidP="00FF0B51">
      <w:pPr>
        <w:ind w:left="-142"/>
        <w:rPr>
          <w:b/>
          <w:bCs/>
        </w:rPr>
      </w:pPr>
      <w:r>
        <w:rPr>
          <w:b/>
          <w:bCs/>
        </w:rPr>
        <w:t xml:space="preserve">Industry members and guests </w:t>
      </w:r>
    </w:p>
    <w:p w14:paraId="75C9933B" w14:textId="77777777" w:rsidR="00ED4AC2" w:rsidRDefault="00ED4AC2" w:rsidP="00FF0B51">
      <w:pPr>
        <w:ind w:left="-142"/>
        <w:sectPr w:rsidR="00ED4AC2" w:rsidSect="002A1EC9">
          <w:type w:val="continuous"/>
          <w:pgSz w:w="11906" w:h="16838" w:code="9"/>
          <w:pgMar w:top="960" w:right="851" w:bottom="284" w:left="993" w:header="567" w:footer="437" w:gutter="0"/>
          <w:cols w:space="708"/>
          <w:titlePg/>
          <w:docGrid w:linePitch="360"/>
        </w:sectPr>
      </w:pPr>
    </w:p>
    <w:p w14:paraId="54BF9CE5" w14:textId="189296A7" w:rsidR="00ED4AC2" w:rsidRDefault="00ED4AC2" w:rsidP="00A0494C">
      <w:pPr>
        <w:spacing w:before="0" w:after="0"/>
      </w:pPr>
      <w:r>
        <w:t>Andrew Small</w:t>
      </w:r>
      <w:r w:rsidR="00897A57">
        <w:t xml:space="preserve"> (Racing NSW)</w:t>
      </w:r>
    </w:p>
    <w:p w14:paraId="55F2DF46" w14:textId="366782B7" w:rsidR="00ED4AC2" w:rsidRDefault="00ED4AC2" w:rsidP="00A0494C">
      <w:pPr>
        <w:spacing w:before="0" w:after="0"/>
      </w:pPr>
      <w:r>
        <w:t>Chris Burke</w:t>
      </w:r>
      <w:r w:rsidR="00897A57">
        <w:t xml:space="preserve"> (International Racehorse Transport)</w:t>
      </w:r>
    </w:p>
    <w:p w14:paraId="5209F110" w14:textId="77777777" w:rsidR="008B618D" w:rsidRDefault="00E976C5" w:rsidP="00A0494C">
      <w:pPr>
        <w:spacing w:before="0" w:after="0"/>
      </w:pPr>
      <w:r>
        <w:t>Cameron Croucher (Equine International Airfreight)</w:t>
      </w:r>
      <w:r w:rsidR="005A67BA">
        <w:t>*</w:t>
      </w:r>
      <w:r w:rsidR="008B618D" w:rsidRPr="008B618D">
        <w:t xml:space="preserve"> </w:t>
      </w:r>
    </w:p>
    <w:p w14:paraId="36A8C6B5" w14:textId="28078BEE" w:rsidR="00E976C5" w:rsidRDefault="008B618D" w:rsidP="00A0494C">
      <w:pPr>
        <w:spacing w:before="0" w:after="0"/>
      </w:pPr>
      <w:r>
        <w:t>Sue Ellis (Equine International Airfreight)</w:t>
      </w:r>
    </w:p>
    <w:p w14:paraId="616C515A" w14:textId="78FB434D" w:rsidR="00ED4AC2" w:rsidRDefault="00ED4AC2" w:rsidP="00A0494C">
      <w:pPr>
        <w:spacing w:before="0" w:after="0"/>
      </w:pPr>
      <w:r>
        <w:t>Jane Bennett</w:t>
      </w:r>
      <w:r w:rsidR="00074C2C">
        <w:t xml:space="preserve"> (NSW Department of Primary Industries)</w:t>
      </w:r>
    </w:p>
    <w:p w14:paraId="1379CA22" w14:textId="6787F949" w:rsidR="00ED4AC2" w:rsidRDefault="00ED4AC2" w:rsidP="00A0494C">
      <w:pPr>
        <w:spacing w:before="0" w:after="0"/>
      </w:pPr>
      <w:r>
        <w:t>Josh Murphy</w:t>
      </w:r>
      <w:r w:rsidR="00897A57">
        <w:t xml:space="preserve"> (New Zealand Bloodstock)</w:t>
      </w:r>
    </w:p>
    <w:p w14:paraId="424C2510" w14:textId="54391E0B" w:rsidR="00ED4AC2" w:rsidRDefault="00ED4AC2" w:rsidP="00A0494C">
      <w:pPr>
        <w:spacing w:before="0" w:after="0"/>
      </w:pPr>
      <w:r>
        <w:t>Karen Day</w:t>
      </w:r>
      <w:r w:rsidR="00897A57">
        <w:t xml:space="preserve"> (Racing Australia)</w:t>
      </w:r>
    </w:p>
    <w:p w14:paraId="7E369ED1" w14:textId="461E35B9" w:rsidR="00ED4AC2" w:rsidRDefault="00ED4AC2" w:rsidP="00A0494C">
      <w:pPr>
        <w:spacing w:before="0" w:after="0"/>
      </w:pPr>
      <w:r>
        <w:t>Kathleen Mullan</w:t>
      </w:r>
      <w:r w:rsidR="00897A57">
        <w:t xml:space="preserve"> (Harness Racing Australia Inc)</w:t>
      </w:r>
    </w:p>
    <w:p w14:paraId="1077A71F" w14:textId="0ECD188E" w:rsidR="00ED4AC2" w:rsidRDefault="00ED4AC2" w:rsidP="00A0494C">
      <w:pPr>
        <w:spacing w:before="0" w:after="0"/>
      </w:pPr>
      <w:r>
        <w:t>Ross Kendell</w:t>
      </w:r>
      <w:r w:rsidR="00897A57">
        <w:t xml:space="preserve"> (Horse Industry Consultant)</w:t>
      </w:r>
    </w:p>
    <w:p w14:paraId="5BFD2235" w14:textId="37D8A38F" w:rsidR="00ED4AC2" w:rsidRDefault="00ED4AC2" w:rsidP="00A0494C">
      <w:pPr>
        <w:spacing w:before="0" w:after="0"/>
      </w:pPr>
      <w:r>
        <w:t>Shafi Sahibzada</w:t>
      </w:r>
      <w:r w:rsidR="00897A57">
        <w:t xml:space="preserve"> (Australian Centre for Disease Preparedness)</w:t>
      </w:r>
      <w:r w:rsidR="00FF0B51">
        <w:t>*</w:t>
      </w:r>
    </w:p>
    <w:p w14:paraId="2AF2E271" w14:textId="73442B0C" w:rsidR="00897A57" w:rsidRDefault="00897A57" w:rsidP="00A0494C">
      <w:pPr>
        <w:spacing w:before="0" w:after="0"/>
      </w:pPr>
      <w:r>
        <w:t>Paul Eriksson (Racing Australia)</w:t>
      </w:r>
    </w:p>
    <w:p w14:paraId="63F3969A" w14:textId="6BF395C6" w:rsidR="00897A57" w:rsidRDefault="00897A57" w:rsidP="00FF0B51">
      <w:pPr>
        <w:spacing w:before="0" w:after="0"/>
        <w:ind w:left="-426"/>
        <w:sectPr w:rsidR="00897A57" w:rsidSect="00A0494C">
          <w:type w:val="continuous"/>
          <w:pgSz w:w="11906" w:h="16838" w:code="9"/>
          <w:pgMar w:top="960" w:right="851" w:bottom="284" w:left="851" w:header="567" w:footer="437" w:gutter="0"/>
          <w:cols w:num="2" w:space="140"/>
          <w:titlePg/>
          <w:docGrid w:linePitch="360"/>
        </w:sectPr>
      </w:pPr>
    </w:p>
    <w:p w14:paraId="17B9F2A5" w14:textId="25E24171" w:rsidR="002C14A5" w:rsidRPr="00ED4AC2" w:rsidRDefault="00ED4AC2" w:rsidP="005A67BA">
      <w:pPr>
        <w:spacing w:before="0" w:after="0"/>
        <w:ind w:left="-142"/>
      </w:pPr>
      <w:r>
        <w:t>Louise Scott</w:t>
      </w:r>
      <w:r w:rsidR="00897A57">
        <w:t xml:space="preserve"> (</w:t>
      </w:r>
      <w:r w:rsidR="005B2C2B">
        <w:t>Racing Victoria</w:t>
      </w:r>
      <w:r w:rsidR="00897A57">
        <w:t>)</w:t>
      </w:r>
    </w:p>
    <w:p w14:paraId="53A1C378" w14:textId="49B9E052" w:rsidR="00F618F4" w:rsidRPr="002A1EC9" w:rsidRDefault="004F0EC4" w:rsidP="00FF0B51">
      <w:pPr>
        <w:ind w:left="-142"/>
        <w:rPr>
          <w:b/>
          <w:bCs/>
        </w:rPr>
        <w:sectPr w:rsidR="00F618F4" w:rsidRPr="002A1EC9" w:rsidSect="002A1EC9">
          <w:type w:val="continuous"/>
          <w:pgSz w:w="11906" w:h="16838" w:code="9"/>
          <w:pgMar w:top="960" w:right="851" w:bottom="284" w:left="993" w:header="567" w:footer="437" w:gutter="0"/>
          <w:cols w:space="708"/>
          <w:titlePg/>
          <w:docGrid w:linePitch="360"/>
        </w:sectPr>
      </w:pPr>
      <w:r w:rsidRPr="0037072D">
        <w:rPr>
          <w:b/>
          <w:bCs/>
        </w:rPr>
        <w:t xml:space="preserve">Apologies </w:t>
      </w:r>
    </w:p>
    <w:p w14:paraId="60346FC9" w14:textId="77777777" w:rsidR="00E976C5" w:rsidRDefault="00E976C5" w:rsidP="00E976C5">
      <w:pPr>
        <w:spacing w:before="0" w:after="0"/>
        <w:ind w:left="-142"/>
      </w:pPr>
      <w:r w:rsidRPr="0037072D">
        <w:rPr>
          <w:rFonts w:asciiTheme="minorHAnsi" w:hAnsiTheme="minorHAnsi" w:cstheme="minorHAnsi"/>
          <w:bCs/>
        </w:rPr>
        <w:t xml:space="preserve">Anthony Keyburn </w:t>
      </w:r>
      <w:r>
        <w:t>(Australian Centre for Disease Preparedness)</w:t>
      </w:r>
    </w:p>
    <w:p w14:paraId="693881BF" w14:textId="0F679607" w:rsidR="0037072D" w:rsidRPr="0037072D" w:rsidRDefault="0037072D" w:rsidP="00FF0B51">
      <w:pPr>
        <w:spacing w:before="0" w:after="0"/>
        <w:ind w:left="-142"/>
        <w:rPr>
          <w:rFonts w:asciiTheme="minorHAnsi" w:hAnsiTheme="minorHAnsi" w:cstheme="minorHAnsi"/>
          <w:bCs/>
        </w:rPr>
      </w:pPr>
      <w:r w:rsidRPr="0037072D">
        <w:rPr>
          <w:rFonts w:asciiTheme="minorHAnsi" w:hAnsiTheme="minorHAnsi" w:cstheme="minorHAnsi"/>
          <w:bCs/>
        </w:rPr>
        <w:t>Fiona Thompson (DAF Q</w:t>
      </w:r>
      <w:r w:rsidR="00074C2C">
        <w:rPr>
          <w:rFonts w:asciiTheme="minorHAnsi" w:hAnsiTheme="minorHAnsi" w:cstheme="minorHAnsi"/>
          <w:bCs/>
        </w:rPr>
        <w:t>ueensland</w:t>
      </w:r>
      <w:r w:rsidRPr="0037072D">
        <w:rPr>
          <w:rFonts w:asciiTheme="minorHAnsi" w:hAnsiTheme="minorHAnsi" w:cstheme="minorHAnsi"/>
          <w:bCs/>
        </w:rPr>
        <w:t>)</w:t>
      </w:r>
    </w:p>
    <w:p w14:paraId="380F5A34" w14:textId="77777777" w:rsidR="0037072D" w:rsidRDefault="0037072D" w:rsidP="0019365F">
      <w:pPr>
        <w:spacing w:before="0" w:after="0"/>
        <w:ind w:left="-142"/>
        <w:rPr>
          <w:rFonts w:asciiTheme="minorHAnsi" w:hAnsiTheme="minorHAnsi" w:cstheme="minorHAnsi"/>
          <w:bCs/>
        </w:rPr>
      </w:pPr>
      <w:r w:rsidRPr="0037072D">
        <w:rPr>
          <w:rFonts w:asciiTheme="minorHAnsi" w:hAnsiTheme="minorHAnsi" w:cstheme="minorHAnsi"/>
          <w:bCs/>
        </w:rPr>
        <w:t>Grace Forbes (Racing Victoria)</w:t>
      </w:r>
    </w:p>
    <w:p w14:paraId="414B9556" w14:textId="77777777" w:rsidR="00E976C5" w:rsidRPr="0037072D" w:rsidRDefault="00E976C5" w:rsidP="00E976C5">
      <w:pPr>
        <w:spacing w:before="0" w:after="0"/>
        <w:ind w:left="-142"/>
        <w:rPr>
          <w:rFonts w:asciiTheme="minorHAnsi" w:hAnsiTheme="minorHAnsi" w:cstheme="minorHAnsi"/>
          <w:bCs/>
        </w:rPr>
      </w:pPr>
      <w:r w:rsidRPr="0037072D">
        <w:rPr>
          <w:rFonts w:asciiTheme="minorHAnsi" w:hAnsiTheme="minorHAnsi" w:cstheme="minorHAnsi"/>
          <w:bCs/>
        </w:rPr>
        <w:t>James Gilkerson (A</w:t>
      </w:r>
      <w:r>
        <w:rPr>
          <w:rFonts w:asciiTheme="minorHAnsi" w:hAnsiTheme="minorHAnsi" w:cstheme="minorHAnsi"/>
          <w:bCs/>
        </w:rPr>
        <w:t>ustralian Veterinary Association</w:t>
      </w:r>
      <w:r w:rsidRPr="0037072D">
        <w:rPr>
          <w:rFonts w:asciiTheme="minorHAnsi" w:hAnsiTheme="minorHAnsi" w:cstheme="minorHAnsi"/>
          <w:bCs/>
        </w:rPr>
        <w:t>)</w:t>
      </w:r>
    </w:p>
    <w:p w14:paraId="7FD4AA08" w14:textId="765BBD95" w:rsidR="002C519D" w:rsidRDefault="002C519D" w:rsidP="00FF0B51">
      <w:pPr>
        <w:spacing w:before="0" w:after="0"/>
        <w:ind w:left="-142"/>
        <w:rPr>
          <w:b/>
          <w:bCs/>
        </w:rPr>
        <w:sectPr w:rsidR="002C519D" w:rsidSect="00114A10">
          <w:type w:val="continuous"/>
          <w:pgSz w:w="11906" w:h="16838" w:code="9"/>
          <w:pgMar w:top="960" w:right="851" w:bottom="284" w:left="993" w:header="567" w:footer="437" w:gutter="0"/>
          <w:cols w:num="2" w:space="426"/>
          <w:titlePg/>
          <w:docGrid w:linePitch="360"/>
        </w:sectPr>
      </w:pPr>
    </w:p>
    <w:p w14:paraId="17659EC6" w14:textId="77777777" w:rsidR="002C519D" w:rsidRDefault="002C519D" w:rsidP="00FF0B51">
      <w:pPr>
        <w:ind w:left="-142"/>
        <w:rPr>
          <w:b/>
          <w:bCs/>
        </w:rPr>
      </w:pPr>
      <w:r>
        <w:rPr>
          <w:b/>
          <w:bCs/>
        </w:rPr>
        <w:t xml:space="preserve">Department of Agriculture, Fisheries and Forestry </w:t>
      </w:r>
    </w:p>
    <w:p w14:paraId="3088BF6A" w14:textId="77777777" w:rsidR="00F618F4" w:rsidRPr="00FF0B51" w:rsidRDefault="00F618F4" w:rsidP="00FF0B51">
      <w:pPr>
        <w:ind w:left="-142"/>
        <w:rPr>
          <w:b/>
          <w:bCs/>
        </w:rPr>
        <w:sectPr w:rsidR="00F618F4" w:rsidRPr="00FF0B51" w:rsidSect="002A1EC9">
          <w:type w:val="continuous"/>
          <w:pgSz w:w="11906" w:h="16838" w:code="9"/>
          <w:pgMar w:top="960" w:right="851" w:bottom="284" w:left="993" w:header="567" w:footer="437" w:gutter="0"/>
          <w:cols w:space="708"/>
          <w:titlePg/>
          <w:docGrid w:linePitch="360"/>
        </w:sectPr>
      </w:pPr>
    </w:p>
    <w:p w14:paraId="092402CE" w14:textId="76AEC982" w:rsidR="002C519D" w:rsidRDefault="002C519D" w:rsidP="00FF0B51">
      <w:pPr>
        <w:spacing w:before="0" w:after="0"/>
      </w:pPr>
      <w:r>
        <w:t>Brant Smith (Biosecurity Animal Division)</w:t>
      </w:r>
      <w:r w:rsidR="00FF0B51">
        <w:t>*</w:t>
      </w:r>
    </w:p>
    <w:p w14:paraId="48A164B2" w14:textId="77777777" w:rsidR="00E976C5" w:rsidRDefault="00E976C5" w:rsidP="00E976C5">
      <w:pPr>
        <w:spacing w:before="0" w:after="0"/>
      </w:pPr>
      <w:r>
        <w:t>Kristin Sykes (Animal and Biological Imports Branch)</w:t>
      </w:r>
    </w:p>
    <w:p w14:paraId="76BEDB01" w14:textId="77777777" w:rsidR="002C519D" w:rsidRDefault="002C519D" w:rsidP="00FF0B51">
      <w:pPr>
        <w:spacing w:before="0" w:after="0"/>
      </w:pPr>
      <w:r>
        <w:t>Michelle Blowes (Animal and Biological Imports Branch)</w:t>
      </w:r>
    </w:p>
    <w:p w14:paraId="43622152" w14:textId="77777777" w:rsidR="00F4384B" w:rsidRDefault="00F4384B" w:rsidP="00F4384B">
      <w:pPr>
        <w:spacing w:before="0" w:after="0"/>
      </w:pPr>
      <w:r>
        <w:t>Danni Davis (Animal and Biological Imports Branch)</w:t>
      </w:r>
    </w:p>
    <w:p w14:paraId="49D14BB6" w14:textId="6E6D2C70" w:rsidR="00E976C5" w:rsidRDefault="00E976C5" w:rsidP="00E976C5">
      <w:pPr>
        <w:spacing w:before="0" w:after="0"/>
      </w:pPr>
      <w:r>
        <w:t>Jill Mil</w:t>
      </w:r>
      <w:r w:rsidR="00F13EDC">
        <w:t>l</w:t>
      </w:r>
      <w:r>
        <w:t>an (Animal Biosecurity Branch)</w:t>
      </w:r>
    </w:p>
    <w:p w14:paraId="7D526925" w14:textId="77777777" w:rsidR="00E976C5" w:rsidRDefault="00E976C5" w:rsidP="00E976C5">
      <w:pPr>
        <w:spacing w:before="0" w:after="0"/>
      </w:pPr>
      <w:r>
        <w:t>Tania Ware (Animal Biosecurity Branch)</w:t>
      </w:r>
    </w:p>
    <w:p w14:paraId="6944A25F" w14:textId="17705E95" w:rsidR="002C519D" w:rsidRDefault="002C519D" w:rsidP="00FF0B51">
      <w:pPr>
        <w:spacing w:before="0" w:after="0"/>
      </w:pPr>
      <w:r>
        <w:t>Paul Douglas (Cost Recovery Biosecurity)</w:t>
      </w:r>
      <w:r w:rsidR="00FF0B51">
        <w:t>*</w:t>
      </w:r>
    </w:p>
    <w:p w14:paraId="5D548459" w14:textId="77777777" w:rsidR="00D529FE" w:rsidRDefault="00D529FE" w:rsidP="00D529FE">
      <w:pPr>
        <w:spacing w:before="0" w:after="0"/>
      </w:pPr>
      <w:r>
        <w:t>Ben Wilson (Post Entry Quarantine)</w:t>
      </w:r>
    </w:p>
    <w:p w14:paraId="59494434" w14:textId="77777777" w:rsidR="00F618F4" w:rsidRDefault="00F618F4" w:rsidP="00F618F4">
      <w:pPr>
        <w:spacing w:before="0" w:after="0"/>
      </w:pPr>
      <w:r>
        <w:t>Chris McDonald (Sustainable Trade Funding Taskforce)*</w:t>
      </w:r>
    </w:p>
    <w:p w14:paraId="0916064F" w14:textId="6C5D29DC" w:rsidR="002C519D" w:rsidRPr="00AC6B6F" w:rsidRDefault="002C519D" w:rsidP="00FF0B51">
      <w:pPr>
        <w:spacing w:before="0" w:after="0"/>
      </w:pPr>
      <w:r>
        <w:t>Rick Hawe (Biosecurity Operations Division)</w:t>
      </w:r>
      <w:r w:rsidR="008B1B3B">
        <w:t>*</w:t>
      </w:r>
    </w:p>
    <w:p w14:paraId="5D093E6A" w14:textId="36AA7E7F" w:rsidR="00F618F4" w:rsidRDefault="00F618F4" w:rsidP="00F618F4">
      <w:pPr>
        <w:spacing w:before="0" w:after="0"/>
      </w:pPr>
      <w:r>
        <w:t>Rossana Carr (Live Animal Export</w:t>
      </w:r>
      <w:r w:rsidR="0093551A">
        <w:t xml:space="preserve"> </w:t>
      </w:r>
      <w:proofErr w:type="gramStart"/>
      <w:r w:rsidR="0093551A">
        <w:t>Branch</w:t>
      </w:r>
      <w:r>
        <w:t>)*</w:t>
      </w:r>
      <w:proofErr w:type="gramEnd"/>
    </w:p>
    <w:p w14:paraId="20B5DD6E" w14:textId="70DBBC1A" w:rsidR="002C38F2" w:rsidRDefault="002C38F2" w:rsidP="00F618F4">
      <w:pPr>
        <w:spacing w:before="0" w:after="0"/>
      </w:pPr>
      <w:r>
        <w:t>Kerry Daly (Live Animal Export</w:t>
      </w:r>
      <w:r w:rsidR="0093551A">
        <w:t xml:space="preserve"> Branch</w:t>
      </w:r>
      <w:r>
        <w:t>)</w:t>
      </w:r>
    </w:p>
    <w:p w14:paraId="2F1CD809" w14:textId="131EAD45" w:rsidR="0093551A" w:rsidRDefault="0093551A" w:rsidP="0093551A">
      <w:pPr>
        <w:spacing w:before="0" w:after="0"/>
      </w:pPr>
      <w:r>
        <w:t>Courtney Turner (Live Animal Export Branch)</w:t>
      </w:r>
    </w:p>
    <w:p w14:paraId="763DE780" w14:textId="6F4163F6" w:rsidR="002C519D" w:rsidRDefault="002C519D" w:rsidP="00FF0B51">
      <w:pPr>
        <w:spacing w:before="0" w:after="0"/>
      </w:pPr>
      <w:r>
        <w:t>Jonath</w:t>
      </w:r>
      <w:r w:rsidR="00F13EDC">
        <w:t>a</w:t>
      </w:r>
      <w:r>
        <w:t>n Early (Veterinary and Export Meat Branch)</w:t>
      </w:r>
    </w:p>
    <w:p w14:paraId="18DDE75A" w14:textId="77777777" w:rsidR="00F4384B" w:rsidRDefault="00F4384B" w:rsidP="00FF0B51">
      <w:pPr>
        <w:spacing w:before="0" w:after="0"/>
      </w:pPr>
      <w:r>
        <w:t>Clare O’Shannessy (Veterinary and Export Meat Branch)</w:t>
      </w:r>
    </w:p>
    <w:p w14:paraId="72130654" w14:textId="1B83B6E6" w:rsidR="00F4384B" w:rsidRDefault="00F4384B" w:rsidP="00F4384B">
      <w:pPr>
        <w:spacing w:before="0" w:after="0"/>
      </w:pPr>
      <w:r>
        <w:t>Catherine James (Veterinary and Export Meat Branch)</w:t>
      </w:r>
    </w:p>
    <w:p w14:paraId="3FE708C5" w14:textId="2AE61F8B" w:rsidR="002C519D" w:rsidRDefault="002C519D" w:rsidP="00FF0B51">
      <w:pPr>
        <w:spacing w:before="0" w:after="0"/>
      </w:pPr>
      <w:r>
        <w:t>Tess Gunn (Veterinary and Export Meat Branch)</w:t>
      </w:r>
    </w:p>
    <w:p w14:paraId="1D483D5E" w14:textId="77777777" w:rsidR="002C519D" w:rsidRDefault="002C519D" w:rsidP="00FF0B51">
      <w:pPr>
        <w:spacing w:before="0" w:after="0"/>
      </w:pPr>
      <w:r>
        <w:t>Nicole Heberle (Veterinary and Export Meat Branch)</w:t>
      </w:r>
    </w:p>
    <w:p w14:paraId="3B363585" w14:textId="08B7C20C" w:rsidR="00CD1954" w:rsidRDefault="00CD1954" w:rsidP="00FF0B51">
      <w:pPr>
        <w:spacing w:before="0" w:after="0"/>
      </w:pPr>
      <w:r>
        <w:t>Mikala Welsh (Veterinary and Export Meat Branch)*</w:t>
      </w:r>
    </w:p>
    <w:p w14:paraId="729D396C" w14:textId="089C45E4" w:rsidR="00F4384B" w:rsidRDefault="00F4384B" w:rsidP="00FF0B51">
      <w:pPr>
        <w:spacing w:before="0" w:after="0"/>
      </w:pPr>
      <w:r w:rsidRPr="00AC6B6F">
        <w:t>Vanessa King</w:t>
      </w:r>
      <w:r>
        <w:t xml:space="preserve"> (Veterinary and Export Meat Branch</w:t>
      </w:r>
    </w:p>
    <w:p w14:paraId="1FCF5002" w14:textId="77777777" w:rsidR="00F4384B" w:rsidRDefault="00F4384B" w:rsidP="00F4384B">
      <w:pPr>
        <w:spacing w:before="0" w:after="0"/>
      </w:pPr>
      <w:r>
        <w:t>Sandeep Kaur (Veterinary and Export Meat Branch)</w:t>
      </w:r>
    </w:p>
    <w:p w14:paraId="7AE1BD8B" w14:textId="77777777" w:rsidR="00C0591F" w:rsidRDefault="00C0591F" w:rsidP="00C0591F">
      <w:pPr>
        <w:spacing w:before="0" w:after="0"/>
      </w:pPr>
      <w:r>
        <w:t>Emma Horan (Animal and Biological Imports Branch)</w:t>
      </w:r>
    </w:p>
    <w:p w14:paraId="41316892" w14:textId="77777777" w:rsidR="00C0591F" w:rsidRDefault="00C0591F" w:rsidP="00C0591F">
      <w:pPr>
        <w:spacing w:before="0" w:after="0"/>
      </w:pPr>
      <w:r>
        <w:t>Kaylene Jones (Animal and Biological Imports Branch)</w:t>
      </w:r>
    </w:p>
    <w:p w14:paraId="18041A26" w14:textId="35634BBA" w:rsidR="00F4384B" w:rsidRDefault="00F4384B" w:rsidP="00F4384B">
      <w:pPr>
        <w:spacing w:before="0" w:after="0"/>
      </w:pPr>
      <w:r>
        <w:t>Mathew Scarlett (Mickleham Quarantine Facility)</w:t>
      </w:r>
    </w:p>
    <w:p w14:paraId="776703C8" w14:textId="065A6EB2" w:rsidR="002C519D" w:rsidRDefault="002C519D" w:rsidP="00FF0B51">
      <w:pPr>
        <w:spacing w:before="0" w:after="0"/>
      </w:pPr>
      <w:r>
        <w:t>Melissa Henson (Mickleham Quarantine Facility)</w:t>
      </w:r>
    </w:p>
    <w:p w14:paraId="714B4875" w14:textId="5E8A67AD" w:rsidR="00F4384B" w:rsidRDefault="00F4384B" w:rsidP="00F4384B">
      <w:pPr>
        <w:spacing w:before="0" w:after="0"/>
      </w:pPr>
      <w:r>
        <w:t>Judie Wong (</w:t>
      </w:r>
      <w:r w:rsidR="009059C6">
        <w:t>Mickleham Quarantine Facility</w:t>
      </w:r>
      <w:r>
        <w:t>)</w:t>
      </w:r>
    </w:p>
    <w:p w14:paraId="1DA0C9BF" w14:textId="77777777" w:rsidR="00F4384B" w:rsidRDefault="00F4384B" w:rsidP="00F4384B">
      <w:pPr>
        <w:spacing w:before="0" w:after="0"/>
      </w:pPr>
      <w:r>
        <w:t>Wilma Baines (Mickleham Quarantine Facility)</w:t>
      </w:r>
    </w:p>
    <w:p w14:paraId="5E0FED4D" w14:textId="3F1EEA8A" w:rsidR="00F4384B" w:rsidRDefault="00F4384B" w:rsidP="00F4384B">
      <w:pPr>
        <w:spacing w:before="0" w:after="0"/>
      </w:pPr>
      <w:r>
        <w:t>Cleo Lumley (Animal Biosecurity Branch)</w:t>
      </w:r>
    </w:p>
    <w:p w14:paraId="4608F82E" w14:textId="77777777" w:rsidR="002C519D" w:rsidRDefault="002C519D" w:rsidP="00FF0B51">
      <w:pPr>
        <w:spacing w:before="0" w:after="0"/>
      </w:pPr>
      <w:r>
        <w:t>Jessica Hoad (Animal Biosecurity Branch)</w:t>
      </w:r>
    </w:p>
    <w:p w14:paraId="59D681BA" w14:textId="4D676E3D" w:rsidR="000C0265" w:rsidRDefault="000C0265" w:rsidP="00FF0B51">
      <w:pPr>
        <w:spacing w:before="0" w:after="0"/>
      </w:pPr>
      <w:r>
        <w:t>Ann</w:t>
      </w:r>
      <w:r w:rsidR="00551E6C">
        <w:t>ette Dougall (</w:t>
      </w:r>
      <w:r w:rsidR="0073044A">
        <w:t>Animal Health Policy Branch)*</w:t>
      </w:r>
    </w:p>
    <w:p w14:paraId="52E06E13" w14:textId="0B1FB103" w:rsidR="002C519D" w:rsidRDefault="002C519D" w:rsidP="00FF0B51">
      <w:pPr>
        <w:spacing w:before="0" w:after="0"/>
      </w:pPr>
      <w:r>
        <w:t>Jeremy Moody (Sustainable Trade Funding Taskforce)</w:t>
      </w:r>
      <w:r w:rsidR="00FF0B51">
        <w:t>*</w:t>
      </w:r>
    </w:p>
    <w:p w14:paraId="06EBA5E6" w14:textId="433E9411" w:rsidR="002C519D" w:rsidRDefault="002C519D" w:rsidP="00FF0B51">
      <w:pPr>
        <w:spacing w:before="0" w:after="0"/>
      </w:pPr>
      <w:r>
        <w:t>Angelin Samuel (Sustainable Trade Funding Taskforce)</w:t>
      </w:r>
      <w:r w:rsidR="00FF0B51">
        <w:t>*</w:t>
      </w:r>
    </w:p>
    <w:p w14:paraId="3257FE5F" w14:textId="66B126A1" w:rsidR="00D529FE" w:rsidRDefault="00D529FE" w:rsidP="00D529FE">
      <w:pPr>
        <w:spacing w:before="0" w:after="0"/>
      </w:pPr>
      <w:r>
        <w:t>James Donkersley (Sustainable Trade Funding Taskforce)</w:t>
      </w:r>
      <w:r w:rsidR="00FF0B51">
        <w:t>*</w:t>
      </w:r>
    </w:p>
    <w:p w14:paraId="74C65096" w14:textId="28F53137" w:rsidR="00D529FE" w:rsidRDefault="00D529FE" w:rsidP="00D529FE">
      <w:pPr>
        <w:spacing w:before="0" w:after="0"/>
      </w:pPr>
      <w:r>
        <w:t>Madeline Hastings (Sustainable Trade Funding Taskforce)</w:t>
      </w:r>
      <w:r w:rsidR="00FF0B51">
        <w:t>*</w:t>
      </w:r>
    </w:p>
    <w:p w14:paraId="3845FB49" w14:textId="6E7BACB4" w:rsidR="002C519D" w:rsidRDefault="002C519D" w:rsidP="0019365F">
      <w:pPr>
        <w:spacing w:before="0" w:after="0"/>
        <w:sectPr w:rsidR="002C519D" w:rsidSect="00114A10">
          <w:type w:val="continuous"/>
          <w:pgSz w:w="11906" w:h="16838" w:code="9"/>
          <w:pgMar w:top="960" w:right="851" w:bottom="284" w:left="851" w:header="567" w:footer="437" w:gutter="0"/>
          <w:cols w:num="2" w:space="144"/>
          <w:titlePg/>
          <w:docGrid w:linePitch="360"/>
        </w:sectPr>
      </w:pPr>
    </w:p>
    <w:p w14:paraId="2CD5F8C0" w14:textId="1EFC59B6" w:rsidR="002C519D" w:rsidRPr="000D3B75" w:rsidRDefault="00334E2F" w:rsidP="000D3B75">
      <w:pPr>
        <w:spacing w:after="0"/>
        <w:rPr>
          <w:i/>
          <w:iCs/>
          <w:sz w:val="20"/>
          <w:szCs w:val="20"/>
        </w:rPr>
      </w:pPr>
      <w:r w:rsidRPr="000D3B75">
        <w:rPr>
          <w:i/>
          <w:iCs/>
          <w:sz w:val="20"/>
          <w:szCs w:val="20"/>
        </w:rPr>
        <w:t>*</w:t>
      </w:r>
      <w:proofErr w:type="gramStart"/>
      <w:r w:rsidR="000D3B75" w:rsidRPr="000D3B75">
        <w:rPr>
          <w:i/>
          <w:iCs/>
          <w:sz w:val="20"/>
          <w:szCs w:val="20"/>
        </w:rPr>
        <w:t>denotes</w:t>
      </w:r>
      <w:proofErr w:type="gramEnd"/>
      <w:r w:rsidR="000D3B75" w:rsidRPr="000D3B75">
        <w:rPr>
          <w:i/>
          <w:iCs/>
          <w:sz w:val="20"/>
          <w:szCs w:val="20"/>
        </w:rPr>
        <w:t xml:space="preserve"> attendance for part of meeting only</w:t>
      </w:r>
    </w:p>
    <w:p w14:paraId="030F91C6" w14:textId="72200DEB" w:rsidR="00967AB9" w:rsidRDefault="00967AB9" w:rsidP="00ED4AC2">
      <w:pPr>
        <w:spacing w:before="0" w:after="0"/>
        <w:rPr>
          <w:rFonts w:asciiTheme="minorHAnsi" w:hAnsiTheme="minorHAnsi" w:cstheme="minorHAnsi"/>
          <w:bCs/>
        </w:rPr>
      </w:pPr>
      <w:r>
        <w:t>_____________________________________________________________________________________________</w:t>
      </w:r>
    </w:p>
    <w:p w14:paraId="699536FA" w14:textId="7952EB90" w:rsidR="00ED4AC2" w:rsidRDefault="00FE4E4D" w:rsidP="005936EA">
      <w:pPr>
        <w:spacing w:before="0" w:after="0" w:line="240" w:lineRule="auto"/>
      </w:pPr>
      <w:r>
        <w:br w:type="page"/>
      </w:r>
      <w:r w:rsidR="005936EA">
        <w:lastRenderedPageBreak/>
        <w:t xml:space="preserve">Meeting started at 9:44am </w:t>
      </w:r>
    </w:p>
    <w:p w14:paraId="33CF78FD" w14:textId="77777777" w:rsidR="00ED4AC2" w:rsidRDefault="00ED4AC2" w:rsidP="005936EA">
      <w:pPr>
        <w:spacing w:before="0" w:after="0" w:line="240" w:lineRule="auto"/>
      </w:pPr>
    </w:p>
    <w:p w14:paraId="6EE5DD06" w14:textId="5C2A53CB" w:rsidR="004F0EC4" w:rsidRPr="002C14A5" w:rsidRDefault="002C14A5" w:rsidP="00ED4AC2">
      <w:pPr>
        <w:shd w:val="clear" w:color="auto" w:fill="DEEAF6" w:themeFill="accent1" w:themeFillTint="33"/>
        <w:spacing w:before="0" w:after="0" w:line="240" w:lineRule="auto"/>
        <w:rPr>
          <w:b/>
          <w:bCs/>
        </w:rPr>
      </w:pPr>
      <w:r>
        <w:rPr>
          <w:b/>
          <w:bCs/>
        </w:rPr>
        <w:t>1</w:t>
      </w:r>
      <w:r w:rsidRPr="00ED4AC2">
        <w:rPr>
          <w:b/>
          <w:bCs/>
          <w:shd w:val="clear" w:color="auto" w:fill="DEEAF6" w:themeFill="accent1" w:themeFillTint="33"/>
        </w:rPr>
        <w:t xml:space="preserve">. </w:t>
      </w:r>
      <w:r w:rsidR="004F0EC4" w:rsidRPr="00ED4AC2">
        <w:rPr>
          <w:b/>
          <w:bCs/>
          <w:shd w:val="clear" w:color="auto" w:fill="DEEAF6" w:themeFill="accent1" w:themeFillTint="33"/>
        </w:rPr>
        <w:t>Welcome and apologies</w:t>
      </w:r>
      <w:r w:rsidR="004F0EC4" w:rsidRPr="002C14A5">
        <w:rPr>
          <w:b/>
          <w:bCs/>
        </w:rPr>
        <w:t xml:space="preserve"> </w:t>
      </w:r>
    </w:p>
    <w:p w14:paraId="7893D1FA" w14:textId="17957B3D" w:rsidR="00DE21C0" w:rsidRDefault="005936EA" w:rsidP="0075718E">
      <w:r>
        <w:t xml:space="preserve">The </w:t>
      </w:r>
      <w:r w:rsidR="00BF5FE1">
        <w:t>C</w:t>
      </w:r>
      <w:r>
        <w:t xml:space="preserve">hair </w:t>
      </w:r>
      <w:r w:rsidR="00DE21C0">
        <w:t xml:space="preserve">welcomed </w:t>
      </w:r>
      <w:r>
        <w:t>attendees</w:t>
      </w:r>
      <w:r w:rsidR="00DE21C0">
        <w:t xml:space="preserve"> to the meeting, </w:t>
      </w:r>
      <w:r>
        <w:t>read apologies</w:t>
      </w:r>
      <w:r w:rsidR="00DE21C0">
        <w:t xml:space="preserve"> and </w:t>
      </w:r>
      <w:r>
        <w:t>provided</w:t>
      </w:r>
      <w:r w:rsidR="00DE21C0">
        <w:t xml:space="preserve"> an Acknowledgement of Country. </w:t>
      </w:r>
      <w:r>
        <w:t xml:space="preserve">The </w:t>
      </w:r>
      <w:r w:rsidR="00BF5FE1">
        <w:t>C</w:t>
      </w:r>
      <w:r>
        <w:t xml:space="preserve">hair advised attendees that </w:t>
      </w:r>
      <w:r w:rsidR="00DE21C0">
        <w:t xml:space="preserve">the </w:t>
      </w:r>
      <w:r>
        <w:t>meeting</w:t>
      </w:r>
      <w:r w:rsidR="00DE21C0">
        <w:t xml:space="preserve"> is recorded for minute taking purposes and </w:t>
      </w:r>
      <w:r>
        <w:t xml:space="preserve">will be </w:t>
      </w:r>
      <w:r w:rsidR="00DE21C0">
        <w:t xml:space="preserve">deleted once the minutes are finalised. </w:t>
      </w:r>
      <w:r w:rsidR="00984F07">
        <w:t xml:space="preserve">The </w:t>
      </w:r>
      <w:r w:rsidR="00BF5FE1">
        <w:t>C</w:t>
      </w:r>
      <w:r w:rsidR="00984F07">
        <w:t>hair reminded the attendees about the confidentiality of all discussions at the meeting.</w:t>
      </w:r>
    </w:p>
    <w:p w14:paraId="3226F859" w14:textId="1FDC369A" w:rsidR="00DE21C0" w:rsidRDefault="00DE21C0" w:rsidP="0075718E">
      <w:r>
        <w:t>Brant Smith</w:t>
      </w:r>
      <w:r w:rsidR="005936EA">
        <w:t xml:space="preserve">, Biosecurity Animal Division, </w:t>
      </w:r>
      <w:r>
        <w:t>opened the meeting</w:t>
      </w:r>
      <w:r w:rsidR="0063287C">
        <w:t xml:space="preserve">, noting that the </w:t>
      </w:r>
      <w:r w:rsidR="005936EA">
        <w:t xml:space="preserve">government is </w:t>
      </w:r>
      <w:r w:rsidR="00967AB9">
        <w:t xml:space="preserve">currently </w:t>
      </w:r>
      <w:r w:rsidR="00630EF8">
        <w:t>in a caretaker period</w:t>
      </w:r>
      <w:r w:rsidR="005936EA">
        <w:t>.</w:t>
      </w:r>
      <w:r>
        <w:t xml:space="preserve"> </w:t>
      </w:r>
      <w:r w:rsidR="00630EF8">
        <w:t>Caretaker conventions</w:t>
      </w:r>
      <w:r w:rsidR="005936EA">
        <w:t xml:space="preserve"> </w:t>
      </w:r>
      <w:r w:rsidR="00630EF8">
        <w:t>are</w:t>
      </w:r>
      <w:r w:rsidR="005936EA">
        <w:t xml:space="preserve"> in</w:t>
      </w:r>
      <w:r>
        <w:t xml:space="preserve"> place until</w:t>
      </w:r>
      <w:r w:rsidR="00807C91">
        <w:t xml:space="preserve"> the </w:t>
      </w:r>
      <w:r w:rsidR="00967AB9">
        <w:t xml:space="preserve">upcoming </w:t>
      </w:r>
      <w:r w:rsidR="00807C91">
        <w:t>election result is clear</w:t>
      </w:r>
      <w:r w:rsidR="005936EA">
        <w:t xml:space="preserve">. </w:t>
      </w:r>
      <w:r>
        <w:t>Brant noted the challenging geopolitical climate</w:t>
      </w:r>
      <w:r w:rsidR="00A94D63">
        <w:t xml:space="preserve"> </w:t>
      </w:r>
      <w:r w:rsidR="00574C65">
        <w:t xml:space="preserve">that </w:t>
      </w:r>
      <w:r w:rsidR="00A94D63">
        <w:t xml:space="preserve">we are operating in. </w:t>
      </w:r>
      <w:r w:rsidR="00D17D5F">
        <w:t xml:space="preserve">The department is </w:t>
      </w:r>
      <w:r>
        <w:t xml:space="preserve">committed to </w:t>
      </w:r>
      <w:r w:rsidR="00EF45D0">
        <w:t xml:space="preserve">supporting </w:t>
      </w:r>
      <w:r w:rsidR="008B0809">
        <w:t xml:space="preserve">the </w:t>
      </w:r>
      <w:r>
        <w:t>safe movement of horses</w:t>
      </w:r>
      <w:r w:rsidR="000633FE">
        <w:t xml:space="preserve">. A key focus of </w:t>
      </w:r>
      <w:r w:rsidR="00967AB9">
        <w:t xml:space="preserve">the </w:t>
      </w:r>
      <w:r w:rsidR="0063287C">
        <w:t>Biosecurity Animal D</w:t>
      </w:r>
      <w:r w:rsidR="000633FE">
        <w:t xml:space="preserve">ivision is prioritising </w:t>
      </w:r>
      <w:r w:rsidR="00EF45D0">
        <w:t xml:space="preserve">that </w:t>
      </w:r>
      <w:r w:rsidR="00984F07">
        <w:t>work</w:t>
      </w:r>
      <w:r w:rsidR="00A94D63">
        <w:t xml:space="preserve"> </w:t>
      </w:r>
      <w:r w:rsidR="001662C8">
        <w:t>and taking a modern approach</w:t>
      </w:r>
      <w:r w:rsidR="00A94D63">
        <w:t xml:space="preserve"> to operations</w:t>
      </w:r>
      <w:r w:rsidR="001662C8">
        <w:t xml:space="preserve">. </w:t>
      </w:r>
    </w:p>
    <w:p w14:paraId="15D54B6E" w14:textId="460D9447" w:rsidR="00D17D5F" w:rsidRDefault="001662C8" w:rsidP="0075718E">
      <w:r>
        <w:t>Chris Burke</w:t>
      </w:r>
      <w:r w:rsidR="00D17D5F">
        <w:t>, International Racehorse Transport</w:t>
      </w:r>
      <w:r w:rsidR="00A94D63">
        <w:t xml:space="preserve"> (IRT)</w:t>
      </w:r>
      <w:r w:rsidR="00D17D5F">
        <w:t xml:space="preserve">, </w:t>
      </w:r>
      <w:r>
        <w:t xml:space="preserve">noted that </w:t>
      </w:r>
      <w:r w:rsidR="00EE42FE">
        <w:t xml:space="preserve">this is </w:t>
      </w:r>
      <w:r w:rsidR="008B0809">
        <w:t>the</w:t>
      </w:r>
      <w:r w:rsidR="00D17D5F">
        <w:t xml:space="preserve"> first time in history that </w:t>
      </w:r>
      <w:r>
        <w:t>horse</w:t>
      </w:r>
      <w:r w:rsidR="00D17D5F">
        <w:t xml:space="preserve"> </w:t>
      </w:r>
      <w:r w:rsidR="00630EF8">
        <w:t xml:space="preserve">movements </w:t>
      </w:r>
      <w:r w:rsidR="00F04029">
        <w:t xml:space="preserve">to </w:t>
      </w:r>
      <w:r w:rsidR="00D17D5F">
        <w:t xml:space="preserve">the United States of America are </w:t>
      </w:r>
      <w:r>
        <w:t>being impacted by tariffs</w:t>
      </w:r>
      <w:r w:rsidR="00EE42FE">
        <w:t xml:space="preserve">, which has a flow on effect to their business and clients. </w:t>
      </w:r>
    </w:p>
    <w:p w14:paraId="150BC98D" w14:textId="4E620548" w:rsidR="004F0EC4" w:rsidRPr="002C14A5" w:rsidRDefault="002C14A5" w:rsidP="002C14A5">
      <w:pPr>
        <w:shd w:val="clear" w:color="auto" w:fill="DEEAF6" w:themeFill="accent1" w:themeFillTint="33"/>
        <w:rPr>
          <w:b/>
          <w:bCs/>
        </w:rPr>
      </w:pPr>
      <w:r>
        <w:rPr>
          <w:b/>
          <w:bCs/>
        </w:rPr>
        <w:t xml:space="preserve">2. </w:t>
      </w:r>
      <w:r w:rsidR="004F0EC4" w:rsidRPr="002C14A5">
        <w:rPr>
          <w:b/>
          <w:bCs/>
        </w:rPr>
        <w:t>Western Sydney Airport update</w:t>
      </w:r>
    </w:p>
    <w:p w14:paraId="13FF6964" w14:textId="26556FD3" w:rsidR="001662C8" w:rsidRDefault="001662C8" w:rsidP="00335E3A">
      <w:r>
        <w:t>Rick Hawe</w:t>
      </w:r>
      <w:r w:rsidR="00655ED2">
        <w:t xml:space="preserve">, Biosecurity Operations Division (BOD), </w:t>
      </w:r>
      <w:r>
        <w:t>provided an update on Western Sydney Airport</w:t>
      </w:r>
      <w:r w:rsidR="00335E3A">
        <w:t xml:space="preserve"> (WSA)</w:t>
      </w:r>
      <w:r w:rsidR="00630EF8">
        <w:t xml:space="preserve"> noting</w:t>
      </w:r>
      <w:r w:rsidR="00420D30">
        <w:t xml:space="preserve"> that</w:t>
      </w:r>
      <w:r w:rsidR="00630EF8">
        <w:t xml:space="preserve"> they are working to delicate timelines </w:t>
      </w:r>
      <w:r w:rsidR="00335E3A">
        <w:t xml:space="preserve">with 2026 fast approaching. </w:t>
      </w:r>
      <w:r>
        <w:t xml:space="preserve">Cargo flights into WSA are still </w:t>
      </w:r>
      <w:r w:rsidR="00420D30">
        <w:t>expected</w:t>
      </w:r>
      <w:r>
        <w:t xml:space="preserve"> </w:t>
      </w:r>
      <w:r w:rsidR="00335E3A">
        <w:t>to commence in</w:t>
      </w:r>
      <w:r>
        <w:t xml:space="preserve"> July 2026</w:t>
      </w:r>
      <w:r w:rsidR="00335E3A">
        <w:t>, with p</w:t>
      </w:r>
      <w:r>
        <w:t xml:space="preserve">assenger flights </w:t>
      </w:r>
      <w:r w:rsidR="00420D30">
        <w:t>scheduled</w:t>
      </w:r>
      <w:r w:rsidR="00335E3A">
        <w:t xml:space="preserve"> to </w:t>
      </w:r>
      <w:r>
        <w:t>commenc</w:t>
      </w:r>
      <w:r w:rsidR="00335E3A">
        <w:t xml:space="preserve">e </w:t>
      </w:r>
      <w:r w:rsidR="00420D30">
        <w:t>between</w:t>
      </w:r>
      <w:r>
        <w:t xml:space="preserve"> October</w:t>
      </w:r>
      <w:r w:rsidR="00335E3A">
        <w:t xml:space="preserve"> </w:t>
      </w:r>
      <w:r w:rsidR="00420D30">
        <w:t>and</w:t>
      </w:r>
      <w:r w:rsidR="00335E3A">
        <w:t xml:space="preserve"> </w:t>
      </w:r>
      <w:r>
        <w:t>November 2026</w:t>
      </w:r>
      <w:r w:rsidR="00335E3A">
        <w:t xml:space="preserve">. </w:t>
      </w:r>
    </w:p>
    <w:p w14:paraId="287D06EC" w14:textId="23B91C0E" w:rsidR="001662C8" w:rsidRDefault="00335E3A" w:rsidP="00335E3A">
      <w:r>
        <w:t>In terms of construction, the p</w:t>
      </w:r>
      <w:r w:rsidR="001662C8">
        <w:t xml:space="preserve">assenger terminal is almost </w:t>
      </w:r>
      <w:r w:rsidR="00420D30">
        <w:t>complete and</w:t>
      </w:r>
      <w:r>
        <w:t xml:space="preserve"> </w:t>
      </w:r>
      <w:r w:rsidR="001662C8">
        <w:t xml:space="preserve">has been handed over by </w:t>
      </w:r>
      <w:r>
        <w:t xml:space="preserve">the </w:t>
      </w:r>
      <w:r w:rsidR="001662C8">
        <w:t>principal contractor</w:t>
      </w:r>
      <w:r>
        <w:t>. The car</w:t>
      </w:r>
      <w:r w:rsidR="001662C8">
        <w:t xml:space="preserve">go precinct commenced </w:t>
      </w:r>
      <w:r w:rsidR="00420D30">
        <w:t xml:space="preserve">construction </w:t>
      </w:r>
      <w:r w:rsidR="001662C8">
        <w:t>6 months ago</w:t>
      </w:r>
      <w:r>
        <w:t xml:space="preserve">. Rick advised he will </w:t>
      </w:r>
      <w:r w:rsidR="00420D30">
        <w:t xml:space="preserve">circulate some </w:t>
      </w:r>
      <w:r w:rsidR="001662C8">
        <w:t xml:space="preserve">images </w:t>
      </w:r>
      <w:r>
        <w:t xml:space="preserve">of the facility </w:t>
      </w:r>
      <w:r w:rsidR="001662C8">
        <w:t xml:space="preserve">to </w:t>
      </w:r>
      <w:r>
        <w:t xml:space="preserve">attendees. </w:t>
      </w:r>
    </w:p>
    <w:p w14:paraId="6FD22775" w14:textId="7793E105" w:rsidR="001662C8" w:rsidRDefault="0005256E" w:rsidP="00420D30">
      <w:r>
        <w:t>T</w:t>
      </w:r>
      <w:r w:rsidR="001662C8">
        <w:t xml:space="preserve">wo </w:t>
      </w:r>
      <w:r w:rsidR="00420D30">
        <w:t>C</w:t>
      </w:r>
      <w:r w:rsidR="001662C8">
        <w:t xml:space="preserve">argo </w:t>
      </w:r>
      <w:r w:rsidR="00420D30">
        <w:t>T</w:t>
      </w:r>
      <w:r w:rsidR="001662C8">
        <w:t xml:space="preserve">erminal </w:t>
      </w:r>
      <w:r w:rsidR="00420D30">
        <w:t>O</w:t>
      </w:r>
      <w:r w:rsidR="001662C8">
        <w:t xml:space="preserve">perators (CTO) </w:t>
      </w:r>
      <w:r w:rsidR="00335E3A">
        <w:t xml:space="preserve">have </w:t>
      </w:r>
      <w:r w:rsidR="001662C8">
        <w:t xml:space="preserve">committed to operate at WSA </w:t>
      </w:r>
      <w:r w:rsidR="00C12358">
        <w:t>from commencement</w:t>
      </w:r>
      <w:r w:rsidR="00420D30">
        <w:t xml:space="preserve"> of operations</w:t>
      </w:r>
      <w:r w:rsidR="00335E3A">
        <w:t xml:space="preserve">, </w:t>
      </w:r>
      <w:r w:rsidR="001662C8">
        <w:t xml:space="preserve">with </w:t>
      </w:r>
      <w:r w:rsidR="00420D30">
        <w:t>the possibility of</w:t>
      </w:r>
      <w:r w:rsidR="001662C8">
        <w:t xml:space="preserve"> a third </w:t>
      </w:r>
      <w:r w:rsidR="00420D30">
        <w:t>CTO. The timeframe for a third CTO commencing is not clear at this stage</w:t>
      </w:r>
      <w:r w:rsidR="00335E3A">
        <w:t xml:space="preserve">. </w:t>
      </w:r>
      <w:r w:rsidR="00655ED2">
        <w:t>BOD</w:t>
      </w:r>
      <w:r w:rsidR="00335E3A">
        <w:t xml:space="preserve"> </w:t>
      </w:r>
      <w:r w:rsidR="00420D30">
        <w:t xml:space="preserve">have ongoing </w:t>
      </w:r>
      <w:r w:rsidR="00335E3A">
        <w:t>regular m</w:t>
      </w:r>
      <w:r w:rsidR="001662C8">
        <w:t>eeting</w:t>
      </w:r>
      <w:r w:rsidR="00420D30">
        <w:t>s</w:t>
      </w:r>
      <w:r w:rsidR="001662C8">
        <w:t xml:space="preserve"> with </w:t>
      </w:r>
      <w:r w:rsidR="00420D30">
        <w:t xml:space="preserve">the </w:t>
      </w:r>
      <w:r w:rsidR="001662C8">
        <w:t>CTOs</w:t>
      </w:r>
      <w:r w:rsidR="00420D30">
        <w:t>, including to discuss</w:t>
      </w:r>
      <w:r w:rsidR="001662C8">
        <w:t xml:space="preserve"> </w:t>
      </w:r>
      <w:r w:rsidR="00420D30">
        <w:t xml:space="preserve">the </w:t>
      </w:r>
      <w:r w:rsidR="00E30119">
        <w:t>approved arrangement (</w:t>
      </w:r>
      <w:r w:rsidR="001662C8">
        <w:t>AA</w:t>
      </w:r>
      <w:r w:rsidR="00E30119">
        <w:t>)</w:t>
      </w:r>
      <w:r w:rsidR="001662C8">
        <w:t xml:space="preserve"> requirements</w:t>
      </w:r>
      <w:r w:rsidR="00420D30">
        <w:t>. Both CTOs</w:t>
      </w:r>
      <w:r w:rsidR="001662C8">
        <w:t xml:space="preserve"> intend to operate under AA criteria</w:t>
      </w:r>
      <w:r w:rsidR="00420D30">
        <w:t xml:space="preserve">. Rick noted that this engagement and potential co-design </w:t>
      </w:r>
      <w:r w:rsidR="001C3B07">
        <w:t xml:space="preserve">arrangement </w:t>
      </w:r>
      <w:r w:rsidR="00420D30">
        <w:t>is critical in working to mitigate some of the inherent risks and liabilities with existing infrastructure and facilities that the CTOs operate at other international airports</w:t>
      </w:r>
      <w:r w:rsidR="00234E71">
        <w:t xml:space="preserve">. </w:t>
      </w:r>
      <w:r w:rsidR="00420D30">
        <w:t>This includes</w:t>
      </w:r>
      <w:r w:rsidR="00234E71">
        <w:t xml:space="preserve"> challenges </w:t>
      </w:r>
      <w:r w:rsidR="001C3B07">
        <w:t>in the</w:t>
      </w:r>
      <w:r w:rsidR="00234E71">
        <w:t xml:space="preserve"> safe movement </w:t>
      </w:r>
      <w:r w:rsidR="00420D30">
        <w:t>of small animals such as cats and dogs</w:t>
      </w:r>
      <w:r w:rsidR="001C3B07">
        <w:t xml:space="preserve">, and </w:t>
      </w:r>
      <w:r w:rsidR="00420D30">
        <w:t xml:space="preserve">work health and safety </w:t>
      </w:r>
      <w:r w:rsidR="001C3B07">
        <w:t xml:space="preserve">issues that staff are encountering at the existing facilities. Rick advised that the CTOs </w:t>
      </w:r>
      <w:proofErr w:type="gramStart"/>
      <w:r w:rsidR="001C3B07">
        <w:t>will</w:t>
      </w:r>
      <w:proofErr w:type="gramEnd"/>
      <w:r w:rsidR="001C3B07">
        <w:t xml:space="preserve"> facilitate movement of zoo animals and other animal biological material at WSA.  </w:t>
      </w:r>
    </w:p>
    <w:p w14:paraId="6FB3331C" w14:textId="409D5218" w:rsidR="00234E71" w:rsidRDefault="00E30119" w:rsidP="00AF0D08">
      <w:r>
        <w:t>At this stage the w</w:t>
      </w:r>
      <w:r w:rsidR="00234E71">
        <w:t>eekly aircraft movements</w:t>
      </w:r>
      <w:r>
        <w:t xml:space="preserve"> from international airports</w:t>
      </w:r>
      <w:r w:rsidR="00234E71">
        <w:t xml:space="preserve"> for cargo </w:t>
      </w:r>
      <w:r w:rsidR="00E976C5">
        <w:t xml:space="preserve">will be </w:t>
      </w:r>
      <w:r>
        <w:t xml:space="preserve">around </w:t>
      </w:r>
      <w:r w:rsidR="00234E71">
        <w:t>76 flights per week</w:t>
      </w:r>
      <w:r>
        <w:t xml:space="preserve">. </w:t>
      </w:r>
      <w:r w:rsidR="00C12358">
        <w:t>O</w:t>
      </w:r>
      <w:r>
        <w:t xml:space="preserve">rigin ports with </w:t>
      </w:r>
      <w:r w:rsidR="00C12358">
        <w:t>expected flights per week</w:t>
      </w:r>
      <w:r>
        <w:t xml:space="preserve"> </w:t>
      </w:r>
      <w:r w:rsidR="00E976C5">
        <w:t xml:space="preserve">include </w:t>
      </w:r>
      <w:r w:rsidR="00234E71">
        <w:t xml:space="preserve">Auckland </w:t>
      </w:r>
      <w:r w:rsidR="00E976C5">
        <w:t>(</w:t>
      </w:r>
      <w:r w:rsidR="00234E71">
        <w:t>26</w:t>
      </w:r>
      <w:r w:rsidR="00E976C5">
        <w:t xml:space="preserve">), </w:t>
      </w:r>
      <w:r w:rsidR="00234E71">
        <w:t xml:space="preserve">Honolulu </w:t>
      </w:r>
      <w:r w:rsidR="00E976C5">
        <w:t>(</w:t>
      </w:r>
      <w:r w:rsidR="00234E71">
        <w:t>11</w:t>
      </w:r>
      <w:r w:rsidR="00E976C5">
        <w:t xml:space="preserve">), </w:t>
      </w:r>
      <w:r w:rsidR="00234E71">
        <w:t>Sing</w:t>
      </w:r>
      <w:r>
        <w:t>apore</w:t>
      </w:r>
      <w:r w:rsidR="00E976C5">
        <w:t xml:space="preserve"> (</w:t>
      </w:r>
      <w:r w:rsidR="00234E71">
        <w:t>10</w:t>
      </w:r>
      <w:r w:rsidR="00E976C5">
        <w:t xml:space="preserve">), </w:t>
      </w:r>
      <w:r w:rsidR="00234E71">
        <w:t>H</w:t>
      </w:r>
      <w:r>
        <w:t>ong Kong</w:t>
      </w:r>
      <w:r w:rsidR="00234E71">
        <w:t xml:space="preserve"> </w:t>
      </w:r>
      <w:r w:rsidR="00E976C5">
        <w:t>(</w:t>
      </w:r>
      <w:r w:rsidR="00234E71">
        <w:t>8</w:t>
      </w:r>
      <w:r w:rsidR="00E976C5">
        <w:t>), and o</w:t>
      </w:r>
      <w:r w:rsidR="00234E71">
        <w:t>ther</w:t>
      </w:r>
      <w:r>
        <w:t xml:space="preserve"> regions with smaller, </w:t>
      </w:r>
      <w:r w:rsidR="00234E71">
        <w:t>single digit</w:t>
      </w:r>
      <w:r>
        <w:t xml:space="preserve"> volumes </w:t>
      </w:r>
      <w:r w:rsidR="00E976C5">
        <w:t>such as</w:t>
      </w:r>
      <w:r w:rsidR="00234E71">
        <w:t xml:space="preserve"> China and </w:t>
      </w:r>
      <w:r>
        <w:t xml:space="preserve">the </w:t>
      </w:r>
      <w:r w:rsidR="00234E71">
        <w:t>Middle East</w:t>
      </w:r>
      <w:r>
        <w:t xml:space="preserve">. </w:t>
      </w:r>
    </w:p>
    <w:p w14:paraId="76E80FD0" w14:textId="4D344838" w:rsidR="00234E71" w:rsidRDefault="00B81A61" w:rsidP="00234E71">
      <w:r>
        <w:t>B</w:t>
      </w:r>
      <w:r w:rsidR="00E30119">
        <w:t>ased on informal advice</w:t>
      </w:r>
      <w:r w:rsidR="005931EF">
        <w:t xml:space="preserve">, WSA </w:t>
      </w:r>
      <w:r w:rsidR="00E30119">
        <w:t xml:space="preserve">are not intending to operate a livestock facility </w:t>
      </w:r>
      <w:r w:rsidR="00C0591F">
        <w:t>from commencement</w:t>
      </w:r>
      <w:r w:rsidR="005931EF">
        <w:t xml:space="preserve"> of operations</w:t>
      </w:r>
      <w:r w:rsidR="00E30119">
        <w:t>. WSA consider</w:t>
      </w:r>
      <w:r>
        <w:t>s</w:t>
      </w:r>
      <w:r w:rsidR="00E30119">
        <w:t xml:space="preserve"> that there is not significant demand for this trade initially and therefore that it is not commercially viable. </w:t>
      </w:r>
      <w:r w:rsidR="00655ED2">
        <w:t>BOD</w:t>
      </w:r>
      <w:r w:rsidR="00234E71">
        <w:t xml:space="preserve"> have remained in contact</w:t>
      </w:r>
      <w:r w:rsidR="00E30119">
        <w:t xml:space="preserve"> with WSA from a broader design perspective</w:t>
      </w:r>
      <w:r w:rsidR="005931EF">
        <w:t xml:space="preserve">, including </w:t>
      </w:r>
      <w:r w:rsidR="00E30119">
        <w:t xml:space="preserve">from </w:t>
      </w:r>
      <w:r w:rsidR="00234E71">
        <w:t>F</w:t>
      </w:r>
      <w:r w:rsidR="00E30119">
        <w:t xml:space="preserve">irst </w:t>
      </w:r>
      <w:r w:rsidR="00234E71">
        <w:t>P</w:t>
      </w:r>
      <w:r w:rsidR="00E30119">
        <w:t xml:space="preserve">oints of Entry (FPOE) </w:t>
      </w:r>
      <w:r w:rsidR="00234E71">
        <w:t>and livestock facility design</w:t>
      </w:r>
      <w:r w:rsidR="005931EF">
        <w:t xml:space="preserve"> perspective</w:t>
      </w:r>
      <w:r w:rsidR="00B5517F">
        <w:t>s</w:t>
      </w:r>
      <w:r w:rsidR="00E30119">
        <w:t>, and</w:t>
      </w:r>
      <w:r w:rsidR="00234E71">
        <w:t xml:space="preserve"> are ready to work with </w:t>
      </w:r>
      <w:r w:rsidR="00E30119">
        <w:t>WSA</w:t>
      </w:r>
      <w:r w:rsidR="00234E71">
        <w:t xml:space="preserve"> to meet AA and FPOE requirement</w:t>
      </w:r>
      <w:r w:rsidR="005931EF">
        <w:t xml:space="preserve">s. </w:t>
      </w:r>
    </w:p>
    <w:p w14:paraId="76532CE2" w14:textId="50BA90CE" w:rsidR="0075718E" w:rsidRDefault="00C0591F" w:rsidP="0075718E">
      <w:r>
        <w:t xml:space="preserve">Rick confirmed that horses arriving </w:t>
      </w:r>
      <w:proofErr w:type="gramStart"/>
      <w:r>
        <w:t>into</w:t>
      </w:r>
      <w:proofErr w:type="gramEnd"/>
      <w:r>
        <w:t xml:space="preserve"> Sydney for</w:t>
      </w:r>
      <w:r w:rsidR="00655ED2">
        <w:t xml:space="preserve"> quarantine at</w:t>
      </w:r>
      <w:r w:rsidR="00234E71">
        <w:t xml:space="preserve"> Canterbury </w:t>
      </w:r>
      <w:r w:rsidR="005931EF">
        <w:t xml:space="preserve">Park International Horse Centre </w:t>
      </w:r>
      <w:r w:rsidR="00234E71">
        <w:t xml:space="preserve">would </w:t>
      </w:r>
      <w:r w:rsidR="005931EF">
        <w:t>continue to arrive at Sydney Kingsford Smith Airport</w:t>
      </w:r>
      <w:r w:rsidR="00234E71">
        <w:t xml:space="preserve">. </w:t>
      </w:r>
    </w:p>
    <w:p w14:paraId="24963B50" w14:textId="3F3F99CE" w:rsidR="00AC7953" w:rsidRPr="00AC7953" w:rsidRDefault="00AC7953" w:rsidP="0075718E">
      <w:r>
        <w:rPr>
          <w:b/>
          <w:bCs/>
        </w:rPr>
        <w:t xml:space="preserve">Action </w:t>
      </w:r>
      <w:r w:rsidR="00F13EDC">
        <w:rPr>
          <w:b/>
          <w:bCs/>
        </w:rPr>
        <w:t>I</w:t>
      </w:r>
      <w:r>
        <w:rPr>
          <w:b/>
          <w:bCs/>
        </w:rPr>
        <w:t>tem</w:t>
      </w:r>
      <w:r w:rsidR="00F13EDC">
        <w:rPr>
          <w:b/>
          <w:bCs/>
        </w:rPr>
        <w:t xml:space="preserve"> 1</w:t>
      </w:r>
      <w:r>
        <w:rPr>
          <w:b/>
          <w:bCs/>
        </w:rPr>
        <w:t xml:space="preserve">: </w:t>
      </w:r>
      <w:r>
        <w:t xml:space="preserve">Rick Hawe to provide photographs </w:t>
      </w:r>
      <w:r w:rsidR="00F13EDC">
        <w:t>to meeting attendees showing</w:t>
      </w:r>
      <w:r>
        <w:t xml:space="preserve"> </w:t>
      </w:r>
      <w:r w:rsidR="00F13EDC">
        <w:t xml:space="preserve">construction </w:t>
      </w:r>
      <w:r>
        <w:t xml:space="preserve">progress at WSA. </w:t>
      </w:r>
    </w:p>
    <w:p w14:paraId="60239F1D" w14:textId="2EE07EA3" w:rsidR="004F0EC4" w:rsidRPr="002C14A5" w:rsidRDefault="002C14A5" w:rsidP="002C14A5">
      <w:pPr>
        <w:shd w:val="clear" w:color="auto" w:fill="DEEAF6" w:themeFill="accent1" w:themeFillTint="33"/>
        <w:rPr>
          <w:b/>
          <w:bCs/>
        </w:rPr>
      </w:pPr>
      <w:r>
        <w:rPr>
          <w:b/>
          <w:bCs/>
        </w:rPr>
        <w:lastRenderedPageBreak/>
        <w:t xml:space="preserve">3. </w:t>
      </w:r>
      <w:r w:rsidR="004F0EC4" w:rsidRPr="002C14A5">
        <w:rPr>
          <w:b/>
          <w:bCs/>
        </w:rPr>
        <w:t xml:space="preserve">Minutes and Action items from past meetings </w:t>
      </w:r>
    </w:p>
    <w:p w14:paraId="477CCEB8" w14:textId="2D68926F" w:rsidR="005931EF" w:rsidRPr="00234E71" w:rsidRDefault="00CC3F29" w:rsidP="00CC3F29">
      <w:r>
        <w:t xml:space="preserve">The </w:t>
      </w:r>
      <w:r w:rsidR="00BF5FE1">
        <w:t>C</w:t>
      </w:r>
      <w:r>
        <w:t xml:space="preserve">hair noted that </w:t>
      </w:r>
      <w:r>
        <w:rPr>
          <w:b/>
          <w:bCs/>
        </w:rPr>
        <w:t>M</w:t>
      </w:r>
      <w:r w:rsidR="004F0EC4" w:rsidRPr="00CC3F29">
        <w:rPr>
          <w:b/>
          <w:bCs/>
        </w:rPr>
        <w:t>eeting 30 minutes</w:t>
      </w:r>
      <w:r>
        <w:rPr>
          <w:b/>
          <w:bCs/>
        </w:rPr>
        <w:t xml:space="preserve"> </w:t>
      </w:r>
      <w:r w:rsidR="005931EF">
        <w:t xml:space="preserve">were </w:t>
      </w:r>
      <w:r w:rsidR="00234E71">
        <w:t>finalised</w:t>
      </w:r>
      <w:r w:rsidR="005931EF">
        <w:t xml:space="preserve"> and circulated to members on</w:t>
      </w:r>
      <w:r w:rsidR="00234E71">
        <w:t xml:space="preserve"> 19 July 2024 and published on the </w:t>
      </w:r>
      <w:r w:rsidR="005931EF">
        <w:t>department’s</w:t>
      </w:r>
      <w:r w:rsidR="00234E71">
        <w:t xml:space="preserve"> website. </w:t>
      </w:r>
    </w:p>
    <w:p w14:paraId="5BE1C590" w14:textId="7F651FAB" w:rsidR="00CC3F29" w:rsidRDefault="00CC3F29" w:rsidP="00BC2FD5">
      <w:pPr>
        <w:rPr>
          <w:b/>
          <w:bCs/>
          <w:u w:val="single"/>
        </w:rPr>
      </w:pPr>
      <w:r w:rsidRPr="00CC3F29">
        <w:rPr>
          <w:b/>
          <w:bCs/>
          <w:u w:val="single"/>
        </w:rPr>
        <w:t xml:space="preserve">Outstanding action items </w:t>
      </w:r>
    </w:p>
    <w:p w14:paraId="00F9320C" w14:textId="003668E5" w:rsidR="00CC3F29" w:rsidRPr="00CC3F29" w:rsidRDefault="00CC3F29" w:rsidP="00BC2FD5">
      <w:pPr>
        <w:rPr>
          <w:b/>
          <w:bCs/>
          <w:u w:val="single"/>
        </w:rPr>
      </w:pPr>
      <w:r>
        <w:t xml:space="preserve">The </w:t>
      </w:r>
      <w:r w:rsidR="00BF5FE1">
        <w:t>C</w:t>
      </w:r>
      <w:r>
        <w:t>hair provided updates on the following</w:t>
      </w:r>
      <w:r w:rsidR="00716837">
        <w:t xml:space="preserve"> outstanding</w:t>
      </w:r>
      <w:r>
        <w:t xml:space="preserve"> action items</w:t>
      </w:r>
      <w:r w:rsidR="00716837">
        <w:t xml:space="preserve"> from prior meetings. </w:t>
      </w:r>
    </w:p>
    <w:p w14:paraId="088C154C" w14:textId="2CF2B482" w:rsidR="00BC2FD5" w:rsidRPr="00DA7719" w:rsidRDefault="00CC3F29" w:rsidP="00BC2FD5">
      <w:pPr>
        <w:rPr>
          <w:u w:val="single"/>
        </w:rPr>
      </w:pPr>
      <w:r>
        <w:rPr>
          <w:u w:val="single"/>
        </w:rPr>
        <w:t>M</w:t>
      </w:r>
      <w:r w:rsidR="00BC2FD5" w:rsidRPr="00DA7719">
        <w:rPr>
          <w:u w:val="single"/>
        </w:rPr>
        <w:t>eeting 25- 8 November 2021</w:t>
      </w:r>
    </w:p>
    <w:p w14:paraId="4FE1928F" w14:textId="7AAE67EB" w:rsidR="00CC3F29" w:rsidRPr="00716837" w:rsidRDefault="00BF5FE1" w:rsidP="00241328">
      <w:pPr>
        <w:spacing w:after="0"/>
        <w:rPr>
          <w:rFonts w:cstheme="minorHAnsi"/>
          <w:b/>
          <w:bCs/>
        </w:rPr>
      </w:pPr>
      <w:r>
        <w:rPr>
          <w:rFonts w:cstheme="minorHAnsi"/>
          <w:b/>
          <w:i/>
          <w:iCs/>
        </w:rPr>
        <w:t xml:space="preserve">ACTION </w:t>
      </w:r>
      <w:r w:rsidR="00BC2FD5" w:rsidRPr="00716837">
        <w:rPr>
          <w:rFonts w:cstheme="minorHAnsi"/>
          <w:b/>
          <w:i/>
          <w:iCs/>
        </w:rPr>
        <w:t>ITEM 9:</w:t>
      </w:r>
      <w:r w:rsidR="00BC2FD5" w:rsidRPr="00716837">
        <w:rPr>
          <w:rFonts w:cstheme="minorHAnsi"/>
          <w:b/>
        </w:rPr>
        <w:t xml:space="preserve"> </w:t>
      </w:r>
      <w:r w:rsidR="00BC2FD5" w:rsidRPr="00716837">
        <w:rPr>
          <w:rFonts w:cstheme="minorHAnsi"/>
          <w:i/>
          <w:iCs/>
        </w:rPr>
        <w:t>Dr Wong to update on progress of draft policy for laboratories performing official testing for animal diseases. The current draft reflects different requirements for testing imported animals, domestic animals and domestic animals intended for export and trade purposes. There is also a focus on the approval of laboratories for performing official testing. Work is ongoing through Animal Health Committee with input from the department.</w:t>
      </w:r>
    </w:p>
    <w:p w14:paraId="105E590B" w14:textId="405975BE" w:rsidR="000D25C6" w:rsidRPr="000D25C6" w:rsidRDefault="000D25C6" w:rsidP="00241328">
      <w:pPr>
        <w:pStyle w:val="ListParagraph"/>
        <w:numPr>
          <w:ilvl w:val="0"/>
          <w:numId w:val="36"/>
        </w:numPr>
        <w:spacing w:before="0"/>
        <w:rPr>
          <w:rFonts w:cstheme="minorHAnsi"/>
        </w:rPr>
      </w:pPr>
      <w:r w:rsidRPr="000D25C6">
        <w:rPr>
          <w:rFonts w:cstheme="minorHAnsi"/>
          <w:b/>
          <w:bCs/>
        </w:rPr>
        <w:t>Ongoing</w:t>
      </w:r>
      <w:r w:rsidRPr="000D25C6">
        <w:rPr>
          <w:rFonts w:cstheme="minorHAnsi"/>
        </w:rPr>
        <w:t xml:space="preserve">: There have been no significant developments as the operation of this AHC task group has been delayed until the Point </w:t>
      </w:r>
      <w:proofErr w:type="gramStart"/>
      <w:r w:rsidRPr="000D25C6">
        <w:rPr>
          <w:rFonts w:cstheme="minorHAnsi"/>
        </w:rPr>
        <w:t>Of</w:t>
      </w:r>
      <w:proofErr w:type="gramEnd"/>
      <w:r w:rsidRPr="000D25C6">
        <w:rPr>
          <w:rFonts w:cstheme="minorHAnsi"/>
        </w:rPr>
        <w:t xml:space="preserve"> Care </w:t>
      </w:r>
      <w:r>
        <w:rPr>
          <w:rFonts w:cstheme="minorHAnsi"/>
        </w:rPr>
        <w:t xml:space="preserve">(POC) </w:t>
      </w:r>
      <w:r w:rsidRPr="000D25C6">
        <w:rPr>
          <w:rFonts w:cstheme="minorHAnsi"/>
        </w:rPr>
        <w:t xml:space="preserve">Testing Task Group has completed its work, due to interdependencies between the work of these task groups. </w:t>
      </w:r>
      <w:r>
        <w:rPr>
          <w:rFonts w:cstheme="minorHAnsi"/>
        </w:rPr>
        <w:t>Animal Health Committee (</w:t>
      </w:r>
      <w:r w:rsidRPr="000D25C6">
        <w:rPr>
          <w:rFonts w:cstheme="minorHAnsi"/>
        </w:rPr>
        <w:t>AHC</w:t>
      </w:r>
      <w:r>
        <w:rPr>
          <w:rFonts w:cstheme="minorHAnsi"/>
        </w:rPr>
        <w:t>)</w:t>
      </w:r>
      <w:r w:rsidRPr="000D25C6">
        <w:rPr>
          <w:rFonts w:cstheme="minorHAnsi"/>
        </w:rPr>
        <w:t xml:space="preserve"> has focused on the completion of the principles and guidelines for the use of POC testing under the POC Testing </w:t>
      </w:r>
      <w:r w:rsidR="00C52061">
        <w:rPr>
          <w:rFonts w:cstheme="minorHAnsi"/>
        </w:rPr>
        <w:t>T</w:t>
      </w:r>
      <w:r w:rsidRPr="000D25C6">
        <w:rPr>
          <w:rFonts w:cstheme="minorHAnsi"/>
        </w:rPr>
        <w:t xml:space="preserve">ask </w:t>
      </w:r>
      <w:r w:rsidR="00C52061">
        <w:rPr>
          <w:rFonts w:cstheme="minorHAnsi"/>
        </w:rPr>
        <w:t>G</w:t>
      </w:r>
      <w:r w:rsidRPr="000D25C6">
        <w:rPr>
          <w:rFonts w:cstheme="minorHAnsi"/>
        </w:rPr>
        <w:t xml:space="preserve">roup. </w:t>
      </w:r>
    </w:p>
    <w:p w14:paraId="37878397" w14:textId="2CCBC5F2" w:rsidR="004C259D" w:rsidRPr="000D25C6" w:rsidRDefault="000D25C6" w:rsidP="00C52061">
      <w:pPr>
        <w:pStyle w:val="ListParagraph"/>
        <w:rPr>
          <w:rFonts w:cstheme="minorHAnsi"/>
          <w:b/>
          <w:bCs/>
        </w:rPr>
      </w:pPr>
      <w:r w:rsidRPr="000D25C6">
        <w:rPr>
          <w:rFonts w:cstheme="minorHAnsi"/>
        </w:rPr>
        <w:t>Many of the principles developed for POC testing are applicable to the work of the National Policy for Laboratories Testing for Animal Diseases Task Group.</w:t>
      </w:r>
      <w:r>
        <w:rPr>
          <w:rFonts w:cstheme="minorHAnsi"/>
        </w:rPr>
        <w:t xml:space="preserve"> </w:t>
      </w:r>
      <w:r w:rsidRPr="000D25C6">
        <w:rPr>
          <w:rFonts w:cstheme="minorHAnsi"/>
        </w:rPr>
        <w:t>As the POC</w:t>
      </w:r>
      <w:r>
        <w:rPr>
          <w:rFonts w:cstheme="minorHAnsi"/>
        </w:rPr>
        <w:t xml:space="preserve"> Testing</w:t>
      </w:r>
      <w:r w:rsidRPr="000D25C6">
        <w:rPr>
          <w:rFonts w:cstheme="minorHAnsi"/>
        </w:rPr>
        <w:t xml:space="preserve"> task group has now completed their work, it is expected that the National Policy for Laboratories Testing for Animal Diseases Task Group will reconvene. At its next meeting, the task group will be reviewing its title and scope of work, informed by the work of the POC Testing Task Group.</w:t>
      </w:r>
    </w:p>
    <w:p w14:paraId="1A89ED0E" w14:textId="2F8BADE1" w:rsidR="00BC2FD5" w:rsidRPr="00DA7719" w:rsidRDefault="00BC2FD5" w:rsidP="004F0EC4">
      <w:pPr>
        <w:rPr>
          <w:rFonts w:cstheme="minorHAnsi"/>
          <w:u w:val="single"/>
        </w:rPr>
      </w:pPr>
      <w:r w:rsidRPr="00DA7719">
        <w:rPr>
          <w:rFonts w:cstheme="minorHAnsi"/>
          <w:u w:val="single"/>
        </w:rPr>
        <w:t>Meeting 29 – 7 December 2023</w:t>
      </w:r>
    </w:p>
    <w:p w14:paraId="003657E7" w14:textId="77F505F2" w:rsidR="00CC3F29" w:rsidRPr="00CC3F29" w:rsidRDefault="00BF5FE1" w:rsidP="00241328">
      <w:pPr>
        <w:spacing w:after="0"/>
        <w:rPr>
          <w:rFonts w:cstheme="minorHAnsi"/>
          <w:i/>
          <w:iCs/>
        </w:rPr>
      </w:pPr>
      <w:r>
        <w:rPr>
          <w:rFonts w:cstheme="minorHAnsi"/>
          <w:b/>
          <w:bCs/>
          <w:i/>
          <w:iCs/>
        </w:rPr>
        <w:t xml:space="preserve">ACTION </w:t>
      </w:r>
      <w:r w:rsidR="004C259D" w:rsidRPr="00CC3F29">
        <w:rPr>
          <w:rFonts w:cstheme="minorHAnsi"/>
          <w:b/>
          <w:bCs/>
          <w:i/>
          <w:iCs/>
        </w:rPr>
        <w:t>ITEM 5:</w:t>
      </w:r>
      <w:r w:rsidR="004C259D" w:rsidRPr="00CC3F29">
        <w:rPr>
          <w:rFonts w:cstheme="minorHAnsi"/>
          <w:i/>
          <w:iCs/>
        </w:rPr>
        <w:t xml:space="preserve"> ABB will provide an update on</w:t>
      </w:r>
      <w:r w:rsidR="000D25C6">
        <w:rPr>
          <w:rFonts w:cstheme="minorHAnsi"/>
          <w:i/>
          <w:iCs/>
        </w:rPr>
        <w:t xml:space="preserve"> the</w:t>
      </w:r>
      <w:r w:rsidR="004C259D" w:rsidRPr="00CC3F29">
        <w:rPr>
          <w:rFonts w:cstheme="minorHAnsi"/>
          <w:i/>
          <w:iCs/>
        </w:rPr>
        <w:t xml:space="preserve"> A</w:t>
      </w:r>
      <w:r w:rsidR="00B25988">
        <w:rPr>
          <w:rFonts w:cstheme="minorHAnsi"/>
          <w:i/>
          <w:iCs/>
        </w:rPr>
        <w:t xml:space="preserve">ustralian </w:t>
      </w:r>
      <w:r w:rsidR="004C259D" w:rsidRPr="00CC3F29">
        <w:rPr>
          <w:rFonts w:cstheme="minorHAnsi"/>
          <w:i/>
          <w:iCs/>
        </w:rPr>
        <w:t>C</w:t>
      </w:r>
      <w:r w:rsidR="00B25988">
        <w:rPr>
          <w:rFonts w:cstheme="minorHAnsi"/>
          <w:i/>
          <w:iCs/>
        </w:rPr>
        <w:t xml:space="preserve">entre for </w:t>
      </w:r>
      <w:r w:rsidR="004C259D" w:rsidRPr="00CC3F29">
        <w:rPr>
          <w:rFonts w:cstheme="minorHAnsi"/>
          <w:i/>
          <w:iCs/>
        </w:rPr>
        <w:t>D</w:t>
      </w:r>
      <w:r w:rsidR="00B25988">
        <w:rPr>
          <w:rFonts w:cstheme="minorHAnsi"/>
          <w:i/>
          <w:iCs/>
        </w:rPr>
        <w:t xml:space="preserve">isease </w:t>
      </w:r>
      <w:r w:rsidR="004C259D" w:rsidRPr="00CC3F29">
        <w:rPr>
          <w:rFonts w:cstheme="minorHAnsi"/>
          <w:i/>
          <w:iCs/>
        </w:rPr>
        <w:t>P</w:t>
      </w:r>
      <w:r w:rsidR="00B25988">
        <w:rPr>
          <w:rFonts w:cstheme="minorHAnsi"/>
          <w:i/>
          <w:iCs/>
        </w:rPr>
        <w:t>reparedness</w:t>
      </w:r>
      <w:r w:rsidR="004C259D" w:rsidRPr="00CC3F29">
        <w:rPr>
          <w:rFonts w:cstheme="minorHAnsi"/>
          <w:i/>
          <w:iCs/>
        </w:rPr>
        <w:t>’</w:t>
      </w:r>
      <w:r w:rsidR="00B25988">
        <w:rPr>
          <w:rFonts w:cstheme="minorHAnsi"/>
          <w:i/>
          <w:iCs/>
        </w:rPr>
        <w:t>s (ACDP)</w:t>
      </w:r>
      <w:r w:rsidR="004C259D" w:rsidRPr="00CC3F29">
        <w:rPr>
          <w:rFonts w:cstheme="minorHAnsi"/>
          <w:i/>
          <w:iCs/>
        </w:rPr>
        <w:t xml:space="preserve"> piroplasmosis testing milestone report when available in 2024.</w:t>
      </w:r>
    </w:p>
    <w:p w14:paraId="5C8625B4" w14:textId="62328CD3" w:rsidR="00234E71" w:rsidRPr="00CC3F29" w:rsidRDefault="004C259D" w:rsidP="00241328">
      <w:pPr>
        <w:pStyle w:val="ListParagraph"/>
        <w:numPr>
          <w:ilvl w:val="0"/>
          <w:numId w:val="35"/>
        </w:numPr>
        <w:spacing w:before="0"/>
        <w:ind w:left="714" w:hanging="357"/>
        <w:rPr>
          <w:rFonts w:cstheme="minorHAnsi"/>
          <w:i/>
          <w:iCs/>
        </w:rPr>
      </w:pPr>
      <w:r w:rsidRPr="00CC3F29">
        <w:rPr>
          <w:rFonts w:cstheme="minorHAnsi"/>
          <w:b/>
          <w:bCs/>
        </w:rPr>
        <w:t xml:space="preserve">Ongoing: </w:t>
      </w:r>
      <w:r w:rsidRPr="00CC3F29">
        <w:rPr>
          <w:rFonts w:cstheme="minorHAnsi"/>
        </w:rPr>
        <w:t xml:space="preserve">ACDP provided an update at Agenda </w:t>
      </w:r>
      <w:r w:rsidR="00234E71" w:rsidRPr="00CC3F29">
        <w:rPr>
          <w:rFonts w:cstheme="minorHAnsi"/>
        </w:rPr>
        <w:t>item 5</w:t>
      </w:r>
      <w:r w:rsidRPr="00CC3F29">
        <w:rPr>
          <w:rFonts w:cstheme="minorHAnsi"/>
        </w:rPr>
        <w:t xml:space="preserve">. </w:t>
      </w:r>
    </w:p>
    <w:p w14:paraId="2F9664B5" w14:textId="059C7693" w:rsidR="004F0EC4" w:rsidRPr="00DA7719" w:rsidRDefault="000275CA" w:rsidP="004F0EC4">
      <w:r w:rsidRPr="00DA7719">
        <w:rPr>
          <w:u w:val="single"/>
        </w:rPr>
        <w:t>Meeting</w:t>
      </w:r>
      <w:r w:rsidR="00BC2FD5" w:rsidRPr="00DA7719">
        <w:rPr>
          <w:u w:val="single"/>
        </w:rPr>
        <w:t xml:space="preserve"> 30-</w:t>
      </w:r>
      <w:r w:rsidRPr="00DA7719">
        <w:rPr>
          <w:u w:val="single"/>
        </w:rPr>
        <w:t xml:space="preserve"> 23 May 2024 </w:t>
      </w:r>
    </w:p>
    <w:p w14:paraId="05B87995" w14:textId="474B8653" w:rsidR="000275CA" w:rsidRPr="0063728D" w:rsidRDefault="00BF5FE1" w:rsidP="00CC3F29">
      <w:pPr>
        <w:pStyle w:val="xxmsonormal"/>
        <w:rPr>
          <w:rFonts w:asciiTheme="minorHAnsi" w:hAnsiTheme="minorHAnsi" w:cstheme="minorHAnsi"/>
          <w:bCs/>
        </w:rPr>
      </w:pPr>
      <w:r>
        <w:rPr>
          <w:rFonts w:asciiTheme="minorHAnsi" w:hAnsiTheme="minorHAnsi" w:cstheme="minorHAnsi"/>
          <w:b/>
          <w:i/>
          <w:iCs/>
        </w:rPr>
        <w:t xml:space="preserve">ACTION </w:t>
      </w:r>
      <w:r w:rsidR="000275CA" w:rsidRPr="004C259D">
        <w:rPr>
          <w:rFonts w:asciiTheme="minorHAnsi" w:hAnsiTheme="minorHAnsi" w:cstheme="minorHAnsi"/>
          <w:b/>
          <w:i/>
          <w:iCs/>
        </w:rPr>
        <w:t xml:space="preserve">ITEM 1: </w:t>
      </w:r>
      <w:r w:rsidR="000275CA" w:rsidRPr="004C259D">
        <w:rPr>
          <w:rFonts w:asciiTheme="minorHAnsi" w:hAnsiTheme="minorHAnsi" w:cstheme="minorHAnsi"/>
          <w:bCs/>
          <w:i/>
          <w:iCs/>
        </w:rPr>
        <w:t>A</w:t>
      </w:r>
      <w:r w:rsidR="00545270">
        <w:rPr>
          <w:rFonts w:asciiTheme="minorHAnsi" w:hAnsiTheme="minorHAnsi" w:cstheme="minorHAnsi"/>
          <w:bCs/>
          <w:i/>
          <w:iCs/>
        </w:rPr>
        <w:t xml:space="preserve">nimal </w:t>
      </w:r>
      <w:r w:rsidR="000275CA" w:rsidRPr="004C259D">
        <w:rPr>
          <w:rFonts w:asciiTheme="minorHAnsi" w:hAnsiTheme="minorHAnsi" w:cstheme="minorHAnsi"/>
          <w:bCs/>
          <w:i/>
          <w:iCs/>
        </w:rPr>
        <w:t>B</w:t>
      </w:r>
      <w:r w:rsidR="00545270">
        <w:rPr>
          <w:rFonts w:asciiTheme="minorHAnsi" w:hAnsiTheme="minorHAnsi" w:cstheme="minorHAnsi"/>
          <w:bCs/>
          <w:i/>
          <w:iCs/>
        </w:rPr>
        <w:t xml:space="preserve">iosecurity </w:t>
      </w:r>
      <w:r w:rsidR="000275CA" w:rsidRPr="004C259D">
        <w:rPr>
          <w:rFonts w:asciiTheme="minorHAnsi" w:hAnsiTheme="minorHAnsi" w:cstheme="minorHAnsi"/>
          <w:bCs/>
          <w:i/>
          <w:iCs/>
        </w:rPr>
        <w:t>B</w:t>
      </w:r>
      <w:r w:rsidR="00545270">
        <w:rPr>
          <w:rFonts w:asciiTheme="minorHAnsi" w:hAnsiTheme="minorHAnsi" w:cstheme="minorHAnsi"/>
          <w:bCs/>
          <w:i/>
          <w:iCs/>
        </w:rPr>
        <w:t>ranch (ABB)</w:t>
      </w:r>
      <w:r w:rsidR="000275CA" w:rsidRPr="004C259D">
        <w:rPr>
          <w:rFonts w:asciiTheme="minorHAnsi" w:hAnsiTheme="minorHAnsi" w:cstheme="minorHAnsi"/>
          <w:bCs/>
          <w:i/>
          <w:iCs/>
        </w:rPr>
        <w:t xml:space="preserve"> will pursue improved import conditions for equine herpes virus and equine influenza with China via Post</w:t>
      </w:r>
      <w:r w:rsidR="000275CA" w:rsidRPr="0063728D">
        <w:rPr>
          <w:rFonts w:asciiTheme="minorHAnsi" w:hAnsiTheme="minorHAnsi" w:cstheme="minorHAnsi"/>
          <w:bCs/>
        </w:rPr>
        <w:t>.</w:t>
      </w:r>
    </w:p>
    <w:p w14:paraId="111CF484" w14:textId="5F26EEAF" w:rsidR="000275CA" w:rsidRDefault="004C259D" w:rsidP="00241328">
      <w:pPr>
        <w:pStyle w:val="xxmsonormal"/>
        <w:numPr>
          <w:ilvl w:val="0"/>
          <w:numId w:val="35"/>
        </w:numPr>
        <w:spacing w:after="120"/>
        <w:ind w:left="714" w:hanging="357"/>
        <w:rPr>
          <w:rFonts w:asciiTheme="minorHAnsi" w:hAnsiTheme="minorHAnsi" w:cstheme="minorHAnsi"/>
          <w:bCs/>
        </w:rPr>
      </w:pPr>
      <w:r>
        <w:rPr>
          <w:rFonts w:asciiTheme="minorHAnsi" w:hAnsiTheme="minorHAnsi" w:cstheme="minorHAnsi"/>
          <w:b/>
        </w:rPr>
        <w:t xml:space="preserve">Ongoing: </w:t>
      </w:r>
      <w:r>
        <w:rPr>
          <w:rFonts w:asciiTheme="minorHAnsi" w:hAnsiTheme="minorHAnsi" w:cstheme="minorHAnsi"/>
          <w:bCs/>
        </w:rPr>
        <w:t>ABB</w:t>
      </w:r>
      <w:r w:rsidR="00234E71">
        <w:rPr>
          <w:rFonts w:asciiTheme="minorHAnsi" w:hAnsiTheme="minorHAnsi" w:cstheme="minorHAnsi"/>
          <w:bCs/>
        </w:rPr>
        <w:t xml:space="preserve"> </w:t>
      </w:r>
      <w:r>
        <w:rPr>
          <w:rFonts w:asciiTheme="minorHAnsi" w:hAnsiTheme="minorHAnsi" w:cstheme="minorHAnsi"/>
          <w:bCs/>
        </w:rPr>
        <w:t xml:space="preserve">provided an </w:t>
      </w:r>
      <w:r w:rsidR="00234E71">
        <w:rPr>
          <w:rFonts w:asciiTheme="minorHAnsi" w:hAnsiTheme="minorHAnsi" w:cstheme="minorHAnsi"/>
          <w:bCs/>
        </w:rPr>
        <w:t xml:space="preserve">update at </w:t>
      </w:r>
      <w:r w:rsidR="00B25988">
        <w:rPr>
          <w:rFonts w:asciiTheme="minorHAnsi" w:hAnsiTheme="minorHAnsi" w:cstheme="minorHAnsi"/>
          <w:bCs/>
        </w:rPr>
        <w:t>A</w:t>
      </w:r>
      <w:r w:rsidR="00234E71">
        <w:rPr>
          <w:rFonts w:asciiTheme="minorHAnsi" w:hAnsiTheme="minorHAnsi" w:cstheme="minorHAnsi"/>
          <w:bCs/>
        </w:rPr>
        <w:t xml:space="preserve">genda </w:t>
      </w:r>
      <w:r>
        <w:rPr>
          <w:rFonts w:asciiTheme="minorHAnsi" w:hAnsiTheme="minorHAnsi" w:cstheme="minorHAnsi"/>
          <w:bCs/>
        </w:rPr>
        <w:t xml:space="preserve">item </w:t>
      </w:r>
      <w:r w:rsidR="00234E71">
        <w:rPr>
          <w:rFonts w:asciiTheme="minorHAnsi" w:hAnsiTheme="minorHAnsi" w:cstheme="minorHAnsi"/>
          <w:bCs/>
        </w:rPr>
        <w:t>4</w:t>
      </w:r>
      <w:r w:rsidR="00BE1545">
        <w:rPr>
          <w:rFonts w:asciiTheme="minorHAnsi" w:hAnsiTheme="minorHAnsi" w:cstheme="minorHAnsi"/>
          <w:bCs/>
        </w:rPr>
        <w:t>.</w:t>
      </w:r>
      <w:r w:rsidR="00234E71">
        <w:rPr>
          <w:rFonts w:asciiTheme="minorHAnsi" w:hAnsiTheme="minorHAnsi" w:cstheme="minorHAnsi"/>
          <w:bCs/>
        </w:rPr>
        <w:t xml:space="preserve"> </w:t>
      </w:r>
    </w:p>
    <w:p w14:paraId="2505A562" w14:textId="03FA3FB0" w:rsidR="000275CA" w:rsidRDefault="00BF5FE1" w:rsidP="00CC3F29">
      <w:pPr>
        <w:pStyle w:val="xxmsonormal"/>
        <w:rPr>
          <w:rFonts w:asciiTheme="minorHAnsi" w:hAnsiTheme="minorHAnsi" w:cstheme="minorHAnsi"/>
          <w:i/>
          <w:iCs/>
        </w:rPr>
      </w:pPr>
      <w:r>
        <w:rPr>
          <w:rFonts w:asciiTheme="minorHAnsi" w:hAnsiTheme="minorHAnsi" w:cstheme="minorHAnsi"/>
          <w:b/>
          <w:i/>
          <w:iCs/>
        </w:rPr>
        <w:t xml:space="preserve">ACTION </w:t>
      </w:r>
      <w:r w:rsidR="000275CA" w:rsidRPr="004C259D">
        <w:rPr>
          <w:rFonts w:asciiTheme="minorHAnsi" w:hAnsiTheme="minorHAnsi" w:cstheme="minorHAnsi"/>
          <w:b/>
          <w:i/>
          <w:iCs/>
        </w:rPr>
        <w:t xml:space="preserve">ITEM 2: </w:t>
      </w:r>
      <w:r w:rsidR="000275CA" w:rsidRPr="004C259D">
        <w:rPr>
          <w:rFonts w:asciiTheme="minorHAnsi" w:hAnsiTheme="minorHAnsi" w:cstheme="minorHAnsi"/>
          <w:i/>
          <w:iCs/>
        </w:rPr>
        <w:t>The department will discuss the evaluation of PCR as part of the equine piroplasmosis testing capability project with ACDP.</w:t>
      </w:r>
    </w:p>
    <w:p w14:paraId="6962F30F" w14:textId="457D4AF2" w:rsidR="004C259D" w:rsidRDefault="004C259D" w:rsidP="00241328">
      <w:pPr>
        <w:pStyle w:val="xxmsonormal"/>
        <w:numPr>
          <w:ilvl w:val="0"/>
          <w:numId w:val="35"/>
        </w:numPr>
        <w:spacing w:after="120"/>
        <w:ind w:left="714" w:hanging="357"/>
        <w:rPr>
          <w:rFonts w:asciiTheme="minorHAnsi" w:hAnsiTheme="minorHAnsi" w:cstheme="minorHAnsi"/>
        </w:rPr>
      </w:pPr>
      <w:r>
        <w:rPr>
          <w:rFonts w:asciiTheme="minorHAnsi" w:hAnsiTheme="minorHAnsi" w:cstheme="minorHAnsi"/>
          <w:b/>
          <w:bCs/>
        </w:rPr>
        <w:t xml:space="preserve">Closed: </w:t>
      </w:r>
      <w:r w:rsidR="00B25988">
        <w:rPr>
          <w:rFonts w:asciiTheme="minorHAnsi" w:hAnsiTheme="minorHAnsi" w:cstheme="minorHAnsi"/>
        </w:rPr>
        <w:t>ACDP</w:t>
      </w:r>
      <w:r>
        <w:rPr>
          <w:rFonts w:asciiTheme="minorHAnsi" w:hAnsiTheme="minorHAnsi" w:cstheme="minorHAnsi"/>
        </w:rPr>
        <w:t xml:space="preserve"> provided</w:t>
      </w:r>
      <w:r w:rsidR="00B25988">
        <w:rPr>
          <w:rFonts w:asciiTheme="minorHAnsi" w:hAnsiTheme="minorHAnsi" w:cstheme="minorHAnsi"/>
        </w:rPr>
        <w:t xml:space="preserve"> an update</w:t>
      </w:r>
      <w:r>
        <w:rPr>
          <w:rFonts w:asciiTheme="minorHAnsi" w:hAnsiTheme="minorHAnsi" w:cstheme="minorHAnsi"/>
        </w:rPr>
        <w:t xml:space="preserve"> at </w:t>
      </w:r>
      <w:r w:rsidR="00B25988">
        <w:rPr>
          <w:rFonts w:asciiTheme="minorHAnsi" w:hAnsiTheme="minorHAnsi" w:cstheme="minorHAnsi"/>
        </w:rPr>
        <w:t>A</w:t>
      </w:r>
      <w:r>
        <w:rPr>
          <w:rFonts w:asciiTheme="minorHAnsi" w:hAnsiTheme="minorHAnsi" w:cstheme="minorHAnsi"/>
        </w:rPr>
        <w:t>genda item 5</w:t>
      </w:r>
      <w:r w:rsidR="00BE1545">
        <w:rPr>
          <w:rFonts w:asciiTheme="minorHAnsi" w:hAnsiTheme="minorHAnsi" w:cstheme="minorHAnsi"/>
        </w:rPr>
        <w:t>.</w:t>
      </w:r>
    </w:p>
    <w:p w14:paraId="694BDDC5" w14:textId="1D29B045" w:rsidR="00CC3F29" w:rsidRPr="00CC3F29" w:rsidRDefault="00BF5FE1" w:rsidP="00241328">
      <w:pPr>
        <w:spacing w:after="0" w:line="240" w:lineRule="auto"/>
        <w:rPr>
          <w:rFonts w:asciiTheme="minorHAnsi" w:hAnsiTheme="minorHAnsi" w:cstheme="minorHAnsi"/>
          <w:b/>
        </w:rPr>
      </w:pPr>
      <w:r>
        <w:rPr>
          <w:rFonts w:asciiTheme="minorHAnsi" w:hAnsiTheme="minorHAnsi" w:cstheme="minorHAnsi"/>
          <w:b/>
          <w:i/>
          <w:iCs/>
        </w:rPr>
        <w:t xml:space="preserve">ACTION </w:t>
      </w:r>
      <w:r w:rsidR="004C259D" w:rsidRPr="00CC3F29">
        <w:rPr>
          <w:rFonts w:asciiTheme="minorHAnsi" w:hAnsiTheme="minorHAnsi" w:cstheme="minorHAnsi"/>
          <w:b/>
          <w:i/>
          <w:iCs/>
        </w:rPr>
        <w:t xml:space="preserve">ITEM 3: </w:t>
      </w:r>
      <w:r w:rsidR="004C259D" w:rsidRPr="00CC3F29">
        <w:rPr>
          <w:rFonts w:asciiTheme="minorHAnsi" w:hAnsiTheme="minorHAnsi" w:cstheme="minorHAnsi"/>
          <w:bCs/>
          <w:i/>
          <w:iCs/>
        </w:rPr>
        <w:t>BOD will provide the best point of contact at WSA livestock handling facility to horse transport agents.</w:t>
      </w:r>
    </w:p>
    <w:p w14:paraId="5E845A2C" w14:textId="21738F44" w:rsidR="004C259D" w:rsidRPr="00CC3F29" w:rsidRDefault="004C259D" w:rsidP="00241328">
      <w:pPr>
        <w:pStyle w:val="ListParagraph"/>
        <w:numPr>
          <w:ilvl w:val="0"/>
          <w:numId w:val="35"/>
        </w:numPr>
        <w:spacing w:before="0" w:line="240" w:lineRule="auto"/>
        <w:ind w:left="714" w:hanging="357"/>
        <w:contextualSpacing w:val="0"/>
        <w:rPr>
          <w:rFonts w:asciiTheme="minorHAnsi" w:hAnsiTheme="minorHAnsi" w:cstheme="minorHAnsi"/>
          <w:b/>
        </w:rPr>
      </w:pPr>
      <w:r w:rsidRPr="00CC3F29">
        <w:rPr>
          <w:rFonts w:asciiTheme="minorHAnsi" w:hAnsiTheme="minorHAnsi" w:cstheme="minorHAnsi"/>
          <w:b/>
        </w:rPr>
        <w:t xml:space="preserve">Closed. </w:t>
      </w:r>
    </w:p>
    <w:p w14:paraId="210ED829" w14:textId="0221E3AB" w:rsidR="00CC3F29" w:rsidRPr="00CC3F29" w:rsidRDefault="00BF5FE1" w:rsidP="00241328">
      <w:pPr>
        <w:spacing w:after="0"/>
        <w:rPr>
          <w:bCs/>
        </w:rPr>
      </w:pPr>
      <w:r>
        <w:rPr>
          <w:b/>
          <w:i/>
          <w:iCs/>
        </w:rPr>
        <w:t xml:space="preserve">ACTION </w:t>
      </w:r>
      <w:r w:rsidR="004C259D" w:rsidRPr="00CC3F29">
        <w:rPr>
          <w:b/>
          <w:i/>
          <w:iCs/>
        </w:rPr>
        <w:t xml:space="preserve">ITEM 4: </w:t>
      </w:r>
      <w:r w:rsidR="004C259D" w:rsidRPr="00CC3F29">
        <w:rPr>
          <w:bCs/>
          <w:i/>
          <w:iCs/>
        </w:rPr>
        <w:t xml:space="preserve">BOD will advise whether the livestock handling facility will be part of Phase </w:t>
      </w:r>
      <w:r w:rsidR="00545270">
        <w:rPr>
          <w:bCs/>
          <w:i/>
          <w:iCs/>
        </w:rPr>
        <w:t>1</w:t>
      </w:r>
      <w:r w:rsidR="00545270" w:rsidRPr="00CC3F29">
        <w:rPr>
          <w:bCs/>
          <w:i/>
          <w:iCs/>
        </w:rPr>
        <w:t xml:space="preserve"> </w:t>
      </w:r>
      <w:r w:rsidR="004C259D" w:rsidRPr="00CC3F29">
        <w:rPr>
          <w:bCs/>
          <w:i/>
          <w:iCs/>
        </w:rPr>
        <w:t>of the WSA cargo precinct design, if/when they receive formal advice on this.</w:t>
      </w:r>
    </w:p>
    <w:p w14:paraId="2754BCE4" w14:textId="0B28F058" w:rsidR="004C259D" w:rsidRPr="00CC3F29" w:rsidRDefault="004C259D" w:rsidP="00241328">
      <w:pPr>
        <w:pStyle w:val="ListParagraph"/>
        <w:numPr>
          <w:ilvl w:val="0"/>
          <w:numId w:val="35"/>
        </w:numPr>
        <w:spacing w:before="0"/>
        <w:rPr>
          <w:bCs/>
        </w:rPr>
      </w:pPr>
      <w:r w:rsidRPr="00CC3F29">
        <w:rPr>
          <w:b/>
        </w:rPr>
        <w:t xml:space="preserve">Closed: </w:t>
      </w:r>
      <w:r w:rsidRPr="00CC3F29">
        <w:rPr>
          <w:bCs/>
        </w:rPr>
        <w:t xml:space="preserve">BOD provided an update at </w:t>
      </w:r>
      <w:r w:rsidR="00545270">
        <w:rPr>
          <w:bCs/>
        </w:rPr>
        <w:t>A</w:t>
      </w:r>
      <w:r w:rsidRPr="00CC3F29">
        <w:rPr>
          <w:bCs/>
        </w:rPr>
        <w:t>genda item 2</w:t>
      </w:r>
      <w:r w:rsidR="00107415" w:rsidRPr="00CC3F29">
        <w:rPr>
          <w:bCs/>
        </w:rPr>
        <w:t xml:space="preserve">. </w:t>
      </w:r>
    </w:p>
    <w:p w14:paraId="2D73553B" w14:textId="57401980" w:rsidR="00CC3F29" w:rsidRDefault="00BF5FE1" w:rsidP="00241328">
      <w:pPr>
        <w:spacing w:after="0"/>
        <w:rPr>
          <w:rFonts w:asciiTheme="minorHAnsi" w:hAnsiTheme="minorHAnsi" w:cstheme="minorHAnsi"/>
          <w:i/>
          <w:iCs/>
        </w:rPr>
      </w:pPr>
      <w:r>
        <w:rPr>
          <w:rFonts w:asciiTheme="minorHAnsi" w:hAnsiTheme="minorHAnsi" w:cstheme="minorHAnsi"/>
          <w:b/>
          <w:bCs/>
          <w:i/>
          <w:iCs/>
        </w:rPr>
        <w:t xml:space="preserve">ACTION </w:t>
      </w:r>
      <w:r w:rsidR="00107415" w:rsidRPr="00CC3F29">
        <w:rPr>
          <w:rFonts w:asciiTheme="minorHAnsi" w:hAnsiTheme="minorHAnsi" w:cstheme="minorHAnsi"/>
          <w:b/>
          <w:bCs/>
          <w:i/>
          <w:iCs/>
        </w:rPr>
        <w:t xml:space="preserve">ITEM 5: </w:t>
      </w:r>
      <w:r w:rsidR="00107415" w:rsidRPr="00241328">
        <w:rPr>
          <w:rFonts w:asciiTheme="minorHAnsi" w:eastAsiaTheme="minorHAnsi" w:hAnsiTheme="minorHAnsi" w:cstheme="minorHAnsi"/>
          <w:i/>
          <w:iCs/>
          <w:lang w:eastAsia="en-AU"/>
        </w:rPr>
        <w:t>The Biosecurity Cost Recovery section to meet with International Racehorse Transport, H</w:t>
      </w:r>
      <w:r w:rsidR="00BE1545" w:rsidRPr="00241328">
        <w:rPr>
          <w:rFonts w:asciiTheme="minorHAnsi" w:eastAsiaTheme="minorHAnsi" w:hAnsiTheme="minorHAnsi" w:cstheme="minorHAnsi"/>
          <w:i/>
          <w:iCs/>
          <w:lang w:eastAsia="en-AU"/>
        </w:rPr>
        <w:t>orse, Livestock and Bird</w:t>
      </w:r>
      <w:r w:rsidR="003F5EC6" w:rsidRPr="00241328">
        <w:rPr>
          <w:rFonts w:asciiTheme="minorHAnsi" w:eastAsiaTheme="minorHAnsi" w:hAnsiTheme="minorHAnsi" w:cstheme="minorHAnsi"/>
          <w:i/>
          <w:iCs/>
          <w:lang w:eastAsia="en-AU"/>
        </w:rPr>
        <w:t xml:space="preserve"> Import</w:t>
      </w:r>
      <w:r w:rsidR="00BE1545" w:rsidRPr="00241328">
        <w:rPr>
          <w:rFonts w:asciiTheme="minorHAnsi" w:eastAsiaTheme="minorHAnsi" w:hAnsiTheme="minorHAnsi" w:cstheme="minorHAnsi"/>
          <w:i/>
          <w:iCs/>
          <w:lang w:eastAsia="en-AU"/>
        </w:rPr>
        <w:t>s (H</w:t>
      </w:r>
      <w:r w:rsidR="00107415" w:rsidRPr="00241328">
        <w:rPr>
          <w:rFonts w:asciiTheme="minorHAnsi" w:eastAsiaTheme="minorHAnsi" w:hAnsiTheme="minorHAnsi" w:cstheme="minorHAnsi"/>
          <w:i/>
          <w:iCs/>
          <w:lang w:eastAsia="en-AU"/>
        </w:rPr>
        <w:t>LB</w:t>
      </w:r>
      <w:r w:rsidR="00BE1545" w:rsidRPr="00241328">
        <w:rPr>
          <w:rFonts w:asciiTheme="minorHAnsi" w:eastAsiaTheme="minorHAnsi" w:hAnsiTheme="minorHAnsi" w:cstheme="minorHAnsi"/>
          <w:i/>
          <w:iCs/>
          <w:lang w:eastAsia="en-AU"/>
        </w:rPr>
        <w:t>)</w:t>
      </w:r>
      <w:r w:rsidR="00107415" w:rsidRPr="00241328">
        <w:rPr>
          <w:rFonts w:asciiTheme="minorHAnsi" w:eastAsiaTheme="minorHAnsi" w:hAnsiTheme="minorHAnsi" w:cstheme="minorHAnsi"/>
          <w:i/>
          <w:iCs/>
          <w:lang w:eastAsia="en-AU"/>
        </w:rPr>
        <w:t xml:space="preserve"> and </w:t>
      </w:r>
      <w:r w:rsidR="00BE1545" w:rsidRPr="00241328">
        <w:rPr>
          <w:rFonts w:asciiTheme="minorHAnsi" w:eastAsiaTheme="minorHAnsi" w:hAnsiTheme="minorHAnsi" w:cstheme="minorHAnsi"/>
          <w:i/>
          <w:iCs/>
          <w:lang w:eastAsia="en-AU"/>
        </w:rPr>
        <w:t>Mickleham Quarantine Facility (</w:t>
      </w:r>
      <w:r w:rsidR="00107415" w:rsidRPr="00241328">
        <w:rPr>
          <w:rFonts w:asciiTheme="minorHAnsi" w:eastAsiaTheme="minorHAnsi" w:hAnsiTheme="minorHAnsi" w:cstheme="minorHAnsi"/>
          <w:i/>
          <w:iCs/>
          <w:lang w:eastAsia="en-AU"/>
        </w:rPr>
        <w:t>MQF</w:t>
      </w:r>
      <w:r w:rsidR="00BE1545" w:rsidRPr="00241328">
        <w:rPr>
          <w:rFonts w:asciiTheme="minorHAnsi" w:eastAsiaTheme="minorHAnsi" w:hAnsiTheme="minorHAnsi" w:cstheme="minorHAnsi"/>
          <w:i/>
          <w:iCs/>
          <w:lang w:eastAsia="en-AU"/>
        </w:rPr>
        <w:t>)</w:t>
      </w:r>
      <w:r w:rsidR="00107415" w:rsidRPr="00241328">
        <w:rPr>
          <w:rFonts w:asciiTheme="minorHAnsi" w:eastAsiaTheme="minorHAnsi" w:hAnsiTheme="minorHAnsi" w:cstheme="minorHAnsi"/>
          <w:i/>
          <w:iCs/>
          <w:lang w:eastAsia="en-AU"/>
        </w:rPr>
        <w:t xml:space="preserve"> teams to discuss MQF horse cost recovery in more detail</w:t>
      </w:r>
      <w:r w:rsidR="00107415" w:rsidRPr="00CC3F29">
        <w:rPr>
          <w:rFonts w:asciiTheme="minorHAnsi" w:hAnsiTheme="minorHAnsi" w:cstheme="minorHAnsi"/>
          <w:i/>
          <w:iCs/>
        </w:rPr>
        <w:t>.</w:t>
      </w:r>
    </w:p>
    <w:p w14:paraId="1C667B2E" w14:textId="77777777" w:rsidR="00A82898" w:rsidRPr="00A82898" w:rsidRDefault="00107415" w:rsidP="00A82898">
      <w:pPr>
        <w:pStyle w:val="ListParagraph"/>
        <w:numPr>
          <w:ilvl w:val="0"/>
          <w:numId w:val="35"/>
        </w:numPr>
        <w:rPr>
          <w:rFonts w:asciiTheme="minorHAnsi" w:hAnsiTheme="minorHAnsi" w:cstheme="minorHAnsi"/>
          <w:i/>
          <w:iCs/>
        </w:rPr>
      </w:pPr>
      <w:r w:rsidRPr="003F5EC6">
        <w:rPr>
          <w:rFonts w:asciiTheme="minorHAnsi" w:hAnsiTheme="minorHAnsi" w:cstheme="minorHAnsi"/>
          <w:b/>
          <w:bCs/>
        </w:rPr>
        <w:lastRenderedPageBreak/>
        <w:t xml:space="preserve">Closed: </w:t>
      </w:r>
      <w:r w:rsidR="00A82898" w:rsidRPr="00CC3F29">
        <w:rPr>
          <w:rFonts w:asciiTheme="minorHAnsi" w:hAnsiTheme="minorHAnsi" w:cstheme="minorHAnsi"/>
        </w:rPr>
        <w:t xml:space="preserve">Attendees were referred to an email from </w:t>
      </w:r>
      <w:r w:rsidR="00A82898" w:rsidRPr="00CC3F29">
        <w:rPr>
          <w:rFonts w:cstheme="minorHAnsi"/>
        </w:rPr>
        <w:t>Michelle</w:t>
      </w:r>
      <w:r w:rsidR="00A82898" w:rsidRPr="00CC3F29">
        <w:rPr>
          <w:rFonts w:cstheme="minorHAnsi"/>
          <w:bCs/>
        </w:rPr>
        <w:t xml:space="preserve"> Blowes sent on 27 August 2024 regarding cost recovery and updates to </w:t>
      </w:r>
      <w:hyperlink r:id="rId17" w:history="1">
        <w:r w:rsidR="00A82898" w:rsidRPr="00A82898">
          <w:rPr>
            <w:rStyle w:val="Hyperlink"/>
            <w:i/>
            <w:iCs/>
          </w:rPr>
          <w:t>Notice to Industry 18: Guide to Import Fees for Horses</w:t>
        </w:r>
      </w:hyperlink>
      <w:r w:rsidR="00A82898" w:rsidRPr="00CC3F29">
        <w:rPr>
          <w:rFonts w:cstheme="minorHAnsi"/>
          <w:bCs/>
        </w:rPr>
        <w:t>.</w:t>
      </w:r>
    </w:p>
    <w:p w14:paraId="61B07342" w14:textId="4B4475C2" w:rsidR="00CC3F29" w:rsidRPr="00A82898" w:rsidRDefault="00BF5FE1" w:rsidP="00241328">
      <w:pPr>
        <w:spacing w:after="0"/>
        <w:rPr>
          <w:rFonts w:asciiTheme="minorHAnsi" w:hAnsiTheme="minorHAnsi" w:cstheme="minorHAnsi"/>
          <w:i/>
          <w:iCs/>
        </w:rPr>
      </w:pPr>
      <w:r w:rsidRPr="00A82898">
        <w:rPr>
          <w:rFonts w:asciiTheme="minorHAnsi" w:hAnsiTheme="minorHAnsi" w:cstheme="minorHAnsi"/>
          <w:b/>
          <w:bCs/>
          <w:i/>
          <w:iCs/>
        </w:rPr>
        <w:t xml:space="preserve">ACTION </w:t>
      </w:r>
      <w:r w:rsidR="00107415" w:rsidRPr="00A82898">
        <w:rPr>
          <w:rFonts w:asciiTheme="minorHAnsi" w:hAnsiTheme="minorHAnsi" w:cstheme="minorHAnsi"/>
          <w:b/>
          <w:bCs/>
          <w:i/>
          <w:iCs/>
        </w:rPr>
        <w:t>ITEM 6:</w:t>
      </w:r>
      <w:r w:rsidR="00107415" w:rsidRPr="00A82898">
        <w:rPr>
          <w:rFonts w:asciiTheme="minorHAnsi" w:hAnsiTheme="minorHAnsi" w:cstheme="minorHAnsi"/>
          <w:i/>
          <w:iCs/>
        </w:rPr>
        <w:t xml:space="preserve"> The Biosecurity Cost Recovery section to provide MQF horse stream cost recovery data once realignment is complete after 30 June 2024.</w:t>
      </w:r>
    </w:p>
    <w:p w14:paraId="6BA138AD" w14:textId="10AC0D4D" w:rsidR="00107415" w:rsidRPr="00CC3F29" w:rsidRDefault="00107415" w:rsidP="00241328">
      <w:pPr>
        <w:pStyle w:val="ListParagraph"/>
        <w:numPr>
          <w:ilvl w:val="0"/>
          <w:numId w:val="35"/>
        </w:numPr>
        <w:spacing w:before="0"/>
        <w:rPr>
          <w:rFonts w:asciiTheme="minorHAnsi" w:hAnsiTheme="minorHAnsi" w:cstheme="minorHAnsi"/>
          <w:i/>
          <w:iCs/>
        </w:rPr>
      </w:pPr>
      <w:r w:rsidRPr="00CC3F29">
        <w:rPr>
          <w:rFonts w:asciiTheme="minorHAnsi" w:hAnsiTheme="minorHAnsi" w:cstheme="minorHAnsi"/>
          <w:b/>
          <w:bCs/>
        </w:rPr>
        <w:t xml:space="preserve">Closed: </w:t>
      </w:r>
      <w:r w:rsidR="00DA7719" w:rsidRPr="00CC3F29">
        <w:rPr>
          <w:rFonts w:asciiTheme="minorHAnsi" w:hAnsiTheme="minorHAnsi" w:cstheme="minorHAnsi"/>
        </w:rPr>
        <w:t>Attendees were referred</w:t>
      </w:r>
      <w:r w:rsidRPr="00CC3F29">
        <w:rPr>
          <w:rFonts w:asciiTheme="minorHAnsi" w:hAnsiTheme="minorHAnsi" w:cstheme="minorHAnsi"/>
        </w:rPr>
        <w:t xml:space="preserve"> to an email from </w:t>
      </w:r>
      <w:r w:rsidRPr="00CC3F29">
        <w:rPr>
          <w:rFonts w:cstheme="minorHAnsi"/>
        </w:rPr>
        <w:t>Michelle</w:t>
      </w:r>
      <w:r w:rsidRPr="00CC3F29">
        <w:rPr>
          <w:rFonts w:cstheme="minorHAnsi"/>
          <w:bCs/>
        </w:rPr>
        <w:t xml:space="preserve"> Blowes sent on 27 August 2024 regarding cost recovery and updates to </w:t>
      </w:r>
      <w:hyperlink r:id="rId18" w:history="1">
        <w:r w:rsidRPr="00A82898">
          <w:rPr>
            <w:rStyle w:val="Hyperlink"/>
            <w:i/>
            <w:iCs/>
          </w:rPr>
          <w:t>Notice to Industry 18: Guide to Import Fees for Horses</w:t>
        </w:r>
      </w:hyperlink>
      <w:r w:rsidRPr="00CC3F29">
        <w:rPr>
          <w:rFonts w:cstheme="minorHAnsi"/>
          <w:bCs/>
        </w:rPr>
        <w:t>.</w:t>
      </w:r>
    </w:p>
    <w:p w14:paraId="3F8F7708" w14:textId="6E42F55C" w:rsidR="00CC3F29" w:rsidRPr="00CC3F29" w:rsidRDefault="00BF5FE1" w:rsidP="00241328">
      <w:pPr>
        <w:spacing w:after="0"/>
        <w:rPr>
          <w:rFonts w:asciiTheme="minorHAnsi" w:hAnsiTheme="minorHAnsi" w:cstheme="minorHAnsi"/>
          <w:i/>
          <w:iCs/>
        </w:rPr>
      </w:pPr>
      <w:r>
        <w:rPr>
          <w:rFonts w:asciiTheme="minorHAnsi" w:hAnsiTheme="minorHAnsi" w:cstheme="minorHAnsi"/>
          <w:b/>
          <w:bCs/>
          <w:i/>
          <w:iCs/>
        </w:rPr>
        <w:t xml:space="preserve">ACTION </w:t>
      </w:r>
      <w:r w:rsidR="00107415" w:rsidRPr="00CC3F29">
        <w:rPr>
          <w:rFonts w:asciiTheme="minorHAnsi" w:hAnsiTheme="minorHAnsi" w:cstheme="minorHAnsi"/>
          <w:b/>
          <w:bCs/>
          <w:i/>
          <w:iCs/>
        </w:rPr>
        <w:t xml:space="preserve">ITEM 7: </w:t>
      </w:r>
      <w:r w:rsidR="00107415" w:rsidRPr="00CC3F29">
        <w:rPr>
          <w:rFonts w:asciiTheme="minorHAnsi" w:hAnsiTheme="minorHAnsi" w:cstheme="minorHAnsi"/>
          <w:i/>
          <w:iCs/>
        </w:rPr>
        <w:t>The Biosecurity Cost Recovery section to list the individual expenses that make up the MQF horse revenue stream.</w:t>
      </w:r>
    </w:p>
    <w:p w14:paraId="28C323DD" w14:textId="6778465A" w:rsidR="00107415" w:rsidRPr="00CC3F29" w:rsidRDefault="00107415" w:rsidP="00241328">
      <w:pPr>
        <w:pStyle w:val="ListParagraph"/>
        <w:numPr>
          <w:ilvl w:val="0"/>
          <w:numId w:val="35"/>
        </w:numPr>
        <w:spacing w:before="0"/>
        <w:rPr>
          <w:rFonts w:asciiTheme="minorHAnsi" w:hAnsiTheme="minorHAnsi" w:cstheme="minorHAnsi"/>
          <w:i/>
          <w:iCs/>
        </w:rPr>
      </w:pPr>
      <w:r w:rsidRPr="00CC3F29">
        <w:rPr>
          <w:rFonts w:asciiTheme="minorHAnsi" w:hAnsiTheme="minorHAnsi" w:cstheme="minorHAnsi"/>
          <w:b/>
          <w:bCs/>
        </w:rPr>
        <w:t xml:space="preserve">Closed: </w:t>
      </w:r>
      <w:r w:rsidR="00DA7719" w:rsidRPr="00CC3F29">
        <w:rPr>
          <w:rFonts w:asciiTheme="minorHAnsi" w:hAnsiTheme="minorHAnsi" w:cstheme="minorHAnsi"/>
        </w:rPr>
        <w:t>Attendees were referred</w:t>
      </w:r>
      <w:r w:rsidRPr="00CC3F29">
        <w:rPr>
          <w:rFonts w:asciiTheme="minorHAnsi" w:hAnsiTheme="minorHAnsi" w:cstheme="minorHAnsi"/>
        </w:rPr>
        <w:t xml:space="preserve"> to an email from </w:t>
      </w:r>
      <w:r w:rsidRPr="00CC3F29">
        <w:rPr>
          <w:rFonts w:cstheme="minorHAnsi"/>
        </w:rPr>
        <w:t>Michelle</w:t>
      </w:r>
      <w:r w:rsidRPr="00CC3F29">
        <w:rPr>
          <w:rFonts w:cstheme="minorHAnsi"/>
          <w:bCs/>
        </w:rPr>
        <w:t xml:space="preserve"> Blowes sent on 27 August 2024 regarding cost recovery and updates to </w:t>
      </w:r>
      <w:hyperlink r:id="rId19" w:history="1">
        <w:r w:rsidR="00545270" w:rsidRPr="00DE295D">
          <w:rPr>
            <w:rStyle w:val="Hyperlink"/>
            <w:rFonts w:cstheme="minorHAnsi"/>
            <w:bCs/>
            <w:i/>
            <w:iCs/>
          </w:rPr>
          <w:t>Notice to Industry 18: Guide to Import Fees for Horses</w:t>
        </w:r>
      </w:hyperlink>
      <w:r w:rsidR="00545270" w:rsidRPr="00CC3F29">
        <w:rPr>
          <w:rFonts w:cstheme="minorHAnsi"/>
          <w:bCs/>
        </w:rPr>
        <w:t>.</w:t>
      </w:r>
      <w:r w:rsidR="00545270">
        <w:rPr>
          <w:rFonts w:cstheme="minorHAnsi"/>
          <w:bCs/>
        </w:rPr>
        <w:t xml:space="preserve"> A</w:t>
      </w:r>
      <w:r w:rsidRPr="00CC3F29">
        <w:rPr>
          <w:rFonts w:cstheme="minorHAnsi"/>
          <w:bCs/>
        </w:rPr>
        <w:t xml:space="preserve">dditional cost centres </w:t>
      </w:r>
      <w:r w:rsidR="00545270">
        <w:rPr>
          <w:rFonts w:cstheme="minorHAnsi"/>
          <w:bCs/>
        </w:rPr>
        <w:t xml:space="preserve">were also </w:t>
      </w:r>
      <w:r w:rsidRPr="00CC3F29">
        <w:rPr>
          <w:rFonts w:cstheme="minorHAnsi"/>
          <w:bCs/>
        </w:rPr>
        <w:t xml:space="preserve">discussed at </w:t>
      </w:r>
      <w:r w:rsidR="00545270">
        <w:rPr>
          <w:rFonts w:cstheme="minorHAnsi"/>
          <w:bCs/>
        </w:rPr>
        <w:t>A</w:t>
      </w:r>
      <w:r w:rsidRPr="00CC3F29">
        <w:rPr>
          <w:rFonts w:cstheme="minorHAnsi"/>
          <w:bCs/>
        </w:rPr>
        <w:t>genda item 7</w:t>
      </w:r>
      <w:r w:rsidR="00DA7719" w:rsidRPr="00CC3F29">
        <w:rPr>
          <w:rFonts w:cstheme="minorHAnsi"/>
          <w:bCs/>
        </w:rPr>
        <w:t xml:space="preserve">. </w:t>
      </w:r>
    </w:p>
    <w:p w14:paraId="10883988" w14:textId="1326725E" w:rsidR="00BC2FD5" w:rsidRPr="00716837" w:rsidRDefault="00107415" w:rsidP="00CC3F29">
      <w:pPr>
        <w:rPr>
          <w:rFonts w:asciiTheme="minorHAnsi" w:hAnsiTheme="minorHAnsi" w:cstheme="minorHAnsi"/>
          <w:b/>
          <w:bCs/>
          <w:u w:val="single"/>
        </w:rPr>
      </w:pPr>
      <w:r w:rsidRPr="00716837">
        <w:rPr>
          <w:rFonts w:asciiTheme="minorHAnsi" w:hAnsiTheme="minorHAnsi" w:cstheme="minorHAnsi"/>
          <w:b/>
          <w:bCs/>
          <w:u w:val="single"/>
        </w:rPr>
        <w:t xml:space="preserve">Updates to HICC </w:t>
      </w:r>
      <w:r w:rsidR="00234E71" w:rsidRPr="00716837">
        <w:rPr>
          <w:rFonts w:asciiTheme="minorHAnsi" w:hAnsiTheme="minorHAnsi" w:cstheme="minorHAnsi"/>
          <w:b/>
          <w:bCs/>
          <w:u w:val="single"/>
        </w:rPr>
        <w:t>Terms of reference</w:t>
      </w:r>
      <w:r w:rsidR="00716837">
        <w:rPr>
          <w:rFonts w:asciiTheme="minorHAnsi" w:hAnsiTheme="minorHAnsi" w:cstheme="minorHAnsi"/>
          <w:b/>
          <w:bCs/>
          <w:u w:val="single"/>
        </w:rPr>
        <w:t xml:space="preserve"> (TOR)</w:t>
      </w:r>
    </w:p>
    <w:p w14:paraId="52B0B8FA" w14:textId="5864EC3D" w:rsidR="00234E71" w:rsidRPr="00716837" w:rsidRDefault="00716837" w:rsidP="00716837">
      <w:pPr>
        <w:rPr>
          <w:rFonts w:asciiTheme="minorHAnsi" w:hAnsiTheme="minorHAnsi" w:cstheme="minorHAnsi"/>
        </w:rPr>
      </w:pPr>
      <w:r>
        <w:rPr>
          <w:rFonts w:asciiTheme="minorHAnsi" w:hAnsiTheme="minorHAnsi" w:cstheme="minorHAnsi"/>
        </w:rPr>
        <w:t>Michelle Blowes</w:t>
      </w:r>
      <w:r w:rsidR="00655ED2">
        <w:rPr>
          <w:rFonts w:asciiTheme="minorHAnsi" w:hAnsiTheme="minorHAnsi" w:cstheme="minorHAnsi"/>
        </w:rPr>
        <w:t xml:space="preserve">, Animal and Biological Imports Branch (ABIB), </w:t>
      </w:r>
      <w:r>
        <w:rPr>
          <w:rFonts w:asciiTheme="minorHAnsi" w:hAnsiTheme="minorHAnsi" w:cstheme="minorHAnsi"/>
        </w:rPr>
        <w:t xml:space="preserve">noted </w:t>
      </w:r>
      <w:r w:rsidR="009E08A3">
        <w:rPr>
          <w:rFonts w:asciiTheme="minorHAnsi" w:hAnsiTheme="minorHAnsi" w:cstheme="minorHAnsi"/>
        </w:rPr>
        <w:t>the</w:t>
      </w:r>
      <w:r>
        <w:rPr>
          <w:rFonts w:asciiTheme="minorHAnsi" w:hAnsiTheme="minorHAnsi" w:cstheme="minorHAnsi"/>
        </w:rPr>
        <w:t xml:space="preserve"> r</w:t>
      </w:r>
      <w:r w:rsidR="00234E71" w:rsidRPr="00716837">
        <w:rPr>
          <w:rFonts w:asciiTheme="minorHAnsi" w:hAnsiTheme="minorHAnsi" w:cstheme="minorHAnsi"/>
        </w:rPr>
        <w:t>equire</w:t>
      </w:r>
      <w:r w:rsidR="009E08A3">
        <w:rPr>
          <w:rFonts w:asciiTheme="minorHAnsi" w:hAnsiTheme="minorHAnsi" w:cstheme="minorHAnsi"/>
        </w:rPr>
        <w:t>ment</w:t>
      </w:r>
      <w:r w:rsidR="00234E71" w:rsidRPr="00716837">
        <w:rPr>
          <w:rFonts w:asciiTheme="minorHAnsi" w:hAnsiTheme="minorHAnsi" w:cstheme="minorHAnsi"/>
        </w:rPr>
        <w:t xml:space="preserve"> to review </w:t>
      </w:r>
      <w:r w:rsidRPr="00716837">
        <w:rPr>
          <w:rFonts w:asciiTheme="minorHAnsi" w:hAnsiTheme="minorHAnsi" w:cstheme="minorHAnsi"/>
        </w:rPr>
        <w:t>the</w:t>
      </w:r>
      <w:r>
        <w:rPr>
          <w:rFonts w:asciiTheme="minorHAnsi" w:hAnsiTheme="minorHAnsi" w:cstheme="minorHAnsi"/>
        </w:rPr>
        <w:t xml:space="preserve"> </w:t>
      </w:r>
      <w:r w:rsidR="00575E21">
        <w:rPr>
          <w:rFonts w:asciiTheme="minorHAnsi" w:hAnsiTheme="minorHAnsi" w:cstheme="minorHAnsi"/>
        </w:rPr>
        <w:t xml:space="preserve">HICC </w:t>
      </w:r>
      <w:r>
        <w:rPr>
          <w:rFonts w:asciiTheme="minorHAnsi" w:hAnsiTheme="minorHAnsi" w:cstheme="minorHAnsi"/>
        </w:rPr>
        <w:t xml:space="preserve">TOR every </w:t>
      </w:r>
      <w:r w:rsidR="00234E71" w:rsidRPr="00716837">
        <w:rPr>
          <w:rFonts w:asciiTheme="minorHAnsi" w:hAnsiTheme="minorHAnsi" w:cstheme="minorHAnsi"/>
        </w:rPr>
        <w:t>3 years</w:t>
      </w:r>
      <w:r>
        <w:rPr>
          <w:rFonts w:asciiTheme="minorHAnsi" w:hAnsiTheme="minorHAnsi" w:cstheme="minorHAnsi"/>
        </w:rPr>
        <w:t xml:space="preserve">. All members received </w:t>
      </w:r>
      <w:r w:rsidR="00787DCA">
        <w:rPr>
          <w:rFonts w:asciiTheme="minorHAnsi" w:hAnsiTheme="minorHAnsi" w:cstheme="minorHAnsi"/>
        </w:rPr>
        <w:t xml:space="preserve">proposed updates to </w:t>
      </w:r>
      <w:r>
        <w:rPr>
          <w:rFonts w:asciiTheme="minorHAnsi" w:hAnsiTheme="minorHAnsi" w:cstheme="minorHAnsi"/>
        </w:rPr>
        <w:t>the TOR with tracked changes</w:t>
      </w:r>
      <w:r w:rsidR="00787DCA">
        <w:rPr>
          <w:rFonts w:asciiTheme="minorHAnsi" w:hAnsiTheme="minorHAnsi" w:cstheme="minorHAnsi"/>
        </w:rPr>
        <w:t>,</w:t>
      </w:r>
      <w:r>
        <w:rPr>
          <w:rFonts w:asciiTheme="minorHAnsi" w:hAnsiTheme="minorHAnsi" w:cstheme="minorHAnsi"/>
        </w:rPr>
        <w:t xml:space="preserve"> for review</w:t>
      </w:r>
      <w:r w:rsidR="009E08A3">
        <w:rPr>
          <w:rFonts w:asciiTheme="minorHAnsi" w:hAnsiTheme="minorHAnsi" w:cstheme="minorHAnsi"/>
        </w:rPr>
        <w:t xml:space="preserve"> prior to the meeting</w:t>
      </w:r>
      <w:r w:rsidR="00BF5FE1">
        <w:rPr>
          <w:rFonts w:asciiTheme="minorHAnsi" w:hAnsiTheme="minorHAnsi" w:cstheme="minorHAnsi"/>
        </w:rPr>
        <w:t>. Updates</w:t>
      </w:r>
      <w:r w:rsidR="00575E21">
        <w:rPr>
          <w:rFonts w:asciiTheme="minorHAnsi" w:hAnsiTheme="minorHAnsi" w:cstheme="minorHAnsi"/>
        </w:rPr>
        <w:t xml:space="preserve"> included adding s</w:t>
      </w:r>
      <w:r>
        <w:rPr>
          <w:rFonts w:asciiTheme="minorHAnsi" w:hAnsiTheme="minorHAnsi" w:cstheme="minorHAnsi"/>
        </w:rPr>
        <w:t xml:space="preserve">tate </w:t>
      </w:r>
      <w:r w:rsidR="009E08A3">
        <w:rPr>
          <w:rFonts w:asciiTheme="minorHAnsi" w:hAnsiTheme="minorHAnsi" w:cstheme="minorHAnsi"/>
        </w:rPr>
        <w:t xml:space="preserve">government </w:t>
      </w:r>
      <w:r w:rsidR="00575E21">
        <w:rPr>
          <w:rFonts w:asciiTheme="minorHAnsi" w:hAnsiTheme="minorHAnsi" w:cstheme="minorHAnsi"/>
        </w:rPr>
        <w:t>representatives into the membership and general updates throughout to acknowledge that many members now attend online rather than in person</w:t>
      </w:r>
      <w:r>
        <w:rPr>
          <w:rFonts w:asciiTheme="minorHAnsi" w:hAnsiTheme="minorHAnsi" w:cstheme="minorHAnsi"/>
        </w:rPr>
        <w:t xml:space="preserve">. </w:t>
      </w:r>
    </w:p>
    <w:p w14:paraId="478C9860" w14:textId="3DA55337" w:rsidR="00234E71" w:rsidRPr="00716837" w:rsidRDefault="00716837" w:rsidP="00716837">
      <w:pPr>
        <w:rPr>
          <w:rFonts w:asciiTheme="minorHAnsi" w:hAnsiTheme="minorHAnsi" w:cstheme="minorHAnsi"/>
        </w:rPr>
      </w:pPr>
      <w:r>
        <w:rPr>
          <w:rFonts w:asciiTheme="minorHAnsi" w:hAnsiTheme="minorHAnsi" w:cstheme="minorHAnsi"/>
        </w:rPr>
        <w:t>The</w:t>
      </w:r>
      <w:r w:rsidR="00787DCA">
        <w:rPr>
          <w:rFonts w:asciiTheme="minorHAnsi" w:hAnsiTheme="minorHAnsi" w:cstheme="minorHAnsi"/>
        </w:rPr>
        <w:t xml:space="preserve">re were no </w:t>
      </w:r>
      <w:r w:rsidR="00575E21" w:rsidRPr="00716837">
        <w:rPr>
          <w:rFonts w:asciiTheme="minorHAnsi" w:hAnsiTheme="minorHAnsi" w:cstheme="minorHAnsi"/>
        </w:rPr>
        <w:t>questions, concerns or objections</w:t>
      </w:r>
      <w:r w:rsidR="00575E21">
        <w:rPr>
          <w:rFonts w:asciiTheme="minorHAnsi" w:hAnsiTheme="minorHAnsi" w:cstheme="minorHAnsi"/>
        </w:rPr>
        <w:t xml:space="preserve"> to the proposed updates </w:t>
      </w:r>
      <w:r w:rsidR="00787DCA">
        <w:rPr>
          <w:rFonts w:asciiTheme="minorHAnsi" w:hAnsiTheme="minorHAnsi" w:cstheme="minorHAnsi"/>
        </w:rPr>
        <w:t>and the</w:t>
      </w:r>
      <w:r>
        <w:rPr>
          <w:rFonts w:asciiTheme="minorHAnsi" w:hAnsiTheme="minorHAnsi" w:cstheme="minorHAnsi"/>
        </w:rPr>
        <w:t xml:space="preserve"> </w:t>
      </w:r>
      <w:r w:rsidR="00BF5FE1">
        <w:rPr>
          <w:rFonts w:asciiTheme="minorHAnsi" w:hAnsiTheme="minorHAnsi" w:cstheme="minorHAnsi"/>
        </w:rPr>
        <w:t>C</w:t>
      </w:r>
      <w:r>
        <w:rPr>
          <w:rFonts w:asciiTheme="minorHAnsi" w:hAnsiTheme="minorHAnsi" w:cstheme="minorHAnsi"/>
        </w:rPr>
        <w:t xml:space="preserve">hair </w:t>
      </w:r>
      <w:r w:rsidR="00E03A92" w:rsidRPr="00716837">
        <w:rPr>
          <w:rFonts w:asciiTheme="minorHAnsi" w:hAnsiTheme="minorHAnsi" w:cstheme="minorHAnsi"/>
        </w:rPr>
        <w:t xml:space="preserve">advised </w:t>
      </w:r>
      <w:r>
        <w:rPr>
          <w:rFonts w:asciiTheme="minorHAnsi" w:hAnsiTheme="minorHAnsi" w:cstheme="minorHAnsi"/>
        </w:rPr>
        <w:t xml:space="preserve">that the new TOR has been accepted by the members. </w:t>
      </w:r>
      <w:r w:rsidR="00E03A92" w:rsidRPr="00716837">
        <w:rPr>
          <w:rFonts w:asciiTheme="minorHAnsi" w:hAnsiTheme="minorHAnsi" w:cstheme="minorHAnsi"/>
        </w:rPr>
        <w:t xml:space="preserve"> </w:t>
      </w:r>
    </w:p>
    <w:p w14:paraId="3C9C3552" w14:textId="643FBF7F" w:rsidR="004F0EC4" w:rsidRPr="002C14A5" w:rsidRDefault="002C14A5" w:rsidP="002C14A5">
      <w:pPr>
        <w:shd w:val="clear" w:color="auto" w:fill="DEEAF6" w:themeFill="accent1" w:themeFillTint="33"/>
        <w:rPr>
          <w:b/>
          <w:bCs/>
        </w:rPr>
      </w:pPr>
      <w:r>
        <w:rPr>
          <w:b/>
          <w:bCs/>
        </w:rPr>
        <w:t xml:space="preserve">4. </w:t>
      </w:r>
      <w:r w:rsidR="004F0EC4" w:rsidRPr="002C14A5">
        <w:rPr>
          <w:b/>
          <w:bCs/>
        </w:rPr>
        <w:t xml:space="preserve">Animal Biosecurity Branch updates </w:t>
      </w:r>
    </w:p>
    <w:p w14:paraId="02F9BCE9" w14:textId="0F52BA1C" w:rsidR="00C270A8" w:rsidRDefault="00E03A92" w:rsidP="0075718E">
      <w:r>
        <w:t>Tania Ware</w:t>
      </w:r>
      <w:r w:rsidR="00716837">
        <w:t>, Animal Biosecurity Branch</w:t>
      </w:r>
      <w:r w:rsidR="00655ED2">
        <w:t xml:space="preserve"> (ABB)</w:t>
      </w:r>
      <w:r w:rsidR="00716837">
        <w:t xml:space="preserve">, provided </w:t>
      </w:r>
      <w:r w:rsidR="008F1DDB">
        <w:t>an update on</w:t>
      </w:r>
      <w:r w:rsidR="00C270A8">
        <w:t xml:space="preserve"> import and export country negotiations. </w:t>
      </w:r>
    </w:p>
    <w:p w14:paraId="35EBC141" w14:textId="10F85CC8" w:rsidR="0075718E" w:rsidRDefault="00716837" w:rsidP="0075718E">
      <w:r>
        <w:t>Tania noted continued inter</w:t>
      </w:r>
      <w:r w:rsidR="00C270A8">
        <w:t>e</w:t>
      </w:r>
      <w:r>
        <w:t>st</w:t>
      </w:r>
      <w:r w:rsidR="00C270A8">
        <w:t xml:space="preserve"> from South American countries</w:t>
      </w:r>
      <w:r>
        <w:t xml:space="preserve"> to export horses to Australia, notably Chile. </w:t>
      </w:r>
      <w:r w:rsidR="00C270A8">
        <w:t>Chile is</w:t>
      </w:r>
      <w:r>
        <w:t xml:space="preserve"> an </w:t>
      </w:r>
      <w:r w:rsidR="00AA2B0F">
        <w:t>export</w:t>
      </w:r>
      <w:r>
        <w:t xml:space="preserve"> destination for live horses and for horse semen. At this stage, ABB cannot prioritise this assessment. Tania asked horse import agents </w:t>
      </w:r>
      <w:r w:rsidR="005D35E6">
        <w:t xml:space="preserve">if they </w:t>
      </w:r>
      <w:r>
        <w:t>have had interest to facilitate imports from South America</w:t>
      </w:r>
      <w:r w:rsidR="005D35E6">
        <w:t>.</w:t>
      </w:r>
      <w:r>
        <w:t xml:space="preserve"> </w:t>
      </w:r>
      <w:r w:rsidR="005D35E6">
        <w:t>A</w:t>
      </w:r>
      <w:r>
        <w:t xml:space="preserve">ttendees advised they have not </w:t>
      </w:r>
      <w:r w:rsidR="00787DCA">
        <w:t>had enquiries from</w:t>
      </w:r>
      <w:r w:rsidR="005D35E6">
        <w:t xml:space="preserve"> </w:t>
      </w:r>
      <w:r>
        <w:t xml:space="preserve">prospective clients for this region. </w:t>
      </w:r>
    </w:p>
    <w:p w14:paraId="5894FE2A" w14:textId="1819D51E" w:rsidR="00E03A92" w:rsidRDefault="00E03A92" w:rsidP="00716837">
      <w:r>
        <w:t>ABB have</w:t>
      </w:r>
      <w:r w:rsidR="008F1DDB">
        <w:t xml:space="preserve"> also</w:t>
      </w:r>
      <w:r>
        <w:t xml:space="preserve"> received increased interest from</w:t>
      </w:r>
      <w:r w:rsidR="00716837">
        <w:t xml:space="preserve"> </w:t>
      </w:r>
      <w:r w:rsidR="00AA2B0F">
        <w:t xml:space="preserve">Bahrain, Qatar, South Africa and Vietnam </w:t>
      </w:r>
      <w:r>
        <w:t>to negotiate</w:t>
      </w:r>
      <w:r w:rsidR="00AA2B0F">
        <w:t xml:space="preserve"> </w:t>
      </w:r>
      <w:r w:rsidR="008F1DDB">
        <w:t>protocols</w:t>
      </w:r>
      <w:r w:rsidR="00716837">
        <w:t xml:space="preserve"> </w:t>
      </w:r>
      <w:r w:rsidR="00AA2B0F">
        <w:t xml:space="preserve">for live horses. </w:t>
      </w:r>
      <w:r w:rsidR="00716837">
        <w:t xml:space="preserve"> </w:t>
      </w:r>
    </w:p>
    <w:p w14:paraId="02D7FF66" w14:textId="44398D92" w:rsidR="00E03A92" w:rsidRDefault="001350C6" w:rsidP="00AA2B0F">
      <w:r>
        <w:t>N</w:t>
      </w:r>
      <w:r w:rsidR="00E03A92">
        <w:t xml:space="preserve">ew import conditions </w:t>
      </w:r>
      <w:r w:rsidR="00AA2B0F">
        <w:t>for horses from Australia</w:t>
      </w:r>
      <w:r>
        <w:t xml:space="preserve"> were recently announced by Thailand,</w:t>
      </w:r>
      <w:r w:rsidR="00AA2B0F">
        <w:t xml:space="preserve"> with </w:t>
      </w:r>
      <w:r w:rsidR="00E03A92">
        <w:t>immediate effect</w:t>
      </w:r>
      <w:r w:rsidR="00AA2B0F">
        <w:t>. ABB are working to negotiate the conditions</w:t>
      </w:r>
      <w:r>
        <w:t xml:space="preserve"> as quickly as possible</w:t>
      </w:r>
      <w:r w:rsidR="003E4D23">
        <w:t>.</w:t>
      </w:r>
      <w:r w:rsidR="00AA2B0F">
        <w:t xml:space="preserve"> The </w:t>
      </w:r>
      <w:r>
        <w:t xml:space="preserve">new </w:t>
      </w:r>
      <w:r w:rsidR="00AA2B0F">
        <w:t xml:space="preserve">conditions are consistent with many other Asian countries that Australia exports horses to, including conditions relating to Hendra vaccination status of horses. </w:t>
      </w:r>
      <w:r w:rsidR="00C32837">
        <w:t>These changes may relate</w:t>
      </w:r>
      <w:r w:rsidR="00AA2B0F">
        <w:t xml:space="preserve"> to Thailand’s access to other markets. </w:t>
      </w:r>
    </w:p>
    <w:p w14:paraId="3DA76AF2" w14:textId="76D19800" w:rsidR="00E03A92" w:rsidRDefault="00AA2B0F" w:rsidP="00AA2B0F">
      <w:r>
        <w:t xml:space="preserve">ABB </w:t>
      </w:r>
      <w:r w:rsidR="00DA63C8">
        <w:t xml:space="preserve">undertook significant work to </w:t>
      </w:r>
      <w:r>
        <w:t xml:space="preserve">negotiate conditions for the </w:t>
      </w:r>
      <w:r w:rsidR="00E03A92">
        <w:t xml:space="preserve">export of horses to Sri Lanka and </w:t>
      </w:r>
      <w:r>
        <w:t xml:space="preserve">to </w:t>
      </w:r>
      <w:r w:rsidR="00E03A92">
        <w:t xml:space="preserve">improve </w:t>
      </w:r>
      <w:r>
        <w:t xml:space="preserve">conditions for horses being exported to </w:t>
      </w:r>
      <w:r w:rsidR="00E03A92">
        <w:t>Malaysia</w:t>
      </w:r>
      <w:r>
        <w:t xml:space="preserve">. These negotiations </w:t>
      </w:r>
      <w:r w:rsidR="00E03A92">
        <w:t xml:space="preserve">remain </w:t>
      </w:r>
      <w:r>
        <w:t xml:space="preserve">challenging, particularly in terms of traceability and concerns </w:t>
      </w:r>
      <w:r w:rsidR="003E4D23">
        <w:t>from</w:t>
      </w:r>
      <w:r>
        <w:t xml:space="preserve"> the importing countries about the Hendra </w:t>
      </w:r>
      <w:r w:rsidR="008B3C4A">
        <w:t xml:space="preserve">Virus </w:t>
      </w:r>
      <w:r>
        <w:t xml:space="preserve">vaccination status of Australian horses. </w:t>
      </w:r>
    </w:p>
    <w:p w14:paraId="504F6280" w14:textId="49AEAF34" w:rsidR="00E03A92" w:rsidRDefault="00AA2B0F" w:rsidP="008B3C4A">
      <w:r>
        <w:t xml:space="preserve">Tania advised work </w:t>
      </w:r>
      <w:r w:rsidR="00DA63C8">
        <w:t xml:space="preserve">to improve conditions for China has not been significantly progressed with other issues taking priority. This work remains </w:t>
      </w:r>
      <w:r w:rsidR="00554B59">
        <w:t>on list</w:t>
      </w:r>
      <w:r w:rsidR="00DA63C8">
        <w:t xml:space="preserve"> to undertake</w:t>
      </w:r>
      <w:r w:rsidR="003E4D23">
        <w:t>,</w:t>
      </w:r>
      <w:r>
        <w:t xml:space="preserve"> and ABB expect to progress this</w:t>
      </w:r>
      <w:r w:rsidR="00DA63C8">
        <w:t xml:space="preserve"> in the coming</w:t>
      </w:r>
      <w:r>
        <w:t xml:space="preserve"> year</w:t>
      </w:r>
      <w:r w:rsidR="00DA63C8">
        <w:t>.</w:t>
      </w:r>
      <w:r w:rsidR="008B3C4A">
        <w:t xml:space="preserve"> </w:t>
      </w:r>
      <w:r w:rsidR="00E03A92">
        <w:t>There is still access</w:t>
      </w:r>
      <w:r w:rsidR="008B3C4A">
        <w:t xml:space="preserve"> for live horse consignment exports to China, however ABB hope to negotiate </w:t>
      </w:r>
      <w:r w:rsidR="00DA63C8">
        <w:t xml:space="preserve">improvements </w:t>
      </w:r>
      <w:r w:rsidR="008B3C4A">
        <w:t xml:space="preserve">to the </w:t>
      </w:r>
      <w:r w:rsidR="00C32837">
        <w:t xml:space="preserve">existing </w:t>
      </w:r>
      <w:r w:rsidR="008B3C4A">
        <w:t xml:space="preserve">Equine Herpes Virus and Equine Influenza </w:t>
      </w:r>
      <w:r w:rsidR="00C32837">
        <w:t>conditions</w:t>
      </w:r>
      <w:r w:rsidR="008B3C4A">
        <w:t xml:space="preserve">. </w:t>
      </w:r>
    </w:p>
    <w:p w14:paraId="068C5DE7" w14:textId="6C922DB5" w:rsidR="00E03A92" w:rsidRDefault="001350C6" w:rsidP="00E03A92">
      <w:r>
        <w:t>C</w:t>
      </w:r>
      <w:r w:rsidR="008B3C4A">
        <w:t>larification</w:t>
      </w:r>
      <w:r>
        <w:t xml:space="preserve"> was sought</w:t>
      </w:r>
      <w:r w:rsidR="008B3C4A">
        <w:t xml:space="preserve"> on the protocol for export of horses to Vietnam. Tania advised that there is currently no agreed protocol between Vietnam and Australia </w:t>
      </w:r>
      <w:r>
        <w:t>for</w:t>
      </w:r>
      <w:r w:rsidR="008B3C4A">
        <w:t xml:space="preserve"> </w:t>
      </w:r>
      <w:r>
        <w:t>horses</w:t>
      </w:r>
      <w:r w:rsidR="00092640">
        <w:t xml:space="preserve"> but there have been discussions about a suitable protocol</w:t>
      </w:r>
      <w:r w:rsidR="008B3C4A">
        <w:t xml:space="preserve">. </w:t>
      </w:r>
      <w:r>
        <w:t>It was</w:t>
      </w:r>
      <w:r w:rsidR="008B3C4A">
        <w:t xml:space="preserve"> noted that Vietnam have previously not accepted Australian horses </w:t>
      </w:r>
      <w:r w:rsidR="004E25CD">
        <w:t xml:space="preserve">that have been </w:t>
      </w:r>
      <w:r w:rsidR="008B3C4A">
        <w:t xml:space="preserve">Hendra </w:t>
      </w:r>
      <w:r w:rsidR="004E25CD">
        <w:t>v</w:t>
      </w:r>
      <w:r w:rsidR="008B3C4A">
        <w:t xml:space="preserve">irus </w:t>
      </w:r>
      <w:r w:rsidR="008B3C4A">
        <w:lastRenderedPageBreak/>
        <w:t>vaccinat</w:t>
      </w:r>
      <w:r w:rsidR="004E25CD">
        <w:t>ed</w:t>
      </w:r>
      <w:r w:rsidR="008B3C4A">
        <w:t>. The department will request a</w:t>
      </w:r>
      <w:r w:rsidR="001404C4">
        <w:t xml:space="preserve"> generic protocol including a</w:t>
      </w:r>
      <w:r w:rsidR="008B3C4A">
        <w:t xml:space="preserve"> condition related to Hendra Virus vaccination, </w:t>
      </w:r>
      <w:r w:rsidR="001404C4">
        <w:t>akin</w:t>
      </w:r>
      <w:r w:rsidR="008B3C4A">
        <w:t xml:space="preserve"> to the current condition</w:t>
      </w:r>
      <w:r w:rsidR="009B1D51">
        <w:t xml:space="preserve">s </w:t>
      </w:r>
      <w:r w:rsidR="008B3C4A">
        <w:t xml:space="preserve">used </w:t>
      </w:r>
      <w:r w:rsidR="009B1D51">
        <w:t>to allow</w:t>
      </w:r>
      <w:r w:rsidR="008B3C4A">
        <w:t xml:space="preserve"> Hendra Virus vaccinated horses t</w:t>
      </w:r>
      <w:r w:rsidR="009B1D51">
        <w:t xml:space="preserve">o be exported to Hong </w:t>
      </w:r>
      <w:r w:rsidR="008B3C4A">
        <w:t xml:space="preserve">Kong. </w:t>
      </w:r>
    </w:p>
    <w:p w14:paraId="57A06DF6" w14:textId="2C68EEA5" w:rsidR="00E03A92" w:rsidRDefault="001350C6" w:rsidP="001404C4">
      <w:r>
        <w:t>C</w:t>
      </w:r>
      <w:r w:rsidR="001404C4">
        <w:t xml:space="preserve">larification </w:t>
      </w:r>
      <w:r>
        <w:t xml:space="preserve">was also requested </w:t>
      </w:r>
      <w:r w:rsidR="001404C4">
        <w:t xml:space="preserve">about a recent request from </w:t>
      </w:r>
      <w:r w:rsidR="00E03A92">
        <w:t>South Africa</w:t>
      </w:r>
      <w:r w:rsidR="001404C4">
        <w:t xml:space="preserve"> regarding Japanese Encephalitis (JE)</w:t>
      </w:r>
      <w:r w:rsidR="00007AD1">
        <w:t xml:space="preserve">. </w:t>
      </w:r>
      <w:r>
        <w:t>The</w:t>
      </w:r>
      <w:r w:rsidR="00007AD1">
        <w:t xml:space="preserve"> current South African conditions for </w:t>
      </w:r>
      <w:r>
        <w:t xml:space="preserve">the </w:t>
      </w:r>
      <w:r w:rsidR="00007AD1">
        <w:t>import of Australian horses do</w:t>
      </w:r>
      <w:r>
        <w:t xml:space="preserve"> </w:t>
      </w:r>
      <w:r w:rsidR="00007AD1">
        <w:t>n</w:t>
      </w:r>
      <w:r>
        <w:t>o</w:t>
      </w:r>
      <w:r w:rsidR="00007AD1">
        <w:t>t require country freedom from JE</w:t>
      </w:r>
      <w:r w:rsidR="001404C4">
        <w:t>. Tania advised that ABB have written to South Africa seeking more information about the basis of their concerns</w:t>
      </w:r>
      <w:r w:rsidR="001D02A7">
        <w:t xml:space="preserve"> and to provide </w:t>
      </w:r>
      <w:r w:rsidR="001D64C0">
        <w:t>their</w:t>
      </w:r>
      <w:r w:rsidR="001D02A7">
        <w:t xml:space="preserve"> import </w:t>
      </w:r>
      <w:r w:rsidR="00734F44">
        <w:t>protocol</w:t>
      </w:r>
      <w:r w:rsidR="001404C4">
        <w:t xml:space="preserve">. Tania assured attendees that if the concern from South Africa is in relation to JE, that the department can address that risk adequately. </w:t>
      </w:r>
    </w:p>
    <w:p w14:paraId="07C4E3AE" w14:textId="633D9861" w:rsidR="004F0EC4" w:rsidRPr="002C14A5" w:rsidRDefault="002C14A5" w:rsidP="002C14A5">
      <w:pPr>
        <w:shd w:val="clear" w:color="auto" w:fill="DEEAF6" w:themeFill="accent1" w:themeFillTint="33"/>
        <w:rPr>
          <w:b/>
          <w:bCs/>
        </w:rPr>
      </w:pPr>
      <w:r>
        <w:rPr>
          <w:b/>
          <w:bCs/>
        </w:rPr>
        <w:t xml:space="preserve">5. </w:t>
      </w:r>
      <w:r w:rsidR="004F0EC4" w:rsidRPr="002C14A5">
        <w:rPr>
          <w:b/>
          <w:bCs/>
        </w:rPr>
        <w:t xml:space="preserve">Australian Centre for Disease Preparedness (ACDP) update </w:t>
      </w:r>
    </w:p>
    <w:p w14:paraId="3883F8C0" w14:textId="3B2D7AA3" w:rsidR="00E03A92" w:rsidRDefault="00E03A92" w:rsidP="00E03A92">
      <w:r>
        <w:t>Shafi Sahibzada</w:t>
      </w:r>
      <w:r w:rsidR="00655ED2">
        <w:t xml:space="preserve">, ACDP, </w:t>
      </w:r>
      <w:r w:rsidR="00007AD1">
        <w:t xml:space="preserve">noted that he was presenting on behalf of </w:t>
      </w:r>
      <w:r>
        <w:t>Anthony</w:t>
      </w:r>
      <w:r w:rsidR="00007AD1">
        <w:t xml:space="preserve"> Keyburn</w:t>
      </w:r>
      <w:r w:rsidR="00120DE7">
        <w:t xml:space="preserve"> (ACDP)</w:t>
      </w:r>
      <w:r w:rsidR="00007AD1">
        <w:t xml:space="preserve"> who was an apology. Shafi</w:t>
      </w:r>
      <w:r>
        <w:t xml:space="preserve"> shared a presentation</w:t>
      </w:r>
      <w:r w:rsidR="00007AD1">
        <w:t>,</w:t>
      </w:r>
      <w:r>
        <w:t xml:space="preserve"> </w:t>
      </w:r>
      <w:r w:rsidR="00007AD1" w:rsidRPr="00007AD1">
        <w:rPr>
          <w:b/>
          <w:bCs/>
        </w:rPr>
        <w:t>‘</w:t>
      </w:r>
      <w:r w:rsidRPr="00007AD1">
        <w:rPr>
          <w:b/>
          <w:bCs/>
        </w:rPr>
        <w:t>Equine Piroplasmosis (EP) – Test Verification and Application for Australia’s Biosecurity</w:t>
      </w:r>
      <w:r w:rsidR="00007AD1" w:rsidRPr="00007AD1">
        <w:rPr>
          <w:b/>
          <w:bCs/>
        </w:rPr>
        <w:t>’</w:t>
      </w:r>
      <w:r w:rsidR="00007AD1">
        <w:t xml:space="preserve">. </w:t>
      </w:r>
      <w:r w:rsidR="005E1787">
        <w:t xml:space="preserve">The presentation provided background information about EP including details about the organisms implicated, Australia’s status as free of endemic EP and the test types available for diagnosis of the disease. </w:t>
      </w:r>
    </w:p>
    <w:p w14:paraId="3E1AAE34" w14:textId="48787C28" w:rsidR="00E030B3" w:rsidRDefault="005E1787" w:rsidP="005E1787">
      <w:r>
        <w:t xml:space="preserve">Shafi outlined that the aim of ACDP </w:t>
      </w:r>
      <w:r w:rsidR="00DD377D">
        <w:t xml:space="preserve">is to develop </w:t>
      </w:r>
      <w:r>
        <w:t xml:space="preserve">EP </w:t>
      </w:r>
      <w:r w:rsidR="00DD377D">
        <w:t xml:space="preserve">testing capability </w:t>
      </w:r>
      <w:r>
        <w:t>in Australia</w:t>
      </w:r>
      <w:r w:rsidR="00DD377D">
        <w:t xml:space="preserve"> and </w:t>
      </w:r>
      <w:r>
        <w:t xml:space="preserve">complete </w:t>
      </w:r>
      <w:r w:rsidR="00DD377D">
        <w:t xml:space="preserve">verification of </w:t>
      </w:r>
      <w:r>
        <w:t xml:space="preserve">the </w:t>
      </w:r>
      <w:r w:rsidR="00DD377D">
        <w:t>available tests</w:t>
      </w:r>
      <w:r>
        <w:t xml:space="preserve"> that are used elsewhere in the world, being </w:t>
      </w:r>
      <w:r w:rsidR="00DD377D">
        <w:t>IFAT, cELISA</w:t>
      </w:r>
      <w:r>
        <w:t xml:space="preserve"> and PCR. IFAT and cELISA target antibodies developed in response to the organisms and PCR targets the responsible organism’s DNA. The pros and cons of each test type were outlined to provide background to the issues </w:t>
      </w:r>
      <w:r w:rsidR="00E030B3">
        <w:t xml:space="preserve">associated with accurate detection of acute and chronic infections with EP. Regarding PCR, the World Organisation for Animal Health (WOAH) recommend conventional PCR 18S </w:t>
      </w:r>
      <w:proofErr w:type="gramStart"/>
      <w:r w:rsidR="00E030B3">
        <w:t>rRNA</w:t>
      </w:r>
      <w:proofErr w:type="gramEnd"/>
      <w:r w:rsidR="00E030B3">
        <w:t xml:space="preserve"> but it was noted that there are other PCR tests cited in scientific literature. ACDP intend for the PCR test used at the laboratory to be a real-time assay. </w:t>
      </w:r>
    </w:p>
    <w:p w14:paraId="57A32EB1" w14:textId="1A7A2C80" w:rsidR="00E34543" w:rsidRDefault="00E34543" w:rsidP="00E34543">
      <w:r>
        <w:t xml:space="preserve">The reference and university laboratories in Japan have provided significant information and advice throughout this project. ACDP have also approached the Hong Kong laboratory and were advised that they source their testing slides from Japan but are seeking to obtain their own testing slides commercially. </w:t>
      </w:r>
    </w:p>
    <w:p w14:paraId="3E91A149" w14:textId="484D2D45" w:rsidR="00DD377D" w:rsidRDefault="00926758" w:rsidP="00E030B3">
      <w:r>
        <w:t>Best practice for</w:t>
      </w:r>
      <w:r w:rsidR="00E34543">
        <w:t xml:space="preserve"> a horse to be considered negative for EP, a</w:t>
      </w:r>
      <w:r w:rsidR="00E030B3">
        <w:t xml:space="preserve">ll three tests (IFAT, cELISA and PCR) </w:t>
      </w:r>
      <w:r w:rsidR="00E13CB9">
        <w:t xml:space="preserve">must </w:t>
      </w:r>
      <w:r w:rsidR="00E030B3">
        <w:t xml:space="preserve">be performed in </w:t>
      </w:r>
      <w:proofErr w:type="gramStart"/>
      <w:r w:rsidR="00E030B3">
        <w:t>parallel</w:t>
      </w:r>
      <w:proofErr w:type="gramEnd"/>
      <w:r w:rsidR="00E030B3">
        <w:t xml:space="preserve"> </w:t>
      </w:r>
      <w:r w:rsidR="00E13CB9">
        <w:t>and all</w:t>
      </w:r>
      <w:r w:rsidR="00E030B3">
        <w:t xml:space="preserve"> test results need to </w:t>
      </w:r>
      <w:r w:rsidR="00E34543">
        <w:t>be</w:t>
      </w:r>
      <w:r w:rsidR="00E030B3">
        <w:t xml:space="preserve"> negative.</w:t>
      </w:r>
    </w:p>
    <w:p w14:paraId="1F431246" w14:textId="70286AB6" w:rsidR="00A87D5B" w:rsidRDefault="00A87D5B" w:rsidP="00E0581D">
      <w:r>
        <w:t>Josh Murphy</w:t>
      </w:r>
      <w:r w:rsidR="00655ED2">
        <w:t xml:space="preserve">, </w:t>
      </w:r>
      <w:r w:rsidR="00E030B3">
        <w:t>New Zealand Bloodstock</w:t>
      </w:r>
      <w:r w:rsidR="00655ED2">
        <w:t xml:space="preserve"> (NZB), </w:t>
      </w:r>
      <w:r w:rsidR="00E030B3">
        <w:t xml:space="preserve">asked for comment from ACDP on false positive </w:t>
      </w:r>
      <w:r w:rsidR="00426B55">
        <w:t>results</w:t>
      </w:r>
      <w:r w:rsidR="00E030B3">
        <w:t xml:space="preserve">. </w:t>
      </w:r>
      <w:r>
        <w:t xml:space="preserve">Shafi </w:t>
      </w:r>
      <w:r w:rsidR="00E030B3">
        <w:t xml:space="preserve">explained that by </w:t>
      </w:r>
      <w:r w:rsidR="00E34543">
        <w:t xml:space="preserve">performing </w:t>
      </w:r>
      <w:r w:rsidR="00E030B3">
        <w:t xml:space="preserve">all </w:t>
      </w:r>
      <w:r>
        <w:t>3 tests in parallel</w:t>
      </w:r>
      <w:r w:rsidR="00E030B3">
        <w:t xml:space="preserve">, the </w:t>
      </w:r>
      <w:r>
        <w:t xml:space="preserve">specificity </w:t>
      </w:r>
      <w:r w:rsidR="00E030B3">
        <w:t>of the result increases</w:t>
      </w:r>
      <w:r w:rsidR="00626A27">
        <w:t>,</w:t>
      </w:r>
      <w:r w:rsidR="00D82691">
        <w:t xml:space="preserve"> </w:t>
      </w:r>
      <w:r w:rsidR="00E030B3">
        <w:t>significantly</w:t>
      </w:r>
      <w:r>
        <w:t xml:space="preserve"> decrea</w:t>
      </w:r>
      <w:r w:rsidR="00626A27">
        <w:t>sing</w:t>
      </w:r>
      <w:r>
        <w:t xml:space="preserve"> the chances of </w:t>
      </w:r>
      <w:r w:rsidR="00626A27">
        <w:t xml:space="preserve">a </w:t>
      </w:r>
      <w:r>
        <w:t>false positive</w:t>
      </w:r>
      <w:r w:rsidR="00E030B3">
        <w:t xml:space="preserve">. </w:t>
      </w:r>
      <w:r w:rsidR="00E0581D">
        <w:t>Shafi noted that f</w:t>
      </w:r>
      <w:r>
        <w:t>alse negative</w:t>
      </w:r>
      <w:r w:rsidR="00E0581D">
        <w:t>s</w:t>
      </w:r>
      <w:r>
        <w:t xml:space="preserve"> </w:t>
      </w:r>
      <w:r w:rsidR="00E0581D">
        <w:t>are</w:t>
      </w:r>
      <w:r>
        <w:t xml:space="preserve"> possible</w:t>
      </w:r>
      <w:r w:rsidR="00626A27">
        <w:t>,</w:t>
      </w:r>
      <w:r>
        <w:t xml:space="preserve"> especially with ELISA </w:t>
      </w:r>
      <w:r w:rsidR="00E0581D">
        <w:t xml:space="preserve">alone. </w:t>
      </w:r>
    </w:p>
    <w:p w14:paraId="59DDE11F" w14:textId="6F80CDB2" w:rsidR="00A87D5B" w:rsidRDefault="00A87D5B" w:rsidP="00426B55">
      <w:r>
        <w:t>Shafi</w:t>
      </w:r>
      <w:r w:rsidR="00426B55">
        <w:t xml:space="preserve"> advised that ACDP </w:t>
      </w:r>
      <w:r w:rsidR="0037072D">
        <w:t>expect</w:t>
      </w:r>
      <w:r w:rsidR="00426B55">
        <w:t xml:space="preserve"> </w:t>
      </w:r>
      <w:r>
        <w:t xml:space="preserve">the PCR will be ready </w:t>
      </w:r>
      <w:r w:rsidR="00426B55">
        <w:t xml:space="preserve">at the </w:t>
      </w:r>
      <w:r>
        <w:t>end of this year or early next year</w:t>
      </w:r>
      <w:r w:rsidR="00426B55">
        <w:t xml:space="preserve">, </w:t>
      </w:r>
      <w:r w:rsidR="0037072D">
        <w:t>however this is</w:t>
      </w:r>
      <w:r w:rsidR="00426B55">
        <w:t xml:space="preserve"> </w:t>
      </w:r>
      <w:r w:rsidR="0037072D">
        <w:t>dependent</w:t>
      </w:r>
      <w:r>
        <w:t xml:space="preserve"> on</w:t>
      </w:r>
      <w:r w:rsidR="00426B55">
        <w:t xml:space="preserve"> obtaining</w:t>
      </w:r>
      <w:r>
        <w:t xml:space="preserve"> access to positive</w:t>
      </w:r>
      <w:r w:rsidR="0037072D">
        <w:t xml:space="preserve"> test</w:t>
      </w:r>
      <w:r>
        <w:t xml:space="preserve"> samples </w:t>
      </w:r>
      <w:r w:rsidR="00426B55">
        <w:t>for</w:t>
      </w:r>
      <w:r>
        <w:t xml:space="preserve"> all </w:t>
      </w:r>
      <w:r w:rsidR="0037072D">
        <w:t xml:space="preserve">relevant </w:t>
      </w:r>
      <w:r>
        <w:t>strains</w:t>
      </w:r>
      <w:r w:rsidR="00426B55">
        <w:t xml:space="preserve"> from other labs.</w:t>
      </w:r>
      <w:r w:rsidR="0018345A">
        <w:t xml:space="preserve"> ACDP have been able to obtain some of the strains from Japan. The speed of readiness depends on how quickly ACDP can obtain control samples to ensure validity of the PCR test. ACDP prefer to have all three tests ready at the same time, as their preference is to run all three tests in parallel. </w:t>
      </w:r>
      <w:r w:rsidR="00426B55">
        <w:t xml:space="preserve"> Shafi </w:t>
      </w:r>
      <w:r w:rsidR="00233AEF">
        <w:t>a</w:t>
      </w:r>
      <w:r>
        <w:t xml:space="preserve">lso </w:t>
      </w:r>
      <w:r w:rsidR="00233AEF">
        <w:t xml:space="preserve">advised that ACDP are </w:t>
      </w:r>
      <w:r>
        <w:t xml:space="preserve">waiting on </w:t>
      </w:r>
      <w:r w:rsidR="00120DE7">
        <w:t>accreditation from the</w:t>
      </w:r>
      <w:r w:rsidRPr="00233AEF">
        <w:t xml:space="preserve"> </w:t>
      </w:r>
      <w:r w:rsidR="00120DE7">
        <w:t>National Accreditation of Testing Authorities (</w:t>
      </w:r>
      <w:r w:rsidRPr="00233AEF">
        <w:t>NA</w:t>
      </w:r>
      <w:r w:rsidR="00120DE7">
        <w:t>T</w:t>
      </w:r>
      <w:r w:rsidRPr="00233AEF">
        <w:t>A</w:t>
      </w:r>
      <w:r w:rsidR="00120DE7">
        <w:t>)</w:t>
      </w:r>
      <w:r w:rsidRPr="00233AEF">
        <w:t xml:space="preserve"> for all 3 tests</w:t>
      </w:r>
      <w:r w:rsidR="00233AEF" w:rsidRPr="00233AEF">
        <w:t>.</w:t>
      </w:r>
      <w:r w:rsidR="00233AEF">
        <w:t xml:space="preserve"> </w:t>
      </w:r>
      <w:r w:rsidR="00E34543">
        <w:t xml:space="preserve">Shafi advised that NATA accreditation is another check and balance for quality assurance and is important for ongoing credibility of the testing. It also demonstrates they are compliant with international guidelines. </w:t>
      </w:r>
      <w:r w:rsidR="0018345A">
        <w:t xml:space="preserve">Once they have NATA accreditation, then they will be commercially ready for use. </w:t>
      </w:r>
    </w:p>
    <w:p w14:paraId="5767F911" w14:textId="47F628B9" w:rsidR="00670D3F" w:rsidRDefault="00E34543" w:rsidP="00233AEF">
      <w:r>
        <w:t xml:space="preserve">There was discussion about whether all 3 tests would need to be performed for the export of horses from Australia where the export protocol requires 1 or 2 of the test types. </w:t>
      </w:r>
      <w:r w:rsidR="0005209E">
        <w:t>Shafi</w:t>
      </w:r>
      <w:r w:rsidR="00233AEF">
        <w:t xml:space="preserve"> advised that the decision for which tests will be required </w:t>
      </w:r>
      <w:r w:rsidR="0005209E">
        <w:t xml:space="preserve">will be based on the </w:t>
      </w:r>
      <w:r w:rsidR="00120DE7">
        <w:t>DAFF</w:t>
      </w:r>
      <w:r w:rsidR="0005209E">
        <w:t xml:space="preserve"> recommendations and requirements</w:t>
      </w:r>
      <w:r w:rsidR="00233AEF">
        <w:t xml:space="preserve">. </w:t>
      </w:r>
    </w:p>
    <w:p w14:paraId="13020BE0" w14:textId="65422038" w:rsidR="00670D3F" w:rsidRDefault="00670D3F" w:rsidP="00233AEF">
      <w:r>
        <w:t>It was also noted that only IFAT and cELISA are needed for imports at this time, but PCR will likely be added in response to the WOAH recommendations when we have PCR testing capability.</w:t>
      </w:r>
    </w:p>
    <w:p w14:paraId="5DA00889" w14:textId="235FDD47" w:rsidR="0005209E" w:rsidRPr="00A87D5B" w:rsidRDefault="00670D3F" w:rsidP="00233AEF">
      <w:r w:rsidRPr="00BF6F34">
        <w:rPr>
          <w:b/>
          <w:bCs/>
        </w:rPr>
        <w:lastRenderedPageBreak/>
        <w:t>Action Item 2:</w:t>
      </w:r>
      <w:r>
        <w:t xml:space="preserve"> ABIB</w:t>
      </w:r>
      <w:r w:rsidRPr="00670D3F">
        <w:t xml:space="preserve"> will follow up with ACDP to determine if IFAT and cELISA can be made available for use prior to PCR readiness</w:t>
      </w:r>
      <w:r w:rsidR="00B613AE">
        <w:t>.</w:t>
      </w:r>
    </w:p>
    <w:p w14:paraId="67053265" w14:textId="0FF36305" w:rsidR="004F0EC4" w:rsidRPr="002C14A5" w:rsidRDefault="002C14A5" w:rsidP="002C14A5">
      <w:pPr>
        <w:shd w:val="clear" w:color="auto" w:fill="DEEAF6" w:themeFill="accent1" w:themeFillTint="33"/>
        <w:rPr>
          <w:b/>
          <w:bCs/>
        </w:rPr>
      </w:pPr>
      <w:r>
        <w:rPr>
          <w:b/>
          <w:bCs/>
        </w:rPr>
        <w:t xml:space="preserve">6. </w:t>
      </w:r>
      <w:r w:rsidR="004F0EC4" w:rsidRPr="002C14A5">
        <w:rPr>
          <w:b/>
          <w:bCs/>
        </w:rPr>
        <w:t xml:space="preserve">Horse Import Numbers </w:t>
      </w:r>
    </w:p>
    <w:p w14:paraId="7783E6F0" w14:textId="4CC0A980" w:rsidR="00120DE7" w:rsidRPr="00120DE7" w:rsidRDefault="00120DE7" w:rsidP="005E5082">
      <w:r>
        <w:rPr>
          <w:b/>
          <w:bCs/>
        </w:rPr>
        <w:t xml:space="preserve">Note: </w:t>
      </w:r>
      <w:r>
        <w:t xml:space="preserve">Agenda Item 6 was discussed after Agenda Item 8. </w:t>
      </w:r>
    </w:p>
    <w:p w14:paraId="4BE3209F" w14:textId="1B94526D" w:rsidR="00423C69" w:rsidRDefault="00050152" w:rsidP="005E5082">
      <w:r>
        <w:t>Michelle Blowes</w:t>
      </w:r>
      <w:r w:rsidR="00233AEF">
        <w:t xml:space="preserve"> advised that horse import numbers </w:t>
      </w:r>
      <w:r w:rsidR="00534FF0">
        <w:t xml:space="preserve">for the year </w:t>
      </w:r>
      <w:r w:rsidR="00120DE7">
        <w:t xml:space="preserve">have been </w:t>
      </w:r>
      <w:r w:rsidR="00233AEF">
        <w:t xml:space="preserve">presented in </w:t>
      </w:r>
      <w:r w:rsidR="00120DE7">
        <w:t>a</w:t>
      </w:r>
      <w:r w:rsidR="00233AEF">
        <w:t xml:space="preserve"> paper</w:t>
      </w:r>
      <w:r w:rsidR="005B7F53">
        <w:t>, ‘</w:t>
      </w:r>
      <w:r w:rsidR="005B7F53">
        <w:rPr>
          <w:i/>
          <w:iCs/>
        </w:rPr>
        <w:t xml:space="preserve">Horse imports numbers’, </w:t>
      </w:r>
      <w:r w:rsidR="005B7F53">
        <w:t>that was</w:t>
      </w:r>
      <w:r w:rsidR="00233AEF">
        <w:t xml:space="preserve"> </w:t>
      </w:r>
      <w:r w:rsidR="00120DE7">
        <w:t xml:space="preserve">circulated to members prior to the meeting. The statistics </w:t>
      </w:r>
      <w:r w:rsidR="00655ED2">
        <w:t>are</w:t>
      </w:r>
      <w:r>
        <w:t xml:space="preserve"> cross checked against </w:t>
      </w:r>
      <w:r w:rsidR="00233AEF">
        <w:t xml:space="preserve">the actual </w:t>
      </w:r>
      <w:r w:rsidR="00626A27">
        <w:t xml:space="preserve">number of imported horses </w:t>
      </w:r>
      <w:r w:rsidR="00655ED2">
        <w:t>to arrive at</w:t>
      </w:r>
      <w:r w:rsidR="00233AEF">
        <w:t xml:space="preserve"> </w:t>
      </w:r>
      <w:r w:rsidR="001853A7">
        <w:t xml:space="preserve">the </w:t>
      </w:r>
      <w:r>
        <w:t>Mickleham</w:t>
      </w:r>
      <w:r w:rsidR="00670D3F">
        <w:t xml:space="preserve"> Post-Entry</w:t>
      </w:r>
      <w:r w:rsidR="006938AC">
        <w:t xml:space="preserve"> </w:t>
      </w:r>
      <w:r w:rsidR="00655ED2">
        <w:t>Quarantine Facility</w:t>
      </w:r>
      <w:r w:rsidR="006938AC">
        <w:t xml:space="preserve"> (MQF)</w:t>
      </w:r>
      <w:r w:rsidR="00626A27">
        <w:t xml:space="preserve"> from the northern hemisphere</w:t>
      </w:r>
      <w:r w:rsidR="00233AEF">
        <w:t xml:space="preserve">. </w:t>
      </w:r>
      <w:r w:rsidR="00120DE7">
        <w:t>ABIB</w:t>
      </w:r>
      <w:r>
        <w:t xml:space="preserve"> also collects </w:t>
      </w:r>
      <w:r w:rsidR="005E5082">
        <w:t>data</w:t>
      </w:r>
      <w:r>
        <w:t xml:space="preserve"> for </w:t>
      </w:r>
      <w:r w:rsidR="00655ED2">
        <w:t xml:space="preserve">total imported horses to Australia, including </w:t>
      </w:r>
      <w:r w:rsidR="001A5A0F">
        <w:t xml:space="preserve">horses arriving </w:t>
      </w:r>
      <w:proofErr w:type="gramStart"/>
      <w:r w:rsidR="001A5A0F">
        <w:t>into</w:t>
      </w:r>
      <w:proofErr w:type="gramEnd"/>
      <w:r w:rsidR="001A5A0F">
        <w:t xml:space="preserve"> AA sites for post-arrival quarantine, and </w:t>
      </w:r>
      <w:r w:rsidR="00813ABF">
        <w:t>horses</w:t>
      </w:r>
      <w:r w:rsidR="005E5082">
        <w:t xml:space="preserve"> imported</w:t>
      </w:r>
      <w:r w:rsidR="00813ABF">
        <w:t xml:space="preserve"> from </w:t>
      </w:r>
      <w:r>
        <w:t>New Zealand</w:t>
      </w:r>
      <w:r w:rsidR="00626A27">
        <w:t>,</w:t>
      </w:r>
      <w:r w:rsidR="005E5082">
        <w:t xml:space="preserve"> which do not require post-arrival quarantine. </w:t>
      </w:r>
    </w:p>
    <w:p w14:paraId="5489222E" w14:textId="4EBE3EDF" w:rsidR="00050152" w:rsidRDefault="00655ED2" w:rsidP="005E5082">
      <w:r w:rsidRPr="005D4288">
        <w:rPr>
          <w:rFonts w:cs="Calibri"/>
        </w:rPr>
        <w:t xml:space="preserve">ABIB is keen to provide an accurate record of horse import numbers for industry and would like to publish statistics for total imported horses by calendar year, financial year and country of export, for the past 5 years, on </w:t>
      </w:r>
      <w:r w:rsidR="00670D3F">
        <w:rPr>
          <w:rFonts w:cs="Calibri"/>
        </w:rPr>
        <w:t>our</w:t>
      </w:r>
      <w:r w:rsidRPr="005D4288">
        <w:rPr>
          <w:rFonts w:cs="Calibri"/>
        </w:rPr>
        <w:t xml:space="preserve"> website</w:t>
      </w:r>
      <w:r>
        <w:rPr>
          <w:rFonts w:cs="Calibri"/>
        </w:rPr>
        <w:t xml:space="preserve">. </w:t>
      </w:r>
      <w:r w:rsidR="00423C69">
        <w:t>H</w:t>
      </w:r>
      <w:r w:rsidR="005E5082">
        <w:t xml:space="preserve">orse </w:t>
      </w:r>
      <w:r w:rsidR="00050152">
        <w:t xml:space="preserve">export numbers </w:t>
      </w:r>
      <w:r>
        <w:t xml:space="preserve">are </w:t>
      </w:r>
      <w:r w:rsidR="00050152">
        <w:t xml:space="preserve">already </w:t>
      </w:r>
      <w:r w:rsidR="005E5082">
        <w:t>available on the department’s website. All data is</w:t>
      </w:r>
      <w:r w:rsidR="00050152">
        <w:t xml:space="preserve"> deidentified</w:t>
      </w:r>
      <w:r w:rsidR="005E5082">
        <w:t xml:space="preserve">. </w:t>
      </w:r>
    </w:p>
    <w:p w14:paraId="658A5A72" w14:textId="5D236461" w:rsidR="00050152" w:rsidRDefault="00120DE7" w:rsidP="00050152">
      <w:r>
        <w:t>No issues were raised from attendees</w:t>
      </w:r>
      <w:r w:rsidR="001853A7">
        <w:t xml:space="preserve"> and </w:t>
      </w:r>
      <w:r>
        <w:t xml:space="preserve">Michelle advised that </w:t>
      </w:r>
      <w:r w:rsidR="001853A7">
        <w:t>the</w:t>
      </w:r>
      <w:r w:rsidR="00050152">
        <w:t xml:space="preserve"> import </w:t>
      </w:r>
      <w:r w:rsidR="00655ED2">
        <w:t>statistics</w:t>
      </w:r>
      <w:r w:rsidR="00050152">
        <w:t xml:space="preserve"> </w:t>
      </w:r>
      <w:r w:rsidR="001853A7">
        <w:t xml:space="preserve">would soon be published </w:t>
      </w:r>
      <w:r w:rsidR="00050152">
        <w:t xml:space="preserve">to the </w:t>
      </w:r>
      <w:r w:rsidR="005E5082">
        <w:t>department</w:t>
      </w:r>
      <w:r w:rsidR="001853A7">
        <w:t>’s</w:t>
      </w:r>
      <w:r w:rsidR="005E5082">
        <w:t xml:space="preserve"> </w:t>
      </w:r>
      <w:r w:rsidR="00050152">
        <w:t>web</w:t>
      </w:r>
      <w:r w:rsidR="001853A7">
        <w:t>site</w:t>
      </w:r>
      <w:r w:rsidR="00050152">
        <w:t xml:space="preserve">. </w:t>
      </w:r>
    </w:p>
    <w:p w14:paraId="0147114A" w14:textId="731CAE5E" w:rsidR="00AC7953" w:rsidRPr="00AC7953" w:rsidRDefault="00AC7953" w:rsidP="00050152">
      <w:r>
        <w:rPr>
          <w:b/>
          <w:bCs/>
        </w:rPr>
        <w:t>Action item</w:t>
      </w:r>
      <w:r w:rsidR="00B13D5C">
        <w:rPr>
          <w:b/>
          <w:bCs/>
        </w:rPr>
        <w:t xml:space="preserve"> </w:t>
      </w:r>
      <w:r w:rsidR="00670D3F">
        <w:rPr>
          <w:b/>
          <w:bCs/>
        </w:rPr>
        <w:t>3</w:t>
      </w:r>
      <w:r>
        <w:rPr>
          <w:b/>
          <w:bCs/>
        </w:rPr>
        <w:t xml:space="preserve">: </w:t>
      </w:r>
      <w:r>
        <w:t xml:space="preserve">ABIB to publish </w:t>
      </w:r>
      <w:r w:rsidR="008B7E8F">
        <w:t xml:space="preserve">actual </w:t>
      </w:r>
      <w:r>
        <w:t xml:space="preserve">horse import statistics to the departments website and notify attendees when this has occurred. </w:t>
      </w:r>
    </w:p>
    <w:p w14:paraId="031E6BED" w14:textId="1182C350" w:rsidR="004F0EC4" w:rsidRPr="002C14A5" w:rsidRDefault="002C14A5" w:rsidP="002C14A5">
      <w:pPr>
        <w:shd w:val="clear" w:color="auto" w:fill="DEEAF6" w:themeFill="accent1" w:themeFillTint="33"/>
        <w:rPr>
          <w:b/>
          <w:bCs/>
        </w:rPr>
      </w:pPr>
      <w:r>
        <w:rPr>
          <w:b/>
          <w:bCs/>
        </w:rPr>
        <w:t xml:space="preserve">7. </w:t>
      </w:r>
      <w:r w:rsidR="004F0EC4" w:rsidRPr="002C14A5">
        <w:rPr>
          <w:b/>
          <w:bCs/>
        </w:rPr>
        <w:t xml:space="preserve">Cost Recovery update </w:t>
      </w:r>
    </w:p>
    <w:p w14:paraId="0084DB61" w14:textId="2DEE006F" w:rsidR="0005209E" w:rsidRDefault="0005209E" w:rsidP="006938AC">
      <w:r w:rsidRPr="00120DE7">
        <w:t>Pau</w:t>
      </w:r>
      <w:r w:rsidR="00120DE7">
        <w:t xml:space="preserve">l Douglas, Finance Division, </w:t>
      </w:r>
      <w:r w:rsidR="005B7F53">
        <w:t>referenced a</w:t>
      </w:r>
      <w:r w:rsidR="006938AC">
        <w:t xml:space="preserve"> paper, ‘</w:t>
      </w:r>
      <w:r w:rsidR="006938AC" w:rsidRPr="006938AC">
        <w:rPr>
          <w:i/>
          <w:iCs/>
        </w:rPr>
        <w:t xml:space="preserve">Biosecurity </w:t>
      </w:r>
      <w:r w:rsidR="005B7F53">
        <w:rPr>
          <w:i/>
          <w:iCs/>
        </w:rPr>
        <w:t>c</w:t>
      </w:r>
      <w:r w:rsidR="006938AC" w:rsidRPr="006938AC">
        <w:rPr>
          <w:i/>
          <w:iCs/>
        </w:rPr>
        <w:t xml:space="preserve">ost </w:t>
      </w:r>
      <w:r w:rsidR="005B7F53">
        <w:rPr>
          <w:i/>
          <w:iCs/>
        </w:rPr>
        <w:t>r</w:t>
      </w:r>
      <w:r w:rsidR="006938AC" w:rsidRPr="006938AC">
        <w:rPr>
          <w:i/>
          <w:iCs/>
        </w:rPr>
        <w:t xml:space="preserve">ecovery </w:t>
      </w:r>
      <w:r w:rsidR="005B7F53">
        <w:rPr>
          <w:i/>
          <w:iCs/>
        </w:rPr>
        <w:t>a</w:t>
      </w:r>
      <w:r w:rsidR="006938AC" w:rsidRPr="006938AC">
        <w:rPr>
          <w:i/>
          <w:iCs/>
        </w:rPr>
        <w:t xml:space="preserve">rrangement for </w:t>
      </w:r>
      <w:r w:rsidR="005B7F53">
        <w:rPr>
          <w:i/>
          <w:iCs/>
        </w:rPr>
        <w:t>h</w:t>
      </w:r>
      <w:r w:rsidR="006938AC" w:rsidRPr="006938AC">
        <w:rPr>
          <w:i/>
          <w:iCs/>
        </w:rPr>
        <w:t>orses’</w:t>
      </w:r>
      <w:r w:rsidR="005B7F53">
        <w:rPr>
          <w:i/>
          <w:iCs/>
        </w:rPr>
        <w:t xml:space="preserve"> </w:t>
      </w:r>
      <w:r w:rsidR="005B7F53">
        <w:t>that was provided to attendees</w:t>
      </w:r>
      <w:r w:rsidR="005B7F53">
        <w:rPr>
          <w:i/>
          <w:iCs/>
        </w:rPr>
        <w:t xml:space="preserve"> </w:t>
      </w:r>
      <w:r w:rsidR="005B7F53">
        <w:t>prior to the meeting</w:t>
      </w:r>
      <w:r w:rsidR="006938AC">
        <w:t>. The paper reports that</w:t>
      </w:r>
      <w:r w:rsidR="00120DE7">
        <w:t xml:space="preserve"> </w:t>
      </w:r>
      <w:r w:rsidR="006938AC">
        <w:t>there is</w:t>
      </w:r>
      <w:r w:rsidR="00120DE7">
        <w:t xml:space="preserve"> currently a s</w:t>
      </w:r>
      <w:r>
        <w:t>urplus</w:t>
      </w:r>
      <w:r w:rsidR="006938AC">
        <w:t xml:space="preserve"> for the year to date for </w:t>
      </w:r>
      <w:r w:rsidR="00C567B2">
        <w:t xml:space="preserve">Mickleham </w:t>
      </w:r>
      <w:r w:rsidR="006938AC">
        <w:t>post-entry quarantine horse cost recovery,</w:t>
      </w:r>
      <w:r>
        <w:t xml:space="preserve"> but</w:t>
      </w:r>
      <w:r w:rsidR="00120DE7">
        <w:t xml:space="preserve"> that a</w:t>
      </w:r>
      <w:r>
        <w:t xml:space="preserve"> deficit </w:t>
      </w:r>
      <w:r w:rsidR="00120DE7">
        <w:t xml:space="preserve">is forecast </w:t>
      </w:r>
      <w:r w:rsidR="006938AC">
        <w:t>at</w:t>
      </w:r>
      <w:r>
        <w:t xml:space="preserve"> year end</w:t>
      </w:r>
      <w:r w:rsidR="00120DE7">
        <w:t xml:space="preserve">. </w:t>
      </w:r>
      <w:r>
        <w:t xml:space="preserve">Efforts have been made at </w:t>
      </w:r>
      <w:r w:rsidR="006938AC">
        <w:t>MQF</w:t>
      </w:r>
      <w:r>
        <w:t xml:space="preserve"> to account for </w:t>
      </w:r>
      <w:r w:rsidR="006938AC">
        <w:t xml:space="preserve">the </w:t>
      </w:r>
      <w:r>
        <w:t xml:space="preserve">reduced number of horses </w:t>
      </w:r>
      <w:r w:rsidR="008B7E8F">
        <w:t>undergoing</w:t>
      </w:r>
      <w:r w:rsidR="006938AC">
        <w:t xml:space="preserve"> quarantine</w:t>
      </w:r>
      <w:r w:rsidR="00716D74">
        <w:t>, which</w:t>
      </w:r>
      <w:r w:rsidR="006938AC">
        <w:t xml:space="preserve"> is reflected in employee and operating expenses, in comparison to last year. </w:t>
      </w:r>
    </w:p>
    <w:p w14:paraId="3032FA22" w14:textId="6E8908C1" w:rsidR="00077CF9" w:rsidRPr="00716D74" w:rsidRDefault="006938AC" w:rsidP="00716D74">
      <w:pPr>
        <w:rPr>
          <w:b/>
          <w:bCs/>
        </w:rPr>
      </w:pPr>
      <w:r>
        <w:t xml:space="preserve">Paul noted that 634 horses were forecast to arrive for 24/25, </w:t>
      </w:r>
      <w:r w:rsidR="00077CF9">
        <w:t xml:space="preserve">compared to 719 </w:t>
      </w:r>
      <w:r>
        <w:t xml:space="preserve">this time </w:t>
      </w:r>
      <w:r w:rsidR="00077CF9">
        <w:t>last year</w:t>
      </w:r>
      <w:r>
        <w:t xml:space="preserve"> when planning for costs ahead were made. Paul advised that he expected the forecast deficit to decrease from the forecast $259</w:t>
      </w:r>
      <w:r w:rsidR="00B13D5C">
        <w:t> </w:t>
      </w:r>
      <w:r w:rsidR="00716D74">
        <w:t xml:space="preserve">000. </w:t>
      </w:r>
      <w:r>
        <w:t xml:space="preserve"> </w:t>
      </w:r>
    </w:p>
    <w:p w14:paraId="32B66641" w14:textId="03FA3727" w:rsidR="00B13D5C" w:rsidRDefault="005B7F53" w:rsidP="00716D74">
      <w:r>
        <w:t>Fees and charges for</w:t>
      </w:r>
      <w:r w:rsidR="00716D74">
        <w:t xml:space="preserve"> 20</w:t>
      </w:r>
      <w:r w:rsidR="00077CF9">
        <w:t>25</w:t>
      </w:r>
      <w:r w:rsidR="00716D74">
        <w:t>-</w:t>
      </w:r>
      <w:r w:rsidR="00077CF9">
        <w:t>26</w:t>
      </w:r>
      <w:r w:rsidR="00716D74">
        <w:t xml:space="preserve"> were provided to industry in February-March 2025 for the full range of regulatory services provided by the department, including </w:t>
      </w:r>
      <w:r w:rsidR="008B7E8F">
        <w:t xml:space="preserve">those associated with the </w:t>
      </w:r>
      <w:r w:rsidR="00716D74">
        <w:t xml:space="preserve">importation of horses. There </w:t>
      </w:r>
      <w:r w:rsidR="00836F7E">
        <w:t>will be</w:t>
      </w:r>
      <w:r w:rsidR="00716D74">
        <w:t xml:space="preserve"> a modest increase of 2.4% for the reservation charge, which equates to $123 per horse in total. Given th</w:t>
      </w:r>
      <w:r w:rsidR="008B7E8F">
        <w:t>at gover</w:t>
      </w:r>
      <w:r w:rsidR="00D82691">
        <w:t>n</w:t>
      </w:r>
      <w:r w:rsidR="008B7E8F">
        <w:t>ment</w:t>
      </w:r>
      <w:r w:rsidR="00716D74">
        <w:t xml:space="preserve"> caretaker conventions are in place, Paul noted that there is yet to be final agreement on the Cost Recovery Implementation Statement (CRIS). The CRIS is ready for review by the secretary and minister following a clear election result. Paul advised </w:t>
      </w:r>
      <w:r w:rsidR="006D0246">
        <w:t>that no</w:t>
      </w:r>
      <w:r w:rsidR="00716D74">
        <w:t xml:space="preserve"> major changes to the </w:t>
      </w:r>
      <w:r w:rsidR="007F0919">
        <w:t>prices</w:t>
      </w:r>
      <w:r w:rsidR="006D0246">
        <w:t xml:space="preserve"> are expected</w:t>
      </w:r>
      <w:r w:rsidR="007F0919">
        <w:t xml:space="preserve"> as </w:t>
      </w:r>
      <w:r w:rsidR="006D0246">
        <w:t>they align with</w:t>
      </w:r>
      <w:r w:rsidR="007F0919">
        <w:t xml:space="preserve"> </w:t>
      </w:r>
      <w:r w:rsidR="006D0246">
        <w:t xml:space="preserve">the </w:t>
      </w:r>
      <w:r w:rsidR="007F0919">
        <w:t>C</w:t>
      </w:r>
      <w:r w:rsidR="006D0246">
        <w:t xml:space="preserve">onsumer </w:t>
      </w:r>
      <w:r w:rsidR="007F0919">
        <w:t>P</w:t>
      </w:r>
      <w:r w:rsidR="006D0246">
        <w:t xml:space="preserve">rice </w:t>
      </w:r>
      <w:r w:rsidR="007F0919">
        <w:t>I</w:t>
      </w:r>
      <w:r w:rsidR="006D0246">
        <w:t>ndex (CPI)</w:t>
      </w:r>
      <w:r w:rsidR="007F0919">
        <w:t xml:space="preserve">. </w:t>
      </w:r>
    </w:p>
    <w:p w14:paraId="37B43E58" w14:textId="332905BC" w:rsidR="00077CF9" w:rsidRDefault="007F0919" w:rsidP="00716D74">
      <w:r>
        <w:t xml:space="preserve">Finance Division are in regular consultation with MQF to ensure that expenses are being correctly tracked and that the correct drivers are set to reflect the effort involved in operations of the facility. </w:t>
      </w:r>
    </w:p>
    <w:p w14:paraId="4BB70B74" w14:textId="75859E50" w:rsidR="00077CF9" w:rsidRDefault="00B13D5C" w:rsidP="00077CF9">
      <w:r>
        <w:t>There was a request for clarification of</w:t>
      </w:r>
      <w:r w:rsidR="006D0246">
        <w:t xml:space="preserve"> </w:t>
      </w:r>
      <w:r w:rsidR="00077CF9">
        <w:t xml:space="preserve">Section 74 </w:t>
      </w:r>
      <w:r w:rsidR="006D0246">
        <w:t>revenue</w:t>
      </w:r>
      <w:r w:rsidR="005B7F53">
        <w:t>, as referenced in table 1 of the paper, ‘</w:t>
      </w:r>
      <w:r w:rsidR="005B7F53" w:rsidRPr="005B7F53">
        <w:rPr>
          <w:i/>
          <w:iCs/>
        </w:rPr>
        <w:t>Biosecurity cost recovery arrangements for horses.</w:t>
      </w:r>
      <w:r w:rsidR="005B7F53">
        <w:rPr>
          <w:i/>
          <w:iCs/>
        </w:rPr>
        <w:t>’</w:t>
      </w:r>
      <w:r>
        <w:rPr>
          <w:i/>
          <w:iCs/>
        </w:rPr>
        <w:t xml:space="preserve"> </w:t>
      </w:r>
      <w:r w:rsidR="00077CF9">
        <w:t>Paul</w:t>
      </w:r>
      <w:r w:rsidR="005B7F53">
        <w:t xml:space="preserve"> explained that </w:t>
      </w:r>
      <w:r>
        <w:t>i</w:t>
      </w:r>
      <w:r w:rsidR="005B7F53">
        <w:t>t refers to Section 74 of the</w:t>
      </w:r>
      <w:r w:rsidR="00D81E4F">
        <w:t xml:space="preserve"> </w:t>
      </w:r>
      <w:r w:rsidR="00D81E4F" w:rsidRPr="003C470F">
        <w:rPr>
          <w:i/>
          <w:iCs/>
        </w:rPr>
        <w:t>Public Governance, Performance and Accountability Act 2013</w:t>
      </w:r>
      <w:r w:rsidR="005B7F53">
        <w:t>. I</w:t>
      </w:r>
      <w:r w:rsidR="00077CF9">
        <w:t>t is a one</w:t>
      </w:r>
      <w:r w:rsidR="00424FC3">
        <w:t>-</w:t>
      </w:r>
      <w:r w:rsidR="00077CF9">
        <w:t>for</w:t>
      </w:r>
      <w:r w:rsidR="00424FC3">
        <w:t>-</w:t>
      </w:r>
      <w:r w:rsidR="00077CF9">
        <w:t>one matching</w:t>
      </w:r>
      <w:r w:rsidR="005B7F53">
        <w:t xml:space="preserve"> </w:t>
      </w:r>
      <w:r>
        <w:t>o</w:t>
      </w:r>
      <w:r w:rsidR="005B7F53">
        <w:t>f</w:t>
      </w:r>
      <w:r>
        <w:t xml:space="preserve"> costs</w:t>
      </w:r>
      <w:r w:rsidR="005B7F53">
        <w:t xml:space="preserve"> the department paid for a particular item</w:t>
      </w:r>
      <w:r w:rsidR="00337CAD">
        <w:t xml:space="preserve">, whereby the revenue </w:t>
      </w:r>
      <w:r>
        <w:t>offsets that</w:t>
      </w:r>
      <w:r w:rsidR="00337CAD">
        <w:t xml:space="preserve"> expense</w:t>
      </w:r>
      <w:r w:rsidR="00077CF9">
        <w:t xml:space="preserve">. </w:t>
      </w:r>
      <w:r w:rsidR="005B7F53">
        <w:t xml:space="preserve">Paul gave the example, that </w:t>
      </w:r>
      <w:r w:rsidR="00077CF9">
        <w:t xml:space="preserve">if </w:t>
      </w:r>
      <w:r w:rsidR="00424FC3">
        <w:t>a</w:t>
      </w:r>
      <w:r w:rsidR="00077CF9">
        <w:t xml:space="preserve"> nasal swab i</w:t>
      </w:r>
      <w:r w:rsidR="00424FC3">
        <w:t>ncurs</w:t>
      </w:r>
      <w:r w:rsidR="00077CF9">
        <w:t xml:space="preserve"> $2 </w:t>
      </w:r>
      <w:r w:rsidR="005B7F53">
        <w:t xml:space="preserve">in cost to the department, </w:t>
      </w:r>
      <w:r w:rsidR="00077CF9">
        <w:t>then</w:t>
      </w:r>
      <w:r w:rsidR="00424FC3">
        <w:t xml:space="preserve"> that</w:t>
      </w:r>
      <w:r w:rsidR="00077CF9">
        <w:t xml:space="preserve"> $2 </w:t>
      </w:r>
      <w:r w:rsidR="00424FC3">
        <w:t xml:space="preserve">in cost </w:t>
      </w:r>
      <w:r w:rsidR="00077CF9">
        <w:t xml:space="preserve">is passed onto </w:t>
      </w:r>
      <w:r>
        <w:t>the importer</w:t>
      </w:r>
      <w:r w:rsidR="00077CF9">
        <w:t xml:space="preserve">. </w:t>
      </w:r>
    </w:p>
    <w:p w14:paraId="6A66F281" w14:textId="76F07A99" w:rsidR="00B13D5C" w:rsidRDefault="00077CF9" w:rsidP="00AC7953">
      <w:r>
        <w:t>Ben Wilson</w:t>
      </w:r>
      <w:r w:rsidR="00337CAD">
        <w:t xml:space="preserve">, </w:t>
      </w:r>
      <w:r w:rsidR="00B13D5C">
        <w:t>MQF</w:t>
      </w:r>
      <w:r w:rsidR="00337CAD">
        <w:t xml:space="preserve">, </w:t>
      </w:r>
      <w:r>
        <w:t>gave an update on cost centres</w:t>
      </w:r>
      <w:r w:rsidR="00374499">
        <w:t xml:space="preserve"> for MQF, noting that conversations have occurred with many attendees over the last couple of years on this topic. </w:t>
      </w:r>
      <w:r w:rsidR="00E95A13">
        <w:t xml:space="preserve">Previously, there was one overarching cost centre for the </w:t>
      </w:r>
      <w:r w:rsidR="00E95A13">
        <w:lastRenderedPageBreak/>
        <w:t xml:space="preserve">whole of MQF. </w:t>
      </w:r>
      <w:r w:rsidR="00374499">
        <w:t xml:space="preserve">MQF operates on cost drivers, which are developed based on workload and costs. This proportions the overall costs to run MQF for all commodities, to each commodity group, which is a top-down model. </w:t>
      </w:r>
    </w:p>
    <w:p w14:paraId="3B534E37" w14:textId="362052DA" w:rsidR="00AC7953" w:rsidRDefault="00374499" w:rsidP="00AC7953">
      <w:r>
        <w:t>As of</w:t>
      </w:r>
      <w:r w:rsidR="00D82691">
        <w:t xml:space="preserve"> </w:t>
      </w:r>
      <w:r w:rsidR="00F36C06">
        <w:t>late 2024</w:t>
      </w:r>
      <w:r w:rsidR="00424FC3">
        <w:t>,</w:t>
      </w:r>
      <w:r>
        <w:t xml:space="preserve"> MQF have investigated a bottom-up model</w:t>
      </w:r>
      <w:r w:rsidR="00F36C06">
        <w:t xml:space="preserve">, </w:t>
      </w:r>
      <w:r w:rsidR="00AC7953">
        <w:t>including</w:t>
      </w:r>
      <w:r>
        <w:t xml:space="preserve"> develop</w:t>
      </w:r>
      <w:r w:rsidR="00AC7953">
        <w:t>ing</w:t>
      </w:r>
      <w:r>
        <w:t xml:space="preserve"> </w:t>
      </w:r>
      <w:r w:rsidR="00AC7953">
        <w:t>multiple</w:t>
      </w:r>
      <w:r w:rsidR="00F36C06">
        <w:t xml:space="preserve"> </w:t>
      </w:r>
      <w:r>
        <w:t xml:space="preserve">cost centres, meaning each commodity </w:t>
      </w:r>
      <w:r w:rsidR="00B13D5C">
        <w:t xml:space="preserve">will have </w:t>
      </w:r>
      <w:r w:rsidR="00424FC3">
        <w:t>its own</w:t>
      </w:r>
      <w:r w:rsidR="00AC7953">
        <w:t xml:space="preserve"> </w:t>
      </w:r>
      <w:r>
        <w:t>cost centre.</w:t>
      </w:r>
      <w:r w:rsidR="00AC7953">
        <w:t xml:space="preserve"> </w:t>
      </w:r>
      <w:r w:rsidR="00F36C06">
        <w:t>The goal is to</w:t>
      </w:r>
      <w:r>
        <w:t xml:space="preserve"> provide a more accurate reflection of the costs for each commodity. </w:t>
      </w:r>
      <w:r w:rsidR="00AC7953">
        <w:t>Ben noted that</w:t>
      </w:r>
      <w:r w:rsidR="00E95A13">
        <w:t xml:space="preserve"> with the historical top</w:t>
      </w:r>
      <w:r w:rsidR="00D82691">
        <w:t>-</w:t>
      </w:r>
      <w:r w:rsidR="00E95A13">
        <w:t>down model,</w:t>
      </w:r>
      <w:r w:rsidR="00AC7953">
        <w:t xml:space="preserve"> s</w:t>
      </w:r>
      <w:r w:rsidR="00077CF9">
        <w:t>ome</w:t>
      </w:r>
      <w:r w:rsidR="00E95A13">
        <w:t xml:space="preserve"> costs</w:t>
      </w:r>
      <w:r w:rsidR="00077CF9">
        <w:t xml:space="preserve"> are very difficult to separate e.g. gas</w:t>
      </w:r>
      <w:r w:rsidR="00AC7953">
        <w:t xml:space="preserve"> or electricity, which require the </w:t>
      </w:r>
      <w:r w:rsidR="00077CF9">
        <w:t xml:space="preserve">use </w:t>
      </w:r>
      <w:r w:rsidR="00AC7953">
        <w:t xml:space="preserve">of </w:t>
      </w:r>
      <w:r w:rsidR="00077CF9">
        <w:t>estimates</w:t>
      </w:r>
      <w:r w:rsidR="00AC7953">
        <w:t xml:space="preserve"> as there isn’t a separate meter for each compound. Another example noted was h</w:t>
      </w:r>
      <w:r w:rsidR="00077CF9">
        <w:t>orse waste</w:t>
      </w:r>
      <w:r w:rsidR="00AC7953">
        <w:t xml:space="preserve"> removal, of which the costs have </w:t>
      </w:r>
      <w:r w:rsidR="00077CF9">
        <w:t xml:space="preserve">historically </w:t>
      </w:r>
      <w:r w:rsidR="00AC7953">
        <w:t xml:space="preserve">been </w:t>
      </w:r>
      <w:r w:rsidR="00077CF9">
        <w:t>proportioned based on cost drivers</w:t>
      </w:r>
      <w:r w:rsidR="00AC7953">
        <w:t xml:space="preserve">. </w:t>
      </w:r>
    </w:p>
    <w:p w14:paraId="163BEE4B" w14:textId="3EDD32F7" w:rsidR="00E70B09" w:rsidRDefault="00E70B09" w:rsidP="00AC7953">
      <w:r>
        <w:t>Chris Burke</w:t>
      </w:r>
      <w:r w:rsidR="00AC7953">
        <w:t xml:space="preserve"> raised whether using staff</w:t>
      </w:r>
      <w:r>
        <w:t xml:space="preserve"> time in attendance </w:t>
      </w:r>
      <w:r w:rsidR="00AC7953">
        <w:t>data would enable costs to be divided more accurately. Ben advised that the systems at MQF do not do this automatically</w:t>
      </w:r>
      <w:r w:rsidR="008A4D3D">
        <w:t xml:space="preserve"> and there are limitations to the existing system.</w:t>
      </w:r>
      <w:r w:rsidR="00AC7953">
        <w:t xml:space="preserve"> The new cost centres will enable MQF to </w:t>
      </w:r>
      <w:r w:rsidR="00B13D5C">
        <w:t xml:space="preserve">now </w:t>
      </w:r>
      <w:r w:rsidR="00AC7953">
        <w:t>do this which will help with cost allocations</w:t>
      </w:r>
      <w:r w:rsidR="008A4D3D">
        <w:t xml:space="preserve"> and increase visibility</w:t>
      </w:r>
      <w:r w:rsidR="00AC7953">
        <w:t xml:space="preserve">. Ben noted there is still difficulty to divide the costs accurately, if for example an electrician is contracted to do one job in the cat and dog compound and 2 jobs in the horse compound. </w:t>
      </w:r>
    </w:p>
    <w:p w14:paraId="0DDF69FE" w14:textId="2034B3F2" w:rsidR="0075718E" w:rsidRPr="008A4D3D" w:rsidRDefault="00AC7953" w:rsidP="0075718E">
      <w:r w:rsidRPr="00AC7953">
        <w:rPr>
          <w:b/>
          <w:bCs/>
        </w:rPr>
        <w:t>Action item</w:t>
      </w:r>
      <w:r w:rsidR="00B13D5C">
        <w:rPr>
          <w:b/>
          <w:bCs/>
        </w:rPr>
        <w:t xml:space="preserve"> </w:t>
      </w:r>
      <w:r w:rsidR="009B4963">
        <w:rPr>
          <w:b/>
          <w:bCs/>
        </w:rPr>
        <w:t>4</w:t>
      </w:r>
      <w:r w:rsidRPr="00AC7953">
        <w:rPr>
          <w:b/>
          <w:bCs/>
        </w:rPr>
        <w:t xml:space="preserve">: </w:t>
      </w:r>
      <w:r>
        <w:t xml:space="preserve">Ben Wilson to provide updated cost information per cost centre, and therefore commodity, at the next HICC </w:t>
      </w:r>
      <w:r w:rsidR="009B4963">
        <w:t xml:space="preserve">meeting </w:t>
      </w:r>
      <w:r>
        <w:t xml:space="preserve">once further work on this has been completed. </w:t>
      </w:r>
    </w:p>
    <w:p w14:paraId="33C0175A" w14:textId="6AE484F7" w:rsidR="004F0EC4" w:rsidRPr="002C14A5" w:rsidRDefault="002C14A5" w:rsidP="002C14A5">
      <w:pPr>
        <w:shd w:val="clear" w:color="auto" w:fill="DEEAF6" w:themeFill="accent1" w:themeFillTint="33"/>
        <w:rPr>
          <w:b/>
          <w:bCs/>
        </w:rPr>
      </w:pPr>
      <w:r>
        <w:rPr>
          <w:b/>
          <w:bCs/>
        </w:rPr>
        <w:t xml:space="preserve">8. </w:t>
      </w:r>
      <w:r w:rsidR="004F0EC4" w:rsidRPr="002C14A5">
        <w:rPr>
          <w:b/>
          <w:bCs/>
        </w:rPr>
        <w:t>T</w:t>
      </w:r>
      <w:r w:rsidR="000535F6">
        <w:rPr>
          <w:b/>
          <w:bCs/>
        </w:rPr>
        <w:t>rade</w:t>
      </w:r>
      <w:r w:rsidR="004F0EC4" w:rsidRPr="002C14A5">
        <w:rPr>
          <w:b/>
          <w:bCs/>
        </w:rPr>
        <w:t xml:space="preserve"> Strategy Taskforce </w:t>
      </w:r>
    </w:p>
    <w:p w14:paraId="37CF0805" w14:textId="6DD6E8D1" w:rsidR="0075718E" w:rsidRDefault="00CE4851" w:rsidP="0075718E">
      <w:r>
        <w:t>Chris McDonald</w:t>
      </w:r>
      <w:r w:rsidR="008A4D3D">
        <w:t xml:space="preserve">, Trade Strategy Task Force, </w:t>
      </w:r>
      <w:r w:rsidR="000535F6">
        <w:t xml:space="preserve">attended </w:t>
      </w:r>
      <w:r w:rsidR="008A4D3D">
        <w:t xml:space="preserve">as a proxy for </w:t>
      </w:r>
      <w:r w:rsidR="008A4D3D" w:rsidRPr="008A4D3D">
        <w:rPr>
          <w:rFonts w:asciiTheme="minorHAnsi" w:hAnsiTheme="minorHAnsi" w:cstheme="minorHAnsi"/>
        </w:rPr>
        <w:t xml:space="preserve">Al Campbell, </w:t>
      </w:r>
      <w:r w:rsidR="000535F6">
        <w:t>and</w:t>
      </w:r>
      <w:r w:rsidR="008A4D3D">
        <w:t xml:space="preserve"> </w:t>
      </w:r>
      <w:r w:rsidR="008A4D3D" w:rsidRPr="008A4D3D">
        <w:t xml:space="preserve">provided an update </w:t>
      </w:r>
      <w:r w:rsidR="008A4D3D" w:rsidRPr="008A4D3D">
        <w:rPr>
          <w:rFonts w:cstheme="minorHAnsi"/>
          <w:bCs/>
        </w:rPr>
        <w:t>on the work of the Sustainable Trade Funding Taskforce</w:t>
      </w:r>
      <w:r w:rsidR="008A4D3D">
        <w:rPr>
          <w:rFonts w:cstheme="minorHAnsi"/>
          <w:bCs/>
        </w:rPr>
        <w:t xml:space="preserve">. </w:t>
      </w:r>
    </w:p>
    <w:p w14:paraId="141AB8EF" w14:textId="34DAFBC8" w:rsidR="00CE4851" w:rsidRDefault="00FE1279" w:rsidP="00FE1279">
      <w:r>
        <w:t xml:space="preserve">Chris outlined that the </w:t>
      </w:r>
      <w:r w:rsidR="00CE4851">
        <w:t xml:space="preserve">Sustainable </w:t>
      </w:r>
      <w:r>
        <w:t>T</w:t>
      </w:r>
      <w:r w:rsidR="00CE4851">
        <w:t xml:space="preserve">rade </w:t>
      </w:r>
      <w:r>
        <w:t>Funding T</w:t>
      </w:r>
      <w:r w:rsidR="00CE4851">
        <w:t xml:space="preserve">askforce </w:t>
      </w:r>
      <w:r>
        <w:t>arose</w:t>
      </w:r>
      <w:r w:rsidR="00CE4851">
        <w:t xml:space="preserve"> from a government investment</w:t>
      </w:r>
      <w:r>
        <w:t xml:space="preserve"> of</w:t>
      </w:r>
      <w:r w:rsidR="00CE4851">
        <w:t xml:space="preserve"> $</w:t>
      </w:r>
      <w:r>
        <w:t>95.</w:t>
      </w:r>
      <w:r w:rsidR="00572217">
        <w:t>3</w:t>
      </w:r>
      <w:r w:rsidR="00CE4851">
        <w:t xml:space="preserve"> million in </w:t>
      </w:r>
      <w:r>
        <w:t>the 2023-24</w:t>
      </w:r>
      <w:r w:rsidR="00CE4851">
        <w:t xml:space="preserve"> </w:t>
      </w:r>
      <w:r>
        <w:t>M</w:t>
      </w:r>
      <w:r w:rsidR="00681DC6">
        <w:t>id-</w:t>
      </w:r>
      <w:r>
        <w:t>Y</w:t>
      </w:r>
      <w:r w:rsidR="00681DC6">
        <w:t xml:space="preserve">ear </w:t>
      </w:r>
      <w:r>
        <w:t>E</w:t>
      </w:r>
      <w:r w:rsidR="00681DC6">
        <w:t xml:space="preserve">conomic </w:t>
      </w:r>
      <w:r>
        <w:t>F</w:t>
      </w:r>
      <w:r w:rsidR="00681DC6">
        <w:t xml:space="preserve">iscal </w:t>
      </w:r>
      <w:r>
        <w:t>O</w:t>
      </w:r>
      <w:r w:rsidR="00681DC6">
        <w:t>utlook (MYEFO)</w:t>
      </w:r>
      <w:r>
        <w:t xml:space="preserve"> </w:t>
      </w:r>
      <w:r w:rsidR="00CE4851">
        <w:t>to sustain the departments</w:t>
      </w:r>
      <w:r w:rsidR="00E95A13">
        <w:t>’</w:t>
      </w:r>
      <w:r w:rsidR="00CE4851">
        <w:t xml:space="preserve"> agricultural </w:t>
      </w:r>
      <w:r>
        <w:t>exports and trade functions</w:t>
      </w:r>
      <w:r w:rsidR="00CE4851">
        <w:t xml:space="preserve"> for 2 years. As part of that, the taskforce was </w:t>
      </w:r>
      <w:r>
        <w:t>set up</w:t>
      </w:r>
      <w:r w:rsidR="00CE4851">
        <w:t xml:space="preserve"> to </w:t>
      </w:r>
      <w:r>
        <w:t>develop</w:t>
      </w:r>
      <w:r w:rsidR="00CE4851">
        <w:t xml:space="preserve"> a sustainable funding model</w:t>
      </w:r>
      <w:r>
        <w:t xml:space="preserve">, ensuring ongoing funding for those areas. </w:t>
      </w:r>
    </w:p>
    <w:p w14:paraId="10D651D9" w14:textId="207D2CCD" w:rsidR="000535F6" w:rsidRDefault="00CE4851" w:rsidP="00606B25">
      <w:r>
        <w:t>In</w:t>
      </w:r>
      <w:r w:rsidR="00FE1279">
        <w:t xml:space="preserve"> the 2024-25</w:t>
      </w:r>
      <w:r>
        <w:t xml:space="preserve"> MYEFO</w:t>
      </w:r>
      <w:r w:rsidR="00E95A13">
        <w:t>,</w:t>
      </w:r>
      <w:r>
        <w:t xml:space="preserve"> the government provided a further $46.6 million to sustain </w:t>
      </w:r>
      <w:r w:rsidR="00572217">
        <w:t xml:space="preserve">export regulatory </w:t>
      </w:r>
      <w:r>
        <w:t>functions</w:t>
      </w:r>
      <w:r w:rsidR="00FE1279">
        <w:t xml:space="preserve">. </w:t>
      </w:r>
      <w:r w:rsidR="00572217">
        <w:t>This additional</w:t>
      </w:r>
      <w:r w:rsidR="00FE1279">
        <w:t xml:space="preserve"> supplementation </w:t>
      </w:r>
      <w:r w:rsidR="00572217">
        <w:t xml:space="preserve">will be </w:t>
      </w:r>
      <w:r w:rsidR="00FE1279">
        <w:t>allocated across</w:t>
      </w:r>
      <w:r w:rsidR="00572217">
        <w:t xml:space="preserve"> the department’s 7 cost recovery</w:t>
      </w:r>
      <w:r w:rsidR="00FE1279">
        <w:t xml:space="preserve"> arrangements to balance them out and fill</w:t>
      </w:r>
      <w:r>
        <w:t xml:space="preserve"> a gap between </w:t>
      </w:r>
      <w:r w:rsidR="00FE1279">
        <w:t xml:space="preserve">the </w:t>
      </w:r>
      <w:r>
        <w:t xml:space="preserve">initial funding and </w:t>
      </w:r>
      <w:r w:rsidR="00FE1279">
        <w:t xml:space="preserve">the </w:t>
      </w:r>
      <w:r>
        <w:t xml:space="preserve">CRIS. </w:t>
      </w:r>
      <w:r w:rsidR="00FE1279">
        <w:t>Chris advised that there will be no changes to fees and cha</w:t>
      </w:r>
      <w:r w:rsidR="00E95A13">
        <w:t>r</w:t>
      </w:r>
      <w:r w:rsidR="00FE1279">
        <w:t>ges</w:t>
      </w:r>
      <w:r w:rsidR="00572217">
        <w:t xml:space="preserve"> for 2025-26 to CRISs</w:t>
      </w:r>
      <w:r w:rsidR="00FE1279">
        <w:t xml:space="preserve"> </w:t>
      </w:r>
      <w:proofErr w:type="gramStart"/>
      <w:r w:rsidR="00FE1279">
        <w:t>as a result of</w:t>
      </w:r>
      <w:proofErr w:type="gramEnd"/>
      <w:r w:rsidR="00FE1279">
        <w:t xml:space="preserve"> </w:t>
      </w:r>
      <w:r w:rsidR="00572217">
        <w:t>this</w:t>
      </w:r>
      <w:r w:rsidR="00FE1279">
        <w:t xml:space="preserve"> supplementation. </w:t>
      </w:r>
    </w:p>
    <w:p w14:paraId="3045C687" w14:textId="4D21CDF0" w:rsidR="000535F6" w:rsidRDefault="00FE1279" w:rsidP="00606B25">
      <w:r>
        <w:t xml:space="preserve">Chris noted that there will need to be a decision for how </w:t>
      </w:r>
      <w:r w:rsidR="00572217">
        <w:t xml:space="preserve">export and trade </w:t>
      </w:r>
      <w:r>
        <w:t xml:space="preserve">functions continue to be funded in the future, as it is undesirable for a repeat of the current situation where top ups of funding are required to sustain functions. This would be a decision of government, as it impacts the revenue or expense side of the Commonwealth budget. This is also affected by the upcoming election. Chris advised that the new or ongoing minister will be briefed with the options going forward for sustainable funding. From July 2026, </w:t>
      </w:r>
      <w:r w:rsidR="000535F6">
        <w:t>it is</w:t>
      </w:r>
      <w:r>
        <w:t xml:space="preserve"> anticipat</w:t>
      </w:r>
      <w:r w:rsidR="000535F6">
        <w:t>ed</w:t>
      </w:r>
      <w:r>
        <w:t xml:space="preserve"> sustainable funding for agricultural exports and trade functions</w:t>
      </w:r>
      <w:r w:rsidR="000535F6">
        <w:t xml:space="preserve"> will be </w:t>
      </w:r>
      <w:r w:rsidR="00572217">
        <w:t>implemented</w:t>
      </w:r>
      <w:r>
        <w:t>, however this will be a decision for government</w:t>
      </w:r>
      <w:r w:rsidR="00606B25">
        <w:t xml:space="preserve">. </w:t>
      </w:r>
    </w:p>
    <w:p w14:paraId="69846E4A" w14:textId="69503708" w:rsidR="00CE4851" w:rsidRDefault="000535F6" w:rsidP="00606B25">
      <w:r>
        <w:t>Depending on government agreement, it is anticipated</w:t>
      </w:r>
      <w:r w:rsidR="00CE4851">
        <w:t xml:space="preserve"> that the department </w:t>
      </w:r>
      <w:r>
        <w:t>will</w:t>
      </w:r>
      <w:r w:rsidR="00CE4851">
        <w:t xml:space="preserve"> consult with industry</w:t>
      </w:r>
      <w:r w:rsidR="00606B25">
        <w:t xml:space="preserve"> </w:t>
      </w:r>
      <w:r w:rsidR="00CE4851">
        <w:t>stakeholders in June</w:t>
      </w:r>
      <w:r>
        <w:t>/</w:t>
      </w:r>
      <w:r w:rsidR="00CE4851">
        <w:t>July</w:t>
      </w:r>
      <w:r w:rsidR="00E95A13">
        <w:t xml:space="preserve"> of this year,</w:t>
      </w:r>
      <w:r w:rsidR="00CE4851">
        <w:t xml:space="preserve"> around </w:t>
      </w:r>
      <w:r w:rsidR="00534FF0">
        <w:t>the following topics:</w:t>
      </w:r>
      <w:r w:rsidR="00CE4851">
        <w:t xml:space="preserve"> </w:t>
      </w:r>
    </w:p>
    <w:p w14:paraId="7A5EB007" w14:textId="0BC597EA" w:rsidR="00CE4851" w:rsidRDefault="00534FF0" w:rsidP="00534FF0">
      <w:pPr>
        <w:pStyle w:val="ListParagraph"/>
        <w:numPr>
          <w:ilvl w:val="0"/>
          <w:numId w:val="23"/>
        </w:numPr>
      </w:pPr>
      <w:r>
        <w:t>The f</w:t>
      </w:r>
      <w:r w:rsidR="00CE4851">
        <w:t xml:space="preserve">uture – what are the risks and opportunities and what needs to be prioritised </w:t>
      </w:r>
      <w:r w:rsidR="00572217">
        <w:t xml:space="preserve">both by industry and government </w:t>
      </w:r>
      <w:r w:rsidR="00CE4851">
        <w:t>to secure agricultural trade</w:t>
      </w:r>
      <w:r w:rsidR="00572217">
        <w:t xml:space="preserve"> in terms of agriculture</w:t>
      </w:r>
      <w:r w:rsidR="00CE4851">
        <w:t xml:space="preserve"> </w:t>
      </w:r>
      <w:r>
        <w:t>exports</w:t>
      </w:r>
      <w:r w:rsidR="00572217">
        <w:t xml:space="preserve"> and its reliability on imports for production</w:t>
      </w:r>
      <w:r w:rsidR="00CE4851">
        <w:t xml:space="preserve"> </w:t>
      </w:r>
    </w:p>
    <w:p w14:paraId="40180E1D" w14:textId="2E724CB3" w:rsidR="00CE4851" w:rsidRDefault="00CE4851" w:rsidP="00534FF0">
      <w:pPr>
        <w:pStyle w:val="ListParagraph"/>
        <w:numPr>
          <w:ilvl w:val="0"/>
          <w:numId w:val="23"/>
        </w:numPr>
      </w:pPr>
      <w:r>
        <w:t xml:space="preserve">Sustainable funding model – what is the cost of delivering that service into the future </w:t>
      </w:r>
      <w:r w:rsidR="00534FF0">
        <w:t xml:space="preserve">and what are the options for funding </w:t>
      </w:r>
    </w:p>
    <w:p w14:paraId="26E85821" w14:textId="68FA2A4B" w:rsidR="00DD0365" w:rsidRDefault="00CE4851" w:rsidP="00534FF0">
      <w:pPr>
        <w:pStyle w:val="ListParagraph"/>
        <w:numPr>
          <w:ilvl w:val="0"/>
          <w:numId w:val="23"/>
        </w:numPr>
      </w:pPr>
      <w:r>
        <w:t xml:space="preserve">How can </w:t>
      </w:r>
      <w:r w:rsidR="00507171">
        <w:t>the taskforce</w:t>
      </w:r>
      <w:r>
        <w:t xml:space="preserve"> improve work</w:t>
      </w:r>
      <w:r w:rsidR="00507171">
        <w:t xml:space="preserve"> methods</w:t>
      </w:r>
      <w:r w:rsidR="00534FF0">
        <w:t xml:space="preserve"> and how </w:t>
      </w:r>
      <w:r w:rsidR="00507171">
        <w:t xml:space="preserve">will </w:t>
      </w:r>
      <w:r w:rsidR="00534FF0">
        <w:t xml:space="preserve">cost recovery arrangements operate </w:t>
      </w:r>
    </w:p>
    <w:p w14:paraId="53B52FDE" w14:textId="41C44673" w:rsidR="00CE4851" w:rsidRDefault="00DD0365" w:rsidP="00DD0365">
      <w:pPr>
        <w:spacing w:before="0" w:after="0" w:line="240" w:lineRule="auto"/>
      </w:pPr>
      <w:r>
        <w:br w:type="page"/>
      </w:r>
    </w:p>
    <w:p w14:paraId="5874F95D" w14:textId="44BDCB96" w:rsidR="004F0EC4" w:rsidRPr="002C14A5" w:rsidRDefault="002C14A5" w:rsidP="002C14A5">
      <w:pPr>
        <w:shd w:val="clear" w:color="auto" w:fill="DEEAF6" w:themeFill="accent1" w:themeFillTint="33"/>
        <w:rPr>
          <w:b/>
          <w:bCs/>
        </w:rPr>
      </w:pPr>
      <w:r>
        <w:rPr>
          <w:b/>
          <w:bCs/>
        </w:rPr>
        <w:lastRenderedPageBreak/>
        <w:t xml:space="preserve">9. </w:t>
      </w:r>
      <w:r w:rsidR="004F0EC4" w:rsidRPr="002C14A5">
        <w:rPr>
          <w:b/>
          <w:bCs/>
        </w:rPr>
        <w:t xml:space="preserve">2032 Olympic and Paralympic Games </w:t>
      </w:r>
    </w:p>
    <w:p w14:paraId="329FAE0A" w14:textId="70FA500D" w:rsidR="000535F6" w:rsidRDefault="00050152" w:rsidP="000535F6">
      <w:r>
        <w:t>Michelle Blowes</w:t>
      </w:r>
      <w:r w:rsidR="003C750F">
        <w:t xml:space="preserve"> </w:t>
      </w:r>
      <w:r w:rsidR="0007296E">
        <w:t>referred</w:t>
      </w:r>
      <w:r w:rsidR="00D82691">
        <w:t xml:space="preserve"> </w:t>
      </w:r>
      <w:r w:rsidR="0007296E">
        <w:t xml:space="preserve">to a paper that had been circulated to attendees, </w:t>
      </w:r>
      <w:r w:rsidR="0007296E" w:rsidRPr="0007296E">
        <w:rPr>
          <w:i/>
          <w:iCs/>
        </w:rPr>
        <w:t>‘Equestrian events at the Brisbane 2032 Olympic and Paralympic Games</w:t>
      </w:r>
      <w:r w:rsidR="0007296E">
        <w:rPr>
          <w:i/>
          <w:iCs/>
        </w:rPr>
        <w:t xml:space="preserve">.’ </w:t>
      </w:r>
      <w:r w:rsidR="000535F6">
        <w:t>Michelle noted that the 100-day review report recommended the upgrade to the Toowoomba Showgrounds. The decision on which equestrian disciplines will be included in the Games will take place in 2026</w:t>
      </w:r>
      <w:r w:rsidR="00C6439A">
        <w:t>,</w:t>
      </w:r>
      <w:r w:rsidR="00EB2C73">
        <w:t xml:space="preserve"> which may limit opportunities for consultation </w:t>
      </w:r>
      <w:r w:rsidR="00C6439A">
        <w:t xml:space="preserve">with all parties </w:t>
      </w:r>
      <w:r w:rsidR="00EB2C73">
        <w:t>on some issues prior to then</w:t>
      </w:r>
      <w:r w:rsidR="000535F6">
        <w:t xml:space="preserve">. </w:t>
      </w:r>
      <w:r w:rsidR="00C6439A">
        <w:t xml:space="preserve">The </w:t>
      </w:r>
      <w:r w:rsidR="00C6439A" w:rsidRPr="0007296E">
        <w:t xml:space="preserve">Organising Committee for the Olympic Games </w:t>
      </w:r>
      <w:r w:rsidR="00C6439A">
        <w:t>(OCOG) is responsible for delivering the Games in partnership with the Commonwealth.</w:t>
      </w:r>
    </w:p>
    <w:p w14:paraId="0B039E8C" w14:textId="4491239A" w:rsidR="001540B0" w:rsidRDefault="0007296E" w:rsidP="001540B0">
      <w:r>
        <w:t xml:space="preserve">Michelle </w:t>
      </w:r>
      <w:r w:rsidR="003C750F">
        <w:t>noted that</w:t>
      </w:r>
      <w:r w:rsidR="00050152">
        <w:t xml:space="preserve"> officers from </w:t>
      </w:r>
      <w:r w:rsidR="000535F6">
        <w:t>6</w:t>
      </w:r>
      <w:r w:rsidR="00050152">
        <w:t xml:space="preserve"> areas</w:t>
      </w:r>
      <w:r w:rsidR="003C750F">
        <w:t xml:space="preserve"> of the department are </w:t>
      </w:r>
      <w:r w:rsidR="00C6439A">
        <w:t xml:space="preserve">currently </w:t>
      </w:r>
      <w:r w:rsidR="003C750F">
        <w:t>involved with the 2032 Olympic and Paralympic Games</w:t>
      </w:r>
      <w:r>
        <w:t xml:space="preserve"> (</w:t>
      </w:r>
      <w:r w:rsidR="001540B0">
        <w:t>t</w:t>
      </w:r>
      <w:r>
        <w:t>he Games)</w:t>
      </w:r>
      <w:r w:rsidR="003C750F">
        <w:t xml:space="preserve"> work, of which</w:t>
      </w:r>
      <w:r w:rsidR="00050152">
        <w:t xml:space="preserve"> 4 areas </w:t>
      </w:r>
      <w:r w:rsidR="003C750F">
        <w:t xml:space="preserve">are </w:t>
      </w:r>
      <w:r w:rsidR="00050152">
        <w:t>represented today</w:t>
      </w:r>
      <w:r w:rsidR="00081CDE">
        <w:t>,</w:t>
      </w:r>
      <w:r w:rsidR="00050152">
        <w:t xml:space="preserve"> </w:t>
      </w:r>
      <w:r w:rsidR="003C750F">
        <w:t>by Jonathan Early (Veterinary</w:t>
      </w:r>
      <w:r w:rsidR="000535F6">
        <w:t xml:space="preserve"> and</w:t>
      </w:r>
      <w:r w:rsidR="003C750F">
        <w:t xml:space="preserve"> Export Meat Branch), Tania Ware (Animal Biosecurity Branch), Kerry Daly (Live Animal Exports Branch), and colleagues from </w:t>
      </w:r>
      <w:r w:rsidR="00FC49CE">
        <w:t>ABIB</w:t>
      </w:r>
      <w:r w:rsidR="003C750F">
        <w:t xml:space="preserve">. </w:t>
      </w:r>
      <w:r w:rsidR="000535F6">
        <w:t>There are several officers from DAFF participating in the Security Working Group and other committees.</w:t>
      </w:r>
    </w:p>
    <w:p w14:paraId="788C1627" w14:textId="39CCD03A" w:rsidR="00050152" w:rsidRDefault="00EF2102" w:rsidP="0007296E">
      <w:r>
        <w:t>The</w:t>
      </w:r>
      <w:r w:rsidR="00050152">
        <w:t xml:space="preserve"> Animal Strategy and Coordination Branch</w:t>
      </w:r>
      <w:r>
        <w:t xml:space="preserve">, as part of Biosecurity Animal Division, </w:t>
      </w:r>
      <w:r w:rsidR="0007296E">
        <w:t>is</w:t>
      </w:r>
      <w:r w:rsidR="00050152">
        <w:t xml:space="preserve"> currently recruiting for a </w:t>
      </w:r>
      <w:r>
        <w:t xml:space="preserve">new </w:t>
      </w:r>
      <w:r w:rsidR="00050152">
        <w:t>director</w:t>
      </w:r>
      <w:r>
        <w:t xml:space="preserve"> </w:t>
      </w:r>
      <w:r w:rsidR="0007296E">
        <w:t xml:space="preserve">to </w:t>
      </w:r>
      <w:r w:rsidR="00FC49CE">
        <w:t>coordinate work</w:t>
      </w:r>
      <w:r w:rsidR="00050152">
        <w:t xml:space="preserve"> for </w:t>
      </w:r>
      <w:r w:rsidR="0007296E">
        <w:t>the Games</w:t>
      </w:r>
      <w:r>
        <w:t xml:space="preserve"> and</w:t>
      </w:r>
      <w:r w:rsidR="00050152">
        <w:t xml:space="preserve"> to ensure dedicated resources</w:t>
      </w:r>
      <w:r w:rsidR="0007296E">
        <w:t>. This</w:t>
      </w:r>
      <w:r w:rsidR="00050152">
        <w:t xml:space="preserve"> will most likely build up to a team</w:t>
      </w:r>
      <w:r w:rsidR="0007296E">
        <w:t xml:space="preserve"> </w:t>
      </w:r>
      <w:r>
        <w:t>dedicated to the Games work as 2032 approaches</w:t>
      </w:r>
      <w:r w:rsidR="0007296E">
        <w:t xml:space="preserve">. </w:t>
      </w:r>
      <w:r w:rsidR="00050152">
        <w:t xml:space="preserve"> </w:t>
      </w:r>
    </w:p>
    <w:p w14:paraId="510EE4E9" w14:textId="7DBF1A68" w:rsidR="000535F6" w:rsidRDefault="000535F6" w:rsidP="0007296E">
      <w:r>
        <w:t>T</w:t>
      </w:r>
      <w:r w:rsidR="0007296E">
        <w:t xml:space="preserve">he department </w:t>
      </w:r>
      <w:r w:rsidR="001540B0">
        <w:t xml:space="preserve">is currently </w:t>
      </w:r>
      <w:r w:rsidR="00C6439A">
        <w:t>preparing</w:t>
      </w:r>
      <w:r w:rsidR="001540B0">
        <w:t xml:space="preserve"> a</w:t>
      </w:r>
      <w:r w:rsidR="00050152">
        <w:t xml:space="preserve"> timeline </w:t>
      </w:r>
      <w:r w:rsidR="0007296E">
        <w:t xml:space="preserve">for planning leading up to the Games </w:t>
      </w:r>
      <w:r w:rsidR="00050152">
        <w:t xml:space="preserve">and </w:t>
      </w:r>
      <w:r w:rsidR="00EF2102">
        <w:t xml:space="preserve">a </w:t>
      </w:r>
      <w:r w:rsidR="0007296E">
        <w:t>document highlighting key risks, interdependencies and c</w:t>
      </w:r>
      <w:r w:rsidR="00050152">
        <w:t xml:space="preserve">onsiderations </w:t>
      </w:r>
      <w:r w:rsidR="0007296E">
        <w:t xml:space="preserve">for the Games. </w:t>
      </w:r>
      <w:r>
        <w:t>P</w:t>
      </w:r>
      <w:r w:rsidR="0007296E">
        <w:t>lanning includes consideration for the development of an</w:t>
      </w:r>
      <w:r w:rsidR="00050152">
        <w:t xml:space="preserve"> Equine </w:t>
      </w:r>
      <w:proofErr w:type="gramStart"/>
      <w:r w:rsidR="00050152">
        <w:t>Disease Free</w:t>
      </w:r>
      <w:proofErr w:type="gramEnd"/>
      <w:r w:rsidR="00050152">
        <w:t xml:space="preserve"> Zone </w:t>
      </w:r>
      <w:r w:rsidR="0007296E">
        <w:t>(EDFZ) and o</w:t>
      </w:r>
      <w:r w:rsidR="00050152">
        <w:t xml:space="preserve">ne of the first steps is to carry out </w:t>
      </w:r>
      <w:r w:rsidR="0007296E">
        <w:t>an</w:t>
      </w:r>
      <w:r w:rsidR="00050152">
        <w:t xml:space="preserve"> assessment for an EDFZ</w:t>
      </w:r>
      <w:r w:rsidR="0007296E">
        <w:t xml:space="preserve">. </w:t>
      </w:r>
    </w:p>
    <w:p w14:paraId="5CC06CA6" w14:textId="7FC0066A" w:rsidR="00EB2C73" w:rsidRDefault="000535F6" w:rsidP="000535F6">
      <w:r>
        <w:t>S</w:t>
      </w:r>
      <w:r w:rsidR="0007296E">
        <w:t xml:space="preserve">ignificant infrastructure </w:t>
      </w:r>
      <w:r>
        <w:t xml:space="preserve">will be </w:t>
      </w:r>
      <w:r w:rsidR="00EF2102">
        <w:t>required</w:t>
      </w:r>
      <w:r>
        <w:t xml:space="preserve"> to manage imported horses for the Games</w:t>
      </w:r>
      <w:r w:rsidR="00C6439A">
        <w:t>.</w:t>
      </w:r>
      <w:r w:rsidR="0007296E">
        <w:t xml:space="preserve"> </w:t>
      </w:r>
      <w:r w:rsidR="00C6439A">
        <w:t>T</w:t>
      </w:r>
      <w:r w:rsidR="00050152">
        <w:t>he government has given commitments about costs and funding</w:t>
      </w:r>
      <w:r w:rsidR="0007296E">
        <w:t xml:space="preserve"> already</w:t>
      </w:r>
      <w:r w:rsidR="00EB2C73">
        <w:t>,</w:t>
      </w:r>
      <w:r w:rsidR="0007296E">
        <w:t xml:space="preserve"> including biosecurity disease testing. </w:t>
      </w:r>
      <w:r w:rsidR="00EB2C73">
        <w:t xml:space="preserve">The department will meet the commitments made by government to facilitate the import of horses for the Games </w:t>
      </w:r>
      <w:r w:rsidR="00C6439A">
        <w:t>if appropriate</w:t>
      </w:r>
      <w:r w:rsidR="00EB2C73">
        <w:t xml:space="preserve"> quarantine infrastructure and clearance facilities at the airport are in place. </w:t>
      </w:r>
    </w:p>
    <w:p w14:paraId="4BB80C17" w14:textId="1A348C6E" w:rsidR="000535F6" w:rsidRDefault="00C6439A" w:rsidP="000535F6">
      <w:r>
        <w:t>It was noted that t</w:t>
      </w:r>
      <w:r w:rsidR="0007296E">
        <w:t>here is</w:t>
      </w:r>
      <w:r w:rsidR="00EB2C73">
        <w:t xml:space="preserve"> also</w:t>
      </w:r>
      <w:r w:rsidR="0007296E">
        <w:t xml:space="preserve"> an awareness of the need for rapid </w:t>
      </w:r>
      <w:r w:rsidR="00050152">
        <w:t>diagnostic capability for performance testing</w:t>
      </w:r>
      <w:r w:rsidR="00EB2C73">
        <w:t xml:space="preserve"> and some infectious diseases</w:t>
      </w:r>
      <w:r w:rsidR="0007296E">
        <w:t xml:space="preserve">. </w:t>
      </w:r>
      <w:r w:rsidR="000535F6">
        <w:t xml:space="preserve">Biosecurity disease testing will need to be completed at </w:t>
      </w:r>
      <w:r>
        <w:t>an</w:t>
      </w:r>
      <w:r w:rsidR="000535F6">
        <w:t xml:space="preserve"> accredited lab</w:t>
      </w:r>
      <w:r>
        <w:t>oratory</w:t>
      </w:r>
      <w:r w:rsidR="000535F6">
        <w:t xml:space="preserve">, </w:t>
      </w:r>
      <w:r>
        <w:t>due to</w:t>
      </w:r>
      <w:r w:rsidR="000535F6">
        <w:t xml:space="preserve"> implications for animal health status. </w:t>
      </w:r>
    </w:p>
    <w:p w14:paraId="002CE992" w14:textId="3A50F77C" w:rsidR="00050152" w:rsidRDefault="0007296E" w:rsidP="0007296E">
      <w:r>
        <w:t>Michelle also noted that c</w:t>
      </w:r>
      <w:r w:rsidR="00050152">
        <w:t>areful planning</w:t>
      </w:r>
      <w:r>
        <w:t xml:space="preserve"> to ensure that the horses can be re-exported after the Games is critical. </w:t>
      </w:r>
      <w:r w:rsidR="00050152">
        <w:t xml:space="preserve"> </w:t>
      </w:r>
    </w:p>
    <w:p w14:paraId="2C38B7F9" w14:textId="78BBB5E1" w:rsidR="00AC3B52" w:rsidRDefault="00C6439A" w:rsidP="003629B6">
      <w:r>
        <w:t xml:space="preserve">To date, </w:t>
      </w:r>
      <w:r w:rsidR="00EF2102">
        <w:t>DAFF ha</w:t>
      </w:r>
      <w:r>
        <w:t>s</w:t>
      </w:r>
      <w:r w:rsidR="00EF2102">
        <w:t xml:space="preserve"> </w:t>
      </w:r>
      <w:r>
        <w:t>engaged</w:t>
      </w:r>
      <w:r w:rsidR="00AC3B52">
        <w:t xml:space="preserve"> with Department of Home Affairs</w:t>
      </w:r>
      <w:r w:rsidR="00FC49CE">
        <w:t xml:space="preserve"> and the</w:t>
      </w:r>
      <w:r w:rsidR="00EF2102">
        <w:t xml:space="preserve"> Department of Health and Aged Care</w:t>
      </w:r>
      <w:r w:rsidR="00FC49CE">
        <w:t>’s</w:t>
      </w:r>
      <w:r w:rsidR="00EF2102">
        <w:t xml:space="preserve"> </w:t>
      </w:r>
      <w:r w:rsidR="00AC3B52">
        <w:t>Of</w:t>
      </w:r>
      <w:r w:rsidR="00EF2102">
        <w:t xml:space="preserve">fice </w:t>
      </w:r>
      <w:r w:rsidR="00FC49CE">
        <w:t xml:space="preserve">for </w:t>
      </w:r>
      <w:r w:rsidR="00EF2102">
        <w:t>Sport (Of</w:t>
      </w:r>
      <w:r w:rsidR="00AC3B52">
        <w:t>S</w:t>
      </w:r>
      <w:r w:rsidR="00EF2102">
        <w:t xml:space="preserve">). </w:t>
      </w:r>
      <w:r w:rsidR="00AC3B52">
        <w:t>OfS are seeking a</w:t>
      </w:r>
      <w:r w:rsidR="00FC49CE">
        <w:t>n opportunity for us to provide a</w:t>
      </w:r>
      <w:r w:rsidR="00AC3B52">
        <w:t xml:space="preserve"> briefing for</w:t>
      </w:r>
      <w:r w:rsidR="00FC49CE">
        <w:t xml:space="preserve"> the</w:t>
      </w:r>
      <w:r w:rsidR="00AC3B52">
        <w:t xml:space="preserve"> Department </w:t>
      </w:r>
      <w:r w:rsidR="00FC49CE">
        <w:t xml:space="preserve">of </w:t>
      </w:r>
      <w:r w:rsidR="00BF023F" w:rsidRPr="00BF023F">
        <w:t>Infrastructure, Transport, Regional Development, Communications, Sport and the Arts</w:t>
      </w:r>
      <w:r w:rsidR="004D45C4">
        <w:t xml:space="preserve"> </w:t>
      </w:r>
      <w:r w:rsidR="00AC3B52">
        <w:t>and</w:t>
      </w:r>
      <w:r>
        <w:t xml:space="preserve"> the</w:t>
      </w:r>
      <w:r w:rsidR="00AC3B52">
        <w:t xml:space="preserve"> OCOG.</w:t>
      </w:r>
      <w:r w:rsidR="003629B6">
        <w:t xml:space="preserve"> DAFF</w:t>
      </w:r>
      <w:r w:rsidR="00AC3B52">
        <w:t xml:space="preserve"> have raised industry</w:t>
      </w:r>
      <w:r w:rsidR="003629B6">
        <w:t xml:space="preserve">’s </w:t>
      </w:r>
      <w:r w:rsidR="00AC3B52">
        <w:t>concerns</w:t>
      </w:r>
      <w:r w:rsidR="003629B6">
        <w:t xml:space="preserve"> about the </w:t>
      </w:r>
      <w:r w:rsidR="00C03C11">
        <w:t>complex nature</w:t>
      </w:r>
      <w:r w:rsidR="003629B6">
        <w:t xml:space="preserve"> </w:t>
      </w:r>
      <w:r w:rsidR="00C03C11">
        <w:t xml:space="preserve">and volume of </w:t>
      </w:r>
      <w:r w:rsidR="003629B6">
        <w:t>work ahead</w:t>
      </w:r>
      <w:r w:rsidR="00AC3B52">
        <w:t xml:space="preserve"> and asked for pathways </w:t>
      </w:r>
      <w:r w:rsidR="003629B6">
        <w:t>where</w:t>
      </w:r>
      <w:r w:rsidR="00AC3B52">
        <w:t xml:space="preserve"> industry can have input in </w:t>
      </w:r>
      <w:r w:rsidR="00C03C11">
        <w:t xml:space="preserve">the </w:t>
      </w:r>
      <w:r w:rsidR="00AC3B52">
        <w:t>early planning stage</w:t>
      </w:r>
      <w:r w:rsidR="003629B6">
        <w:t xml:space="preserve">s. </w:t>
      </w:r>
    </w:p>
    <w:p w14:paraId="367B3745" w14:textId="64430E01" w:rsidR="00AC3B52" w:rsidRDefault="00C6439A" w:rsidP="00AC3B52">
      <w:r>
        <w:t>The group discussed</w:t>
      </w:r>
      <w:r w:rsidR="00EB2C73">
        <w:t xml:space="preserve"> whether </w:t>
      </w:r>
      <w:r w:rsidR="003629B6">
        <w:t>the quarantine site would be an Approved Arrangement (AA)</w:t>
      </w:r>
      <w:r w:rsidR="00C03C11">
        <w:t xml:space="preserve"> facility</w:t>
      </w:r>
      <w:r w:rsidR="003629B6">
        <w:t xml:space="preserve"> </w:t>
      </w:r>
      <w:r w:rsidR="00AC3B52">
        <w:t xml:space="preserve">or </w:t>
      </w:r>
      <w:r w:rsidR="00C03C11">
        <w:t xml:space="preserve">a </w:t>
      </w:r>
      <w:r w:rsidR="00AC3B52">
        <w:t xml:space="preserve">government </w:t>
      </w:r>
      <w:r w:rsidR="003629B6">
        <w:t xml:space="preserve">operated facility. </w:t>
      </w:r>
      <w:r>
        <w:t>T</w:t>
      </w:r>
      <w:r w:rsidR="003629B6">
        <w:t xml:space="preserve">he department </w:t>
      </w:r>
      <w:r>
        <w:t xml:space="preserve">is </w:t>
      </w:r>
      <w:r w:rsidR="00AC3B52">
        <w:t xml:space="preserve">open to either </w:t>
      </w:r>
      <w:r w:rsidR="003629B6">
        <w:t>option</w:t>
      </w:r>
      <w:r w:rsidR="00AC3B52">
        <w:t>. The high numbers of horses</w:t>
      </w:r>
      <w:r w:rsidR="00C03C11">
        <w:t xml:space="preserve"> (</w:t>
      </w:r>
      <w:r w:rsidR="003629B6">
        <w:t>around 200-300</w:t>
      </w:r>
      <w:r w:rsidR="00C03C11">
        <w:t>)</w:t>
      </w:r>
      <w:r w:rsidR="003629B6">
        <w:t xml:space="preserve"> </w:t>
      </w:r>
      <w:r w:rsidR="00AC3B52">
        <w:t xml:space="preserve">and </w:t>
      </w:r>
      <w:r w:rsidR="00C03C11">
        <w:t xml:space="preserve">accompanying </w:t>
      </w:r>
      <w:r w:rsidR="00AC3B52">
        <w:t>people</w:t>
      </w:r>
      <w:r w:rsidR="00FC49CE">
        <w:t xml:space="preserve"> are expected, these people</w:t>
      </w:r>
      <w:r w:rsidR="00AC3B52">
        <w:t xml:space="preserve"> will not be used to </w:t>
      </w:r>
      <w:r w:rsidR="00C03C11">
        <w:t xml:space="preserve">post arrival </w:t>
      </w:r>
      <w:r w:rsidR="00AC3B52">
        <w:t xml:space="preserve">quarantine operations, </w:t>
      </w:r>
      <w:r w:rsidR="00FC49CE">
        <w:t>which</w:t>
      </w:r>
      <w:r w:rsidR="003629B6">
        <w:t xml:space="preserve"> mean</w:t>
      </w:r>
      <w:r w:rsidR="00FC49CE">
        <w:t>s</w:t>
      </w:r>
      <w:r w:rsidR="003629B6">
        <w:t xml:space="preserve"> that </w:t>
      </w:r>
      <w:r w:rsidR="00AC3B52">
        <w:t xml:space="preserve">additional government supervision </w:t>
      </w:r>
      <w:r w:rsidR="00EB2C73">
        <w:t xml:space="preserve">will likely </w:t>
      </w:r>
      <w:r w:rsidR="003629B6">
        <w:t xml:space="preserve">be required. This is </w:t>
      </w:r>
      <w:r w:rsidR="00AC3B52">
        <w:t xml:space="preserve">regardless of </w:t>
      </w:r>
      <w:r w:rsidR="00C03C11">
        <w:t xml:space="preserve">whether </w:t>
      </w:r>
      <w:r w:rsidR="00AC3B52">
        <w:t xml:space="preserve">it is </w:t>
      </w:r>
      <w:r w:rsidR="00C03C11">
        <w:t xml:space="preserve">an </w:t>
      </w:r>
      <w:r w:rsidR="00AC3B52">
        <w:t xml:space="preserve">AA site or government </w:t>
      </w:r>
      <w:r w:rsidR="003629B6">
        <w:t>operated facility</w:t>
      </w:r>
      <w:r w:rsidR="00AC3B52">
        <w:t xml:space="preserve">. </w:t>
      </w:r>
    </w:p>
    <w:p w14:paraId="0EC9956F" w14:textId="48546680" w:rsidR="007A7911" w:rsidRDefault="00017BD3" w:rsidP="00A0494C">
      <w:pPr>
        <w:rPr>
          <w:b/>
          <w:bCs/>
        </w:rPr>
      </w:pPr>
      <w:r>
        <w:t xml:space="preserve">Michelle advised that DAFF would keep industry updated on progress as much as possible, noting that sometimes confidentiality agreements have been in place on some topics. Michelle encouraged attendees to reach out to the </w:t>
      </w:r>
      <w:hyperlink r:id="rId20" w:history="1">
        <w:r w:rsidRPr="004F42B2">
          <w:rPr>
            <w:rStyle w:val="Hyperlink"/>
          </w:rPr>
          <w:t>horses@aff.gov.au</w:t>
        </w:r>
      </w:hyperlink>
      <w:r>
        <w:t xml:space="preserve"> inbox or call the team in ABIB if specific questions arise. </w:t>
      </w:r>
    </w:p>
    <w:p w14:paraId="30A2D9F4" w14:textId="77777777" w:rsidR="00DD0365" w:rsidRDefault="00DD0365">
      <w:pPr>
        <w:spacing w:before="0" w:after="0" w:line="240" w:lineRule="auto"/>
        <w:rPr>
          <w:b/>
          <w:bCs/>
        </w:rPr>
      </w:pPr>
      <w:r>
        <w:rPr>
          <w:b/>
          <w:bCs/>
        </w:rPr>
        <w:br w:type="page"/>
      </w:r>
    </w:p>
    <w:p w14:paraId="6F8BCD69" w14:textId="21CF815F" w:rsidR="004F0EC4" w:rsidRPr="002C14A5" w:rsidRDefault="002C14A5" w:rsidP="002C14A5">
      <w:pPr>
        <w:shd w:val="clear" w:color="auto" w:fill="DEEAF6" w:themeFill="accent1" w:themeFillTint="33"/>
        <w:rPr>
          <w:b/>
          <w:bCs/>
        </w:rPr>
      </w:pPr>
      <w:r>
        <w:rPr>
          <w:b/>
          <w:bCs/>
        </w:rPr>
        <w:lastRenderedPageBreak/>
        <w:t xml:space="preserve">10. </w:t>
      </w:r>
      <w:r w:rsidR="004F0EC4" w:rsidRPr="002C14A5">
        <w:rPr>
          <w:b/>
          <w:bCs/>
        </w:rPr>
        <w:t xml:space="preserve">7.12 approved arrangement condition updates </w:t>
      </w:r>
    </w:p>
    <w:p w14:paraId="2CFE47F1" w14:textId="348F2C47" w:rsidR="004626B0" w:rsidRPr="004626B0" w:rsidRDefault="00AC3B52" w:rsidP="004626B0">
      <w:r>
        <w:t>Danni Davis</w:t>
      </w:r>
      <w:r w:rsidR="004626B0">
        <w:t xml:space="preserve">, ABIB, provided an overview of updates to the </w:t>
      </w:r>
      <w:r>
        <w:t>7.12 AA conditions</w:t>
      </w:r>
      <w:r w:rsidR="000535F6">
        <w:t xml:space="preserve"> which </w:t>
      </w:r>
      <w:r w:rsidR="004626B0">
        <w:t xml:space="preserve">are the conditions that </w:t>
      </w:r>
      <w:r>
        <w:t>must be met by private</w:t>
      </w:r>
      <w:r w:rsidR="004626B0">
        <w:t xml:space="preserve">ly </w:t>
      </w:r>
      <w:r>
        <w:t xml:space="preserve">operated quarantine facilities </w:t>
      </w:r>
      <w:r w:rsidR="004626B0">
        <w:t>for horses</w:t>
      </w:r>
      <w:r w:rsidR="001F080E">
        <w:t>. These</w:t>
      </w:r>
      <w:r w:rsidR="004626B0" w:rsidRPr="004626B0">
        <w:t xml:space="preserve"> facilities are audited </w:t>
      </w:r>
      <w:r w:rsidR="001F080E">
        <w:t xml:space="preserve">by the department </w:t>
      </w:r>
      <w:r w:rsidR="004626B0" w:rsidRPr="004626B0">
        <w:t>against the approved arrangement requirements annually.</w:t>
      </w:r>
    </w:p>
    <w:p w14:paraId="468567F4" w14:textId="0929ECC5" w:rsidR="00AC3B52" w:rsidRDefault="00670D3F" w:rsidP="004626B0">
      <w:r>
        <w:t xml:space="preserve">ABIB </w:t>
      </w:r>
      <w:r w:rsidR="00AC3B52">
        <w:t xml:space="preserve">has been updating </w:t>
      </w:r>
      <w:r w:rsidR="004626B0">
        <w:t xml:space="preserve">the 7.12 </w:t>
      </w:r>
      <w:r w:rsidR="00AC3B52">
        <w:t xml:space="preserve">conditions after consultation with AA site operators, industry, </w:t>
      </w:r>
      <w:r w:rsidR="004626B0">
        <w:t xml:space="preserve">auditors and colleagues working at the AA sites and MQF. Aside from general reformatting and clarification of wording throughout, the major updates include: </w:t>
      </w:r>
    </w:p>
    <w:p w14:paraId="72D4789C" w14:textId="42B38241" w:rsidR="004626B0" w:rsidRPr="004626B0" w:rsidRDefault="004626B0" w:rsidP="00CA41EA">
      <w:pPr>
        <w:pStyle w:val="ListParagraph"/>
        <w:numPr>
          <w:ilvl w:val="0"/>
          <w:numId w:val="31"/>
        </w:numPr>
        <w:autoSpaceDE w:val="0"/>
        <w:autoSpaceDN w:val="0"/>
        <w:spacing w:before="0" w:after="0" w:line="240" w:lineRule="auto"/>
        <w:contextualSpacing w:val="0"/>
        <w:rPr>
          <w:rFonts w:eastAsia="Times New Roman"/>
        </w:rPr>
      </w:pPr>
      <w:r w:rsidRPr="004626B0">
        <w:rPr>
          <w:rFonts w:eastAsia="Times New Roman"/>
        </w:rPr>
        <w:t>the addition of wash bay conditions directly into the 7.12 instead of AA sites needing to meet both 7.12 and 4.3 wash bay conditions</w:t>
      </w:r>
    </w:p>
    <w:p w14:paraId="5C23DE6C" w14:textId="30BC3FE9" w:rsidR="004626B0" w:rsidRPr="004626B0" w:rsidRDefault="004626B0" w:rsidP="00CA41EA">
      <w:pPr>
        <w:pStyle w:val="ListParagraph"/>
        <w:numPr>
          <w:ilvl w:val="0"/>
          <w:numId w:val="31"/>
        </w:numPr>
        <w:autoSpaceDE w:val="0"/>
        <w:autoSpaceDN w:val="0"/>
        <w:spacing w:before="0" w:after="0" w:line="240" w:lineRule="auto"/>
        <w:contextualSpacing w:val="0"/>
        <w:rPr>
          <w:rFonts w:eastAsia="Times New Roman"/>
        </w:rPr>
      </w:pPr>
      <w:r w:rsidRPr="004626B0">
        <w:rPr>
          <w:rFonts w:eastAsia="Times New Roman"/>
        </w:rPr>
        <w:t>the addition of an option for hypochlorite treatment of wastewater for facilities or areas without connection to sewer</w:t>
      </w:r>
    </w:p>
    <w:p w14:paraId="6718C8D9" w14:textId="4D810428" w:rsidR="004626B0" w:rsidRPr="004626B0" w:rsidRDefault="004626B0" w:rsidP="00CA41EA">
      <w:pPr>
        <w:pStyle w:val="ListParagraph"/>
        <w:numPr>
          <w:ilvl w:val="0"/>
          <w:numId w:val="31"/>
        </w:numPr>
        <w:autoSpaceDE w:val="0"/>
        <w:autoSpaceDN w:val="0"/>
        <w:spacing w:before="0" w:after="0" w:line="240" w:lineRule="auto"/>
        <w:contextualSpacing w:val="0"/>
        <w:rPr>
          <w:rFonts w:eastAsia="Times New Roman"/>
        </w:rPr>
      </w:pPr>
      <w:r w:rsidRPr="004626B0">
        <w:rPr>
          <w:rFonts w:eastAsia="Times New Roman"/>
        </w:rPr>
        <w:t>removal of allowance for some items to be taken out of the AA site during quarantine</w:t>
      </w:r>
    </w:p>
    <w:p w14:paraId="3CDE1116" w14:textId="529731F1" w:rsidR="004626B0" w:rsidRPr="004626B0" w:rsidRDefault="004626B0" w:rsidP="00CA41EA">
      <w:pPr>
        <w:pStyle w:val="ListParagraph"/>
        <w:numPr>
          <w:ilvl w:val="0"/>
          <w:numId w:val="31"/>
        </w:numPr>
        <w:autoSpaceDE w:val="0"/>
        <w:autoSpaceDN w:val="0"/>
        <w:spacing w:before="0" w:after="0" w:line="240" w:lineRule="auto"/>
        <w:contextualSpacing w:val="0"/>
        <w:rPr>
          <w:rFonts w:eastAsia="Times New Roman"/>
        </w:rPr>
      </w:pPr>
      <w:r w:rsidRPr="004626B0">
        <w:rPr>
          <w:rFonts w:eastAsia="Times New Roman"/>
        </w:rPr>
        <w:t>clarification of the on-arrival requirement for a nasopharyngeal swab to be collected from horses that are transported to Australia on aircraft with horses that have completed pre-export quarantine at other facilities</w:t>
      </w:r>
    </w:p>
    <w:p w14:paraId="2E42542E" w14:textId="1A241022" w:rsidR="004626B0" w:rsidRPr="004626B0" w:rsidRDefault="00066DCC" w:rsidP="00CA41EA">
      <w:pPr>
        <w:pStyle w:val="ListParagraph"/>
        <w:numPr>
          <w:ilvl w:val="0"/>
          <w:numId w:val="31"/>
        </w:numPr>
        <w:autoSpaceDE w:val="0"/>
        <w:autoSpaceDN w:val="0"/>
        <w:spacing w:before="0" w:after="0" w:line="240" w:lineRule="auto"/>
        <w:contextualSpacing w:val="0"/>
        <w:rPr>
          <w:rFonts w:eastAsia="Times New Roman"/>
        </w:rPr>
      </w:pPr>
      <w:r>
        <w:rPr>
          <w:rFonts w:eastAsia="Times New Roman"/>
        </w:rPr>
        <w:t xml:space="preserve">addition of </w:t>
      </w:r>
      <w:r w:rsidR="004626B0" w:rsidRPr="004626B0">
        <w:rPr>
          <w:rFonts w:eastAsia="Times New Roman"/>
        </w:rPr>
        <w:t xml:space="preserve">flexibility to many of the non-conformity ratings associated </w:t>
      </w:r>
      <w:r>
        <w:rPr>
          <w:rFonts w:eastAsia="Times New Roman"/>
        </w:rPr>
        <w:t xml:space="preserve">with </w:t>
      </w:r>
      <w:r w:rsidR="004626B0" w:rsidRPr="004626B0">
        <w:rPr>
          <w:rFonts w:eastAsia="Times New Roman"/>
        </w:rPr>
        <w:t>the conditions which will ensure audit non-compliance findings are consistent with the level of risk posed.</w:t>
      </w:r>
    </w:p>
    <w:p w14:paraId="0814E9BE" w14:textId="0E548967" w:rsidR="002049A3" w:rsidRDefault="004626B0" w:rsidP="004626B0">
      <w:r>
        <w:t xml:space="preserve">The proposed </w:t>
      </w:r>
      <w:r w:rsidR="002049A3">
        <w:t xml:space="preserve">updates </w:t>
      </w:r>
      <w:r>
        <w:t>have been passed on</w:t>
      </w:r>
      <w:r w:rsidR="000535F6">
        <w:t xml:space="preserve"> </w:t>
      </w:r>
      <w:r>
        <w:t>to the</w:t>
      </w:r>
      <w:r w:rsidR="002049A3">
        <w:t xml:space="preserve"> DAFF </w:t>
      </w:r>
      <w:r w:rsidR="00066DCC">
        <w:t>AA</w:t>
      </w:r>
      <w:r w:rsidR="002049A3">
        <w:t xml:space="preserve"> team </w:t>
      </w:r>
      <w:r>
        <w:t>and</w:t>
      </w:r>
      <w:r w:rsidR="002049A3">
        <w:t xml:space="preserve"> are on the</w:t>
      </w:r>
      <w:r>
        <w:t xml:space="preserve">ir </w:t>
      </w:r>
      <w:r w:rsidR="002049A3">
        <w:t>workplan</w:t>
      </w:r>
      <w:r>
        <w:t xml:space="preserve"> for completion this year. The </w:t>
      </w:r>
      <w:r w:rsidR="002049A3">
        <w:t xml:space="preserve">AA team have advised there is likely </w:t>
      </w:r>
      <w:r w:rsidR="00066DCC">
        <w:t xml:space="preserve">to be </w:t>
      </w:r>
      <w:r w:rsidR="002049A3">
        <w:t>formal consultation with AA site operators, and</w:t>
      </w:r>
      <w:r w:rsidR="005A49A3">
        <w:t xml:space="preserve"> they</w:t>
      </w:r>
      <w:r w:rsidR="002049A3">
        <w:t xml:space="preserve"> will issue </w:t>
      </w:r>
      <w:r>
        <w:t>a N</w:t>
      </w:r>
      <w:r w:rsidR="002049A3">
        <w:t xml:space="preserve">otice of </w:t>
      </w:r>
      <w:r>
        <w:t>I</w:t>
      </w:r>
      <w:r w:rsidR="002049A3">
        <w:t xml:space="preserve">ntent to vary </w:t>
      </w:r>
      <w:r w:rsidR="005A49A3">
        <w:t>any affected A</w:t>
      </w:r>
      <w:r w:rsidR="00FC49CE">
        <w:t>A</w:t>
      </w:r>
      <w:r w:rsidR="005A49A3">
        <w:t>s</w:t>
      </w:r>
      <w:r w:rsidR="00FC49CE">
        <w:t xml:space="preserve"> if needed</w:t>
      </w:r>
      <w:r>
        <w:t>.</w:t>
      </w:r>
      <w:r w:rsidR="002049A3">
        <w:t xml:space="preserve"> </w:t>
      </w:r>
    </w:p>
    <w:p w14:paraId="4BCBCAD3" w14:textId="795F0FBE" w:rsidR="002049A3" w:rsidRPr="00AC3B52" w:rsidRDefault="004626B0" w:rsidP="002049A3">
      <w:r>
        <w:t xml:space="preserve">Danni </w:t>
      </w:r>
      <w:r w:rsidR="000535F6">
        <w:t xml:space="preserve">requested </w:t>
      </w:r>
      <w:r w:rsidR="002049A3">
        <w:t xml:space="preserve">any members of HICC </w:t>
      </w:r>
      <w:r w:rsidR="000535F6">
        <w:t>that ha</w:t>
      </w:r>
      <w:r w:rsidR="002049A3">
        <w:t xml:space="preserve">ve an interest in </w:t>
      </w:r>
      <w:r>
        <w:t>the</w:t>
      </w:r>
      <w:r w:rsidR="002049A3">
        <w:t xml:space="preserve"> updates </w:t>
      </w:r>
      <w:r w:rsidR="000535F6">
        <w:t xml:space="preserve">to </w:t>
      </w:r>
      <w:r w:rsidR="002049A3">
        <w:t xml:space="preserve">email </w:t>
      </w:r>
      <w:r w:rsidR="00066DCC">
        <w:t xml:space="preserve">the </w:t>
      </w:r>
      <w:r w:rsidR="002049A3">
        <w:t>horses</w:t>
      </w:r>
      <w:r w:rsidR="00066DCC">
        <w:t xml:space="preserve"> inbox</w:t>
      </w:r>
      <w:r w:rsidR="005A49A3">
        <w:t xml:space="preserve"> to ensure they are kept informed</w:t>
      </w:r>
      <w:r>
        <w:t xml:space="preserve">. </w:t>
      </w:r>
    </w:p>
    <w:p w14:paraId="3C911ABA" w14:textId="561FDB55" w:rsidR="004F0EC4" w:rsidRPr="002C14A5" w:rsidRDefault="002C14A5" w:rsidP="002C14A5">
      <w:pPr>
        <w:shd w:val="clear" w:color="auto" w:fill="DEEAF6" w:themeFill="accent1" w:themeFillTint="33"/>
        <w:rPr>
          <w:b/>
          <w:bCs/>
        </w:rPr>
      </w:pPr>
      <w:r>
        <w:rPr>
          <w:b/>
          <w:bCs/>
        </w:rPr>
        <w:t xml:space="preserve">11. </w:t>
      </w:r>
      <w:r w:rsidR="004F0EC4" w:rsidRPr="002C14A5">
        <w:rPr>
          <w:b/>
          <w:bCs/>
        </w:rPr>
        <w:t xml:space="preserve">Other business </w:t>
      </w:r>
    </w:p>
    <w:p w14:paraId="0509F535" w14:textId="3F5E4254" w:rsidR="002049A3" w:rsidRDefault="004626B0" w:rsidP="002049A3">
      <w:r>
        <w:t>None</w:t>
      </w:r>
    </w:p>
    <w:p w14:paraId="3C3979D9" w14:textId="4B7686BB" w:rsidR="0075718E" w:rsidRPr="004626B0" w:rsidRDefault="002049A3" w:rsidP="0075718E">
      <w:r>
        <w:t xml:space="preserve">The subcommittee </w:t>
      </w:r>
      <w:r w:rsidR="00066DCC">
        <w:t xml:space="preserve">meeting </w:t>
      </w:r>
      <w:r>
        <w:t>wil</w:t>
      </w:r>
      <w:r w:rsidR="003629B6">
        <w:t>l</w:t>
      </w:r>
      <w:r>
        <w:t xml:space="preserve"> be brough</w:t>
      </w:r>
      <w:r w:rsidR="00066DCC">
        <w:t>t</w:t>
      </w:r>
      <w:r>
        <w:t xml:space="preserve"> forward to 12pm (was 12:30pm). </w:t>
      </w:r>
    </w:p>
    <w:p w14:paraId="0EC33A54" w14:textId="5154C3FA" w:rsidR="0075718E" w:rsidRPr="0075718E" w:rsidRDefault="002C14A5" w:rsidP="004626B0">
      <w:pPr>
        <w:shd w:val="clear" w:color="auto" w:fill="DEEAF6" w:themeFill="accent1" w:themeFillTint="33"/>
        <w:rPr>
          <w:b/>
          <w:bCs/>
        </w:rPr>
      </w:pPr>
      <w:r>
        <w:rPr>
          <w:b/>
          <w:bCs/>
        </w:rPr>
        <w:t xml:space="preserve">12. </w:t>
      </w:r>
      <w:r w:rsidR="004F0EC4" w:rsidRPr="002C14A5">
        <w:rPr>
          <w:b/>
          <w:bCs/>
        </w:rPr>
        <w:t xml:space="preserve">Close and next meeting details </w:t>
      </w:r>
    </w:p>
    <w:p w14:paraId="65CA64FC" w14:textId="20910ADD" w:rsidR="002049A3" w:rsidRDefault="002049A3" w:rsidP="0075718E">
      <w:r>
        <w:t xml:space="preserve">Meeting close 11:25am </w:t>
      </w:r>
    </w:p>
    <w:p w14:paraId="74DE6C5F" w14:textId="42BBCF73" w:rsidR="002C14A5" w:rsidRDefault="00066DCC" w:rsidP="0075718E">
      <w:r>
        <w:t>D</w:t>
      </w:r>
      <w:r w:rsidR="004626B0">
        <w:t xml:space="preserve">etails of the next </w:t>
      </w:r>
      <w:r>
        <w:t xml:space="preserve">HICC </w:t>
      </w:r>
      <w:r w:rsidR="004626B0">
        <w:t xml:space="preserve">meeting will be released closer to the date. </w:t>
      </w:r>
    </w:p>
    <w:p w14:paraId="3424C781" w14:textId="00182A1F" w:rsidR="0075718E" w:rsidRDefault="0075718E" w:rsidP="00A0494C">
      <w:pPr>
        <w:shd w:val="clear" w:color="auto" w:fill="DEEAF6" w:themeFill="accent1" w:themeFillTint="33"/>
        <w:rPr>
          <w:b/>
          <w:bCs/>
        </w:rPr>
      </w:pPr>
      <w:r>
        <w:rPr>
          <w:b/>
          <w:bCs/>
        </w:rPr>
        <w:t xml:space="preserve">SUMMARY OF ACTION ITEMS </w:t>
      </w:r>
      <w:r w:rsidR="004626B0">
        <w:rPr>
          <w:b/>
          <w:bCs/>
        </w:rPr>
        <w:tab/>
      </w:r>
    </w:p>
    <w:p w14:paraId="53FD20E3" w14:textId="77777777" w:rsidR="00B613AE" w:rsidRPr="00AC7953" w:rsidRDefault="00B613AE" w:rsidP="00A0494C">
      <w:pPr>
        <w:spacing w:beforeLines="50" w:afterLines="50" w:line="240" w:lineRule="auto"/>
      </w:pPr>
      <w:r>
        <w:rPr>
          <w:b/>
          <w:bCs/>
        </w:rPr>
        <w:t xml:space="preserve">Action Item 1: </w:t>
      </w:r>
      <w:r>
        <w:t xml:space="preserve">Rick Hawe to provide photographs to meeting attendees showing construction progress at WSA. </w:t>
      </w:r>
    </w:p>
    <w:p w14:paraId="50E4DC73" w14:textId="77777777" w:rsidR="00B613AE" w:rsidRPr="00A87D5B" w:rsidRDefault="00B613AE" w:rsidP="00A0494C">
      <w:pPr>
        <w:spacing w:beforeLines="50" w:afterLines="50" w:line="240" w:lineRule="auto"/>
      </w:pPr>
      <w:r w:rsidRPr="00BF6F34">
        <w:rPr>
          <w:b/>
          <w:bCs/>
        </w:rPr>
        <w:t>Action Item 2:</w:t>
      </w:r>
      <w:r>
        <w:t xml:space="preserve"> ABIB</w:t>
      </w:r>
      <w:r w:rsidRPr="00670D3F">
        <w:t xml:space="preserve"> will follow up with ACDP to determine if IFAT and cELISA can be made available for use prior to PCR readiness</w:t>
      </w:r>
      <w:r>
        <w:t>.</w:t>
      </w:r>
    </w:p>
    <w:p w14:paraId="31AFBBC5" w14:textId="77777777" w:rsidR="00B613AE" w:rsidRPr="00AC7953" w:rsidRDefault="00B613AE" w:rsidP="00A0494C">
      <w:pPr>
        <w:spacing w:beforeLines="50" w:afterLines="50" w:line="240" w:lineRule="auto"/>
      </w:pPr>
      <w:r>
        <w:rPr>
          <w:b/>
          <w:bCs/>
        </w:rPr>
        <w:t xml:space="preserve">Action item 3: </w:t>
      </w:r>
      <w:r>
        <w:t xml:space="preserve">ABIB to publish actual horse import statistics to the departments website and notify attendees when this has occurred. </w:t>
      </w:r>
    </w:p>
    <w:p w14:paraId="406D79C5" w14:textId="78AC4298" w:rsidR="004626B0" w:rsidRPr="0075718E" w:rsidRDefault="001C5A0A" w:rsidP="00A0494C">
      <w:pPr>
        <w:spacing w:beforeLines="50" w:afterLines="50" w:line="240" w:lineRule="auto"/>
        <w:rPr>
          <w:b/>
          <w:bCs/>
        </w:rPr>
      </w:pPr>
      <w:r w:rsidRPr="00AC7953">
        <w:rPr>
          <w:b/>
          <w:bCs/>
        </w:rPr>
        <w:t>Action item</w:t>
      </w:r>
      <w:r>
        <w:rPr>
          <w:b/>
          <w:bCs/>
        </w:rPr>
        <w:t xml:space="preserve"> 4</w:t>
      </w:r>
      <w:r w:rsidRPr="00AC7953">
        <w:rPr>
          <w:b/>
          <w:bCs/>
        </w:rPr>
        <w:t xml:space="preserve">: </w:t>
      </w:r>
      <w:r>
        <w:t xml:space="preserve">Ben Wilson to provide updated cost information per cost centre, and therefore commodity, at the next HICC meeting once further work on this has been completed. </w:t>
      </w:r>
    </w:p>
    <w:sectPr w:rsidR="004626B0" w:rsidRPr="0075718E" w:rsidSect="00C21CD5">
      <w:type w:val="continuous"/>
      <w:pgSz w:w="11906" w:h="16838" w:code="9"/>
      <w:pgMar w:top="703" w:right="851" w:bottom="284" w:left="851" w:header="567"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F878" w14:textId="77777777" w:rsidR="00716F08" w:rsidRDefault="00716F08">
      <w:r>
        <w:separator/>
      </w:r>
    </w:p>
  </w:endnote>
  <w:endnote w:type="continuationSeparator" w:id="0">
    <w:p w14:paraId="798FCC1B" w14:textId="77777777" w:rsidR="00716F08" w:rsidRDefault="0071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FD47" w14:textId="77777777" w:rsidR="005C284D" w:rsidRDefault="005C284D">
    <w:pPr>
      <w:pStyle w:val="Footer"/>
    </w:pPr>
    <w:r>
      <w:rPr>
        <w:noProof/>
      </w:rPr>
      <mc:AlternateContent>
        <mc:Choice Requires="wps">
          <w:drawing>
            <wp:anchor distT="0" distB="0" distL="0" distR="0" simplePos="0" relativeHeight="251658752" behindDoc="0" locked="0" layoutInCell="1" allowOverlap="1" wp14:anchorId="5117AA00" wp14:editId="5BA7DFAF">
              <wp:simplePos x="635" y="635"/>
              <wp:positionH relativeFrom="page">
                <wp:align>center</wp:align>
              </wp:positionH>
              <wp:positionV relativeFrom="page">
                <wp:align>bottom</wp:align>
              </wp:positionV>
              <wp:extent cx="551815" cy="480695"/>
              <wp:effectExtent l="0" t="0" r="635" b="0"/>
              <wp:wrapNone/>
              <wp:docPr id="4976454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D4B7883"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7AA00" id="_x0000_t202" coordsize="21600,21600" o:spt="202" path="m,l,21600r21600,l21600,xe">
              <v:stroke joinstyle="miter"/>
              <v:path gradientshapeok="t" o:connecttype="rect"/>
            </v:shapetype>
            <v:shape id="Text Box 5" o:spid="_x0000_s1028" type="#_x0000_t202" alt="OFFICIAL" style="position:absolute;margin-left:0;margin-top:0;width:43.45pt;height:37.8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1D4B7883"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743B" w14:textId="138CC09F" w:rsidR="00095B27" w:rsidRDefault="005C284D" w:rsidP="00C21CD5">
    <w:pPr>
      <w:tabs>
        <w:tab w:val="left" w:pos="8931"/>
      </w:tabs>
      <w:suppressAutoHyphens/>
      <w:spacing w:before="80" w:after="0"/>
      <w:rPr>
        <w:rFonts w:cs="Arial"/>
        <w:sz w:val="20"/>
        <w:szCs w:val="20"/>
      </w:rPr>
    </w:pPr>
    <w:r>
      <w:rPr>
        <w:rFonts w:cs="Arial"/>
        <w:noProof/>
        <w:sz w:val="20"/>
        <w:szCs w:val="20"/>
      </w:rPr>
      <mc:AlternateContent>
        <mc:Choice Requires="wps">
          <w:drawing>
            <wp:anchor distT="0" distB="0" distL="0" distR="0" simplePos="0" relativeHeight="251659776" behindDoc="0" locked="0" layoutInCell="1" allowOverlap="1" wp14:anchorId="5101DA54" wp14:editId="523D23D3">
              <wp:simplePos x="545910" y="10085696"/>
              <wp:positionH relativeFrom="page">
                <wp:align>center</wp:align>
              </wp:positionH>
              <wp:positionV relativeFrom="page">
                <wp:align>bottom</wp:align>
              </wp:positionV>
              <wp:extent cx="551815" cy="480695"/>
              <wp:effectExtent l="0" t="0" r="635" b="0"/>
              <wp:wrapNone/>
              <wp:docPr id="196396031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30BCDEE"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1DA54"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030BCDEE"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r w:rsidR="002C14A5">
      <w:rPr>
        <w:rFonts w:cs="Arial"/>
        <w:sz w:val="20"/>
        <w:szCs w:val="20"/>
      </w:rPr>
      <w:t xml:space="preserve">Department of Agriculture, Fisheries and Forestry </w:t>
    </w:r>
    <w:r w:rsidR="00A106A4">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86A9" w14:textId="0DBCDAE4" w:rsidR="00095B27" w:rsidRDefault="005C284D">
    <w:pPr>
      <w:tabs>
        <w:tab w:val="left" w:pos="8931"/>
      </w:tabs>
      <w:suppressAutoHyphens/>
      <w:rPr>
        <w:rFonts w:cs="Arial"/>
        <w:sz w:val="20"/>
        <w:szCs w:val="20"/>
      </w:rPr>
    </w:pPr>
    <w:r>
      <w:rPr>
        <w:rFonts w:cs="Arial"/>
        <w:noProof/>
        <w:sz w:val="20"/>
        <w:szCs w:val="20"/>
      </w:rPr>
      <mc:AlternateContent>
        <mc:Choice Requires="wps">
          <w:drawing>
            <wp:anchor distT="0" distB="0" distL="0" distR="0" simplePos="0" relativeHeight="251657728" behindDoc="0" locked="0" layoutInCell="1" allowOverlap="1" wp14:anchorId="1201FC2C" wp14:editId="626F1C91">
              <wp:simplePos x="545910" y="10085696"/>
              <wp:positionH relativeFrom="page">
                <wp:align>center</wp:align>
              </wp:positionH>
              <wp:positionV relativeFrom="page">
                <wp:align>bottom</wp:align>
              </wp:positionV>
              <wp:extent cx="551815" cy="480695"/>
              <wp:effectExtent l="0" t="0" r="635" b="0"/>
              <wp:wrapNone/>
              <wp:docPr id="61686790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B819AA8"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01FC2C"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6B819AA8"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r w:rsidR="006119CC">
      <w:rPr>
        <w:rFonts w:cs="Arial"/>
        <w:sz w:val="20"/>
        <w:szCs w:val="20"/>
      </w:rPr>
      <w:t>Department of Agriculture, Fisheries and Forestry</w:t>
    </w:r>
    <w:r w:rsidR="00A106A4">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25D29" w14:textId="77777777" w:rsidR="00716F08" w:rsidRDefault="00716F08">
      <w:r>
        <w:separator/>
      </w:r>
    </w:p>
  </w:footnote>
  <w:footnote w:type="continuationSeparator" w:id="0">
    <w:p w14:paraId="3190F80B" w14:textId="77777777" w:rsidR="00716F08" w:rsidRDefault="0071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B3E5" w14:textId="77777777" w:rsidR="005C284D" w:rsidRDefault="005C284D">
    <w:pPr>
      <w:pStyle w:val="Header"/>
    </w:pPr>
    <w:r>
      <w:rPr>
        <w:noProof/>
      </w:rPr>
      <mc:AlternateContent>
        <mc:Choice Requires="wps">
          <w:drawing>
            <wp:anchor distT="0" distB="0" distL="0" distR="0" simplePos="0" relativeHeight="251656704" behindDoc="0" locked="0" layoutInCell="1" allowOverlap="1" wp14:anchorId="6A85F403" wp14:editId="3521881A">
              <wp:simplePos x="635" y="635"/>
              <wp:positionH relativeFrom="page">
                <wp:align>center</wp:align>
              </wp:positionH>
              <wp:positionV relativeFrom="page">
                <wp:align>top</wp:align>
              </wp:positionV>
              <wp:extent cx="551815" cy="480695"/>
              <wp:effectExtent l="0" t="0" r="635" b="14605"/>
              <wp:wrapNone/>
              <wp:docPr id="13046281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04D33F6"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85F403"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704D33F6"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72850" w14:textId="0FC74B87" w:rsidR="005C284D" w:rsidRDefault="009952B6" w:rsidP="00114A10">
    <w:pPr>
      <w:pStyle w:val="Header"/>
      <w:spacing w:after="240"/>
    </w:pPr>
    <w:r>
      <w:rPr>
        <w:noProof/>
        <w:lang w:eastAsia="en-AU"/>
      </w:rPr>
      <w:drawing>
        <wp:inline distT="0" distB="0" distL="0" distR="0" wp14:anchorId="6828CB59" wp14:editId="4B8F539C">
          <wp:extent cx="1591294" cy="462470"/>
          <wp:effectExtent l="0" t="0" r="0" b="0"/>
          <wp:docPr id="1689316567" name="Picture 168931656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352" cy="467718"/>
                  </a:xfrm>
                  <a:prstGeom prst="rect">
                    <a:avLst/>
                  </a:prstGeom>
                </pic:spPr>
              </pic:pic>
            </a:graphicData>
          </a:graphic>
        </wp:inline>
      </w:drawing>
    </w:r>
    <w:r w:rsidR="005C284D">
      <w:rPr>
        <w:noProof/>
      </w:rPr>
      <mc:AlternateContent>
        <mc:Choice Requires="wps">
          <w:drawing>
            <wp:anchor distT="0" distB="0" distL="0" distR="0" simplePos="0" relativeHeight="251654656" behindDoc="0" locked="0" layoutInCell="1" allowOverlap="1" wp14:anchorId="7E0ABBB4" wp14:editId="0228332B">
              <wp:simplePos x="545910" y="354842"/>
              <wp:positionH relativeFrom="page">
                <wp:align>center</wp:align>
              </wp:positionH>
              <wp:positionV relativeFrom="page">
                <wp:align>top</wp:align>
              </wp:positionV>
              <wp:extent cx="551815" cy="480695"/>
              <wp:effectExtent l="0" t="0" r="635" b="14605"/>
              <wp:wrapNone/>
              <wp:docPr id="35071436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BFE7F07"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0ABBB4"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1BFE7F07"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9759" w14:textId="2664FFC6" w:rsidR="00095B27" w:rsidRDefault="009952B6">
    <w:pPr>
      <w:suppressAutoHyphens/>
    </w:pPr>
    <w:r>
      <w:rPr>
        <w:noProof/>
        <w:lang w:eastAsia="en-AU"/>
      </w:rPr>
      <w:drawing>
        <wp:inline distT="0" distB="0" distL="0" distR="0" wp14:anchorId="0BB5228E" wp14:editId="3EFB49F9">
          <wp:extent cx="2101933" cy="610874"/>
          <wp:effectExtent l="0" t="0" r="0" b="0"/>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1967" cy="613790"/>
                  </a:xfrm>
                  <a:prstGeom prst="rect">
                    <a:avLst/>
                  </a:prstGeom>
                </pic:spPr>
              </pic:pic>
            </a:graphicData>
          </a:graphic>
        </wp:inline>
      </w:drawing>
    </w:r>
    <w:r w:rsidR="005C284D">
      <w:rPr>
        <w:noProof/>
      </w:rPr>
      <mc:AlternateContent>
        <mc:Choice Requires="wps">
          <w:drawing>
            <wp:anchor distT="0" distB="0" distL="0" distR="0" simplePos="0" relativeHeight="251655680" behindDoc="0" locked="0" layoutInCell="1" allowOverlap="1" wp14:anchorId="59F67C5D" wp14:editId="5B3FAECB">
              <wp:simplePos x="545910" y="354842"/>
              <wp:positionH relativeFrom="page">
                <wp:align>center</wp:align>
              </wp:positionH>
              <wp:positionV relativeFrom="page">
                <wp:align>top</wp:align>
              </wp:positionV>
              <wp:extent cx="551815" cy="480695"/>
              <wp:effectExtent l="0" t="0" r="635" b="14605"/>
              <wp:wrapNone/>
              <wp:docPr id="7337810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4C0A2CC"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F67C5D"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34C0A2CC" w14:textId="77777777" w:rsidR="005C284D" w:rsidRPr="005C284D" w:rsidRDefault="005C284D" w:rsidP="005C284D">
                    <w:pPr>
                      <w:spacing w:after="0"/>
                      <w:rPr>
                        <w:rFonts w:cs="Calibri"/>
                        <w:noProof/>
                        <w:color w:val="FF0000"/>
                        <w:sz w:val="24"/>
                        <w:szCs w:val="24"/>
                      </w:rPr>
                    </w:pPr>
                    <w:r w:rsidRPr="005C284D">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06608F1"/>
    <w:multiLevelType w:val="hybridMultilevel"/>
    <w:tmpl w:val="CBF89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676C93"/>
    <w:multiLevelType w:val="hybridMultilevel"/>
    <w:tmpl w:val="2F729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546B1"/>
    <w:multiLevelType w:val="hybridMultilevel"/>
    <w:tmpl w:val="4538C1D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A40D0D"/>
    <w:multiLevelType w:val="hybridMultilevel"/>
    <w:tmpl w:val="D4D8F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66681"/>
    <w:multiLevelType w:val="hybridMultilevel"/>
    <w:tmpl w:val="7500F0C0"/>
    <w:lvl w:ilvl="0" w:tplc="6F987C84">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064E6"/>
    <w:multiLevelType w:val="hybridMultilevel"/>
    <w:tmpl w:val="5088D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0" w15:restartNumberingAfterBreak="0">
    <w:nsid w:val="2E9C6325"/>
    <w:multiLevelType w:val="hybridMultilevel"/>
    <w:tmpl w:val="7D6E5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30851"/>
    <w:multiLevelType w:val="hybridMultilevel"/>
    <w:tmpl w:val="84BE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A77E07"/>
    <w:multiLevelType w:val="hybridMultilevel"/>
    <w:tmpl w:val="53F0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D81F8B"/>
    <w:multiLevelType w:val="hybridMultilevel"/>
    <w:tmpl w:val="0C080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2D387A"/>
    <w:multiLevelType w:val="hybridMultilevel"/>
    <w:tmpl w:val="3E72F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4F402E"/>
    <w:multiLevelType w:val="hybridMultilevel"/>
    <w:tmpl w:val="F2067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641C3"/>
    <w:multiLevelType w:val="hybridMultilevel"/>
    <w:tmpl w:val="34504650"/>
    <w:lvl w:ilvl="0" w:tplc="CD7A42EE">
      <w:start w:val="1"/>
      <w:numFmt w:val="decimal"/>
      <w:pStyle w:val="Heading3"/>
      <w:lvlText w:val="%1"/>
      <w:lvlJc w:val="left"/>
      <w:pPr>
        <w:ind w:left="502" w:hanging="360"/>
      </w:pPr>
      <w:rPr>
        <w:rFonts w:hint="default"/>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17" w15:restartNumberingAfterBreak="0">
    <w:nsid w:val="3E0F1586"/>
    <w:multiLevelType w:val="hybridMultilevel"/>
    <w:tmpl w:val="1B108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784AD0"/>
    <w:multiLevelType w:val="hybridMultilevel"/>
    <w:tmpl w:val="8A881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0" w15:restartNumberingAfterBreak="0">
    <w:nsid w:val="43BE165F"/>
    <w:multiLevelType w:val="hybridMultilevel"/>
    <w:tmpl w:val="0D1E9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255ACB"/>
    <w:multiLevelType w:val="hybridMultilevel"/>
    <w:tmpl w:val="549C4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933FA4"/>
    <w:multiLevelType w:val="hybridMultilevel"/>
    <w:tmpl w:val="EAFEC3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787E5F"/>
    <w:multiLevelType w:val="hybridMultilevel"/>
    <w:tmpl w:val="18444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D875EAB"/>
    <w:multiLevelType w:val="hybridMultilevel"/>
    <w:tmpl w:val="3D44B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EB256C"/>
    <w:multiLevelType w:val="hybridMultilevel"/>
    <w:tmpl w:val="FCA01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741E56"/>
    <w:multiLevelType w:val="hybridMultilevel"/>
    <w:tmpl w:val="F0B4E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D90A6E"/>
    <w:multiLevelType w:val="hybridMultilevel"/>
    <w:tmpl w:val="B6B49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461C46"/>
    <w:multiLevelType w:val="hybridMultilevel"/>
    <w:tmpl w:val="DB5C0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1"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2" w15:restartNumberingAfterBreak="0">
    <w:nsid w:val="72946E37"/>
    <w:multiLevelType w:val="hybridMultilevel"/>
    <w:tmpl w:val="2048C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C401E4"/>
    <w:multiLevelType w:val="hybridMultilevel"/>
    <w:tmpl w:val="47ECA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9351ED"/>
    <w:multiLevelType w:val="hybridMultilevel"/>
    <w:tmpl w:val="9AAC6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6C3976"/>
    <w:multiLevelType w:val="hybridMultilevel"/>
    <w:tmpl w:val="306AD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793F3F"/>
    <w:multiLevelType w:val="hybridMultilevel"/>
    <w:tmpl w:val="048A5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79430E"/>
    <w:multiLevelType w:val="hybridMultilevel"/>
    <w:tmpl w:val="CCAC7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450863">
    <w:abstractNumId w:val="16"/>
  </w:num>
  <w:num w:numId="2" w16cid:durableId="1746218266">
    <w:abstractNumId w:val="31"/>
  </w:num>
  <w:num w:numId="3" w16cid:durableId="1558010447">
    <w:abstractNumId w:val="9"/>
  </w:num>
  <w:num w:numId="4" w16cid:durableId="1020663769">
    <w:abstractNumId w:val="2"/>
  </w:num>
  <w:num w:numId="5" w16cid:durableId="602612778">
    <w:abstractNumId w:val="1"/>
    <w:lvlOverride w:ilvl="0">
      <w:startOverride w:val="1"/>
    </w:lvlOverride>
  </w:num>
  <w:num w:numId="6" w16cid:durableId="830678260">
    <w:abstractNumId w:val="19"/>
    <w:lvlOverride w:ilvl="0">
      <w:startOverride w:val="1"/>
    </w:lvlOverride>
  </w:num>
  <w:num w:numId="7" w16cid:durableId="773135000">
    <w:abstractNumId w:val="30"/>
    <w:lvlOverride w:ilvl="0">
      <w:startOverride w:val="1"/>
    </w:lvlOverride>
  </w:num>
  <w:num w:numId="8" w16cid:durableId="1759207277">
    <w:abstractNumId w:val="0"/>
    <w:lvlOverride w:ilvl="0">
      <w:startOverride w:val="1"/>
    </w:lvlOverride>
  </w:num>
  <w:num w:numId="9" w16cid:durableId="944264896">
    <w:abstractNumId w:val="24"/>
  </w:num>
  <w:num w:numId="10" w16cid:durableId="641497625">
    <w:abstractNumId w:val="33"/>
  </w:num>
  <w:num w:numId="11" w16cid:durableId="1126120759">
    <w:abstractNumId w:val="7"/>
  </w:num>
  <w:num w:numId="12" w16cid:durableId="1043213934">
    <w:abstractNumId w:val="25"/>
  </w:num>
  <w:num w:numId="13" w16cid:durableId="1088497278">
    <w:abstractNumId w:val="27"/>
  </w:num>
  <w:num w:numId="14" w16cid:durableId="678779352">
    <w:abstractNumId w:val="35"/>
  </w:num>
  <w:num w:numId="15" w16cid:durableId="588657918">
    <w:abstractNumId w:val="14"/>
  </w:num>
  <w:num w:numId="16" w16cid:durableId="34937415">
    <w:abstractNumId w:val="15"/>
  </w:num>
  <w:num w:numId="17" w16cid:durableId="1087196471">
    <w:abstractNumId w:val="32"/>
  </w:num>
  <w:num w:numId="18" w16cid:durableId="1137332936">
    <w:abstractNumId w:val="36"/>
  </w:num>
  <w:num w:numId="19" w16cid:durableId="2080977784">
    <w:abstractNumId w:val="18"/>
  </w:num>
  <w:num w:numId="20" w16cid:durableId="2049067913">
    <w:abstractNumId w:val="34"/>
  </w:num>
  <w:num w:numId="21" w16cid:durableId="1265267349">
    <w:abstractNumId w:val="37"/>
  </w:num>
  <w:num w:numId="22" w16cid:durableId="156969728">
    <w:abstractNumId w:val="23"/>
  </w:num>
  <w:num w:numId="23" w16cid:durableId="1122652247">
    <w:abstractNumId w:val="22"/>
  </w:num>
  <w:num w:numId="24" w16cid:durableId="1931740294">
    <w:abstractNumId w:val="13"/>
  </w:num>
  <w:num w:numId="25" w16cid:durableId="269893905">
    <w:abstractNumId w:val="29"/>
  </w:num>
  <w:num w:numId="26" w16cid:durableId="1230733171">
    <w:abstractNumId w:val="10"/>
  </w:num>
  <w:num w:numId="27" w16cid:durableId="75245163">
    <w:abstractNumId w:val="4"/>
  </w:num>
  <w:num w:numId="28" w16cid:durableId="1692603685">
    <w:abstractNumId w:val="28"/>
  </w:num>
  <w:num w:numId="29" w16cid:durableId="525144369">
    <w:abstractNumId w:val="21"/>
  </w:num>
  <w:num w:numId="30" w16cid:durableId="424502463">
    <w:abstractNumId w:val="20"/>
  </w:num>
  <w:num w:numId="31" w16cid:durableId="753746908">
    <w:abstractNumId w:val="6"/>
  </w:num>
  <w:num w:numId="32" w16cid:durableId="1513304161">
    <w:abstractNumId w:val="12"/>
  </w:num>
  <w:num w:numId="33" w16cid:durableId="1102720879">
    <w:abstractNumId w:val="26"/>
  </w:num>
  <w:num w:numId="34" w16cid:durableId="2032341520">
    <w:abstractNumId w:val="8"/>
  </w:num>
  <w:num w:numId="35" w16cid:durableId="1062673133">
    <w:abstractNumId w:val="17"/>
  </w:num>
  <w:num w:numId="36" w16cid:durableId="1790976363">
    <w:abstractNumId w:val="11"/>
  </w:num>
  <w:num w:numId="37" w16cid:durableId="746221118">
    <w:abstractNumId w:val="5"/>
  </w:num>
  <w:num w:numId="38" w16cid:durableId="82748060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08"/>
    <w:rsid w:val="00007AD1"/>
    <w:rsid w:val="00010743"/>
    <w:rsid w:val="00017BD3"/>
    <w:rsid w:val="000275CA"/>
    <w:rsid w:val="00031264"/>
    <w:rsid w:val="000336DA"/>
    <w:rsid w:val="00050152"/>
    <w:rsid w:val="0005209E"/>
    <w:rsid w:val="0005256E"/>
    <w:rsid w:val="000535F6"/>
    <w:rsid w:val="000561A9"/>
    <w:rsid w:val="000633FE"/>
    <w:rsid w:val="00066DCC"/>
    <w:rsid w:val="00071927"/>
    <w:rsid w:val="0007296E"/>
    <w:rsid w:val="00074C2C"/>
    <w:rsid w:val="00077CF9"/>
    <w:rsid w:val="00081CDE"/>
    <w:rsid w:val="00092640"/>
    <w:rsid w:val="00095B27"/>
    <w:rsid w:val="00096644"/>
    <w:rsid w:val="0009735B"/>
    <w:rsid w:val="0009795A"/>
    <w:rsid w:val="000A1070"/>
    <w:rsid w:val="000C0265"/>
    <w:rsid w:val="000C11F5"/>
    <w:rsid w:val="000D25C6"/>
    <w:rsid w:val="000D3B75"/>
    <w:rsid w:val="000E7748"/>
    <w:rsid w:val="00107415"/>
    <w:rsid w:val="00114A10"/>
    <w:rsid w:val="00115468"/>
    <w:rsid w:val="00120DE7"/>
    <w:rsid w:val="00124E9F"/>
    <w:rsid w:val="00126779"/>
    <w:rsid w:val="00126F1C"/>
    <w:rsid w:val="00130FF6"/>
    <w:rsid w:val="001350C6"/>
    <w:rsid w:val="001404C4"/>
    <w:rsid w:val="001540B0"/>
    <w:rsid w:val="00160562"/>
    <w:rsid w:val="00163CD8"/>
    <w:rsid w:val="001662C8"/>
    <w:rsid w:val="00170B30"/>
    <w:rsid w:val="00170D77"/>
    <w:rsid w:val="0018345A"/>
    <w:rsid w:val="001853A7"/>
    <w:rsid w:val="0019365F"/>
    <w:rsid w:val="001942CD"/>
    <w:rsid w:val="0019708E"/>
    <w:rsid w:val="001978F5"/>
    <w:rsid w:val="001A5A0F"/>
    <w:rsid w:val="001C3B07"/>
    <w:rsid w:val="001C5A0A"/>
    <w:rsid w:val="001D02A7"/>
    <w:rsid w:val="001D224D"/>
    <w:rsid w:val="001D64C0"/>
    <w:rsid w:val="001E0523"/>
    <w:rsid w:val="001F080E"/>
    <w:rsid w:val="001F11A6"/>
    <w:rsid w:val="001F2560"/>
    <w:rsid w:val="002049A3"/>
    <w:rsid w:val="0020669D"/>
    <w:rsid w:val="00233AEF"/>
    <w:rsid w:val="00234E71"/>
    <w:rsid w:val="00241328"/>
    <w:rsid w:val="0024676B"/>
    <w:rsid w:val="002504A0"/>
    <w:rsid w:val="0025146E"/>
    <w:rsid w:val="00292774"/>
    <w:rsid w:val="00297037"/>
    <w:rsid w:val="002A1EC9"/>
    <w:rsid w:val="002A7D23"/>
    <w:rsid w:val="002C14A5"/>
    <w:rsid w:val="002C38F2"/>
    <w:rsid w:val="002C519D"/>
    <w:rsid w:val="00307C61"/>
    <w:rsid w:val="00313F55"/>
    <w:rsid w:val="00334929"/>
    <w:rsid w:val="00334E2F"/>
    <w:rsid w:val="00335E3A"/>
    <w:rsid w:val="00337CAD"/>
    <w:rsid w:val="00343490"/>
    <w:rsid w:val="003629B6"/>
    <w:rsid w:val="003663BA"/>
    <w:rsid w:val="0037072D"/>
    <w:rsid w:val="00370F65"/>
    <w:rsid w:val="0037382C"/>
    <w:rsid w:val="00374499"/>
    <w:rsid w:val="00375D8B"/>
    <w:rsid w:val="00375E2E"/>
    <w:rsid w:val="00386EE4"/>
    <w:rsid w:val="003A56DB"/>
    <w:rsid w:val="003C2214"/>
    <w:rsid w:val="003C470F"/>
    <w:rsid w:val="003C750F"/>
    <w:rsid w:val="003E3FCF"/>
    <w:rsid w:val="003E4D23"/>
    <w:rsid w:val="003E5523"/>
    <w:rsid w:val="003F5EC6"/>
    <w:rsid w:val="00403A05"/>
    <w:rsid w:val="00411CB3"/>
    <w:rsid w:val="004202D8"/>
    <w:rsid w:val="00420D30"/>
    <w:rsid w:val="00423C69"/>
    <w:rsid w:val="00423F06"/>
    <w:rsid w:val="00424FC3"/>
    <w:rsid w:val="00426B55"/>
    <w:rsid w:val="00437FB7"/>
    <w:rsid w:val="00447B5D"/>
    <w:rsid w:val="004626B0"/>
    <w:rsid w:val="0047254C"/>
    <w:rsid w:val="00481A01"/>
    <w:rsid w:val="004B206C"/>
    <w:rsid w:val="004C2191"/>
    <w:rsid w:val="004C259D"/>
    <w:rsid w:val="004D45C4"/>
    <w:rsid w:val="004D62EE"/>
    <w:rsid w:val="004E25CD"/>
    <w:rsid w:val="004E41D9"/>
    <w:rsid w:val="004F0EC4"/>
    <w:rsid w:val="004F5F76"/>
    <w:rsid w:val="00507171"/>
    <w:rsid w:val="00513BF9"/>
    <w:rsid w:val="005159A7"/>
    <w:rsid w:val="00534FF0"/>
    <w:rsid w:val="00545270"/>
    <w:rsid w:val="00546421"/>
    <w:rsid w:val="00551E6C"/>
    <w:rsid w:val="00554B59"/>
    <w:rsid w:val="005629E2"/>
    <w:rsid w:val="00572217"/>
    <w:rsid w:val="00574C65"/>
    <w:rsid w:val="00575E21"/>
    <w:rsid w:val="0058069B"/>
    <w:rsid w:val="005931EF"/>
    <w:rsid w:val="005936EA"/>
    <w:rsid w:val="0059504C"/>
    <w:rsid w:val="005A3818"/>
    <w:rsid w:val="005A49A3"/>
    <w:rsid w:val="005A67BA"/>
    <w:rsid w:val="005B2C2B"/>
    <w:rsid w:val="005B377D"/>
    <w:rsid w:val="005B7F53"/>
    <w:rsid w:val="005C284D"/>
    <w:rsid w:val="005D1735"/>
    <w:rsid w:val="005D35E6"/>
    <w:rsid w:val="005D54E1"/>
    <w:rsid w:val="005E1247"/>
    <w:rsid w:val="005E1787"/>
    <w:rsid w:val="005E5082"/>
    <w:rsid w:val="00606B25"/>
    <w:rsid w:val="006119CC"/>
    <w:rsid w:val="00626A27"/>
    <w:rsid w:val="00630EF8"/>
    <w:rsid w:val="0063287C"/>
    <w:rsid w:val="00655ED2"/>
    <w:rsid w:val="00662435"/>
    <w:rsid w:val="006638D4"/>
    <w:rsid w:val="0066489C"/>
    <w:rsid w:val="006648F5"/>
    <w:rsid w:val="00670D3F"/>
    <w:rsid w:val="00680261"/>
    <w:rsid w:val="00680D7B"/>
    <w:rsid w:val="00681DC6"/>
    <w:rsid w:val="0068334C"/>
    <w:rsid w:val="006938AC"/>
    <w:rsid w:val="006941FB"/>
    <w:rsid w:val="006A247C"/>
    <w:rsid w:val="006D0246"/>
    <w:rsid w:val="006D63CC"/>
    <w:rsid w:val="006E793F"/>
    <w:rsid w:val="0071223A"/>
    <w:rsid w:val="00716837"/>
    <w:rsid w:val="00716D74"/>
    <w:rsid w:val="00716F08"/>
    <w:rsid w:val="00724329"/>
    <w:rsid w:val="0073044A"/>
    <w:rsid w:val="00734F44"/>
    <w:rsid w:val="0075718E"/>
    <w:rsid w:val="007711DA"/>
    <w:rsid w:val="00781C4B"/>
    <w:rsid w:val="007875A6"/>
    <w:rsid w:val="00787DCA"/>
    <w:rsid w:val="00791727"/>
    <w:rsid w:val="007A7911"/>
    <w:rsid w:val="007B1310"/>
    <w:rsid w:val="007C4B75"/>
    <w:rsid w:val="007D6334"/>
    <w:rsid w:val="007E2104"/>
    <w:rsid w:val="007E22FE"/>
    <w:rsid w:val="007E293D"/>
    <w:rsid w:val="007F0919"/>
    <w:rsid w:val="007F31C8"/>
    <w:rsid w:val="007F5A4B"/>
    <w:rsid w:val="00807C91"/>
    <w:rsid w:val="00813ABF"/>
    <w:rsid w:val="0082428D"/>
    <w:rsid w:val="00836F7E"/>
    <w:rsid w:val="00865692"/>
    <w:rsid w:val="00865EB7"/>
    <w:rsid w:val="00875836"/>
    <w:rsid w:val="00880BEF"/>
    <w:rsid w:val="0088716A"/>
    <w:rsid w:val="0089209A"/>
    <w:rsid w:val="00897A57"/>
    <w:rsid w:val="008A4D3D"/>
    <w:rsid w:val="008A4DF3"/>
    <w:rsid w:val="008A50DE"/>
    <w:rsid w:val="008B0809"/>
    <w:rsid w:val="008B1B3B"/>
    <w:rsid w:val="008B3881"/>
    <w:rsid w:val="008B3C4A"/>
    <w:rsid w:val="008B618D"/>
    <w:rsid w:val="008B7344"/>
    <w:rsid w:val="008B7E8F"/>
    <w:rsid w:val="008C1D15"/>
    <w:rsid w:val="008C6EE3"/>
    <w:rsid w:val="008D5EB6"/>
    <w:rsid w:val="008E4C54"/>
    <w:rsid w:val="008F1DDB"/>
    <w:rsid w:val="008F7E86"/>
    <w:rsid w:val="008F7ED6"/>
    <w:rsid w:val="009059C6"/>
    <w:rsid w:val="00926758"/>
    <w:rsid w:val="0093551A"/>
    <w:rsid w:val="00960C75"/>
    <w:rsid w:val="00967AB9"/>
    <w:rsid w:val="00984F07"/>
    <w:rsid w:val="009952B6"/>
    <w:rsid w:val="009A0C2C"/>
    <w:rsid w:val="009A14B8"/>
    <w:rsid w:val="009B1D51"/>
    <w:rsid w:val="009B4963"/>
    <w:rsid w:val="009C1A48"/>
    <w:rsid w:val="009D717C"/>
    <w:rsid w:val="009E08A3"/>
    <w:rsid w:val="009E283D"/>
    <w:rsid w:val="009E6A53"/>
    <w:rsid w:val="009E74D4"/>
    <w:rsid w:val="00A0494C"/>
    <w:rsid w:val="00A106A4"/>
    <w:rsid w:val="00A67A2A"/>
    <w:rsid w:val="00A701B1"/>
    <w:rsid w:val="00A82898"/>
    <w:rsid w:val="00A84E7B"/>
    <w:rsid w:val="00A87D5B"/>
    <w:rsid w:val="00A94D63"/>
    <w:rsid w:val="00AA2B0F"/>
    <w:rsid w:val="00AC044A"/>
    <w:rsid w:val="00AC3B52"/>
    <w:rsid w:val="00AC6B6F"/>
    <w:rsid w:val="00AC7953"/>
    <w:rsid w:val="00AC795F"/>
    <w:rsid w:val="00AF0D08"/>
    <w:rsid w:val="00AF687B"/>
    <w:rsid w:val="00B13D5C"/>
    <w:rsid w:val="00B23AD2"/>
    <w:rsid w:val="00B25988"/>
    <w:rsid w:val="00B349BD"/>
    <w:rsid w:val="00B34BD6"/>
    <w:rsid w:val="00B41DEB"/>
    <w:rsid w:val="00B425DD"/>
    <w:rsid w:val="00B50E4F"/>
    <w:rsid w:val="00B52321"/>
    <w:rsid w:val="00B5517F"/>
    <w:rsid w:val="00B613AE"/>
    <w:rsid w:val="00B701A0"/>
    <w:rsid w:val="00B728A9"/>
    <w:rsid w:val="00B740BC"/>
    <w:rsid w:val="00B81A61"/>
    <w:rsid w:val="00B830B5"/>
    <w:rsid w:val="00B83CCD"/>
    <w:rsid w:val="00B83D7A"/>
    <w:rsid w:val="00B85656"/>
    <w:rsid w:val="00BC1E0A"/>
    <w:rsid w:val="00BC2FD5"/>
    <w:rsid w:val="00BE1545"/>
    <w:rsid w:val="00BF023F"/>
    <w:rsid w:val="00BF5068"/>
    <w:rsid w:val="00BF5FE1"/>
    <w:rsid w:val="00BF6F34"/>
    <w:rsid w:val="00C03C11"/>
    <w:rsid w:val="00C0591F"/>
    <w:rsid w:val="00C12358"/>
    <w:rsid w:val="00C130E3"/>
    <w:rsid w:val="00C21CD5"/>
    <w:rsid w:val="00C270A8"/>
    <w:rsid w:val="00C32837"/>
    <w:rsid w:val="00C35D0E"/>
    <w:rsid w:val="00C52061"/>
    <w:rsid w:val="00C54F07"/>
    <w:rsid w:val="00C567B2"/>
    <w:rsid w:val="00C60BCF"/>
    <w:rsid w:val="00C6439A"/>
    <w:rsid w:val="00CA41EA"/>
    <w:rsid w:val="00CC3F29"/>
    <w:rsid w:val="00CC44EC"/>
    <w:rsid w:val="00CD1954"/>
    <w:rsid w:val="00CD3F99"/>
    <w:rsid w:val="00CE4851"/>
    <w:rsid w:val="00CF23C5"/>
    <w:rsid w:val="00D13216"/>
    <w:rsid w:val="00D17D5F"/>
    <w:rsid w:val="00D21648"/>
    <w:rsid w:val="00D41567"/>
    <w:rsid w:val="00D529FE"/>
    <w:rsid w:val="00D61A77"/>
    <w:rsid w:val="00D81E4F"/>
    <w:rsid w:val="00D82691"/>
    <w:rsid w:val="00DA19FE"/>
    <w:rsid w:val="00DA63C8"/>
    <w:rsid w:val="00DA7719"/>
    <w:rsid w:val="00DB57DC"/>
    <w:rsid w:val="00DD01FF"/>
    <w:rsid w:val="00DD0365"/>
    <w:rsid w:val="00DD3372"/>
    <w:rsid w:val="00DD377D"/>
    <w:rsid w:val="00DE21C0"/>
    <w:rsid w:val="00E030B3"/>
    <w:rsid w:val="00E03A92"/>
    <w:rsid w:val="00E0581D"/>
    <w:rsid w:val="00E05986"/>
    <w:rsid w:val="00E13CB9"/>
    <w:rsid w:val="00E2598F"/>
    <w:rsid w:val="00E30119"/>
    <w:rsid w:val="00E34543"/>
    <w:rsid w:val="00E37733"/>
    <w:rsid w:val="00E37A8F"/>
    <w:rsid w:val="00E70B09"/>
    <w:rsid w:val="00E84B07"/>
    <w:rsid w:val="00E87E24"/>
    <w:rsid w:val="00E95A13"/>
    <w:rsid w:val="00E976C5"/>
    <w:rsid w:val="00E97DCE"/>
    <w:rsid w:val="00EB2C73"/>
    <w:rsid w:val="00EB582B"/>
    <w:rsid w:val="00ED1189"/>
    <w:rsid w:val="00ED1DAC"/>
    <w:rsid w:val="00ED4AC2"/>
    <w:rsid w:val="00EE42FE"/>
    <w:rsid w:val="00EF2102"/>
    <w:rsid w:val="00EF2348"/>
    <w:rsid w:val="00EF45D0"/>
    <w:rsid w:val="00F04029"/>
    <w:rsid w:val="00F13EDC"/>
    <w:rsid w:val="00F1534F"/>
    <w:rsid w:val="00F350B2"/>
    <w:rsid w:val="00F36C06"/>
    <w:rsid w:val="00F4384B"/>
    <w:rsid w:val="00F618F4"/>
    <w:rsid w:val="00F95242"/>
    <w:rsid w:val="00F9682C"/>
    <w:rsid w:val="00FA0557"/>
    <w:rsid w:val="00FA284D"/>
    <w:rsid w:val="00FB4A01"/>
    <w:rsid w:val="00FC49CE"/>
    <w:rsid w:val="00FE1279"/>
    <w:rsid w:val="00FE4E4D"/>
    <w:rsid w:val="00FF0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DE0C7"/>
  <w15:chartTrackingRefBased/>
  <w15:docId w15:val="{0F431C65-1687-43DD-89BD-84A1FF31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B6"/>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pPr>
      <w:keepNext/>
      <w:keepLines/>
      <w:numPr>
        <w:ilvl w:val="1"/>
        <w:numId w:val="2"/>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ind w:left="284" w:hanging="284"/>
      <w:outlineLvl w:val="2"/>
    </w:pPr>
    <w:rPr>
      <w:b/>
    </w:rPr>
  </w:style>
  <w:style w:type="paragraph" w:styleId="Heading4">
    <w:name w:val="heading 4"/>
    <w:basedOn w:val="Normal"/>
    <w:next w:val="Normal"/>
    <w:link w:val="Heading4Char"/>
    <w:uiPriority w:val="9"/>
    <w:unhideWhenUsed/>
    <w:qFormat/>
    <w:pPr>
      <w:keepNext/>
      <w:numPr>
        <w:ilvl w:val="3"/>
        <w:numId w:val="2"/>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2"/>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2"/>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2"/>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2"/>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2"/>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3"/>
      </w:numPr>
    </w:pPr>
  </w:style>
  <w:style w:type="paragraph" w:styleId="ListBullet">
    <w:name w:val="List Bullet"/>
    <w:basedOn w:val="Normal"/>
    <w:uiPriority w:val="7"/>
    <w:qFormat/>
    <w:pPr>
      <w:numPr>
        <w:numId w:val="4"/>
      </w:numPr>
      <w:tabs>
        <w:tab w:val="clear" w:pos="360"/>
      </w:tabs>
    </w:pPr>
  </w:style>
  <w:style w:type="paragraph" w:styleId="ListBullet2">
    <w:name w:val="List Bullet 2"/>
    <w:basedOn w:val="Normal"/>
    <w:uiPriority w:val="8"/>
    <w:qFormat/>
    <w:pPr>
      <w:numPr>
        <w:numId w:val="5"/>
      </w:numPr>
      <w:tabs>
        <w:tab w:val="clear" w:pos="643"/>
        <w:tab w:val="num" w:pos="567"/>
      </w:tabs>
      <w:contextualSpacing/>
    </w:pPr>
  </w:style>
  <w:style w:type="paragraph" w:styleId="ListNumber">
    <w:name w:val="List Number"/>
    <w:basedOn w:val="Normal"/>
    <w:uiPriority w:val="9"/>
    <w:qFormat/>
    <w:pPr>
      <w:numPr>
        <w:numId w:val="6"/>
      </w:numPr>
      <w:tabs>
        <w:tab w:val="left" w:pos="284"/>
      </w:tabs>
    </w:pPr>
  </w:style>
  <w:style w:type="paragraph" w:styleId="ListNumber2">
    <w:name w:val="List Number 2"/>
    <w:uiPriority w:val="10"/>
    <w:qFormat/>
    <w:pPr>
      <w:numPr>
        <w:numId w:val="7"/>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8"/>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9"/>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pPr>
      <w:keepNext/>
      <w:keepLines/>
      <w:spacing w:after="0"/>
      <w:outlineLvl w:val="1"/>
    </w:pPr>
    <w:rPr>
      <w:rFonts w:eastAsia="Times New Roman"/>
      <w:b/>
      <w:bCs/>
      <w:color w:val="4F81BD"/>
      <w:sz w:val="26"/>
      <w:szCs w:val="26"/>
    </w:rPr>
  </w:style>
  <w:style w:type="character" w:customStyle="1" w:styleId="SubtitleChar">
    <w:name w:val="Subtitle Char"/>
    <w:link w:val="Subtitle"/>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4F0EC4"/>
    <w:pPr>
      <w:ind w:left="720"/>
      <w:contextualSpacing/>
    </w:pPr>
  </w:style>
  <w:style w:type="paragraph" w:customStyle="1" w:styleId="xxmsonormal">
    <w:name w:val="x_xmsonormal"/>
    <w:basedOn w:val="Normal"/>
    <w:rsid w:val="000275CA"/>
    <w:pPr>
      <w:spacing w:before="0" w:after="0" w:line="240" w:lineRule="auto"/>
    </w:pPr>
    <w:rPr>
      <w:rFonts w:eastAsiaTheme="minorHAns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9695">
      <w:bodyDiv w:val="1"/>
      <w:marLeft w:val="0"/>
      <w:marRight w:val="0"/>
      <w:marTop w:val="0"/>
      <w:marBottom w:val="0"/>
      <w:divBdr>
        <w:top w:val="none" w:sz="0" w:space="0" w:color="auto"/>
        <w:left w:val="none" w:sz="0" w:space="0" w:color="auto"/>
        <w:bottom w:val="none" w:sz="0" w:space="0" w:color="auto"/>
        <w:right w:val="none" w:sz="0" w:space="0" w:color="auto"/>
      </w:divBdr>
    </w:div>
    <w:div w:id="285888009">
      <w:bodyDiv w:val="1"/>
      <w:marLeft w:val="0"/>
      <w:marRight w:val="0"/>
      <w:marTop w:val="0"/>
      <w:marBottom w:val="0"/>
      <w:divBdr>
        <w:top w:val="none" w:sz="0" w:space="0" w:color="auto"/>
        <w:left w:val="none" w:sz="0" w:space="0" w:color="auto"/>
        <w:bottom w:val="none" w:sz="0" w:space="0" w:color="auto"/>
        <w:right w:val="none" w:sz="0" w:space="0" w:color="auto"/>
      </w:divBdr>
    </w:div>
    <w:div w:id="541945837">
      <w:bodyDiv w:val="1"/>
      <w:marLeft w:val="0"/>
      <w:marRight w:val="0"/>
      <w:marTop w:val="0"/>
      <w:marBottom w:val="0"/>
      <w:divBdr>
        <w:top w:val="none" w:sz="0" w:space="0" w:color="auto"/>
        <w:left w:val="none" w:sz="0" w:space="0" w:color="auto"/>
        <w:bottom w:val="none" w:sz="0" w:space="0" w:color="auto"/>
        <w:right w:val="none" w:sz="0" w:space="0" w:color="auto"/>
      </w:divBdr>
    </w:div>
    <w:div w:id="849611488">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270696409">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griculture.gov.au/biosecurity-trade/import/goods/live-animals/importing-live-horses/notice-industry-1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griculture.gov.au/biosecurity-trade/import/goods/live-animals/importing-live-horses/notice-industry-1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orses@aff.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griculture.gov.au/biosecurity-trade/import/goods/live-animals/importing-live-horses/notice-industry-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pplication_form_and_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36D2-D2A2-4154-96BC-3EED3FBCB264}">
  <ds:schemaRefs>
    <ds:schemaRef ds:uri="c527c9b7-9ec8-4c5f-a515-89657b782942"/>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EA66F298-9F12-45D6-B42E-AE919CC3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Application_form_and_brief</Template>
  <TotalTime>83</TotalTime>
  <Pages>9</Pages>
  <Words>4819</Words>
  <Characters>26611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Application form and brief</vt:lpstr>
    </vt:vector>
  </TitlesOfParts>
  <Company/>
  <LinksUpToDate>false</LinksUpToDate>
  <CharactersWithSpaces>31368</CharactersWithSpaces>
  <SharedDoc>false</SharedDoc>
  <HLinks>
    <vt:vector size="66" baseType="variant">
      <vt:variant>
        <vt:i4>2555957</vt:i4>
      </vt:variant>
      <vt:variant>
        <vt:i4>99</vt:i4>
      </vt:variant>
      <vt:variant>
        <vt:i4>0</vt:i4>
      </vt:variant>
      <vt:variant>
        <vt:i4>5</vt:i4>
      </vt:variant>
      <vt:variant>
        <vt:lpwstr>http://www.agriculture.gov.au/about/privacy</vt:lpwstr>
      </vt:variant>
      <vt:variant>
        <vt:lpwstr/>
      </vt:variant>
      <vt:variant>
        <vt:i4>1507407</vt:i4>
      </vt:variant>
      <vt:variant>
        <vt:i4>84</vt:i4>
      </vt:variant>
      <vt:variant>
        <vt:i4>0</vt:i4>
      </vt:variant>
      <vt:variant>
        <vt:i4>5</vt:i4>
      </vt:variant>
      <vt:variant>
        <vt:lpwstr>http://www.agriculture.gov.au/yourwebpage</vt:lpwstr>
      </vt:variant>
      <vt:variant>
        <vt:lpwstr/>
      </vt:variant>
      <vt:variant>
        <vt:i4>6356996</vt:i4>
      </vt:variant>
      <vt:variant>
        <vt:i4>81</vt:i4>
      </vt:variant>
      <vt:variant>
        <vt:i4>0</vt:i4>
      </vt:variant>
      <vt:variant>
        <vt:i4>5</vt:i4>
      </vt:variant>
      <vt:variant>
        <vt:lpwstr>mailto:yourinbox@agriculture.gov.au</vt:lpwstr>
      </vt:variant>
      <vt:variant>
        <vt:lpwstr/>
      </vt:variant>
      <vt:variant>
        <vt:i4>131147</vt:i4>
      </vt:variant>
      <vt:variant>
        <vt:i4>78</vt:i4>
      </vt:variant>
      <vt:variant>
        <vt:i4>0</vt:i4>
      </vt:variant>
      <vt:variant>
        <vt:i4>5</vt:i4>
      </vt:variant>
      <vt:variant>
        <vt:lpwstr>http://www.agriculture.gov.au/about/payments/credit-card-form</vt:lpwstr>
      </vt:variant>
      <vt:variant>
        <vt:lpwstr/>
      </vt:variant>
      <vt:variant>
        <vt:i4>6291565</vt:i4>
      </vt:variant>
      <vt:variant>
        <vt:i4>69</vt:i4>
      </vt:variant>
      <vt:variant>
        <vt:i4>0</vt:i4>
      </vt:variant>
      <vt:variant>
        <vt:i4>5</vt:i4>
      </vt:variant>
      <vt:variant>
        <vt:lpwstr>http://www.agriculture.gov.au/cats-dogs/fees-for-cat-and-dog-import-permit-applications?wasRedirectedByModule=true</vt:lpwstr>
      </vt:variant>
      <vt:variant>
        <vt:lpwstr/>
      </vt:variant>
      <vt:variant>
        <vt:i4>2228277</vt:i4>
      </vt:variant>
      <vt:variant>
        <vt:i4>66</vt:i4>
      </vt:variant>
      <vt:variant>
        <vt:i4>0</vt:i4>
      </vt:variant>
      <vt:variant>
        <vt:i4>5</vt:i4>
      </vt:variant>
      <vt:variant>
        <vt:lpwstr>http://www.agriculture.gov.au/import/online-services/bicon</vt:lpwstr>
      </vt:variant>
      <vt:variant>
        <vt:lpwstr/>
      </vt:variant>
      <vt:variant>
        <vt:i4>589848</vt:i4>
      </vt:variant>
      <vt:variant>
        <vt:i4>47</vt:i4>
      </vt:variant>
      <vt:variant>
        <vt:i4>0</vt:i4>
      </vt:variant>
      <vt:variant>
        <vt:i4>5</vt:i4>
      </vt:variant>
      <vt:variant>
        <vt:lpwstr>http://mylink.agdaff.gov.au/PolProc/FOI/Privacy/Pages/DAFFforms.aspx</vt:lpwstr>
      </vt:variant>
      <vt:variant>
        <vt:lpwstr/>
      </vt:variant>
      <vt:variant>
        <vt:i4>4849724</vt:i4>
      </vt:variant>
      <vt:variant>
        <vt:i4>44</vt:i4>
      </vt:variant>
      <vt:variant>
        <vt:i4>0</vt:i4>
      </vt:variant>
      <vt:variant>
        <vt:i4>5</vt:i4>
      </vt:variant>
      <vt:variant>
        <vt:lpwstr/>
      </vt:variant>
      <vt:variant>
        <vt:lpwstr>_Section_E:_Privacy</vt:lpwstr>
      </vt:variant>
      <vt:variant>
        <vt:i4>1835110</vt:i4>
      </vt:variant>
      <vt:variant>
        <vt:i4>3</vt:i4>
      </vt:variant>
      <vt:variant>
        <vt:i4>0</vt:i4>
      </vt:variant>
      <vt:variant>
        <vt:i4>5</vt:i4>
      </vt:variant>
      <vt:variant>
        <vt:lpwstr>mailto:Editing@agriculture.gov.au</vt:lpwstr>
      </vt:variant>
      <vt:variant>
        <vt:lpwstr/>
      </vt:variant>
      <vt:variant>
        <vt:i4>5374077</vt:i4>
      </vt:variant>
      <vt:variant>
        <vt:i4>0</vt:i4>
      </vt:variant>
      <vt:variant>
        <vt:i4>0</vt:i4>
      </vt:variant>
      <vt:variant>
        <vt:i4>5</vt:i4>
      </vt:variant>
      <vt:variant>
        <vt:lpwstr>C:\Users\church julia\AppData\Local\Microsoft\Windows\INetCache\Content.Outlook\V3TOJMLV\privacy@agriculture.gov.au</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and brief</dc:title>
  <dc:subject/>
  <dc:creator>Horan, Emma</dc:creator>
  <cp:keywords/>
  <cp:lastModifiedBy>Davis, Danni</cp:lastModifiedBy>
  <cp:revision>7</cp:revision>
  <cp:lastPrinted>2025-06-26T02:33:00Z</cp:lastPrinted>
  <dcterms:created xsi:type="dcterms:W3CDTF">2025-06-23T01:20:00Z</dcterms:created>
  <dcterms:modified xsi:type="dcterms:W3CDTF">2025-06-26T02:33:00Z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0x0101002C982D4D3ABBAF49949BEA620E23A834</vt:lpwstr>
  </property>
  <property fmtid="{D5CDD505-2E9C-101B-9397-08002B2CF9AE}" pid="6" name="ClassificationContentMarkingHeaderShapeIds">
    <vt:lpwstr>2bbc9c14,4dc30b91,14e77a01</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24c4a83f,1da977b9,750fa7f6</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933d8be6-3c40-4052-87a2-9c2adcba8759_Enabled">
    <vt:lpwstr>true</vt:lpwstr>
  </property>
  <property fmtid="{D5CDD505-2E9C-101B-9397-08002B2CF9AE}" pid="13" name="MSIP_Label_933d8be6-3c40-4052-87a2-9c2adcba8759_SetDate">
    <vt:lpwstr>2024-07-17T04:43:56Z</vt:lpwstr>
  </property>
  <property fmtid="{D5CDD505-2E9C-101B-9397-08002B2CF9AE}" pid="14" name="MSIP_Label_933d8be6-3c40-4052-87a2-9c2adcba8759_Method">
    <vt:lpwstr>Privileged</vt:lpwstr>
  </property>
  <property fmtid="{D5CDD505-2E9C-101B-9397-08002B2CF9AE}" pid="15" name="MSIP_Label_933d8be6-3c40-4052-87a2-9c2adcba8759_Name">
    <vt:lpwstr>OFFICIAL</vt:lpwstr>
  </property>
  <property fmtid="{D5CDD505-2E9C-101B-9397-08002B2CF9AE}" pid="16" name="MSIP_Label_933d8be6-3c40-4052-87a2-9c2adcba8759_SiteId">
    <vt:lpwstr>2be67eb7-400c-4b3f-a5a1-1258c0da0696</vt:lpwstr>
  </property>
  <property fmtid="{D5CDD505-2E9C-101B-9397-08002B2CF9AE}" pid="17" name="MSIP_Label_933d8be6-3c40-4052-87a2-9c2adcba8759_ActionId">
    <vt:lpwstr>6a8050b1-f39e-44ba-b378-8231ddceacd1</vt:lpwstr>
  </property>
  <property fmtid="{D5CDD505-2E9C-101B-9397-08002B2CF9AE}" pid="18" name="MSIP_Label_933d8be6-3c40-4052-87a2-9c2adcba8759_ContentBits">
    <vt:lpwstr>3</vt:lpwstr>
  </property>
</Properties>
</file>