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5DCC0" w14:textId="77777777" w:rsidR="004E1BF4" w:rsidRDefault="00D961A9" w:rsidP="00CF1B82">
      <w:pPr>
        <w:pStyle w:val="Subtitle"/>
        <w:spacing w:before="240"/>
        <w:rPr>
          <w:b/>
          <w:sz w:val="72"/>
          <w:szCs w:val="28"/>
        </w:rPr>
      </w:pPr>
      <w:bookmarkStart w:id="0" w:name="_GoBack"/>
      <w:bookmarkEnd w:id="0"/>
      <w:r>
        <w:rPr>
          <w:b/>
          <w:sz w:val="72"/>
          <w:szCs w:val="28"/>
        </w:rPr>
        <w:t xml:space="preserve">Measuring </w:t>
      </w:r>
      <w:r w:rsidR="003B44C9">
        <w:rPr>
          <w:b/>
          <w:sz w:val="72"/>
          <w:szCs w:val="28"/>
        </w:rPr>
        <w:t xml:space="preserve">Australian </w:t>
      </w:r>
      <w:r w:rsidR="0044154A" w:rsidRPr="00973D01">
        <w:rPr>
          <w:b/>
          <w:sz w:val="72"/>
          <w:szCs w:val="28"/>
        </w:rPr>
        <w:t>broad</w:t>
      </w:r>
      <w:r w:rsidR="0044154A">
        <w:rPr>
          <w:b/>
          <w:sz w:val="72"/>
          <w:szCs w:val="28"/>
        </w:rPr>
        <w:t>acre</w:t>
      </w:r>
      <w:r w:rsidR="003B44C9">
        <w:rPr>
          <w:b/>
          <w:sz w:val="72"/>
          <w:szCs w:val="28"/>
        </w:rPr>
        <w:t xml:space="preserve"> farmland</w:t>
      </w:r>
      <w:r>
        <w:rPr>
          <w:b/>
          <w:sz w:val="72"/>
          <w:szCs w:val="28"/>
        </w:rPr>
        <w:t xml:space="preserve"> value</w:t>
      </w:r>
      <w:r w:rsidR="003B44C9">
        <w:rPr>
          <w:b/>
          <w:sz w:val="72"/>
          <w:szCs w:val="28"/>
        </w:rPr>
        <w:t>:</w:t>
      </w:r>
    </w:p>
    <w:p w14:paraId="4C7271E3" w14:textId="77777777" w:rsidR="004E1BF4" w:rsidRDefault="000645CD">
      <w:pPr>
        <w:pStyle w:val="Author"/>
        <w:rPr>
          <w:rFonts w:ascii="Calibri" w:hAnsi="Calibri"/>
          <w:b w:val="0"/>
          <w:bCs/>
          <w:color w:val="000000"/>
          <w:spacing w:val="5"/>
          <w:kern w:val="28"/>
          <w:sz w:val="56"/>
          <w:szCs w:val="56"/>
        </w:rPr>
      </w:pPr>
      <w:r>
        <w:rPr>
          <w:rFonts w:ascii="Calibri" w:hAnsi="Calibri"/>
          <w:b w:val="0"/>
          <w:bCs/>
          <w:color w:val="000000"/>
          <w:spacing w:val="5"/>
          <w:kern w:val="28"/>
          <w:sz w:val="56"/>
          <w:szCs w:val="56"/>
        </w:rPr>
        <w:t xml:space="preserve">Phase 1 - </w:t>
      </w:r>
      <w:r w:rsidR="003B44C9">
        <w:rPr>
          <w:rFonts w:ascii="Calibri" w:hAnsi="Calibri"/>
          <w:b w:val="0"/>
          <w:bCs/>
          <w:color w:val="000000"/>
          <w:spacing w:val="5"/>
          <w:kern w:val="28"/>
          <w:sz w:val="56"/>
          <w:szCs w:val="56"/>
        </w:rPr>
        <w:t>Statistical infrastructure</w:t>
      </w:r>
    </w:p>
    <w:p w14:paraId="5D87FDE2" w14:textId="77777777" w:rsidR="009C2B20" w:rsidRPr="00465549" w:rsidRDefault="004E1BF4">
      <w:pPr>
        <w:pStyle w:val="Author"/>
        <w:rPr>
          <w:sz w:val="24"/>
          <w:lang w:val="es-ES"/>
        </w:rPr>
      </w:pPr>
      <w:r w:rsidRPr="00465549">
        <w:rPr>
          <w:sz w:val="24"/>
          <w:lang w:val="es-ES"/>
        </w:rPr>
        <w:t>Will Chancello</w:t>
      </w:r>
      <w:r w:rsidR="00465549" w:rsidRPr="00465549">
        <w:rPr>
          <w:sz w:val="24"/>
          <w:lang w:val="es-ES"/>
        </w:rPr>
        <w:t xml:space="preserve">r, Shiji Zhao, Lucy Randall, </w:t>
      </w:r>
      <w:r w:rsidRPr="00465549">
        <w:rPr>
          <w:sz w:val="24"/>
          <w:lang w:val="es-ES"/>
        </w:rPr>
        <w:t>Kenton Lawson</w:t>
      </w:r>
      <w:r w:rsidR="00465549" w:rsidRPr="00465549">
        <w:rPr>
          <w:sz w:val="24"/>
          <w:lang w:val="es-ES"/>
        </w:rPr>
        <w:t xml:space="preserve"> and Khanh Hoang</w:t>
      </w:r>
    </w:p>
    <w:p w14:paraId="4523C0EF" w14:textId="77777777" w:rsidR="009C2B20" w:rsidRDefault="00BF6A7E">
      <w:pPr>
        <w:pStyle w:val="Organisation"/>
        <w:tabs>
          <w:tab w:val="left" w:pos="7995"/>
        </w:tabs>
      </w:pPr>
      <w:r>
        <w:t>Research by the Australian Bureau of Agricultural and Resource Economics and Sciences [</w:t>
      </w:r>
      <w:r w:rsidR="00455CE3">
        <w:t>ABARES</w:t>
      </w:r>
      <w:r>
        <w:t>]</w:t>
      </w:r>
    </w:p>
    <w:p w14:paraId="07AD7801" w14:textId="0C011123" w:rsidR="009C2B20" w:rsidRPr="004E1BF4" w:rsidRDefault="0078026C">
      <w:pPr>
        <w:pStyle w:val="Publicationseries"/>
      </w:pPr>
      <w:r>
        <w:t xml:space="preserve">Technical report </w:t>
      </w:r>
      <w:r w:rsidR="007972DE">
        <w:t>19.7</w:t>
      </w:r>
    </w:p>
    <w:p w14:paraId="24E17669" w14:textId="2C0EA954" w:rsidR="009C2B20" w:rsidRDefault="00214FFA">
      <w:pPr>
        <w:pStyle w:val="Date"/>
      </w:pPr>
      <w:r w:rsidRPr="008D62AC">
        <w:t>December</w:t>
      </w:r>
      <w:r w:rsidR="004E1BF4" w:rsidRPr="008D62AC">
        <w:t xml:space="preserve"> 2019</w:t>
      </w:r>
    </w:p>
    <w:p w14:paraId="78886EE3" w14:textId="77777777" w:rsidR="009C2B20" w:rsidRDefault="00BF6A7E">
      <w:pPr>
        <w:pStyle w:val="Picture"/>
      </w:pPr>
      <w:r>
        <w:drawing>
          <wp:inline distT="0" distB="0" distL="0" distR="0" wp14:anchorId="37213ECE" wp14:editId="117348CB">
            <wp:extent cx="4737253" cy="4737253"/>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8">
                      <a:extLst>
                        <a:ext uri="{28A0092B-C50C-407E-A947-70E740481C1C}">
                          <a14:useLocalDpi xmlns:a14="http://schemas.microsoft.com/office/drawing/2010/main" val="0"/>
                        </a:ext>
                      </a:extLst>
                    </a:blip>
                    <a:stretch>
                      <a:fillRect/>
                    </a:stretch>
                  </pic:blipFill>
                  <pic:spPr>
                    <a:xfrm>
                      <a:off x="0" y="0"/>
                      <a:ext cx="4739301" cy="4739301"/>
                    </a:xfrm>
                    <a:prstGeom prst="rect">
                      <a:avLst/>
                    </a:prstGeom>
                  </pic:spPr>
                </pic:pic>
              </a:graphicData>
            </a:graphic>
          </wp:inline>
        </w:drawing>
      </w:r>
    </w:p>
    <w:p w14:paraId="2512E504" w14:textId="77777777" w:rsidR="009C2B20" w:rsidRDefault="00BF6A7E">
      <w:pPr>
        <w:pStyle w:val="Normalsmall"/>
      </w:pPr>
      <w:r>
        <w:br w:type="page"/>
      </w:r>
      <w:r>
        <w:lastRenderedPageBreak/>
        <w:t>© Commonwealth of Australia 201</w:t>
      </w:r>
      <w:r w:rsidR="00B03898">
        <w:t>9</w:t>
      </w:r>
    </w:p>
    <w:p w14:paraId="60E88951" w14:textId="77777777" w:rsidR="009C2B20" w:rsidRDefault="00BF6A7E">
      <w:pPr>
        <w:pStyle w:val="Normalsmall"/>
        <w:rPr>
          <w:rStyle w:val="Strong"/>
        </w:rPr>
      </w:pPr>
      <w:r>
        <w:rPr>
          <w:rStyle w:val="Strong"/>
        </w:rPr>
        <w:t>Ownership of intellectual property rights</w:t>
      </w:r>
    </w:p>
    <w:p w14:paraId="53E8D179" w14:textId="77777777" w:rsidR="009C2B20" w:rsidRDefault="00BF6A7E">
      <w:pPr>
        <w:pStyle w:val="Normalsmall"/>
      </w:pPr>
      <w:r>
        <w:t>Unless otherwise noted, copyright (and any other intellectual property rights, if any) in this publication is owned by the Commonwealth of Australia (referred to as the Commonwealth).</w:t>
      </w:r>
    </w:p>
    <w:p w14:paraId="25B90220" w14:textId="77777777" w:rsidR="009C2B20" w:rsidRDefault="00BF6A7E">
      <w:pPr>
        <w:pStyle w:val="Normalsmall"/>
        <w:rPr>
          <w:rStyle w:val="Strong"/>
        </w:rPr>
      </w:pPr>
      <w:r>
        <w:rPr>
          <w:rStyle w:val="Strong"/>
        </w:rPr>
        <w:t>Creative Commons licence</w:t>
      </w:r>
    </w:p>
    <w:p w14:paraId="45934012" w14:textId="77777777" w:rsidR="009C2B20" w:rsidRDefault="00BF6A7E">
      <w:pPr>
        <w:pStyle w:val="Normalsmall"/>
      </w:pPr>
      <w:r>
        <w:t xml:space="preserve">All material in this publication is licensed under a Creative </w:t>
      </w:r>
      <w:hyperlink r:id="rId9" w:history="1">
        <w:r>
          <w:rPr>
            <w:rStyle w:val="Hyperlink"/>
          </w:rPr>
          <w:t>Commons Attribution 4.0 International Licence</w:t>
        </w:r>
      </w:hyperlink>
      <w:r>
        <w:t xml:space="preserve"> except content supplied by third parties, logos and the Commonwealth Coat of Arms.</w:t>
      </w:r>
    </w:p>
    <w:p w14:paraId="3D0DC017" w14:textId="77777777" w:rsidR="009C2B20" w:rsidRDefault="00BF6A7E">
      <w:pPr>
        <w:pStyle w:val="Normalsmall"/>
      </w:pPr>
      <w:r>
        <w:t xml:space="preserve">Inquiries about the licence and any use of this document should be emailed to </w:t>
      </w:r>
      <w:hyperlink r:id="rId10" w:history="1">
        <w:r>
          <w:rPr>
            <w:rStyle w:val="Hyperlink"/>
          </w:rPr>
          <w:t>copyright@agriculture.gov.au</w:t>
        </w:r>
      </w:hyperlink>
      <w:r>
        <w:t>.</w:t>
      </w:r>
    </w:p>
    <w:p w14:paraId="538F0C1E" w14:textId="77777777" w:rsidR="009C2B20" w:rsidRDefault="00BF6A7E">
      <w:pPr>
        <w:pStyle w:val="Normalsmall"/>
      </w:pPr>
      <w:r>
        <w:rPr>
          <w:noProof/>
          <w:lang w:eastAsia="en-AU"/>
        </w:rPr>
        <w:drawing>
          <wp:inline distT="0" distB="0" distL="0" distR="0" wp14:anchorId="0EBC5310" wp14:editId="69CB52F1">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1D0CBF7" w14:textId="77777777" w:rsidR="009C2B20" w:rsidRDefault="00BF6A7E">
      <w:pPr>
        <w:pStyle w:val="Normalsmall"/>
        <w:rPr>
          <w:rStyle w:val="Strong"/>
        </w:rPr>
      </w:pPr>
      <w:r>
        <w:rPr>
          <w:rStyle w:val="Strong"/>
        </w:rPr>
        <w:t>Cataloguing data</w:t>
      </w:r>
    </w:p>
    <w:p w14:paraId="322DA03E" w14:textId="33C9C215" w:rsidR="009C2B20" w:rsidRDefault="00BF6A7E">
      <w:pPr>
        <w:pStyle w:val="Normalsmall"/>
      </w:pPr>
      <w:r w:rsidRPr="00993F15">
        <w:t xml:space="preserve">This publication (and any material sourced from it) should be attributed as: </w:t>
      </w:r>
      <w:r w:rsidR="00141342" w:rsidRPr="00993F15">
        <w:t>Chancellor</w:t>
      </w:r>
      <w:r w:rsidR="00465549" w:rsidRPr="00993F15">
        <w:t>, W., Zhao, S., Randall, L., Lawson, K. and Hoang, K.</w:t>
      </w:r>
      <w:r w:rsidR="00141342" w:rsidRPr="00993F15">
        <w:t xml:space="preserve"> 2019</w:t>
      </w:r>
      <w:r w:rsidRPr="00993F15">
        <w:t xml:space="preserve">, </w:t>
      </w:r>
      <w:r w:rsidR="00993F15" w:rsidRPr="00993F15">
        <w:rPr>
          <w:i/>
        </w:rPr>
        <w:t>Measuring Australian broadacre farmland value: Phase 1 – Statistical infrastructure,</w:t>
      </w:r>
      <w:r w:rsidRPr="00993F15">
        <w:t xml:space="preserve"> ABARES</w:t>
      </w:r>
      <w:r w:rsidR="00141342" w:rsidRPr="00993F15">
        <w:t xml:space="preserve"> working paper, Canberra, </w:t>
      </w:r>
      <w:r w:rsidR="00214FFA" w:rsidRPr="007972DE">
        <w:t>December</w:t>
      </w:r>
      <w:r>
        <w:t>. CC BY 4.0.</w:t>
      </w:r>
      <w:r w:rsidR="00B03898">
        <w:t xml:space="preserve">  </w:t>
      </w:r>
      <w:hyperlink r:id="rId12" w:history="1">
        <w:r w:rsidR="00E0339F" w:rsidRPr="00A132DA">
          <w:rPr>
            <w:rStyle w:val="Hyperlink"/>
          </w:rPr>
          <w:t>http://doi.org/10.25814/5de84a4ff6e09</w:t>
        </w:r>
      </w:hyperlink>
    </w:p>
    <w:p w14:paraId="622A92FE" w14:textId="77777777" w:rsidR="00E0339F" w:rsidRDefault="00E0339F">
      <w:pPr>
        <w:pStyle w:val="Normalsmall"/>
      </w:pPr>
    </w:p>
    <w:p w14:paraId="1B693860" w14:textId="74D10B0C" w:rsidR="009C2B20" w:rsidRPr="007972DE" w:rsidRDefault="00BF6A7E">
      <w:pPr>
        <w:pStyle w:val="Normalsmall"/>
      </w:pPr>
      <w:r w:rsidRPr="007972DE">
        <w:t xml:space="preserve">ISBN </w:t>
      </w:r>
      <w:r w:rsidR="007972DE" w:rsidRPr="007972DE">
        <w:t>978-1-74323-458-7</w:t>
      </w:r>
    </w:p>
    <w:p w14:paraId="17498EDD" w14:textId="326B0602" w:rsidR="0078026C" w:rsidRPr="007972DE" w:rsidRDefault="0078026C" w:rsidP="0078026C">
      <w:pPr>
        <w:pStyle w:val="Normalsmall"/>
      </w:pPr>
      <w:r w:rsidRPr="007972DE">
        <w:t xml:space="preserve">ISSN </w:t>
      </w:r>
      <w:r w:rsidR="007972DE" w:rsidRPr="007972DE">
        <w:t>189-3128</w:t>
      </w:r>
    </w:p>
    <w:p w14:paraId="3D44E673" w14:textId="77777777" w:rsidR="0078026C" w:rsidRDefault="0078026C">
      <w:pPr>
        <w:pStyle w:val="Normalsmall"/>
        <w:rPr>
          <w:highlight w:val="yellow"/>
        </w:rPr>
      </w:pPr>
    </w:p>
    <w:p w14:paraId="7954B462" w14:textId="77777777" w:rsidR="009C2B20" w:rsidRDefault="00BF6A7E">
      <w:pPr>
        <w:pStyle w:val="Normalsmall"/>
        <w:spacing w:after="0"/>
      </w:pPr>
      <w:r>
        <w:t xml:space="preserve">Department of Agriculture </w:t>
      </w:r>
      <w:r w:rsidR="00026F59">
        <w:t xml:space="preserve"> </w:t>
      </w:r>
    </w:p>
    <w:p w14:paraId="419918F9" w14:textId="77777777" w:rsidR="009C2B20" w:rsidRDefault="00BF6A7E">
      <w:pPr>
        <w:pStyle w:val="Normalsmall"/>
        <w:spacing w:after="0"/>
      </w:pPr>
      <w:r>
        <w:t>GPO Box 858 Canberra ACT 2601</w:t>
      </w:r>
    </w:p>
    <w:p w14:paraId="295FEE96" w14:textId="77777777" w:rsidR="009C2B20" w:rsidRDefault="00BF6A7E">
      <w:pPr>
        <w:pStyle w:val="Normalsmall"/>
        <w:spacing w:after="0"/>
      </w:pPr>
      <w:r>
        <w:t>Telephone 1800 900 090</w:t>
      </w:r>
    </w:p>
    <w:p w14:paraId="6050BA12" w14:textId="77777777" w:rsidR="009C2B20" w:rsidRDefault="00BF6A7E">
      <w:pPr>
        <w:pStyle w:val="Normalsmall"/>
      </w:pPr>
      <w:r>
        <w:t xml:space="preserve">Web </w:t>
      </w:r>
      <w:hyperlink r:id="rId13" w:history="1">
        <w:r>
          <w:rPr>
            <w:rStyle w:val="Hyperlink"/>
          </w:rPr>
          <w:t>agriculture.gov.au</w:t>
        </w:r>
      </w:hyperlink>
    </w:p>
    <w:p w14:paraId="13FF2C9E" w14:textId="77777777" w:rsidR="009C2B20" w:rsidRDefault="00BF6A7E">
      <w:pPr>
        <w:pStyle w:val="Normalsmall"/>
      </w:pPr>
      <w:r>
        <w:t>The Australian Government acting through the Department of Agriculture, represented by the Australian Bureau of Agricultural and Resource Economics and Sciences, has exercised due care and skill in preparing and compiling the information and data in this publication. Notwithstanding, the Department of Agriculture,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F5F6857" w14:textId="77777777" w:rsidR="009C2B20" w:rsidRPr="00C96848" w:rsidRDefault="00BF6A7E">
      <w:pPr>
        <w:pStyle w:val="Normalsmall"/>
        <w:rPr>
          <w:rStyle w:val="Strong"/>
        </w:rPr>
      </w:pPr>
      <w:r w:rsidRPr="00C96848">
        <w:rPr>
          <w:rStyle w:val="Strong"/>
        </w:rPr>
        <w:t>Acknowledgements</w:t>
      </w:r>
    </w:p>
    <w:p w14:paraId="4A329B42" w14:textId="51C90A85" w:rsidR="00455CE3" w:rsidRPr="00C96848" w:rsidRDefault="00455CE3">
      <w:pPr>
        <w:pStyle w:val="Normalsmall"/>
      </w:pPr>
      <w:r w:rsidRPr="00C96848">
        <w:t xml:space="preserve">The Corelogic dataset used for this research was partially funded [approx. 50%] by the Grains Research and Development Corporation (GRDC). </w:t>
      </w:r>
      <w:r w:rsidR="00C96848" w:rsidRPr="00C96848">
        <w:t>In addition, the authors acknowledge the feedback provided from Terence Farrell</w:t>
      </w:r>
      <w:r w:rsidR="008A6255">
        <w:t xml:space="preserve"> </w:t>
      </w:r>
      <w:r w:rsidR="00C96848" w:rsidRPr="00C96848">
        <w:t xml:space="preserve">of the GRDC. </w:t>
      </w:r>
    </w:p>
    <w:p w14:paraId="127B2206" w14:textId="77777777" w:rsidR="00455CE3" w:rsidRDefault="00455CE3">
      <w:pPr>
        <w:pStyle w:val="Normalsmall"/>
        <w:rPr>
          <w:highlight w:val="yellow"/>
        </w:rPr>
      </w:pPr>
      <w:r w:rsidRPr="00C96848">
        <w:t>The authors</w:t>
      </w:r>
      <w:r w:rsidR="00465549">
        <w:t xml:space="preserve"> thank David Galeano and</w:t>
      </w:r>
      <w:r w:rsidRPr="00C96848">
        <w:t xml:space="preserve"> Peter Martin of ABARES </w:t>
      </w:r>
      <w:r w:rsidR="00C96848" w:rsidRPr="00C96848">
        <w:t xml:space="preserve">for their contribution to this report. They also gratefully acknowledge advice and feedback provided by Professor Kevin Fox. Insights provided by members of the Organisation of </w:t>
      </w:r>
      <w:r w:rsidR="00C96848" w:rsidRPr="00DD051D">
        <w:t xml:space="preserve">Economic Co-operation and Development (OECD) Farm Level Analysis Network are importantly acknowledged by the authors. </w:t>
      </w:r>
    </w:p>
    <w:p w14:paraId="18D4FB00" w14:textId="77777777" w:rsidR="00141342" w:rsidRDefault="00141342">
      <w:pPr>
        <w:pStyle w:val="Normalsmall"/>
      </w:pPr>
    </w:p>
    <w:p w14:paraId="3DADF908" w14:textId="77777777" w:rsidR="009C2B20" w:rsidRDefault="00BF6A7E">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6376D10" w14:textId="77777777" w:rsidR="009C2B20" w:rsidRDefault="00BF6A7E">
          <w:pPr>
            <w:pStyle w:val="TOCHeading"/>
          </w:pPr>
          <w:r>
            <w:t xml:space="preserve">Contents </w:t>
          </w:r>
        </w:p>
        <w:p w14:paraId="68DD5AAB" w14:textId="77777777" w:rsidR="0015049B" w:rsidRDefault="00BF6A7E">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25743995" w:history="1">
            <w:r w:rsidR="0015049B" w:rsidRPr="00145752">
              <w:rPr>
                <w:rStyle w:val="Hyperlink"/>
              </w:rPr>
              <w:t>Abstract</w:t>
            </w:r>
            <w:r w:rsidR="0015049B">
              <w:rPr>
                <w:webHidden/>
              </w:rPr>
              <w:tab/>
            </w:r>
            <w:r w:rsidR="0015049B">
              <w:rPr>
                <w:webHidden/>
              </w:rPr>
              <w:fldChar w:fldCharType="begin"/>
            </w:r>
            <w:r w:rsidR="0015049B">
              <w:rPr>
                <w:webHidden/>
              </w:rPr>
              <w:instrText xml:space="preserve"> PAGEREF _Toc25743995 \h </w:instrText>
            </w:r>
            <w:r w:rsidR="0015049B">
              <w:rPr>
                <w:webHidden/>
              </w:rPr>
            </w:r>
            <w:r w:rsidR="0015049B">
              <w:rPr>
                <w:webHidden/>
              </w:rPr>
              <w:fldChar w:fldCharType="separate"/>
            </w:r>
            <w:r w:rsidR="009F7388">
              <w:rPr>
                <w:webHidden/>
              </w:rPr>
              <w:t>v</w:t>
            </w:r>
            <w:r w:rsidR="0015049B">
              <w:rPr>
                <w:webHidden/>
              </w:rPr>
              <w:fldChar w:fldCharType="end"/>
            </w:r>
          </w:hyperlink>
        </w:p>
        <w:p w14:paraId="0EEC327B" w14:textId="77777777" w:rsidR="0015049B" w:rsidRDefault="009F7388">
          <w:pPr>
            <w:pStyle w:val="TOC1"/>
            <w:rPr>
              <w:rFonts w:asciiTheme="minorHAnsi" w:eastAsiaTheme="minorEastAsia" w:hAnsiTheme="minorHAnsi"/>
              <w:b w:val="0"/>
              <w:lang w:eastAsia="en-AU"/>
            </w:rPr>
          </w:pPr>
          <w:hyperlink w:anchor="_Toc25743996" w:history="1">
            <w:r w:rsidR="0015049B" w:rsidRPr="00145752">
              <w:rPr>
                <w:rStyle w:val="Hyperlink"/>
              </w:rPr>
              <w:t>Introduction</w:t>
            </w:r>
            <w:r w:rsidR="0015049B">
              <w:rPr>
                <w:webHidden/>
              </w:rPr>
              <w:tab/>
            </w:r>
            <w:r w:rsidR="0015049B">
              <w:rPr>
                <w:webHidden/>
              </w:rPr>
              <w:fldChar w:fldCharType="begin"/>
            </w:r>
            <w:r w:rsidR="0015049B">
              <w:rPr>
                <w:webHidden/>
              </w:rPr>
              <w:instrText xml:space="preserve"> PAGEREF _Toc25743996 \h </w:instrText>
            </w:r>
            <w:r w:rsidR="0015049B">
              <w:rPr>
                <w:webHidden/>
              </w:rPr>
            </w:r>
            <w:r w:rsidR="0015049B">
              <w:rPr>
                <w:webHidden/>
              </w:rPr>
              <w:fldChar w:fldCharType="separate"/>
            </w:r>
            <w:r>
              <w:rPr>
                <w:webHidden/>
              </w:rPr>
              <w:t>6</w:t>
            </w:r>
            <w:r w:rsidR="0015049B">
              <w:rPr>
                <w:webHidden/>
              </w:rPr>
              <w:fldChar w:fldCharType="end"/>
            </w:r>
          </w:hyperlink>
        </w:p>
        <w:p w14:paraId="165962CA" w14:textId="77777777" w:rsidR="0015049B" w:rsidRDefault="009F7388">
          <w:pPr>
            <w:pStyle w:val="TOC1"/>
            <w:rPr>
              <w:rFonts w:asciiTheme="minorHAnsi" w:eastAsiaTheme="minorEastAsia" w:hAnsiTheme="minorHAnsi"/>
              <w:b w:val="0"/>
              <w:lang w:eastAsia="en-AU"/>
            </w:rPr>
          </w:pPr>
          <w:hyperlink w:anchor="_Toc25743997" w:history="1">
            <w:r w:rsidR="0015049B" w:rsidRPr="00145752">
              <w:rPr>
                <w:rStyle w:val="Hyperlink"/>
              </w:rPr>
              <w:t>1</w:t>
            </w:r>
            <w:r w:rsidR="0015049B">
              <w:rPr>
                <w:rFonts w:asciiTheme="minorHAnsi" w:eastAsiaTheme="minorEastAsia" w:hAnsiTheme="minorHAnsi"/>
                <w:b w:val="0"/>
                <w:lang w:eastAsia="en-AU"/>
              </w:rPr>
              <w:tab/>
            </w:r>
            <w:r w:rsidR="0015049B" w:rsidRPr="00145752">
              <w:rPr>
                <w:rStyle w:val="Hyperlink"/>
              </w:rPr>
              <w:t>Data</w:t>
            </w:r>
            <w:r w:rsidR="0015049B">
              <w:rPr>
                <w:webHidden/>
              </w:rPr>
              <w:tab/>
            </w:r>
            <w:r w:rsidR="0015049B">
              <w:rPr>
                <w:webHidden/>
              </w:rPr>
              <w:fldChar w:fldCharType="begin"/>
            </w:r>
            <w:r w:rsidR="0015049B">
              <w:rPr>
                <w:webHidden/>
              </w:rPr>
              <w:instrText xml:space="preserve"> PAGEREF _Toc25743997 \h </w:instrText>
            </w:r>
            <w:r w:rsidR="0015049B">
              <w:rPr>
                <w:webHidden/>
              </w:rPr>
            </w:r>
            <w:r w:rsidR="0015049B">
              <w:rPr>
                <w:webHidden/>
              </w:rPr>
              <w:fldChar w:fldCharType="separate"/>
            </w:r>
            <w:r>
              <w:rPr>
                <w:webHidden/>
              </w:rPr>
              <w:t>9</w:t>
            </w:r>
            <w:r w:rsidR="0015049B">
              <w:rPr>
                <w:webHidden/>
              </w:rPr>
              <w:fldChar w:fldCharType="end"/>
            </w:r>
          </w:hyperlink>
        </w:p>
        <w:p w14:paraId="7E2FAB82" w14:textId="77777777" w:rsidR="0015049B" w:rsidRDefault="009F7388">
          <w:pPr>
            <w:pStyle w:val="TOC2"/>
            <w:rPr>
              <w:rFonts w:asciiTheme="minorHAnsi" w:eastAsiaTheme="minorEastAsia" w:hAnsiTheme="minorHAnsi"/>
              <w:lang w:eastAsia="en-AU"/>
            </w:rPr>
          </w:pPr>
          <w:hyperlink w:anchor="_Toc25743998" w:history="1">
            <w:r w:rsidR="0015049B" w:rsidRPr="00145752">
              <w:rPr>
                <w:rStyle w:val="Hyperlink"/>
              </w:rPr>
              <w:t>Raw CoreLogic data: an overview</w:t>
            </w:r>
            <w:r w:rsidR="0015049B">
              <w:rPr>
                <w:webHidden/>
              </w:rPr>
              <w:tab/>
            </w:r>
            <w:r w:rsidR="0015049B">
              <w:rPr>
                <w:webHidden/>
              </w:rPr>
              <w:fldChar w:fldCharType="begin"/>
            </w:r>
            <w:r w:rsidR="0015049B">
              <w:rPr>
                <w:webHidden/>
              </w:rPr>
              <w:instrText xml:space="preserve"> PAGEREF _Toc25743998 \h </w:instrText>
            </w:r>
            <w:r w:rsidR="0015049B">
              <w:rPr>
                <w:webHidden/>
              </w:rPr>
            </w:r>
            <w:r w:rsidR="0015049B">
              <w:rPr>
                <w:webHidden/>
              </w:rPr>
              <w:fldChar w:fldCharType="separate"/>
            </w:r>
            <w:r>
              <w:rPr>
                <w:webHidden/>
              </w:rPr>
              <w:t>9</w:t>
            </w:r>
            <w:r w:rsidR="0015049B">
              <w:rPr>
                <w:webHidden/>
              </w:rPr>
              <w:fldChar w:fldCharType="end"/>
            </w:r>
          </w:hyperlink>
        </w:p>
        <w:p w14:paraId="05D3890D" w14:textId="77777777" w:rsidR="0015049B" w:rsidRDefault="009F7388">
          <w:pPr>
            <w:pStyle w:val="TOC2"/>
            <w:rPr>
              <w:rFonts w:asciiTheme="minorHAnsi" w:eastAsiaTheme="minorEastAsia" w:hAnsiTheme="minorHAnsi"/>
              <w:lang w:eastAsia="en-AU"/>
            </w:rPr>
          </w:pPr>
          <w:hyperlink w:anchor="_Toc25743999" w:history="1">
            <w:r w:rsidR="0015049B" w:rsidRPr="00145752">
              <w:rPr>
                <w:rStyle w:val="Hyperlink"/>
              </w:rPr>
              <w:t>Spatial transformation and variable construction</w:t>
            </w:r>
            <w:r w:rsidR="0015049B">
              <w:rPr>
                <w:webHidden/>
              </w:rPr>
              <w:tab/>
            </w:r>
            <w:r w:rsidR="0015049B">
              <w:rPr>
                <w:webHidden/>
              </w:rPr>
              <w:fldChar w:fldCharType="begin"/>
            </w:r>
            <w:r w:rsidR="0015049B">
              <w:rPr>
                <w:webHidden/>
              </w:rPr>
              <w:instrText xml:space="preserve"> PAGEREF _Toc25743999 \h </w:instrText>
            </w:r>
            <w:r w:rsidR="0015049B">
              <w:rPr>
                <w:webHidden/>
              </w:rPr>
            </w:r>
            <w:r w:rsidR="0015049B">
              <w:rPr>
                <w:webHidden/>
              </w:rPr>
              <w:fldChar w:fldCharType="separate"/>
            </w:r>
            <w:r>
              <w:rPr>
                <w:webHidden/>
              </w:rPr>
              <w:t>13</w:t>
            </w:r>
            <w:r w:rsidR="0015049B">
              <w:rPr>
                <w:webHidden/>
              </w:rPr>
              <w:fldChar w:fldCharType="end"/>
            </w:r>
          </w:hyperlink>
        </w:p>
        <w:p w14:paraId="1F3D5DB7" w14:textId="77777777" w:rsidR="0015049B" w:rsidRDefault="009F7388">
          <w:pPr>
            <w:pStyle w:val="TOC2"/>
            <w:rPr>
              <w:rFonts w:asciiTheme="minorHAnsi" w:eastAsiaTheme="minorEastAsia" w:hAnsiTheme="minorHAnsi"/>
              <w:lang w:eastAsia="en-AU"/>
            </w:rPr>
          </w:pPr>
          <w:hyperlink w:anchor="_Toc25744000" w:history="1">
            <w:r w:rsidR="0015049B" w:rsidRPr="00145752">
              <w:rPr>
                <w:rStyle w:val="Hyperlink"/>
              </w:rPr>
              <w:t>Spatial variables</w:t>
            </w:r>
            <w:r w:rsidR="0015049B">
              <w:rPr>
                <w:webHidden/>
              </w:rPr>
              <w:tab/>
            </w:r>
            <w:r w:rsidR="0015049B">
              <w:rPr>
                <w:webHidden/>
              </w:rPr>
              <w:fldChar w:fldCharType="begin"/>
            </w:r>
            <w:r w:rsidR="0015049B">
              <w:rPr>
                <w:webHidden/>
              </w:rPr>
              <w:instrText xml:space="preserve"> PAGEREF _Toc25744000 \h </w:instrText>
            </w:r>
            <w:r w:rsidR="0015049B">
              <w:rPr>
                <w:webHidden/>
              </w:rPr>
            </w:r>
            <w:r w:rsidR="0015049B">
              <w:rPr>
                <w:webHidden/>
              </w:rPr>
              <w:fldChar w:fldCharType="separate"/>
            </w:r>
            <w:r>
              <w:rPr>
                <w:webHidden/>
              </w:rPr>
              <w:t>14</w:t>
            </w:r>
            <w:r w:rsidR="0015049B">
              <w:rPr>
                <w:webHidden/>
              </w:rPr>
              <w:fldChar w:fldCharType="end"/>
            </w:r>
          </w:hyperlink>
        </w:p>
        <w:p w14:paraId="1040EC7B" w14:textId="77777777" w:rsidR="0015049B" w:rsidRDefault="009F7388">
          <w:pPr>
            <w:pStyle w:val="TOC2"/>
            <w:rPr>
              <w:rFonts w:asciiTheme="minorHAnsi" w:eastAsiaTheme="minorEastAsia" w:hAnsiTheme="minorHAnsi"/>
              <w:lang w:eastAsia="en-AU"/>
            </w:rPr>
          </w:pPr>
          <w:hyperlink w:anchor="_Toc25744001" w:history="1">
            <w:r w:rsidR="0015049B" w:rsidRPr="00145752">
              <w:rPr>
                <w:rStyle w:val="Hyperlink"/>
              </w:rPr>
              <w:t>Non-farm-specific variables</w:t>
            </w:r>
            <w:r w:rsidR="0015049B">
              <w:rPr>
                <w:webHidden/>
              </w:rPr>
              <w:tab/>
            </w:r>
            <w:r w:rsidR="0015049B">
              <w:rPr>
                <w:webHidden/>
              </w:rPr>
              <w:fldChar w:fldCharType="begin"/>
            </w:r>
            <w:r w:rsidR="0015049B">
              <w:rPr>
                <w:webHidden/>
              </w:rPr>
              <w:instrText xml:space="preserve"> PAGEREF _Toc25744001 \h </w:instrText>
            </w:r>
            <w:r w:rsidR="0015049B">
              <w:rPr>
                <w:webHidden/>
              </w:rPr>
            </w:r>
            <w:r w:rsidR="0015049B">
              <w:rPr>
                <w:webHidden/>
              </w:rPr>
              <w:fldChar w:fldCharType="separate"/>
            </w:r>
            <w:r>
              <w:rPr>
                <w:webHidden/>
              </w:rPr>
              <w:t>17</w:t>
            </w:r>
            <w:r w:rsidR="0015049B">
              <w:rPr>
                <w:webHidden/>
              </w:rPr>
              <w:fldChar w:fldCharType="end"/>
            </w:r>
          </w:hyperlink>
        </w:p>
        <w:p w14:paraId="25BCEA99" w14:textId="77777777" w:rsidR="0015049B" w:rsidRDefault="009F7388">
          <w:pPr>
            <w:pStyle w:val="TOC1"/>
            <w:rPr>
              <w:rFonts w:asciiTheme="minorHAnsi" w:eastAsiaTheme="minorEastAsia" w:hAnsiTheme="minorHAnsi"/>
              <w:b w:val="0"/>
              <w:lang w:eastAsia="en-AU"/>
            </w:rPr>
          </w:pPr>
          <w:hyperlink w:anchor="_Toc25744002" w:history="1">
            <w:r w:rsidR="0015049B" w:rsidRPr="00145752">
              <w:rPr>
                <w:rStyle w:val="Hyperlink"/>
              </w:rPr>
              <w:t>2</w:t>
            </w:r>
            <w:r w:rsidR="0015049B">
              <w:rPr>
                <w:rFonts w:asciiTheme="minorHAnsi" w:eastAsiaTheme="minorEastAsia" w:hAnsiTheme="minorHAnsi"/>
                <w:b w:val="0"/>
                <w:lang w:eastAsia="en-AU"/>
              </w:rPr>
              <w:tab/>
            </w:r>
            <w:r w:rsidR="0015049B" w:rsidRPr="00145752">
              <w:rPr>
                <w:rStyle w:val="Hyperlink"/>
              </w:rPr>
              <w:t>Method</w:t>
            </w:r>
            <w:r w:rsidR="0015049B">
              <w:rPr>
                <w:webHidden/>
              </w:rPr>
              <w:tab/>
            </w:r>
            <w:r w:rsidR="0015049B">
              <w:rPr>
                <w:webHidden/>
              </w:rPr>
              <w:fldChar w:fldCharType="begin"/>
            </w:r>
            <w:r w:rsidR="0015049B">
              <w:rPr>
                <w:webHidden/>
              </w:rPr>
              <w:instrText xml:space="preserve"> PAGEREF _Toc25744002 \h </w:instrText>
            </w:r>
            <w:r w:rsidR="0015049B">
              <w:rPr>
                <w:webHidden/>
              </w:rPr>
            </w:r>
            <w:r w:rsidR="0015049B">
              <w:rPr>
                <w:webHidden/>
              </w:rPr>
              <w:fldChar w:fldCharType="separate"/>
            </w:r>
            <w:r>
              <w:rPr>
                <w:webHidden/>
              </w:rPr>
              <w:t>18</w:t>
            </w:r>
            <w:r w:rsidR="0015049B">
              <w:rPr>
                <w:webHidden/>
              </w:rPr>
              <w:fldChar w:fldCharType="end"/>
            </w:r>
          </w:hyperlink>
        </w:p>
        <w:p w14:paraId="5B80C719" w14:textId="77777777" w:rsidR="0015049B" w:rsidRDefault="009F7388">
          <w:pPr>
            <w:pStyle w:val="TOC1"/>
            <w:rPr>
              <w:rFonts w:asciiTheme="minorHAnsi" w:eastAsiaTheme="minorEastAsia" w:hAnsiTheme="minorHAnsi"/>
              <w:b w:val="0"/>
              <w:lang w:eastAsia="en-AU"/>
            </w:rPr>
          </w:pPr>
          <w:hyperlink w:anchor="_Toc25744003" w:history="1">
            <w:r w:rsidR="0015049B" w:rsidRPr="00145752">
              <w:rPr>
                <w:rStyle w:val="Hyperlink"/>
              </w:rPr>
              <w:t>3</w:t>
            </w:r>
            <w:r w:rsidR="0015049B">
              <w:rPr>
                <w:rFonts w:asciiTheme="minorHAnsi" w:eastAsiaTheme="minorEastAsia" w:hAnsiTheme="minorHAnsi"/>
                <w:b w:val="0"/>
                <w:lang w:eastAsia="en-AU"/>
              </w:rPr>
              <w:tab/>
            </w:r>
            <w:r w:rsidR="0015049B" w:rsidRPr="00145752">
              <w:rPr>
                <w:rStyle w:val="Hyperlink"/>
              </w:rPr>
              <w:t>Results</w:t>
            </w:r>
            <w:r w:rsidR="0015049B">
              <w:rPr>
                <w:webHidden/>
              </w:rPr>
              <w:tab/>
            </w:r>
            <w:r w:rsidR="0015049B">
              <w:rPr>
                <w:webHidden/>
              </w:rPr>
              <w:fldChar w:fldCharType="begin"/>
            </w:r>
            <w:r w:rsidR="0015049B">
              <w:rPr>
                <w:webHidden/>
              </w:rPr>
              <w:instrText xml:space="preserve"> PAGEREF _Toc25744003 \h </w:instrText>
            </w:r>
            <w:r w:rsidR="0015049B">
              <w:rPr>
                <w:webHidden/>
              </w:rPr>
            </w:r>
            <w:r w:rsidR="0015049B">
              <w:rPr>
                <w:webHidden/>
              </w:rPr>
              <w:fldChar w:fldCharType="separate"/>
            </w:r>
            <w:r>
              <w:rPr>
                <w:webHidden/>
              </w:rPr>
              <w:t>24</w:t>
            </w:r>
            <w:r w:rsidR="0015049B">
              <w:rPr>
                <w:webHidden/>
              </w:rPr>
              <w:fldChar w:fldCharType="end"/>
            </w:r>
          </w:hyperlink>
        </w:p>
        <w:p w14:paraId="7662E9EA" w14:textId="77777777" w:rsidR="0015049B" w:rsidRDefault="009F7388">
          <w:pPr>
            <w:pStyle w:val="TOC1"/>
            <w:rPr>
              <w:rFonts w:asciiTheme="minorHAnsi" w:eastAsiaTheme="minorEastAsia" w:hAnsiTheme="minorHAnsi"/>
              <w:b w:val="0"/>
              <w:lang w:eastAsia="en-AU"/>
            </w:rPr>
          </w:pPr>
          <w:hyperlink w:anchor="_Toc25744004" w:history="1">
            <w:r w:rsidR="0015049B" w:rsidRPr="00145752">
              <w:rPr>
                <w:rStyle w:val="Hyperlink"/>
              </w:rPr>
              <w:t>4</w:t>
            </w:r>
            <w:r w:rsidR="0015049B">
              <w:rPr>
                <w:rFonts w:asciiTheme="minorHAnsi" w:eastAsiaTheme="minorEastAsia" w:hAnsiTheme="minorHAnsi"/>
                <w:b w:val="0"/>
                <w:lang w:eastAsia="en-AU"/>
              </w:rPr>
              <w:tab/>
            </w:r>
            <w:r w:rsidR="0015049B" w:rsidRPr="00145752">
              <w:rPr>
                <w:rStyle w:val="Hyperlink"/>
              </w:rPr>
              <w:t>Conclusions and future research</w:t>
            </w:r>
            <w:r w:rsidR="0015049B">
              <w:rPr>
                <w:webHidden/>
              </w:rPr>
              <w:tab/>
            </w:r>
            <w:r w:rsidR="0015049B">
              <w:rPr>
                <w:webHidden/>
              </w:rPr>
              <w:fldChar w:fldCharType="begin"/>
            </w:r>
            <w:r w:rsidR="0015049B">
              <w:rPr>
                <w:webHidden/>
              </w:rPr>
              <w:instrText xml:space="preserve"> PAGEREF _Toc25744004 \h </w:instrText>
            </w:r>
            <w:r w:rsidR="0015049B">
              <w:rPr>
                <w:webHidden/>
              </w:rPr>
            </w:r>
            <w:r w:rsidR="0015049B">
              <w:rPr>
                <w:webHidden/>
              </w:rPr>
              <w:fldChar w:fldCharType="separate"/>
            </w:r>
            <w:r>
              <w:rPr>
                <w:webHidden/>
              </w:rPr>
              <w:t>29</w:t>
            </w:r>
            <w:r w:rsidR="0015049B">
              <w:rPr>
                <w:webHidden/>
              </w:rPr>
              <w:fldChar w:fldCharType="end"/>
            </w:r>
          </w:hyperlink>
        </w:p>
        <w:p w14:paraId="4BB49C0F" w14:textId="77777777" w:rsidR="0015049B" w:rsidRDefault="009F7388">
          <w:pPr>
            <w:pStyle w:val="TOC1"/>
            <w:rPr>
              <w:rFonts w:asciiTheme="minorHAnsi" w:eastAsiaTheme="minorEastAsia" w:hAnsiTheme="minorHAnsi"/>
              <w:b w:val="0"/>
              <w:lang w:eastAsia="en-AU"/>
            </w:rPr>
          </w:pPr>
          <w:hyperlink w:anchor="_Toc25744005" w:history="1">
            <w:r w:rsidR="0015049B" w:rsidRPr="00145752">
              <w:rPr>
                <w:rStyle w:val="Hyperlink"/>
              </w:rPr>
              <w:t>Appendix A: Statistical classifications and variables</w:t>
            </w:r>
            <w:r w:rsidR="0015049B">
              <w:rPr>
                <w:webHidden/>
              </w:rPr>
              <w:tab/>
            </w:r>
            <w:r w:rsidR="0015049B">
              <w:rPr>
                <w:webHidden/>
              </w:rPr>
              <w:fldChar w:fldCharType="begin"/>
            </w:r>
            <w:r w:rsidR="0015049B">
              <w:rPr>
                <w:webHidden/>
              </w:rPr>
              <w:instrText xml:space="preserve"> PAGEREF _Toc25744005 \h </w:instrText>
            </w:r>
            <w:r w:rsidR="0015049B">
              <w:rPr>
                <w:webHidden/>
              </w:rPr>
            </w:r>
            <w:r w:rsidR="0015049B">
              <w:rPr>
                <w:webHidden/>
              </w:rPr>
              <w:fldChar w:fldCharType="separate"/>
            </w:r>
            <w:r>
              <w:rPr>
                <w:webHidden/>
              </w:rPr>
              <w:t>31</w:t>
            </w:r>
            <w:r w:rsidR="0015049B">
              <w:rPr>
                <w:webHidden/>
              </w:rPr>
              <w:fldChar w:fldCharType="end"/>
            </w:r>
          </w:hyperlink>
        </w:p>
        <w:p w14:paraId="6AD3D492" w14:textId="77777777" w:rsidR="0015049B" w:rsidRDefault="009F7388">
          <w:pPr>
            <w:pStyle w:val="TOC1"/>
            <w:rPr>
              <w:rFonts w:asciiTheme="minorHAnsi" w:eastAsiaTheme="minorEastAsia" w:hAnsiTheme="minorHAnsi"/>
              <w:b w:val="0"/>
              <w:lang w:eastAsia="en-AU"/>
            </w:rPr>
          </w:pPr>
          <w:hyperlink w:anchor="_Toc25744006" w:history="1">
            <w:r w:rsidR="0015049B" w:rsidRPr="00145752">
              <w:rPr>
                <w:rStyle w:val="Hyperlink"/>
              </w:rPr>
              <w:t>Appendix B: Geospatial statistical summaries</w:t>
            </w:r>
            <w:r w:rsidR="0015049B">
              <w:rPr>
                <w:webHidden/>
              </w:rPr>
              <w:tab/>
            </w:r>
            <w:r w:rsidR="0015049B">
              <w:rPr>
                <w:webHidden/>
              </w:rPr>
              <w:fldChar w:fldCharType="begin"/>
            </w:r>
            <w:r w:rsidR="0015049B">
              <w:rPr>
                <w:webHidden/>
              </w:rPr>
              <w:instrText xml:space="preserve"> PAGEREF _Toc25744006 \h </w:instrText>
            </w:r>
            <w:r w:rsidR="0015049B">
              <w:rPr>
                <w:webHidden/>
              </w:rPr>
            </w:r>
            <w:r w:rsidR="0015049B">
              <w:rPr>
                <w:webHidden/>
              </w:rPr>
              <w:fldChar w:fldCharType="separate"/>
            </w:r>
            <w:r>
              <w:rPr>
                <w:webHidden/>
              </w:rPr>
              <w:t>37</w:t>
            </w:r>
            <w:r w:rsidR="0015049B">
              <w:rPr>
                <w:webHidden/>
              </w:rPr>
              <w:fldChar w:fldCharType="end"/>
            </w:r>
          </w:hyperlink>
        </w:p>
        <w:p w14:paraId="5B8EDF2C" w14:textId="77777777" w:rsidR="0015049B" w:rsidRDefault="009F7388">
          <w:pPr>
            <w:pStyle w:val="TOC1"/>
            <w:rPr>
              <w:rFonts w:asciiTheme="minorHAnsi" w:eastAsiaTheme="minorEastAsia" w:hAnsiTheme="minorHAnsi"/>
              <w:b w:val="0"/>
              <w:lang w:eastAsia="en-AU"/>
            </w:rPr>
          </w:pPr>
          <w:hyperlink w:anchor="_Toc25744007" w:history="1">
            <w:r w:rsidR="0015049B" w:rsidRPr="00145752">
              <w:rPr>
                <w:rStyle w:val="Hyperlink"/>
              </w:rPr>
              <w:t>References</w:t>
            </w:r>
            <w:r w:rsidR="0015049B">
              <w:rPr>
                <w:webHidden/>
              </w:rPr>
              <w:tab/>
            </w:r>
            <w:r w:rsidR="0015049B">
              <w:rPr>
                <w:webHidden/>
              </w:rPr>
              <w:fldChar w:fldCharType="begin"/>
            </w:r>
            <w:r w:rsidR="0015049B">
              <w:rPr>
                <w:webHidden/>
              </w:rPr>
              <w:instrText xml:space="preserve"> PAGEREF _Toc25744007 \h </w:instrText>
            </w:r>
            <w:r w:rsidR="0015049B">
              <w:rPr>
                <w:webHidden/>
              </w:rPr>
            </w:r>
            <w:r w:rsidR="0015049B">
              <w:rPr>
                <w:webHidden/>
              </w:rPr>
              <w:fldChar w:fldCharType="separate"/>
            </w:r>
            <w:r>
              <w:rPr>
                <w:webHidden/>
              </w:rPr>
              <w:t>42</w:t>
            </w:r>
            <w:r w:rsidR="0015049B">
              <w:rPr>
                <w:webHidden/>
              </w:rPr>
              <w:fldChar w:fldCharType="end"/>
            </w:r>
          </w:hyperlink>
        </w:p>
        <w:p w14:paraId="534A6373" w14:textId="77777777" w:rsidR="009C2B20" w:rsidRDefault="00BF6A7E">
          <w:r>
            <w:rPr>
              <w:b/>
              <w:noProof/>
            </w:rPr>
            <w:fldChar w:fldCharType="end"/>
          </w:r>
        </w:p>
      </w:sdtContent>
    </w:sdt>
    <w:p w14:paraId="67D60605" w14:textId="77777777" w:rsidR="009C2B20" w:rsidRDefault="00BF6A7E">
      <w:pPr>
        <w:pStyle w:val="TOCHeading2"/>
        <w:rPr>
          <w:rStyle w:val="Strong"/>
        </w:rPr>
      </w:pPr>
      <w:r>
        <w:rPr>
          <w:rStyle w:val="Strong"/>
        </w:rPr>
        <w:t>Tables</w:t>
      </w:r>
    </w:p>
    <w:p w14:paraId="6D39669F" w14:textId="77777777" w:rsidR="0015049B" w:rsidRDefault="00BF6A7E">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25744008" w:history="1">
        <w:r w:rsidR="0015049B" w:rsidRPr="009062AD">
          <w:rPr>
            <w:rStyle w:val="Hyperlink"/>
            <w:noProof/>
          </w:rPr>
          <w:t>Table 1 CoreLogic data variables</w:t>
        </w:r>
        <w:r w:rsidR="0015049B">
          <w:rPr>
            <w:noProof/>
            <w:webHidden/>
          </w:rPr>
          <w:tab/>
        </w:r>
        <w:r w:rsidR="0015049B">
          <w:rPr>
            <w:noProof/>
            <w:webHidden/>
          </w:rPr>
          <w:fldChar w:fldCharType="begin"/>
        </w:r>
        <w:r w:rsidR="0015049B">
          <w:rPr>
            <w:noProof/>
            <w:webHidden/>
          </w:rPr>
          <w:instrText xml:space="preserve"> PAGEREF _Toc25744008 \h </w:instrText>
        </w:r>
        <w:r w:rsidR="0015049B">
          <w:rPr>
            <w:noProof/>
            <w:webHidden/>
          </w:rPr>
        </w:r>
        <w:r w:rsidR="0015049B">
          <w:rPr>
            <w:noProof/>
            <w:webHidden/>
          </w:rPr>
          <w:fldChar w:fldCharType="separate"/>
        </w:r>
        <w:r w:rsidR="009F7388">
          <w:rPr>
            <w:noProof/>
            <w:webHidden/>
          </w:rPr>
          <w:t>9</w:t>
        </w:r>
        <w:r w:rsidR="0015049B">
          <w:rPr>
            <w:noProof/>
            <w:webHidden/>
          </w:rPr>
          <w:fldChar w:fldCharType="end"/>
        </w:r>
      </w:hyperlink>
    </w:p>
    <w:p w14:paraId="4E22E389"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09" w:history="1">
        <w:r w:rsidR="0015049B" w:rsidRPr="009062AD">
          <w:rPr>
            <w:rStyle w:val="Hyperlink"/>
            <w:noProof/>
          </w:rPr>
          <w:t>Table 2 Theoretical model of explanatory variables</w:t>
        </w:r>
        <w:r w:rsidR="0015049B">
          <w:rPr>
            <w:noProof/>
            <w:webHidden/>
          </w:rPr>
          <w:tab/>
        </w:r>
        <w:r w:rsidR="0015049B">
          <w:rPr>
            <w:noProof/>
            <w:webHidden/>
          </w:rPr>
          <w:fldChar w:fldCharType="begin"/>
        </w:r>
        <w:r w:rsidR="0015049B">
          <w:rPr>
            <w:noProof/>
            <w:webHidden/>
          </w:rPr>
          <w:instrText xml:space="preserve"> PAGEREF _Toc25744009 \h </w:instrText>
        </w:r>
        <w:r w:rsidR="0015049B">
          <w:rPr>
            <w:noProof/>
            <w:webHidden/>
          </w:rPr>
        </w:r>
        <w:r w:rsidR="0015049B">
          <w:rPr>
            <w:noProof/>
            <w:webHidden/>
          </w:rPr>
          <w:fldChar w:fldCharType="separate"/>
        </w:r>
        <w:r>
          <w:rPr>
            <w:noProof/>
            <w:webHidden/>
          </w:rPr>
          <w:t>19</w:t>
        </w:r>
        <w:r w:rsidR="0015049B">
          <w:rPr>
            <w:noProof/>
            <w:webHidden/>
          </w:rPr>
          <w:fldChar w:fldCharType="end"/>
        </w:r>
      </w:hyperlink>
    </w:p>
    <w:p w14:paraId="2B7FEFB0"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0" w:history="1">
        <w:r w:rsidR="0015049B" w:rsidRPr="009062AD">
          <w:rPr>
            <w:rStyle w:val="Hyperlink"/>
            <w:noProof/>
          </w:rPr>
          <w:t>Table A3 CoreLogic main data variables</w:t>
        </w:r>
        <w:r w:rsidR="0015049B">
          <w:rPr>
            <w:noProof/>
            <w:webHidden/>
          </w:rPr>
          <w:tab/>
        </w:r>
        <w:r w:rsidR="0015049B">
          <w:rPr>
            <w:noProof/>
            <w:webHidden/>
          </w:rPr>
          <w:fldChar w:fldCharType="begin"/>
        </w:r>
        <w:r w:rsidR="0015049B">
          <w:rPr>
            <w:noProof/>
            <w:webHidden/>
          </w:rPr>
          <w:instrText xml:space="preserve"> PAGEREF _Toc25744010 \h </w:instrText>
        </w:r>
        <w:r w:rsidR="0015049B">
          <w:rPr>
            <w:noProof/>
            <w:webHidden/>
          </w:rPr>
        </w:r>
        <w:r w:rsidR="0015049B">
          <w:rPr>
            <w:noProof/>
            <w:webHidden/>
          </w:rPr>
          <w:fldChar w:fldCharType="separate"/>
        </w:r>
        <w:r>
          <w:rPr>
            <w:noProof/>
            <w:webHidden/>
          </w:rPr>
          <w:t>32</w:t>
        </w:r>
        <w:r w:rsidR="0015049B">
          <w:rPr>
            <w:noProof/>
            <w:webHidden/>
          </w:rPr>
          <w:fldChar w:fldCharType="end"/>
        </w:r>
      </w:hyperlink>
    </w:p>
    <w:p w14:paraId="661B0282"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1" w:history="1">
        <w:r w:rsidR="0015049B" w:rsidRPr="009062AD">
          <w:rPr>
            <w:rStyle w:val="Hyperlink"/>
            <w:noProof/>
          </w:rPr>
          <w:t>Table A4 CoreLogic additional linking variables</w:t>
        </w:r>
        <w:r w:rsidR="0015049B">
          <w:rPr>
            <w:noProof/>
            <w:webHidden/>
          </w:rPr>
          <w:tab/>
        </w:r>
        <w:r w:rsidR="0015049B">
          <w:rPr>
            <w:noProof/>
            <w:webHidden/>
          </w:rPr>
          <w:fldChar w:fldCharType="begin"/>
        </w:r>
        <w:r w:rsidR="0015049B">
          <w:rPr>
            <w:noProof/>
            <w:webHidden/>
          </w:rPr>
          <w:instrText xml:space="preserve"> PAGEREF _Toc25744011 \h </w:instrText>
        </w:r>
        <w:r w:rsidR="0015049B">
          <w:rPr>
            <w:noProof/>
            <w:webHidden/>
          </w:rPr>
        </w:r>
        <w:r w:rsidR="0015049B">
          <w:rPr>
            <w:noProof/>
            <w:webHidden/>
          </w:rPr>
          <w:fldChar w:fldCharType="separate"/>
        </w:r>
        <w:r>
          <w:rPr>
            <w:noProof/>
            <w:webHidden/>
          </w:rPr>
          <w:t>33</w:t>
        </w:r>
        <w:r w:rsidR="0015049B">
          <w:rPr>
            <w:noProof/>
            <w:webHidden/>
          </w:rPr>
          <w:fldChar w:fldCharType="end"/>
        </w:r>
      </w:hyperlink>
    </w:p>
    <w:p w14:paraId="353C31AF"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2" w:history="1">
        <w:r w:rsidR="0015049B" w:rsidRPr="009062AD">
          <w:rPr>
            <w:rStyle w:val="Hyperlink"/>
            <w:noProof/>
          </w:rPr>
          <w:t>Table A5 Categorical property type variables</w:t>
        </w:r>
        <w:r w:rsidR="0015049B">
          <w:rPr>
            <w:noProof/>
            <w:webHidden/>
          </w:rPr>
          <w:tab/>
        </w:r>
        <w:r w:rsidR="0015049B">
          <w:rPr>
            <w:noProof/>
            <w:webHidden/>
          </w:rPr>
          <w:fldChar w:fldCharType="begin"/>
        </w:r>
        <w:r w:rsidR="0015049B">
          <w:rPr>
            <w:noProof/>
            <w:webHidden/>
          </w:rPr>
          <w:instrText xml:space="preserve"> PAGEREF _Toc25744012 \h </w:instrText>
        </w:r>
        <w:r w:rsidR="0015049B">
          <w:rPr>
            <w:noProof/>
            <w:webHidden/>
          </w:rPr>
        </w:r>
        <w:r w:rsidR="0015049B">
          <w:rPr>
            <w:noProof/>
            <w:webHidden/>
          </w:rPr>
          <w:fldChar w:fldCharType="separate"/>
        </w:r>
        <w:r>
          <w:rPr>
            <w:noProof/>
            <w:webHidden/>
          </w:rPr>
          <w:t>34</w:t>
        </w:r>
        <w:r w:rsidR="0015049B">
          <w:rPr>
            <w:noProof/>
            <w:webHidden/>
          </w:rPr>
          <w:fldChar w:fldCharType="end"/>
        </w:r>
      </w:hyperlink>
    </w:p>
    <w:p w14:paraId="614AD519"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3" w:history="1">
        <w:r w:rsidR="0015049B" w:rsidRPr="009062AD">
          <w:rPr>
            <w:rStyle w:val="Hyperlink"/>
            <w:noProof/>
          </w:rPr>
          <w:t>Table A6 Constructed identifiers using CL_PRIMARY_LAND_USE</w:t>
        </w:r>
        <w:r w:rsidR="0015049B">
          <w:rPr>
            <w:noProof/>
            <w:webHidden/>
          </w:rPr>
          <w:tab/>
        </w:r>
        <w:r w:rsidR="0015049B">
          <w:rPr>
            <w:noProof/>
            <w:webHidden/>
          </w:rPr>
          <w:fldChar w:fldCharType="begin"/>
        </w:r>
        <w:r w:rsidR="0015049B">
          <w:rPr>
            <w:noProof/>
            <w:webHidden/>
          </w:rPr>
          <w:instrText xml:space="preserve"> PAGEREF _Toc25744013 \h </w:instrText>
        </w:r>
        <w:r w:rsidR="0015049B">
          <w:rPr>
            <w:noProof/>
            <w:webHidden/>
          </w:rPr>
        </w:r>
        <w:r w:rsidR="0015049B">
          <w:rPr>
            <w:noProof/>
            <w:webHidden/>
          </w:rPr>
          <w:fldChar w:fldCharType="separate"/>
        </w:r>
        <w:r>
          <w:rPr>
            <w:noProof/>
            <w:webHidden/>
          </w:rPr>
          <w:t>36</w:t>
        </w:r>
        <w:r w:rsidR="0015049B">
          <w:rPr>
            <w:noProof/>
            <w:webHidden/>
          </w:rPr>
          <w:fldChar w:fldCharType="end"/>
        </w:r>
      </w:hyperlink>
    </w:p>
    <w:p w14:paraId="3C0646F3" w14:textId="77777777" w:rsidR="009C2B20" w:rsidRDefault="00BF6A7E" w:rsidP="00455CE3">
      <w:pPr>
        <w:pStyle w:val="TableofFigures"/>
        <w:tabs>
          <w:tab w:val="right" w:leader="dot" w:pos="9060"/>
        </w:tabs>
      </w:pPr>
      <w:r>
        <w:rPr>
          <w:noProof/>
        </w:rPr>
        <w:fldChar w:fldCharType="end"/>
      </w:r>
    </w:p>
    <w:p w14:paraId="57DCB93C" w14:textId="77777777" w:rsidR="009C2B20" w:rsidRDefault="00BF6A7E">
      <w:pPr>
        <w:pStyle w:val="TOCHeading2"/>
        <w:rPr>
          <w:rStyle w:val="Strong"/>
        </w:rPr>
      </w:pPr>
      <w:r>
        <w:rPr>
          <w:rStyle w:val="Strong"/>
        </w:rPr>
        <w:t>Figures</w:t>
      </w:r>
    </w:p>
    <w:p w14:paraId="65330EA2" w14:textId="77777777" w:rsidR="0015049B" w:rsidRDefault="00BF6A7E">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25744014" w:history="1">
        <w:r w:rsidR="0015049B" w:rsidRPr="00507820">
          <w:rPr>
            <w:rStyle w:val="Hyperlink"/>
            <w:noProof/>
          </w:rPr>
          <w:t>Figure 1 Pre-data cleaning, average price per hectare and sample count</w:t>
        </w:r>
        <w:r w:rsidR="0015049B">
          <w:rPr>
            <w:noProof/>
            <w:webHidden/>
          </w:rPr>
          <w:tab/>
        </w:r>
        <w:r w:rsidR="0015049B">
          <w:rPr>
            <w:noProof/>
            <w:webHidden/>
          </w:rPr>
          <w:fldChar w:fldCharType="begin"/>
        </w:r>
        <w:r w:rsidR="0015049B">
          <w:rPr>
            <w:noProof/>
            <w:webHidden/>
          </w:rPr>
          <w:instrText xml:space="preserve"> PAGEREF _Toc25744014 \h </w:instrText>
        </w:r>
        <w:r w:rsidR="0015049B">
          <w:rPr>
            <w:noProof/>
            <w:webHidden/>
          </w:rPr>
        </w:r>
        <w:r w:rsidR="0015049B">
          <w:rPr>
            <w:noProof/>
            <w:webHidden/>
          </w:rPr>
          <w:fldChar w:fldCharType="separate"/>
        </w:r>
        <w:r w:rsidR="009F7388">
          <w:rPr>
            <w:noProof/>
            <w:webHidden/>
          </w:rPr>
          <w:t>12</w:t>
        </w:r>
        <w:r w:rsidR="0015049B">
          <w:rPr>
            <w:noProof/>
            <w:webHidden/>
          </w:rPr>
          <w:fldChar w:fldCharType="end"/>
        </w:r>
      </w:hyperlink>
    </w:p>
    <w:p w14:paraId="72C54EBD"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5" w:history="1">
        <w:r w:rsidR="0015049B" w:rsidRPr="00507820">
          <w:rPr>
            <w:rStyle w:val="Hyperlink"/>
            <w:noProof/>
          </w:rPr>
          <w:t>Figure 2 Post-data cleaning, average price per hectare versus sample size</w:t>
        </w:r>
        <w:r w:rsidR="0015049B">
          <w:rPr>
            <w:noProof/>
            <w:webHidden/>
          </w:rPr>
          <w:tab/>
        </w:r>
        <w:r w:rsidR="0015049B">
          <w:rPr>
            <w:noProof/>
            <w:webHidden/>
          </w:rPr>
          <w:fldChar w:fldCharType="begin"/>
        </w:r>
        <w:r w:rsidR="0015049B">
          <w:rPr>
            <w:noProof/>
            <w:webHidden/>
          </w:rPr>
          <w:instrText xml:space="preserve"> PAGEREF _Toc25744015 \h </w:instrText>
        </w:r>
        <w:r w:rsidR="0015049B">
          <w:rPr>
            <w:noProof/>
            <w:webHidden/>
          </w:rPr>
        </w:r>
        <w:r w:rsidR="0015049B">
          <w:rPr>
            <w:noProof/>
            <w:webHidden/>
          </w:rPr>
          <w:fldChar w:fldCharType="separate"/>
        </w:r>
        <w:r>
          <w:rPr>
            <w:noProof/>
            <w:webHidden/>
          </w:rPr>
          <w:t>12</w:t>
        </w:r>
        <w:r w:rsidR="0015049B">
          <w:rPr>
            <w:noProof/>
            <w:webHidden/>
          </w:rPr>
          <w:fldChar w:fldCharType="end"/>
        </w:r>
      </w:hyperlink>
    </w:p>
    <w:p w14:paraId="166AAC76"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6" w:history="1">
        <w:r w:rsidR="0015049B" w:rsidRPr="00507820">
          <w:rPr>
            <w:rStyle w:val="Hyperlink"/>
            <w:noProof/>
          </w:rPr>
          <w:t>Figure 3 Land value drivers – National</w:t>
        </w:r>
        <w:r w:rsidR="0015049B">
          <w:rPr>
            <w:noProof/>
            <w:webHidden/>
          </w:rPr>
          <w:tab/>
        </w:r>
        <w:r w:rsidR="0015049B">
          <w:rPr>
            <w:noProof/>
            <w:webHidden/>
          </w:rPr>
          <w:fldChar w:fldCharType="begin"/>
        </w:r>
        <w:r w:rsidR="0015049B">
          <w:rPr>
            <w:noProof/>
            <w:webHidden/>
          </w:rPr>
          <w:instrText xml:space="preserve"> PAGEREF _Toc25744016 \h </w:instrText>
        </w:r>
        <w:r w:rsidR="0015049B">
          <w:rPr>
            <w:noProof/>
            <w:webHidden/>
          </w:rPr>
        </w:r>
        <w:r w:rsidR="0015049B">
          <w:rPr>
            <w:noProof/>
            <w:webHidden/>
          </w:rPr>
          <w:fldChar w:fldCharType="separate"/>
        </w:r>
        <w:r>
          <w:rPr>
            <w:noProof/>
            <w:webHidden/>
          </w:rPr>
          <w:t>24</w:t>
        </w:r>
        <w:r w:rsidR="0015049B">
          <w:rPr>
            <w:noProof/>
            <w:webHidden/>
          </w:rPr>
          <w:fldChar w:fldCharType="end"/>
        </w:r>
      </w:hyperlink>
    </w:p>
    <w:p w14:paraId="1566F1D4"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7" w:history="1">
        <w:r w:rsidR="0015049B" w:rsidRPr="00507820">
          <w:rPr>
            <w:rStyle w:val="Hyperlink"/>
            <w:noProof/>
          </w:rPr>
          <w:t>Figure 4 Land value drivers - ABARES zones</w:t>
        </w:r>
        <w:r w:rsidR="0015049B">
          <w:rPr>
            <w:noProof/>
            <w:webHidden/>
          </w:rPr>
          <w:tab/>
        </w:r>
        <w:r w:rsidR="0015049B">
          <w:rPr>
            <w:noProof/>
            <w:webHidden/>
          </w:rPr>
          <w:fldChar w:fldCharType="begin"/>
        </w:r>
        <w:r w:rsidR="0015049B">
          <w:rPr>
            <w:noProof/>
            <w:webHidden/>
          </w:rPr>
          <w:instrText xml:space="preserve"> PAGEREF _Toc25744017 \h </w:instrText>
        </w:r>
        <w:r w:rsidR="0015049B">
          <w:rPr>
            <w:noProof/>
            <w:webHidden/>
          </w:rPr>
        </w:r>
        <w:r w:rsidR="0015049B">
          <w:rPr>
            <w:noProof/>
            <w:webHidden/>
          </w:rPr>
          <w:fldChar w:fldCharType="separate"/>
        </w:r>
        <w:r>
          <w:rPr>
            <w:noProof/>
            <w:webHidden/>
          </w:rPr>
          <w:t>25</w:t>
        </w:r>
        <w:r w:rsidR="0015049B">
          <w:rPr>
            <w:noProof/>
            <w:webHidden/>
          </w:rPr>
          <w:fldChar w:fldCharType="end"/>
        </w:r>
      </w:hyperlink>
    </w:p>
    <w:p w14:paraId="29580604"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8" w:history="1">
        <w:r w:rsidR="0015049B" w:rsidRPr="00507820">
          <w:rPr>
            <w:rStyle w:val="Hyperlink"/>
            <w:noProof/>
          </w:rPr>
          <w:t>Figure 5 Land value drivers – GRDC regions (farms with cropping)</w:t>
        </w:r>
        <w:r w:rsidR="0015049B">
          <w:rPr>
            <w:noProof/>
            <w:webHidden/>
          </w:rPr>
          <w:tab/>
        </w:r>
        <w:r w:rsidR="0015049B">
          <w:rPr>
            <w:noProof/>
            <w:webHidden/>
          </w:rPr>
          <w:fldChar w:fldCharType="begin"/>
        </w:r>
        <w:r w:rsidR="0015049B">
          <w:rPr>
            <w:noProof/>
            <w:webHidden/>
          </w:rPr>
          <w:instrText xml:space="preserve"> PAGEREF _Toc25744018 \h </w:instrText>
        </w:r>
        <w:r w:rsidR="0015049B">
          <w:rPr>
            <w:noProof/>
            <w:webHidden/>
          </w:rPr>
        </w:r>
        <w:r w:rsidR="0015049B">
          <w:rPr>
            <w:noProof/>
            <w:webHidden/>
          </w:rPr>
          <w:fldChar w:fldCharType="separate"/>
        </w:r>
        <w:r>
          <w:rPr>
            <w:noProof/>
            <w:webHidden/>
          </w:rPr>
          <w:t>26</w:t>
        </w:r>
        <w:r w:rsidR="0015049B">
          <w:rPr>
            <w:noProof/>
            <w:webHidden/>
          </w:rPr>
          <w:fldChar w:fldCharType="end"/>
        </w:r>
      </w:hyperlink>
    </w:p>
    <w:p w14:paraId="30EBA38B"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19" w:history="1">
        <w:r w:rsidR="0015049B" w:rsidRPr="00507820">
          <w:rPr>
            <w:rStyle w:val="Hyperlink"/>
            <w:noProof/>
          </w:rPr>
          <w:t>Figure 6 Land value drivers – National – by size quantiles</w:t>
        </w:r>
        <w:r w:rsidR="0015049B">
          <w:rPr>
            <w:noProof/>
            <w:webHidden/>
          </w:rPr>
          <w:tab/>
        </w:r>
        <w:r w:rsidR="0015049B">
          <w:rPr>
            <w:noProof/>
            <w:webHidden/>
          </w:rPr>
          <w:fldChar w:fldCharType="begin"/>
        </w:r>
        <w:r w:rsidR="0015049B">
          <w:rPr>
            <w:noProof/>
            <w:webHidden/>
          </w:rPr>
          <w:instrText xml:space="preserve"> PAGEREF _Toc25744019 \h </w:instrText>
        </w:r>
        <w:r w:rsidR="0015049B">
          <w:rPr>
            <w:noProof/>
            <w:webHidden/>
          </w:rPr>
        </w:r>
        <w:r w:rsidR="0015049B">
          <w:rPr>
            <w:noProof/>
            <w:webHidden/>
          </w:rPr>
          <w:fldChar w:fldCharType="separate"/>
        </w:r>
        <w:r>
          <w:rPr>
            <w:noProof/>
            <w:webHidden/>
          </w:rPr>
          <w:t>27</w:t>
        </w:r>
        <w:r w:rsidR="0015049B">
          <w:rPr>
            <w:noProof/>
            <w:webHidden/>
          </w:rPr>
          <w:fldChar w:fldCharType="end"/>
        </w:r>
      </w:hyperlink>
    </w:p>
    <w:p w14:paraId="5AEDC809"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20" w:history="1">
        <w:r w:rsidR="0015049B" w:rsidRPr="00507820">
          <w:rPr>
            <w:rStyle w:val="Hyperlink"/>
            <w:noProof/>
          </w:rPr>
          <w:t>Figure 7 Land value drivers – National – by price per hectare quantile</w:t>
        </w:r>
        <w:r w:rsidR="0015049B">
          <w:rPr>
            <w:noProof/>
            <w:webHidden/>
          </w:rPr>
          <w:tab/>
        </w:r>
        <w:r w:rsidR="0015049B">
          <w:rPr>
            <w:noProof/>
            <w:webHidden/>
          </w:rPr>
          <w:fldChar w:fldCharType="begin"/>
        </w:r>
        <w:r w:rsidR="0015049B">
          <w:rPr>
            <w:noProof/>
            <w:webHidden/>
          </w:rPr>
          <w:instrText xml:space="preserve"> PAGEREF _Toc25744020 \h </w:instrText>
        </w:r>
        <w:r w:rsidR="0015049B">
          <w:rPr>
            <w:noProof/>
            <w:webHidden/>
          </w:rPr>
        </w:r>
        <w:r w:rsidR="0015049B">
          <w:rPr>
            <w:noProof/>
            <w:webHidden/>
          </w:rPr>
          <w:fldChar w:fldCharType="separate"/>
        </w:r>
        <w:r>
          <w:rPr>
            <w:noProof/>
            <w:webHidden/>
          </w:rPr>
          <w:t>28</w:t>
        </w:r>
        <w:r w:rsidR="0015049B">
          <w:rPr>
            <w:noProof/>
            <w:webHidden/>
          </w:rPr>
          <w:fldChar w:fldCharType="end"/>
        </w:r>
      </w:hyperlink>
    </w:p>
    <w:p w14:paraId="7F076015" w14:textId="77777777" w:rsidR="009C2B20" w:rsidRDefault="00BF6A7E">
      <w:r>
        <w:fldChar w:fldCharType="end"/>
      </w:r>
    </w:p>
    <w:p w14:paraId="58FDFE7D" w14:textId="77777777" w:rsidR="009C2B20" w:rsidRDefault="00BF6A7E">
      <w:pPr>
        <w:pStyle w:val="TOCHeading2"/>
        <w:keepNext/>
        <w:rPr>
          <w:rStyle w:val="Strong"/>
        </w:rPr>
      </w:pPr>
      <w:r>
        <w:rPr>
          <w:rStyle w:val="Strong"/>
        </w:rPr>
        <w:lastRenderedPageBreak/>
        <w:t>Maps</w:t>
      </w:r>
    </w:p>
    <w:p w14:paraId="77D353A1" w14:textId="77777777" w:rsidR="0015049B" w:rsidRDefault="00BF6A7E">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25744021" w:history="1">
        <w:r w:rsidR="0015049B" w:rsidRPr="005059EE">
          <w:rPr>
            <w:rStyle w:val="Hyperlink"/>
            <w:noProof/>
          </w:rPr>
          <w:t>Map 1 Price per hectare (maximum) by parcel in clean dataset 1975-2018</w:t>
        </w:r>
        <w:r w:rsidR="0015049B">
          <w:rPr>
            <w:noProof/>
            <w:webHidden/>
          </w:rPr>
          <w:tab/>
        </w:r>
        <w:r w:rsidR="0015049B">
          <w:rPr>
            <w:noProof/>
            <w:webHidden/>
          </w:rPr>
          <w:fldChar w:fldCharType="begin"/>
        </w:r>
        <w:r w:rsidR="0015049B">
          <w:rPr>
            <w:noProof/>
            <w:webHidden/>
          </w:rPr>
          <w:instrText xml:space="preserve"> PAGEREF _Toc25744021 \h </w:instrText>
        </w:r>
        <w:r w:rsidR="0015049B">
          <w:rPr>
            <w:noProof/>
            <w:webHidden/>
          </w:rPr>
        </w:r>
        <w:r w:rsidR="0015049B">
          <w:rPr>
            <w:noProof/>
            <w:webHidden/>
          </w:rPr>
          <w:fldChar w:fldCharType="separate"/>
        </w:r>
        <w:r w:rsidR="009F7388">
          <w:rPr>
            <w:noProof/>
            <w:webHidden/>
          </w:rPr>
          <w:t>13</w:t>
        </w:r>
        <w:r w:rsidR="0015049B">
          <w:rPr>
            <w:noProof/>
            <w:webHidden/>
          </w:rPr>
          <w:fldChar w:fldCharType="end"/>
        </w:r>
      </w:hyperlink>
    </w:p>
    <w:p w14:paraId="013C4991"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22" w:history="1">
        <w:r w:rsidR="0015049B" w:rsidRPr="005059EE">
          <w:rPr>
            <w:rStyle w:val="Hyperlink"/>
            <w:noProof/>
          </w:rPr>
          <w:t>Map A2 Farm size in clean dataset 1975-2018</w:t>
        </w:r>
        <w:r w:rsidR="0015049B">
          <w:rPr>
            <w:noProof/>
            <w:webHidden/>
          </w:rPr>
          <w:tab/>
        </w:r>
        <w:r w:rsidR="0015049B">
          <w:rPr>
            <w:noProof/>
            <w:webHidden/>
          </w:rPr>
          <w:fldChar w:fldCharType="begin"/>
        </w:r>
        <w:r w:rsidR="0015049B">
          <w:rPr>
            <w:noProof/>
            <w:webHidden/>
          </w:rPr>
          <w:instrText xml:space="preserve"> PAGEREF _Toc25744022 \h </w:instrText>
        </w:r>
        <w:r w:rsidR="0015049B">
          <w:rPr>
            <w:noProof/>
            <w:webHidden/>
          </w:rPr>
        </w:r>
        <w:r w:rsidR="0015049B">
          <w:rPr>
            <w:noProof/>
            <w:webHidden/>
          </w:rPr>
          <w:fldChar w:fldCharType="separate"/>
        </w:r>
        <w:r>
          <w:rPr>
            <w:noProof/>
            <w:webHidden/>
          </w:rPr>
          <w:t>37</w:t>
        </w:r>
        <w:r w:rsidR="0015049B">
          <w:rPr>
            <w:noProof/>
            <w:webHidden/>
          </w:rPr>
          <w:fldChar w:fldCharType="end"/>
        </w:r>
      </w:hyperlink>
    </w:p>
    <w:p w14:paraId="00DEFFBE"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23" w:history="1">
        <w:r w:rsidR="0015049B" w:rsidRPr="005059EE">
          <w:rPr>
            <w:rStyle w:val="Hyperlink"/>
            <w:noProof/>
          </w:rPr>
          <w:t>Map A3 Count of sales 1975-2018</w:t>
        </w:r>
        <w:r w:rsidR="0015049B">
          <w:rPr>
            <w:noProof/>
            <w:webHidden/>
          </w:rPr>
          <w:tab/>
        </w:r>
        <w:r w:rsidR="0015049B">
          <w:rPr>
            <w:noProof/>
            <w:webHidden/>
          </w:rPr>
          <w:fldChar w:fldCharType="begin"/>
        </w:r>
        <w:r w:rsidR="0015049B">
          <w:rPr>
            <w:noProof/>
            <w:webHidden/>
          </w:rPr>
          <w:instrText xml:space="preserve"> PAGEREF _Toc25744023 \h </w:instrText>
        </w:r>
        <w:r w:rsidR="0015049B">
          <w:rPr>
            <w:noProof/>
            <w:webHidden/>
          </w:rPr>
        </w:r>
        <w:r w:rsidR="0015049B">
          <w:rPr>
            <w:noProof/>
            <w:webHidden/>
          </w:rPr>
          <w:fldChar w:fldCharType="separate"/>
        </w:r>
        <w:r>
          <w:rPr>
            <w:noProof/>
            <w:webHidden/>
          </w:rPr>
          <w:t>38</w:t>
        </w:r>
        <w:r w:rsidR="0015049B">
          <w:rPr>
            <w:noProof/>
            <w:webHidden/>
          </w:rPr>
          <w:fldChar w:fldCharType="end"/>
        </w:r>
      </w:hyperlink>
    </w:p>
    <w:p w14:paraId="0605DB1E"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24" w:history="1">
        <w:r w:rsidR="0015049B" w:rsidRPr="005059EE">
          <w:rPr>
            <w:rStyle w:val="Hyperlink"/>
            <w:noProof/>
          </w:rPr>
          <w:t>Map A4 Latest year of sale 1975-2018</w:t>
        </w:r>
        <w:r w:rsidR="0015049B">
          <w:rPr>
            <w:noProof/>
            <w:webHidden/>
          </w:rPr>
          <w:tab/>
        </w:r>
        <w:r w:rsidR="0015049B">
          <w:rPr>
            <w:noProof/>
            <w:webHidden/>
          </w:rPr>
          <w:fldChar w:fldCharType="begin"/>
        </w:r>
        <w:r w:rsidR="0015049B">
          <w:rPr>
            <w:noProof/>
            <w:webHidden/>
          </w:rPr>
          <w:instrText xml:space="preserve"> PAGEREF _Toc25744024 \h </w:instrText>
        </w:r>
        <w:r w:rsidR="0015049B">
          <w:rPr>
            <w:noProof/>
            <w:webHidden/>
          </w:rPr>
        </w:r>
        <w:r w:rsidR="0015049B">
          <w:rPr>
            <w:noProof/>
            <w:webHidden/>
          </w:rPr>
          <w:fldChar w:fldCharType="separate"/>
        </w:r>
        <w:r>
          <w:rPr>
            <w:noProof/>
            <w:webHidden/>
          </w:rPr>
          <w:t>39</w:t>
        </w:r>
        <w:r w:rsidR="0015049B">
          <w:rPr>
            <w:noProof/>
            <w:webHidden/>
          </w:rPr>
          <w:fldChar w:fldCharType="end"/>
        </w:r>
      </w:hyperlink>
    </w:p>
    <w:p w14:paraId="29B3CAA1"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25" w:history="1">
        <w:r w:rsidR="0015049B" w:rsidRPr="005059EE">
          <w:rPr>
            <w:rStyle w:val="Hyperlink"/>
            <w:noProof/>
          </w:rPr>
          <w:t>Map A5 Price per hectare (maximum) by parcel in clean dataset 1975-2018 (as hexbins)</w:t>
        </w:r>
        <w:r w:rsidR="0015049B">
          <w:rPr>
            <w:noProof/>
            <w:webHidden/>
          </w:rPr>
          <w:tab/>
        </w:r>
        <w:r w:rsidR="0015049B">
          <w:rPr>
            <w:noProof/>
            <w:webHidden/>
          </w:rPr>
          <w:fldChar w:fldCharType="begin"/>
        </w:r>
        <w:r w:rsidR="0015049B">
          <w:rPr>
            <w:noProof/>
            <w:webHidden/>
          </w:rPr>
          <w:instrText xml:space="preserve"> PAGEREF _Toc25744025 \h </w:instrText>
        </w:r>
        <w:r w:rsidR="0015049B">
          <w:rPr>
            <w:noProof/>
            <w:webHidden/>
          </w:rPr>
        </w:r>
        <w:r w:rsidR="0015049B">
          <w:rPr>
            <w:noProof/>
            <w:webHidden/>
          </w:rPr>
          <w:fldChar w:fldCharType="separate"/>
        </w:r>
        <w:r>
          <w:rPr>
            <w:noProof/>
            <w:webHidden/>
          </w:rPr>
          <w:t>40</w:t>
        </w:r>
        <w:r w:rsidR="0015049B">
          <w:rPr>
            <w:noProof/>
            <w:webHidden/>
          </w:rPr>
          <w:fldChar w:fldCharType="end"/>
        </w:r>
      </w:hyperlink>
    </w:p>
    <w:p w14:paraId="71713A94" w14:textId="77777777" w:rsidR="0015049B" w:rsidRDefault="009F7388">
      <w:pPr>
        <w:pStyle w:val="TableofFigures"/>
        <w:tabs>
          <w:tab w:val="right" w:leader="dot" w:pos="9060"/>
        </w:tabs>
        <w:rPr>
          <w:rFonts w:asciiTheme="minorHAnsi" w:eastAsiaTheme="minorEastAsia" w:hAnsiTheme="minorHAnsi"/>
          <w:noProof/>
          <w:lang w:eastAsia="en-AU"/>
        </w:rPr>
      </w:pPr>
      <w:hyperlink w:anchor="_Toc25744026" w:history="1">
        <w:r w:rsidR="0015049B" w:rsidRPr="005059EE">
          <w:rPr>
            <w:rStyle w:val="Hyperlink"/>
            <w:noProof/>
          </w:rPr>
          <w:t>Map A6 Experimental example of land value modelling using MCAS-S</w:t>
        </w:r>
        <w:r w:rsidR="0015049B">
          <w:rPr>
            <w:noProof/>
            <w:webHidden/>
          </w:rPr>
          <w:tab/>
        </w:r>
        <w:r w:rsidR="0015049B">
          <w:rPr>
            <w:noProof/>
            <w:webHidden/>
          </w:rPr>
          <w:fldChar w:fldCharType="begin"/>
        </w:r>
        <w:r w:rsidR="0015049B">
          <w:rPr>
            <w:noProof/>
            <w:webHidden/>
          </w:rPr>
          <w:instrText xml:space="preserve"> PAGEREF _Toc25744026 \h </w:instrText>
        </w:r>
        <w:r w:rsidR="0015049B">
          <w:rPr>
            <w:noProof/>
            <w:webHidden/>
          </w:rPr>
        </w:r>
        <w:r w:rsidR="0015049B">
          <w:rPr>
            <w:noProof/>
            <w:webHidden/>
          </w:rPr>
          <w:fldChar w:fldCharType="separate"/>
        </w:r>
        <w:r>
          <w:rPr>
            <w:noProof/>
            <w:webHidden/>
          </w:rPr>
          <w:t>41</w:t>
        </w:r>
        <w:r w:rsidR="0015049B">
          <w:rPr>
            <w:noProof/>
            <w:webHidden/>
          </w:rPr>
          <w:fldChar w:fldCharType="end"/>
        </w:r>
      </w:hyperlink>
    </w:p>
    <w:p w14:paraId="2DB4C45A" w14:textId="77777777" w:rsidR="009C2B20" w:rsidRDefault="00BF6A7E">
      <w:r>
        <w:fldChar w:fldCharType="end"/>
      </w:r>
    </w:p>
    <w:p w14:paraId="0ADD7C87" w14:textId="77777777" w:rsidR="009C2B20" w:rsidRDefault="00BF6A7E">
      <w:pPr>
        <w:pStyle w:val="TOCHeading2"/>
        <w:rPr>
          <w:rStyle w:val="Strong"/>
        </w:rPr>
      </w:pPr>
      <w:r>
        <w:rPr>
          <w:rStyle w:val="Strong"/>
        </w:rPr>
        <w:t>Boxes</w:t>
      </w:r>
    </w:p>
    <w:p w14:paraId="577FCDE4" w14:textId="77777777" w:rsidR="0015049B" w:rsidRDefault="00BF6A7E">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25744027" w:history="1">
        <w:r w:rsidR="0015049B" w:rsidRPr="0099432B">
          <w:rPr>
            <w:rStyle w:val="Hyperlink"/>
            <w:noProof/>
          </w:rPr>
          <w:t>Box A1 Farming zones and regions</w:t>
        </w:r>
        <w:r w:rsidR="0015049B">
          <w:rPr>
            <w:noProof/>
            <w:webHidden/>
          </w:rPr>
          <w:tab/>
        </w:r>
        <w:r w:rsidR="0015049B">
          <w:rPr>
            <w:noProof/>
            <w:webHidden/>
          </w:rPr>
          <w:fldChar w:fldCharType="begin"/>
        </w:r>
        <w:r w:rsidR="0015049B">
          <w:rPr>
            <w:noProof/>
            <w:webHidden/>
          </w:rPr>
          <w:instrText xml:space="preserve"> PAGEREF _Toc25744027 \h </w:instrText>
        </w:r>
        <w:r w:rsidR="0015049B">
          <w:rPr>
            <w:noProof/>
            <w:webHidden/>
          </w:rPr>
        </w:r>
        <w:r w:rsidR="0015049B">
          <w:rPr>
            <w:noProof/>
            <w:webHidden/>
          </w:rPr>
          <w:fldChar w:fldCharType="separate"/>
        </w:r>
        <w:r w:rsidR="009F7388">
          <w:rPr>
            <w:noProof/>
            <w:webHidden/>
          </w:rPr>
          <w:t>31</w:t>
        </w:r>
        <w:r w:rsidR="0015049B">
          <w:rPr>
            <w:noProof/>
            <w:webHidden/>
          </w:rPr>
          <w:fldChar w:fldCharType="end"/>
        </w:r>
      </w:hyperlink>
    </w:p>
    <w:p w14:paraId="68D51DE2" w14:textId="77777777" w:rsidR="009C2B20" w:rsidRDefault="00BF6A7E">
      <w:pPr>
        <w:pStyle w:val="Heading2"/>
        <w:numPr>
          <w:ilvl w:val="0"/>
          <w:numId w:val="0"/>
        </w:numPr>
        <w:ind w:left="709" w:hanging="709"/>
      </w:pPr>
      <w:r>
        <w:lastRenderedPageBreak/>
        <w:fldChar w:fldCharType="end"/>
      </w:r>
      <w:bookmarkStart w:id="1" w:name="_Toc25743995"/>
      <w:r w:rsidR="002278E0">
        <w:t>Abstract</w:t>
      </w:r>
      <w:bookmarkEnd w:id="1"/>
    </w:p>
    <w:p w14:paraId="6B999AFE" w14:textId="47BBCF38" w:rsidR="00ED3CB3" w:rsidRDefault="007D49BD" w:rsidP="00ED3CB3">
      <w:r>
        <w:t>T</w:t>
      </w:r>
      <w:r w:rsidR="00B119A4" w:rsidRPr="00F4761D">
        <w:t>his paper</w:t>
      </w:r>
      <w:r>
        <w:t xml:space="preserve"> reports our preliminary findings on the construction of hedonic </w:t>
      </w:r>
      <w:r w:rsidR="00EA4429">
        <w:t xml:space="preserve">models to explain the determinants of the value of agricultural land (such as land size, soil condition and location) </w:t>
      </w:r>
      <w:r>
        <w:t>to</w:t>
      </w:r>
      <w:r w:rsidR="003E5C56">
        <w:t xml:space="preserve"> estimate </w:t>
      </w:r>
      <w:r w:rsidR="00EA4429">
        <w:t>values</w:t>
      </w:r>
      <w:r w:rsidR="003E5C56">
        <w:t xml:space="preserve"> of Australian farmland</w:t>
      </w:r>
      <w:r>
        <w:t>. The</w:t>
      </w:r>
      <w:r w:rsidR="00EA4429">
        <w:t xml:space="preserve"> models are </w:t>
      </w:r>
      <w:r w:rsidR="005E77B3">
        <w:t xml:space="preserve">based on </w:t>
      </w:r>
      <w:r w:rsidR="00467D44" w:rsidRPr="00141342">
        <w:t xml:space="preserve">a large administrative </w:t>
      </w:r>
      <w:r w:rsidR="00EA4429">
        <w:t>dataset</w:t>
      </w:r>
      <w:r w:rsidR="00467D44" w:rsidRPr="00141342">
        <w:t xml:space="preserve"> </w:t>
      </w:r>
      <w:r w:rsidR="00AA587B">
        <w:t xml:space="preserve">of </w:t>
      </w:r>
      <w:r w:rsidR="005E77B3">
        <w:t xml:space="preserve">land transactions </w:t>
      </w:r>
      <w:r w:rsidR="00467D44">
        <w:t>(</w:t>
      </w:r>
      <w:r w:rsidR="00AA587B">
        <w:t xml:space="preserve">supplied by </w:t>
      </w:r>
      <w:r w:rsidR="005E77B3">
        <w:t>CoreLogic</w:t>
      </w:r>
      <w:r w:rsidR="00467D44">
        <w:t>)</w:t>
      </w:r>
      <w:r w:rsidR="005E77B3">
        <w:t xml:space="preserve"> and </w:t>
      </w:r>
      <w:r w:rsidR="004A7558">
        <w:t xml:space="preserve">data </w:t>
      </w:r>
      <w:r w:rsidR="00AA587B">
        <w:t xml:space="preserve">from </w:t>
      </w:r>
      <w:r w:rsidR="005E77B3">
        <w:t>other sources.</w:t>
      </w:r>
      <w:r w:rsidR="00373F32">
        <w:t xml:space="preserve"> </w:t>
      </w:r>
      <w:r w:rsidR="00ED3CB3">
        <w:t xml:space="preserve">This report focuses on examining the efficacy of the CoreLogic data – its quality, usability and feasibility to be linked with other data sources for hedonic modelling -- rather than economic analysis of farmland value. As a ‘technical’ report, it aims to share our experience of using administrative </w:t>
      </w:r>
      <w:r w:rsidR="00ED3CB3" w:rsidRPr="00156133">
        <w:t>land value</w:t>
      </w:r>
      <w:r w:rsidR="00ED3CB3">
        <w:t xml:space="preserve"> data to estimate agricultural land values and seek feedback on our work. </w:t>
      </w:r>
    </w:p>
    <w:p w14:paraId="07A4A601" w14:textId="66234D69" w:rsidR="00A44019" w:rsidRDefault="00ED3CB3" w:rsidP="00E96433">
      <w:r>
        <w:t>W</w:t>
      </w:r>
      <w:r w:rsidR="00141342" w:rsidRPr="00141342">
        <w:t xml:space="preserve">e first transform </w:t>
      </w:r>
      <w:r w:rsidR="00467D44">
        <w:t>the CoreLogic data</w:t>
      </w:r>
      <w:r w:rsidR="00141342" w:rsidRPr="00141342">
        <w:t xml:space="preserve"> (from tabular data to spatial polygons), so that various scientific datasets can be overlaid and linked to individual land parcels. Such spatial linkages allow for the derivation of farm specific characteristics (including land slope, soil characteristics, water cover etc.), overcoming a major challenge in the development of a nati</w:t>
      </w:r>
      <w:r w:rsidR="003B44C9">
        <w:t xml:space="preserve">onal </w:t>
      </w:r>
      <w:r w:rsidR="00A44019">
        <w:t xml:space="preserve">hedonic </w:t>
      </w:r>
      <w:r w:rsidR="003B44C9">
        <w:t xml:space="preserve">model for Australian </w:t>
      </w:r>
      <w:r w:rsidR="0044154A">
        <w:t>broadacre</w:t>
      </w:r>
      <w:r w:rsidR="00141342" w:rsidRPr="00141342">
        <w:t xml:space="preserve"> farmland valuation. Our analysis uses a series of stratified hedonic models to identify drivers of </w:t>
      </w:r>
      <w:r w:rsidR="0044154A">
        <w:t>broadacre</w:t>
      </w:r>
      <w:r w:rsidR="00141342" w:rsidRPr="00141342">
        <w:t xml:space="preserve"> farmland value and explore whether these drivers differ by region, farm size and price level. </w:t>
      </w:r>
      <w:r w:rsidR="003E026E">
        <w:t>Results</w:t>
      </w:r>
      <w:r w:rsidR="00141342" w:rsidRPr="00141342">
        <w:t xml:space="preserve"> indicate that rainfall, temperature, distance from towns, characteristics of the farm house (if present), farm size, production type, and infrastructure such as buildings play an important role in drivin</w:t>
      </w:r>
      <w:r w:rsidR="003B44C9">
        <w:t xml:space="preserve">g the value of Australian </w:t>
      </w:r>
      <w:r w:rsidR="0044154A">
        <w:t>broadacre</w:t>
      </w:r>
      <w:r w:rsidR="00141342" w:rsidRPr="00141342">
        <w:t xml:space="preserve"> farmland. </w:t>
      </w:r>
    </w:p>
    <w:p w14:paraId="1F36A9C8" w14:textId="5BCD1F39" w:rsidR="00EA4429" w:rsidRDefault="00EA4429" w:rsidP="00EA4429">
      <w:r>
        <w:t>The results from hedonic modelling can be used to</w:t>
      </w:r>
      <w:r w:rsidR="00214FFA">
        <w:t xml:space="preserve"> predict values of any farmland</w:t>
      </w:r>
      <w:r>
        <w:t xml:space="preserve"> based on this ‘characteristic’ information. The coefficients of a sound hedonic model have wider applications in the analysis of agricultural economics and policy issues. For example, as they explicitly show the contributions of the ‘characteristics’ to the formation of farmland values, it is possible to use hedonic modelling to analyse the underlying drivers of price movements. </w:t>
      </w:r>
      <w:r w:rsidR="008804BD">
        <w:t>This generates an important linkage between economic and environmental</w:t>
      </w:r>
      <w:r w:rsidR="008D62AC">
        <w:t xml:space="preserve"> statistics</w:t>
      </w:r>
      <w:r w:rsidR="008804BD">
        <w:t>, which may con</w:t>
      </w:r>
      <w:r w:rsidR="008D62AC">
        <w:t xml:space="preserve">tribute to the development </w:t>
      </w:r>
      <w:r w:rsidR="008804BD">
        <w:t>of environmental</w:t>
      </w:r>
      <w:r w:rsidR="008804BD">
        <w:noBreakHyphen/>
        <w:t>economic accounting</w:t>
      </w:r>
      <w:r w:rsidR="008D62AC">
        <w:t xml:space="preserve"> systems</w:t>
      </w:r>
      <w:r w:rsidR="008804BD">
        <w:t xml:space="preserve">. </w:t>
      </w:r>
      <w:r>
        <w:t xml:space="preserve">Hedonic models may also be used to estimate real (historic) or hypothetical (future) farmland values under various simulated scenarios including economic incidents (e.g. a rise in interest rate), policy changes (e.g. structural reform) or external events (e.g. drought). </w:t>
      </w:r>
    </w:p>
    <w:p w14:paraId="152D29A8" w14:textId="5F5B11D6" w:rsidR="00055D6D" w:rsidRDefault="00ED3CB3" w:rsidP="00E96433">
      <w:r>
        <w:t>T</w:t>
      </w:r>
      <w:r w:rsidR="00055D6D">
        <w:t xml:space="preserve">his report is a summary of the first stage of our research on farmland values using hedonic techniques. It focuses on the dataset that we have developed for hedonic modelling. </w:t>
      </w:r>
      <w:r w:rsidR="00141342" w:rsidRPr="00141342">
        <w:t xml:space="preserve">While this study provides important insights into the drivers of Australian farmland value, it also serves as a foundation for future data and model refinement — progressing towards our long term vision to </w:t>
      </w:r>
      <w:r w:rsidR="008804BD">
        <w:t xml:space="preserve">analysing economic and </w:t>
      </w:r>
      <w:r w:rsidR="00915DEF">
        <w:t>policy issues.</w:t>
      </w:r>
      <w:r w:rsidR="003E026E">
        <w:t xml:space="preserve"> </w:t>
      </w:r>
      <w:r w:rsidR="004331C3">
        <w:t>This progress is greatly facilitated by our initial data transformation and linkage work</w:t>
      </w:r>
      <w:r w:rsidR="008804BD">
        <w:t>, connecting economic data to environmental factors (among others) at the parcel level</w:t>
      </w:r>
      <w:r w:rsidR="004331C3">
        <w:t xml:space="preserve">. </w:t>
      </w:r>
      <w:r w:rsidR="00055D6D">
        <w:t xml:space="preserve">The target audience of this </w:t>
      </w:r>
      <w:r w:rsidR="00915DEF">
        <w:t>report</w:t>
      </w:r>
      <w:r w:rsidR="00055D6D">
        <w:t xml:space="preserve"> are </w:t>
      </w:r>
      <w:r w:rsidR="002C2187">
        <w:t xml:space="preserve">those </w:t>
      </w:r>
      <w:r w:rsidR="00055D6D">
        <w:t xml:space="preserve">specialised in the analysis of agricultural farmland value and </w:t>
      </w:r>
      <w:r w:rsidR="008804BD">
        <w:t>those interested in the integration of economic and environmental data. W</w:t>
      </w:r>
      <w:r w:rsidR="00055D6D">
        <w:t>e expect that publication of these findings will facilitate communication with like</w:t>
      </w:r>
      <w:r w:rsidR="002C2187">
        <w:noBreakHyphen/>
      </w:r>
      <w:r w:rsidR="00055D6D">
        <w:t>minded researchers to share experience and work towards developing improved methodologies for the analysis of agricultural land values.</w:t>
      </w:r>
    </w:p>
    <w:p w14:paraId="0A29C61E" w14:textId="77777777" w:rsidR="00A802D2" w:rsidRDefault="00A802D2"/>
    <w:p w14:paraId="7FA22325" w14:textId="77777777" w:rsidR="00A802D2" w:rsidRDefault="00A802D2">
      <w:pPr>
        <w:sectPr w:rsidR="00A802D2">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p>
    <w:p w14:paraId="0A2B2FC4" w14:textId="77777777" w:rsidR="009C2B20" w:rsidRDefault="00BF6A7E">
      <w:pPr>
        <w:pStyle w:val="Heading2"/>
        <w:numPr>
          <w:ilvl w:val="0"/>
          <w:numId w:val="0"/>
        </w:numPr>
        <w:ind w:left="720" w:hanging="720"/>
      </w:pPr>
      <w:bookmarkStart w:id="2" w:name="_Toc430782150"/>
      <w:bookmarkStart w:id="3" w:name="_Toc25743996"/>
      <w:r>
        <w:lastRenderedPageBreak/>
        <w:t>Introduction</w:t>
      </w:r>
      <w:bookmarkEnd w:id="2"/>
      <w:bookmarkEnd w:id="3"/>
    </w:p>
    <w:p w14:paraId="52AFC767" w14:textId="3326B68E" w:rsidR="000A582C" w:rsidRDefault="00141342" w:rsidP="00141342">
      <w:r>
        <w:t>Farmland is a</w:t>
      </w:r>
      <w:r w:rsidR="00B96083">
        <w:t>n important</w:t>
      </w:r>
      <w:r>
        <w:t xml:space="preserve"> </w:t>
      </w:r>
      <w:r w:rsidR="00B96083">
        <w:t xml:space="preserve">asset for Australian farmers, </w:t>
      </w:r>
      <w:r w:rsidR="00867027">
        <w:t>agricultural industries</w:t>
      </w:r>
      <w:r w:rsidR="00B96083">
        <w:t xml:space="preserve"> and the nation as a whole. First, it is a productive asset which is essential for farms to run agricultural business</w:t>
      </w:r>
      <w:r w:rsidR="00867027">
        <w:t>es</w:t>
      </w:r>
      <w:r w:rsidR="00B96083">
        <w:t xml:space="preserve">, generate revenue and sustain their livelihood. </w:t>
      </w:r>
      <w:r w:rsidR="0076793A">
        <w:t xml:space="preserve">For most farmers, land is </w:t>
      </w:r>
      <w:r w:rsidR="00867027">
        <w:t>the</w:t>
      </w:r>
      <w:r w:rsidR="00214FFA">
        <w:t>ir most important asset</w:t>
      </w:r>
      <w:r w:rsidR="00A13B39">
        <w:t xml:space="preserve">. </w:t>
      </w:r>
      <w:r w:rsidR="00ED3CB3">
        <w:t>A</w:t>
      </w:r>
      <w:r w:rsidR="00772FCD">
        <w:t xml:space="preserve">gricultural land is </w:t>
      </w:r>
      <w:r w:rsidR="00ED3CB3">
        <w:t xml:space="preserve">also </w:t>
      </w:r>
      <w:r w:rsidR="00772FCD">
        <w:t xml:space="preserve">an integral part of </w:t>
      </w:r>
      <w:r w:rsidR="000A582C">
        <w:t xml:space="preserve">the </w:t>
      </w:r>
      <w:r w:rsidR="00772FCD">
        <w:t>Australia</w:t>
      </w:r>
      <w:r w:rsidR="000A582C">
        <w:t>n</w:t>
      </w:r>
      <w:r w:rsidR="00772FCD">
        <w:t xml:space="preserve"> ecosystem and has a significant environmental value</w:t>
      </w:r>
      <w:r w:rsidR="000A582C">
        <w:t xml:space="preserve">, of which farmers are responsible for managing approximately 385 million hectares (or 58 per cent of Australia). </w:t>
      </w:r>
    </w:p>
    <w:p w14:paraId="151AF1FB" w14:textId="39F1E09E" w:rsidR="00810784" w:rsidRDefault="0076793A" w:rsidP="00141342">
      <w:r>
        <w:t xml:space="preserve">Information about </w:t>
      </w:r>
      <w:r w:rsidR="00104F4D">
        <w:t xml:space="preserve">Australian </w:t>
      </w:r>
      <w:r>
        <w:t>farm</w:t>
      </w:r>
      <w:r w:rsidR="00772FCD">
        <w:t>land value</w:t>
      </w:r>
      <w:r w:rsidR="00B95AA9">
        <w:t xml:space="preserve"> </w:t>
      </w:r>
      <w:r w:rsidR="00ED3CB3">
        <w:t>is</w:t>
      </w:r>
      <w:r w:rsidR="00A63558">
        <w:t xml:space="preserve"> scarce. </w:t>
      </w:r>
      <w:r w:rsidR="00FF37DB">
        <w:t>Values of farms are not observable unless farms are sold on the market and</w:t>
      </w:r>
      <w:r w:rsidR="00ED3CB3">
        <w:t xml:space="preserve"> even then, </w:t>
      </w:r>
      <w:r w:rsidR="00FF37DB">
        <w:t xml:space="preserve">farms are traded infrequently. </w:t>
      </w:r>
      <w:r w:rsidR="006044D4">
        <w:t xml:space="preserve">ABARES </w:t>
      </w:r>
      <w:r w:rsidR="00ED3CB3">
        <w:t xml:space="preserve">produces </w:t>
      </w:r>
      <w:r w:rsidR="00B95AA9">
        <w:t xml:space="preserve">price indexes </w:t>
      </w:r>
      <w:r w:rsidR="00AD5EA2">
        <w:t xml:space="preserve">of broadacre farmlands </w:t>
      </w:r>
      <w:r w:rsidR="006044D4">
        <w:t xml:space="preserve">(Martin and Topp 2019) </w:t>
      </w:r>
      <w:r w:rsidR="00AD5EA2">
        <w:t xml:space="preserve">for </w:t>
      </w:r>
      <w:r w:rsidR="00FD7284">
        <w:t xml:space="preserve">the </w:t>
      </w:r>
      <w:r w:rsidR="00B95AA9">
        <w:t>three</w:t>
      </w:r>
      <w:r w:rsidR="00FD7284">
        <w:t xml:space="preserve"> ABARES</w:t>
      </w:r>
      <w:r w:rsidR="00B95AA9">
        <w:t xml:space="preserve"> agricultural zones (high rainfall, wheat-sheep and pastoral)</w:t>
      </w:r>
      <w:r w:rsidR="00A63558">
        <w:t xml:space="preserve">. </w:t>
      </w:r>
      <w:r w:rsidR="00ED3CB3">
        <w:t>However, w</w:t>
      </w:r>
      <w:r w:rsidR="00FC7E25">
        <w:t xml:space="preserve">hile these statistics are </w:t>
      </w:r>
      <w:r w:rsidR="00B95AA9">
        <w:t>informative</w:t>
      </w:r>
      <w:r w:rsidR="00D96D16">
        <w:t>,</w:t>
      </w:r>
      <w:r w:rsidR="000E0454">
        <w:t xml:space="preserve"> </w:t>
      </w:r>
      <w:r w:rsidR="008F31B2">
        <w:t xml:space="preserve">they </w:t>
      </w:r>
      <w:r w:rsidR="00ED3CB3">
        <w:t>have limitations.</w:t>
      </w:r>
      <w:r w:rsidR="00FC7E25">
        <w:t xml:space="preserve"> For example, </w:t>
      </w:r>
      <w:r w:rsidR="004A7B7E">
        <w:t xml:space="preserve">as the statistics were derived from ABARES </w:t>
      </w:r>
      <w:r w:rsidR="004A7B7E" w:rsidRPr="004A7B7E">
        <w:t>Australian Agricultural and Grazing Industry Survey</w:t>
      </w:r>
      <w:r w:rsidR="004A7B7E">
        <w:t xml:space="preserve"> (</w:t>
      </w:r>
      <w:r w:rsidR="008F31B2">
        <w:t>A</w:t>
      </w:r>
      <w:r w:rsidR="004A7B7E">
        <w:t xml:space="preserve">AGIS), it is difficult to </w:t>
      </w:r>
      <w:r w:rsidR="00AD5EA2">
        <w:t xml:space="preserve">use the raw data to </w:t>
      </w:r>
      <w:r w:rsidR="004A7B7E">
        <w:t xml:space="preserve">compile statistics at lower aggregation levels (such as </w:t>
      </w:r>
      <w:r w:rsidR="00595CD8">
        <w:t xml:space="preserve">for small farming areas or agricultural </w:t>
      </w:r>
      <w:r w:rsidR="004A7B7E">
        <w:t>regions with</w:t>
      </w:r>
      <w:r w:rsidR="00661996">
        <w:t>in</w:t>
      </w:r>
      <w:r w:rsidR="004A7B7E">
        <w:t xml:space="preserve"> a state) due to the limited sample size</w:t>
      </w:r>
      <w:r w:rsidR="00AD5EA2">
        <w:t xml:space="preserve">. Likewise, the index does not </w:t>
      </w:r>
      <w:r w:rsidR="00595CD8">
        <w:t>cover land used for producing</w:t>
      </w:r>
      <w:r w:rsidR="00AD5EA2">
        <w:t xml:space="preserve"> dairy and other agricultural commodities. More importantly, </w:t>
      </w:r>
      <w:r w:rsidR="00595CD8">
        <w:t xml:space="preserve">it is </w:t>
      </w:r>
      <w:r w:rsidR="0096492A">
        <w:t xml:space="preserve">not </w:t>
      </w:r>
      <w:r w:rsidR="00595CD8">
        <w:t xml:space="preserve">feasible to use the statistics to identify </w:t>
      </w:r>
      <w:r w:rsidR="00ED3CB3">
        <w:t xml:space="preserve">and quantify the </w:t>
      </w:r>
      <w:r w:rsidR="00595CD8">
        <w:t xml:space="preserve">determinants of land </w:t>
      </w:r>
      <w:r w:rsidR="0096492A">
        <w:t>values</w:t>
      </w:r>
      <w:r w:rsidR="00595CD8">
        <w:t xml:space="preserve"> (</w:t>
      </w:r>
      <w:r w:rsidR="00ED3CB3">
        <w:t>for example</w:t>
      </w:r>
      <w:r w:rsidR="0096492A">
        <w:t>, between</w:t>
      </w:r>
      <w:r w:rsidR="00595CD8">
        <w:t xml:space="preserve"> locations</w:t>
      </w:r>
      <w:r w:rsidR="0096492A">
        <w:t xml:space="preserve"> and farm types</w:t>
      </w:r>
      <w:r w:rsidR="00595CD8">
        <w:t>) and growth over time.</w:t>
      </w:r>
      <w:r w:rsidR="0096492A">
        <w:t xml:space="preserve"> </w:t>
      </w:r>
    </w:p>
    <w:p w14:paraId="0784453D" w14:textId="11132A59" w:rsidR="001412EF" w:rsidRDefault="003A2C6D">
      <w:r>
        <w:t>Hedonic model</w:t>
      </w:r>
      <w:r w:rsidR="00661996">
        <w:t>s are</w:t>
      </w:r>
      <w:r>
        <w:t xml:space="preserve"> a</w:t>
      </w:r>
      <w:r w:rsidR="00661996">
        <w:t xml:space="preserve"> feasible and cost-</w:t>
      </w:r>
      <w:r>
        <w:t xml:space="preserve">effective </w:t>
      </w:r>
      <w:r w:rsidR="00ED3CB3">
        <w:t xml:space="preserve">statistical tool </w:t>
      </w:r>
      <w:r>
        <w:t>to fill</w:t>
      </w:r>
      <w:r w:rsidR="0076793A">
        <w:t xml:space="preserve"> </w:t>
      </w:r>
      <w:r>
        <w:t>th</w:t>
      </w:r>
      <w:r w:rsidR="00ED3CB3">
        <w:t>is</w:t>
      </w:r>
      <w:r>
        <w:t xml:space="preserve"> information gap. </w:t>
      </w:r>
      <w:r w:rsidR="001412EF">
        <w:t>They fit the land value and other data into an equation (or model) using regression or machine learning techniques. In the case of regression, market prices are regressed on the farmland characteristics and the resulting coefficients can be interpreted as the implicit ‘prices’ of the characteristics (embedded i</w:t>
      </w:r>
      <w:r w:rsidR="00ED3CB3">
        <w:t>n the market prices of farmland</w:t>
      </w:r>
      <w:r w:rsidR="001412EF">
        <w:t xml:space="preserve">). Hence, based on some basic information about the properties (e.g. size and location etc.), a sound hedonic model would enable </w:t>
      </w:r>
      <w:r w:rsidR="00ED3CB3">
        <w:t xml:space="preserve">the </w:t>
      </w:r>
      <w:r w:rsidR="001412EF">
        <w:t xml:space="preserve">estimation of the value of any farmland, including those which have not been sold recently. </w:t>
      </w:r>
    </w:p>
    <w:p w14:paraId="4010C500" w14:textId="4513186B" w:rsidR="001412EF" w:rsidRDefault="001412EF">
      <w:r>
        <w:t xml:space="preserve">While hedonic models have been used extensively to estimate market values of residential properties </w:t>
      </w:r>
      <w:r w:rsidR="00DC0CF9">
        <w:t>(</w:t>
      </w:r>
      <w:r w:rsidR="006822C9">
        <w:t>Cho 1996; Conniffe and Duffy 1999</w:t>
      </w:r>
      <w:r w:rsidR="005803DC">
        <w:t>)</w:t>
      </w:r>
      <w:r w:rsidR="005803DC">
        <w:rPr>
          <w:rStyle w:val="FootnoteReference"/>
        </w:rPr>
        <w:footnoteReference w:id="2"/>
      </w:r>
      <w:r w:rsidR="006822C9">
        <w:t xml:space="preserve"> </w:t>
      </w:r>
      <w:r>
        <w:t>and consumer goods (Triplett 2004), to our knowledge, comprehensive national hedonic farmland models for Australia do not yet exist.  There are several possible explanations for this. The characteristics of farmland are more complex and difficult to identify, define and numerically measure compared to residential properties.</w:t>
      </w:r>
      <w:r w:rsidRPr="009D303B">
        <w:t xml:space="preserve"> </w:t>
      </w:r>
      <w:r>
        <w:t>There are also many different agricultural production systems, making the stratification of farmland more difficult. Finally, the volume of farmland transactions i</w:t>
      </w:r>
      <w:r w:rsidR="00214FFA">
        <w:t>s smaller compared with</w:t>
      </w:r>
      <w:r>
        <w:t xml:space="preserve"> the residential market, limiting the applicability of hedonic models</w:t>
      </w:r>
      <w:r w:rsidR="00214FFA">
        <w:t xml:space="preserve"> to date</w:t>
      </w:r>
      <w:r>
        <w:t>.</w:t>
      </w:r>
    </w:p>
    <w:p w14:paraId="110D3991" w14:textId="089CA488" w:rsidR="0076793A" w:rsidRDefault="001412EF">
      <w:r>
        <w:t>T</w:t>
      </w:r>
      <w:r w:rsidR="004C17DC">
        <w:t xml:space="preserve">he </w:t>
      </w:r>
      <w:r w:rsidR="00BE5FC0">
        <w:t>‘</w:t>
      </w:r>
      <w:r w:rsidR="004C17DC">
        <w:t>characteristics</w:t>
      </w:r>
      <w:r w:rsidR="00BE5FC0">
        <w:t>’</w:t>
      </w:r>
      <w:r w:rsidR="004160A0">
        <w:t xml:space="preserve"> (physical, natural, geographical and socioeconomic) </w:t>
      </w:r>
      <w:r w:rsidR="00141342">
        <w:t xml:space="preserve">expected to </w:t>
      </w:r>
      <w:r>
        <w:t xml:space="preserve">influence farmland values </w:t>
      </w:r>
      <w:r w:rsidR="00141342">
        <w:t xml:space="preserve">include terrain features, localised climate conditions (rainfall and temperature), </w:t>
      </w:r>
      <w:r w:rsidR="00141342">
        <w:lastRenderedPageBreak/>
        <w:t>transport access, soil conditions, buildings</w:t>
      </w:r>
      <w:r w:rsidR="0076793A">
        <w:t xml:space="preserve"> on the land</w:t>
      </w:r>
      <w:r w:rsidR="00141342">
        <w:t xml:space="preserve">, production type, among other factors. In addition to these farm specific factors, broader influences such as </w:t>
      </w:r>
      <w:r w:rsidR="00970BCD">
        <w:t>commodity prices, interest rate</w:t>
      </w:r>
      <w:r w:rsidR="00550FC0">
        <w:t>s</w:t>
      </w:r>
      <w:r w:rsidR="00970BCD">
        <w:t xml:space="preserve">, </w:t>
      </w:r>
      <w:r w:rsidR="00F11490">
        <w:t>productivity</w:t>
      </w:r>
      <w:r w:rsidR="00214FFA">
        <w:t xml:space="preserve"> growth</w:t>
      </w:r>
      <w:r w:rsidR="00F11490">
        <w:t>,</w:t>
      </w:r>
      <w:r w:rsidR="00141342">
        <w:t xml:space="preserve"> economic growth</w:t>
      </w:r>
      <w:r w:rsidR="003B44C9">
        <w:t>, market sentiment</w:t>
      </w:r>
      <w:r w:rsidR="00970BCD">
        <w:t>,</w:t>
      </w:r>
      <w:r w:rsidR="00970BCD" w:rsidRPr="00970BCD">
        <w:t xml:space="preserve"> </w:t>
      </w:r>
      <w:r w:rsidR="00970BCD">
        <w:t>levels of rural debt,</w:t>
      </w:r>
      <w:r w:rsidR="003B44C9">
        <w:t xml:space="preserve"> and the supply and demand for </w:t>
      </w:r>
      <w:r w:rsidR="00104F4D">
        <w:t xml:space="preserve">urban </w:t>
      </w:r>
      <w:r w:rsidR="00970BCD">
        <w:t>real estate</w:t>
      </w:r>
      <w:r w:rsidR="003B44C9">
        <w:t xml:space="preserve"> assets </w:t>
      </w:r>
      <w:r w:rsidR="00141342">
        <w:t>may also affect the value of farmland</w:t>
      </w:r>
      <w:r w:rsidR="003B44C9">
        <w:t xml:space="preserve">. </w:t>
      </w:r>
    </w:p>
    <w:p w14:paraId="2825FC20" w14:textId="02E07373" w:rsidR="00C43F96" w:rsidRDefault="00DF228B" w:rsidP="00DF228B">
      <w:r>
        <w:t xml:space="preserve">Using CoreLogic land transaction data and other data ABARES has constructed hedonic models to explain the determinants of the value of agricultural land to estimate values of Australian farmland. </w:t>
      </w:r>
      <w:r w:rsidR="0029554B">
        <w:t>Th</w:t>
      </w:r>
      <w:r>
        <w:t xml:space="preserve">e CoreLogic </w:t>
      </w:r>
      <w:r w:rsidR="0029554B">
        <w:t>dataset has comprehensive coverage</w:t>
      </w:r>
      <w:r w:rsidR="00615A2C">
        <w:t xml:space="preserve">, </w:t>
      </w:r>
      <w:r w:rsidR="00511A27">
        <w:t>co</w:t>
      </w:r>
      <w:r w:rsidR="00615A2C">
        <w:t>ntaining</w:t>
      </w:r>
      <w:r w:rsidR="0029554B">
        <w:t xml:space="preserve"> </w:t>
      </w:r>
      <w:r w:rsidR="00511A27">
        <w:t xml:space="preserve">farmland </w:t>
      </w:r>
      <w:r w:rsidR="0029554B">
        <w:t>transactions in all States</w:t>
      </w:r>
      <w:r w:rsidR="00615A2C">
        <w:t xml:space="preserve"> and </w:t>
      </w:r>
      <w:r w:rsidR="0029554B">
        <w:t>Territories since</w:t>
      </w:r>
      <w:r w:rsidR="00615A2C">
        <w:t xml:space="preserve"> 1975</w:t>
      </w:r>
      <w:r w:rsidR="0029554B">
        <w:t xml:space="preserve"> </w:t>
      </w:r>
      <w:r w:rsidR="00511A27">
        <w:t xml:space="preserve">and includes information on transaction values, land size, </w:t>
      </w:r>
      <w:r w:rsidR="00B768DE">
        <w:t xml:space="preserve">location, </w:t>
      </w:r>
      <w:r w:rsidR="00434800">
        <w:t xml:space="preserve">purposes of land use and </w:t>
      </w:r>
      <w:r w:rsidR="00511A27">
        <w:t>residential properties on the land (number of bedrooms etc.)</w:t>
      </w:r>
      <w:r w:rsidR="00615A2C">
        <w:t xml:space="preserve">. </w:t>
      </w:r>
    </w:p>
    <w:p w14:paraId="78E1B305" w14:textId="4F9E1C83" w:rsidR="00291163" w:rsidRDefault="00291163" w:rsidP="00B768DE">
      <w:r>
        <w:t>Before constructing the hedonic models, the CoreLogic data required significant data transformation and filtering.</w:t>
      </w:r>
      <w:r w:rsidRPr="00291163">
        <w:t xml:space="preserve"> </w:t>
      </w:r>
      <w:r>
        <w:t xml:space="preserve">The CoreLogic data, contained a total of 700,424 transaction records, including transactions which were obviously not farms. For example, some observations were labelled as ‘construction sites’, ‘mines’ and even ‘church buildings’ etc. Many of the records removed were for agricultural </w:t>
      </w:r>
      <w:r w:rsidR="00ED3CB3">
        <w:t xml:space="preserve">purposes </w:t>
      </w:r>
      <w:r>
        <w:t>(e.g. dairy, tomato farming, pineapples), however were excluded to fit our scope of dryland broadacre farms. This resulted in a final dataset of 166,994 broadacre farmland transactions covering the period from 1975 to 2019.</w:t>
      </w:r>
    </w:p>
    <w:p w14:paraId="6958A87E" w14:textId="64C813FA" w:rsidR="00961299" w:rsidRDefault="00291163" w:rsidP="00B768DE">
      <w:r>
        <w:t>T</w:t>
      </w:r>
      <w:r w:rsidR="00424A71">
        <w:t xml:space="preserve">he CoreLogic data </w:t>
      </w:r>
      <w:r w:rsidR="00961299">
        <w:t>include information about the location of the land transaction</w:t>
      </w:r>
      <w:r w:rsidR="0048776A">
        <w:t xml:space="preserve"> and land parcel </w:t>
      </w:r>
      <w:r w:rsidR="0048776A" w:rsidRPr="0015049B">
        <w:t>identifiers. Using</w:t>
      </w:r>
      <w:r w:rsidR="0048776A">
        <w:t xml:space="preserve"> this information, ABARES formed data linkages between these parcel identifiers and state government cadastral datasets, thereby enabling the derivation of parcel shape information for each </w:t>
      </w:r>
      <w:r w:rsidR="005F6D75">
        <w:t xml:space="preserve">CoreLogic </w:t>
      </w:r>
      <w:r w:rsidR="0048776A">
        <w:t xml:space="preserve">land transaction record.  </w:t>
      </w:r>
    </w:p>
    <w:p w14:paraId="0C514E4A" w14:textId="68C30CD9" w:rsidR="00B768DE" w:rsidRDefault="00961299" w:rsidP="00B768DE">
      <w:r>
        <w:t xml:space="preserve">The CoreLogic data </w:t>
      </w:r>
      <w:r w:rsidR="00291163">
        <w:t xml:space="preserve">did not include data on a range of other possible explanatory variables </w:t>
      </w:r>
      <w:r w:rsidR="00B768DE">
        <w:t>such as</w:t>
      </w:r>
      <w:r w:rsidR="00291163">
        <w:t xml:space="preserve"> climate data</w:t>
      </w:r>
      <w:r w:rsidR="00231068">
        <w:t xml:space="preserve">, land gradient, water cover </w:t>
      </w:r>
      <w:r w:rsidR="00B143C9">
        <w:t>and many others.</w:t>
      </w:r>
      <w:r w:rsidR="00275955">
        <w:t xml:space="preserve"> </w:t>
      </w:r>
      <w:r w:rsidR="00ED3CB3">
        <w:t xml:space="preserve">Therefore, ABARES sourced and included data at the farm level on these other possible explanatory variables. </w:t>
      </w:r>
      <w:r>
        <w:t xml:space="preserve">The final data set included </w:t>
      </w:r>
      <w:r w:rsidR="00B768DE">
        <w:t xml:space="preserve">topography data from the Geoscience Australia Shuttle Radar Topographic Mission (SRTM) digital elevation model, Water Observations from Space (WOS), average rainfall and temperature from the Bureau of Meteorology (BoM) Australian Water Availability Project (AWAP) grids, among others. This means that physical property features (such as soil and climate attributes) can be derived at farm level and applied as explanatory variables to farmland value in the hedonic models. </w:t>
      </w:r>
    </w:p>
    <w:p w14:paraId="79BD265A" w14:textId="195EDB68" w:rsidR="00ED3CB3" w:rsidRDefault="00291163" w:rsidP="00ED3CB3">
      <w:r>
        <w:t xml:space="preserve">After developing the dataset and a prototype model of co-variates to explain our dependent variable (land price per hectare), we apply a series of robust (Hamilton, 1991) and quantile regressions in order to observe the relationship between farmland value and potential </w:t>
      </w:r>
      <w:r w:rsidR="00ED3CB3">
        <w:t>explanatory</w:t>
      </w:r>
      <w:r>
        <w:t xml:space="preserve"> variables by region, production type, size category and price segment. In doing so, we are able to identify some factors driving Australian broadacre farmland value as well as the magnitude and direction of these drivers. This study thereby makes considerable progress in use of hedonic method to measure Australian farmland values and quantify regional, price and size specific drivers.</w:t>
      </w:r>
    </w:p>
    <w:p w14:paraId="0F522227" w14:textId="32EFA7D0" w:rsidR="00ED3CB3" w:rsidRDefault="00ED3CB3" w:rsidP="00291163">
      <w:r>
        <w:t xml:space="preserve">The hedonic model and underlying data set have a number of potential applications. The underlying data, for example, can be used to generate price index(s) of Australian farmland at </w:t>
      </w:r>
      <w:r>
        <w:lastRenderedPageBreak/>
        <w:t>the national, state and regional levels, using conventional methods</w:t>
      </w:r>
      <w:r>
        <w:rPr>
          <w:rStyle w:val="FootnoteReference"/>
        </w:rPr>
        <w:footnoteReference w:id="3"/>
      </w:r>
      <w:r>
        <w:t>. The model can be used</w:t>
      </w:r>
      <w:r w:rsidR="00291163">
        <w:t xml:space="preserve"> to identify drivers of farmland </w:t>
      </w:r>
      <w:r>
        <w:t xml:space="preserve">price movements at the national, state </w:t>
      </w:r>
      <w:r w:rsidR="00291163">
        <w:t>or regional level</w:t>
      </w:r>
      <w:r>
        <w:t xml:space="preserve"> as well as </w:t>
      </w:r>
      <w:r w:rsidR="00291163">
        <w:t>predict the impacts of changes in these variables</w:t>
      </w:r>
      <w:r w:rsidR="00291163" w:rsidRPr="007D0CE7">
        <w:t xml:space="preserve"> </w:t>
      </w:r>
      <w:r>
        <w:t>on future farmland prices.</w:t>
      </w:r>
      <w:r w:rsidRPr="00ED3CB3">
        <w:t xml:space="preserve"> </w:t>
      </w:r>
      <w:r>
        <w:t>For example, it may be possible to estimate the impact of commodity prices and interest rate movements on farmland values.</w:t>
      </w:r>
    </w:p>
    <w:p w14:paraId="438D3AC4" w14:textId="61265511" w:rsidR="00ED3CB3" w:rsidRDefault="00ED3CB3" w:rsidP="005F0C86">
      <w:r>
        <w:t>Future development of the hedonic models may allow assessments of other policy issues. For example, evaluating the impact of infrastructure investments such as construction of roads, railways and dams on the value of farm land. This could also include assessing the impact of drought and climate change on farmland values. Another possibility is to explore the relationship between natural capital and farm values.</w:t>
      </w:r>
    </w:p>
    <w:p w14:paraId="0524B2A1" w14:textId="60496839" w:rsidR="00141342" w:rsidRDefault="00D6545D" w:rsidP="00141342">
      <w:r>
        <w:t xml:space="preserve">Section 1 presents detailed information </w:t>
      </w:r>
      <w:r w:rsidR="004F3BD3">
        <w:t>about the CoreLogic records, issues with the data</w:t>
      </w:r>
      <w:r>
        <w:t xml:space="preserve"> and how it is linked to information from other sources. Section 2 explains the hedonic methods used in this preliminary study and Section 3 provides a short summary of the results of hedonic estimation. Section 4 concludes.</w:t>
      </w:r>
    </w:p>
    <w:p w14:paraId="6BE585D4" w14:textId="77777777" w:rsidR="00141342" w:rsidRDefault="00141342" w:rsidP="00141342">
      <w:pPr>
        <w:pStyle w:val="Heading2"/>
      </w:pPr>
      <w:bookmarkStart w:id="4" w:name="_Toc25743997"/>
      <w:r>
        <w:lastRenderedPageBreak/>
        <w:t>Data</w:t>
      </w:r>
      <w:bookmarkEnd w:id="4"/>
    </w:p>
    <w:p w14:paraId="5F4C10D2" w14:textId="77777777" w:rsidR="009C2B20" w:rsidRDefault="00141342">
      <w:pPr>
        <w:pStyle w:val="Heading3"/>
        <w:numPr>
          <w:ilvl w:val="0"/>
          <w:numId w:val="0"/>
        </w:numPr>
        <w:ind w:left="964" w:hanging="964"/>
      </w:pPr>
      <w:bookmarkStart w:id="5" w:name="_Toc25743998"/>
      <w:r>
        <w:t xml:space="preserve">Raw </w:t>
      </w:r>
      <w:r w:rsidR="004F3BD3">
        <w:t xml:space="preserve">CoreLogic </w:t>
      </w:r>
      <w:r>
        <w:t>data</w:t>
      </w:r>
      <w:r w:rsidR="004F3BD3">
        <w:t>: an</w:t>
      </w:r>
      <w:r>
        <w:t xml:space="preserve"> overview</w:t>
      </w:r>
      <w:bookmarkEnd w:id="5"/>
    </w:p>
    <w:p w14:paraId="042E3D68" w14:textId="77777777" w:rsidR="00EF7920" w:rsidRDefault="00141342" w:rsidP="00141342">
      <w:r>
        <w:t xml:space="preserve">The analysis in this paper is based on a dataset of CoreLogic property transactions, which are defined loosely as “all properties that are identified as for farming or agricultural use”. CoreLogic obtains these transaction records from State Valuer General administrative datasets, and applies processes to integrate and maintain these transaction records. The raw ‘agricultural’ dataset provided by Corelogic contains 349,217 unique properties recorded between 1900 and 2019, made up of </w:t>
      </w:r>
      <w:r w:rsidR="006C1807">
        <w:t xml:space="preserve">700,424 property transactions. </w:t>
      </w:r>
    </w:p>
    <w:p w14:paraId="7CF66E95" w14:textId="77777777" w:rsidR="00141342" w:rsidRDefault="00141342" w:rsidP="00141342">
      <w:pPr>
        <w:pStyle w:val="Caption"/>
      </w:pPr>
      <w:bookmarkStart w:id="6" w:name="_Toc25744008"/>
      <w:r>
        <w:t xml:space="preserve">Table </w:t>
      </w:r>
      <w:r>
        <w:rPr>
          <w:noProof/>
        </w:rPr>
        <w:fldChar w:fldCharType="begin"/>
      </w:r>
      <w:r>
        <w:rPr>
          <w:noProof/>
        </w:rPr>
        <w:instrText xml:space="preserve"> SEQ Table \* ARABIC </w:instrText>
      </w:r>
      <w:r>
        <w:rPr>
          <w:noProof/>
        </w:rPr>
        <w:fldChar w:fldCharType="separate"/>
      </w:r>
      <w:r w:rsidR="009F7388">
        <w:rPr>
          <w:noProof/>
        </w:rPr>
        <w:t>1</w:t>
      </w:r>
      <w:r>
        <w:rPr>
          <w:noProof/>
        </w:rPr>
        <w:fldChar w:fldCharType="end"/>
      </w:r>
      <w:r>
        <w:t xml:space="preserve"> </w:t>
      </w:r>
      <w:r w:rsidR="006606A8" w:rsidRPr="006606A8">
        <w:t>CoreLogic data variables</w:t>
      </w:r>
      <w:bookmarkEnd w:id="6"/>
    </w:p>
    <w:tbl>
      <w:tblPr>
        <w:tblW w:w="5000"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236"/>
        <w:gridCol w:w="2268"/>
        <w:gridCol w:w="5566"/>
      </w:tblGrid>
      <w:tr w:rsidR="00141342" w14:paraId="103D5565" w14:textId="77777777" w:rsidTr="005E076C">
        <w:trPr>
          <w:cantSplit/>
          <w:tblHeader/>
        </w:trPr>
        <w:tc>
          <w:tcPr>
            <w:tcW w:w="1236" w:type="dxa"/>
            <w:tcMar>
              <w:left w:w="108" w:type="dxa"/>
              <w:right w:w="108" w:type="dxa"/>
            </w:tcMar>
          </w:tcPr>
          <w:p w14:paraId="14FD45FD" w14:textId="77777777" w:rsidR="00141342" w:rsidRDefault="00141342" w:rsidP="00141342">
            <w:pPr>
              <w:pStyle w:val="TableHeading"/>
            </w:pPr>
            <w:r>
              <w:t>Number</w:t>
            </w:r>
          </w:p>
        </w:tc>
        <w:tc>
          <w:tcPr>
            <w:tcW w:w="2268" w:type="dxa"/>
            <w:tcMar>
              <w:left w:w="108" w:type="dxa"/>
              <w:right w:w="108" w:type="dxa"/>
            </w:tcMar>
          </w:tcPr>
          <w:p w14:paraId="5372B820" w14:textId="77777777" w:rsidR="00141342" w:rsidRDefault="00141342" w:rsidP="00141342">
            <w:pPr>
              <w:pStyle w:val="TableHeading"/>
            </w:pPr>
            <w:r>
              <w:t>Data field</w:t>
            </w:r>
          </w:p>
        </w:tc>
        <w:tc>
          <w:tcPr>
            <w:tcW w:w="5566" w:type="dxa"/>
            <w:tcMar>
              <w:left w:w="108" w:type="dxa"/>
              <w:right w:w="108" w:type="dxa"/>
            </w:tcMar>
          </w:tcPr>
          <w:p w14:paraId="730E8CD2" w14:textId="77777777" w:rsidR="00141342" w:rsidRDefault="00141342" w:rsidP="00A263ED">
            <w:pPr>
              <w:pStyle w:val="TableHeading"/>
            </w:pPr>
            <w:r>
              <w:t>Definition</w:t>
            </w:r>
          </w:p>
        </w:tc>
      </w:tr>
      <w:tr w:rsidR="005E076C" w14:paraId="00FB6433" w14:textId="77777777" w:rsidTr="005E076C">
        <w:trPr>
          <w:cantSplit/>
          <w:tblHeader/>
        </w:trPr>
        <w:tc>
          <w:tcPr>
            <w:tcW w:w="1236" w:type="dxa"/>
            <w:tcMar>
              <w:left w:w="108" w:type="dxa"/>
              <w:right w:w="108" w:type="dxa"/>
            </w:tcMar>
            <w:vAlign w:val="center"/>
          </w:tcPr>
          <w:p w14:paraId="1C01B5F9" w14:textId="77777777" w:rsidR="005E076C" w:rsidRDefault="005E076C" w:rsidP="005E076C">
            <w:pPr>
              <w:pStyle w:val="TableText"/>
            </w:pPr>
            <w:r>
              <w:t>1</w:t>
            </w:r>
          </w:p>
        </w:tc>
        <w:tc>
          <w:tcPr>
            <w:tcW w:w="2268" w:type="dxa"/>
            <w:tcMar>
              <w:left w:w="108" w:type="dxa"/>
              <w:right w:w="108" w:type="dxa"/>
            </w:tcMar>
          </w:tcPr>
          <w:p w14:paraId="08AEC05E" w14:textId="77777777" w:rsidR="005E076C" w:rsidRDefault="005E076C" w:rsidP="005E076C">
            <w:pPr>
              <w:pStyle w:val="TableText"/>
            </w:pPr>
            <w:r w:rsidRPr="006B3F96">
              <w:t>Property ID</w:t>
            </w:r>
          </w:p>
        </w:tc>
        <w:tc>
          <w:tcPr>
            <w:tcW w:w="5566" w:type="dxa"/>
            <w:tcMar>
              <w:left w:w="108" w:type="dxa"/>
              <w:right w:w="108" w:type="dxa"/>
            </w:tcMar>
          </w:tcPr>
          <w:p w14:paraId="33167E63" w14:textId="77777777" w:rsidR="005E076C" w:rsidRDefault="005E076C" w:rsidP="00A263ED">
            <w:pPr>
              <w:pStyle w:val="TableText"/>
            </w:pPr>
            <w:r w:rsidRPr="00C40F11">
              <w:t>Unique record key within the core database for the property.</w:t>
            </w:r>
          </w:p>
        </w:tc>
      </w:tr>
      <w:tr w:rsidR="005E076C" w14:paraId="76D77686" w14:textId="77777777" w:rsidTr="005E076C">
        <w:trPr>
          <w:cantSplit/>
          <w:tblHeader/>
        </w:trPr>
        <w:tc>
          <w:tcPr>
            <w:tcW w:w="1236" w:type="dxa"/>
            <w:tcMar>
              <w:left w:w="108" w:type="dxa"/>
              <w:right w:w="108" w:type="dxa"/>
            </w:tcMar>
            <w:vAlign w:val="center"/>
          </w:tcPr>
          <w:p w14:paraId="473FAFE6" w14:textId="77777777" w:rsidR="005E076C" w:rsidRDefault="005E076C" w:rsidP="005E076C">
            <w:pPr>
              <w:pStyle w:val="TableText"/>
            </w:pPr>
            <w:r>
              <w:t>2</w:t>
            </w:r>
          </w:p>
        </w:tc>
        <w:tc>
          <w:tcPr>
            <w:tcW w:w="2268" w:type="dxa"/>
            <w:tcMar>
              <w:left w:w="108" w:type="dxa"/>
              <w:right w:w="108" w:type="dxa"/>
            </w:tcMar>
          </w:tcPr>
          <w:p w14:paraId="714BED4F" w14:textId="77777777" w:rsidR="005E076C" w:rsidRDefault="005E076C" w:rsidP="005E076C">
            <w:pPr>
              <w:pStyle w:val="TableText"/>
            </w:pPr>
            <w:r w:rsidRPr="006B3F96">
              <w:t>Real Property Description</w:t>
            </w:r>
          </w:p>
        </w:tc>
        <w:tc>
          <w:tcPr>
            <w:tcW w:w="5566" w:type="dxa"/>
            <w:tcMar>
              <w:left w:w="108" w:type="dxa"/>
              <w:right w:w="108" w:type="dxa"/>
            </w:tcMar>
          </w:tcPr>
          <w:p w14:paraId="08DBE471" w14:textId="77777777" w:rsidR="005E076C" w:rsidRDefault="005E076C" w:rsidP="00A263ED">
            <w:pPr>
              <w:pStyle w:val="TableText"/>
            </w:pPr>
            <w:r w:rsidRPr="00C40F11">
              <w:t>The legal parcel(s) description of the property, depending on the scheme adopted for each state.</w:t>
            </w:r>
          </w:p>
        </w:tc>
      </w:tr>
      <w:tr w:rsidR="005E076C" w14:paraId="6FD937B1" w14:textId="77777777" w:rsidTr="005E076C">
        <w:trPr>
          <w:cantSplit/>
          <w:tblHeader/>
        </w:trPr>
        <w:tc>
          <w:tcPr>
            <w:tcW w:w="1236" w:type="dxa"/>
            <w:tcMar>
              <w:left w:w="108" w:type="dxa"/>
              <w:right w:w="108" w:type="dxa"/>
            </w:tcMar>
          </w:tcPr>
          <w:p w14:paraId="42EAEAB7" w14:textId="77777777" w:rsidR="005E076C" w:rsidRDefault="005E076C" w:rsidP="005E076C">
            <w:pPr>
              <w:pStyle w:val="TableBullet"/>
              <w:numPr>
                <w:ilvl w:val="0"/>
                <w:numId w:val="0"/>
              </w:numPr>
              <w:ind w:left="284" w:hanging="284"/>
            </w:pPr>
            <w:r>
              <w:t>3</w:t>
            </w:r>
          </w:p>
        </w:tc>
        <w:tc>
          <w:tcPr>
            <w:tcW w:w="2268" w:type="dxa"/>
            <w:tcMar>
              <w:left w:w="108" w:type="dxa"/>
              <w:right w:w="108" w:type="dxa"/>
            </w:tcMar>
          </w:tcPr>
          <w:p w14:paraId="493B4805" w14:textId="77777777" w:rsidR="005E076C" w:rsidRDefault="005E076C" w:rsidP="005E076C">
            <w:pPr>
              <w:pStyle w:val="TableText"/>
            </w:pPr>
            <w:r w:rsidRPr="006B3F96">
              <w:t>Lot Number</w:t>
            </w:r>
          </w:p>
        </w:tc>
        <w:tc>
          <w:tcPr>
            <w:tcW w:w="5566" w:type="dxa"/>
            <w:tcMar>
              <w:left w:w="108" w:type="dxa"/>
              <w:right w:w="108" w:type="dxa"/>
            </w:tcMar>
          </w:tcPr>
          <w:p w14:paraId="0246C3FB" w14:textId="77777777" w:rsidR="005E076C" w:rsidRDefault="005E076C" w:rsidP="00A263ED">
            <w:pPr>
              <w:pStyle w:val="TableText"/>
            </w:pPr>
            <w:r w:rsidRPr="00C40F11">
              <w:t>Lot Number component of the parcel's description. NSW, VIC, QLD, WA, SA, TAS, NT only</w:t>
            </w:r>
          </w:p>
        </w:tc>
      </w:tr>
      <w:tr w:rsidR="005E076C" w14:paraId="2860FDD5" w14:textId="77777777" w:rsidTr="005E076C">
        <w:trPr>
          <w:cantSplit/>
          <w:tblHeader/>
        </w:trPr>
        <w:tc>
          <w:tcPr>
            <w:tcW w:w="1236" w:type="dxa"/>
            <w:tcMar>
              <w:left w:w="108" w:type="dxa"/>
              <w:right w:w="108" w:type="dxa"/>
            </w:tcMar>
          </w:tcPr>
          <w:p w14:paraId="7B3A7464" w14:textId="77777777" w:rsidR="005E076C" w:rsidRDefault="005E076C" w:rsidP="005E076C">
            <w:pPr>
              <w:pStyle w:val="TableText"/>
            </w:pPr>
            <w:r>
              <w:t>4</w:t>
            </w:r>
          </w:p>
        </w:tc>
        <w:tc>
          <w:tcPr>
            <w:tcW w:w="2268" w:type="dxa"/>
            <w:tcMar>
              <w:left w:w="108" w:type="dxa"/>
              <w:right w:w="108" w:type="dxa"/>
            </w:tcMar>
          </w:tcPr>
          <w:p w14:paraId="0C901140" w14:textId="77777777" w:rsidR="005E076C" w:rsidRDefault="005E076C" w:rsidP="005E076C">
            <w:pPr>
              <w:pStyle w:val="TableText"/>
            </w:pPr>
            <w:r w:rsidRPr="006B3F96">
              <w:t>Full Property Address</w:t>
            </w:r>
          </w:p>
        </w:tc>
        <w:tc>
          <w:tcPr>
            <w:tcW w:w="5566" w:type="dxa"/>
            <w:tcMar>
              <w:left w:w="108" w:type="dxa"/>
              <w:right w:w="108" w:type="dxa"/>
            </w:tcMar>
          </w:tcPr>
          <w:p w14:paraId="0DF26D8A" w14:textId="77777777" w:rsidR="005E076C" w:rsidRDefault="005E076C" w:rsidP="00A263ED">
            <w:pPr>
              <w:pStyle w:val="TableText"/>
            </w:pPr>
            <w:r w:rsidRPr="00C40F11">
              <w:t>Property Address</w:t>
            </w:r>
          </w:p>
        </w:tc>
      </w:tr>
      <w:tr w:rsidR="005E076C" w14:paraId="7AD9D8EC" w14:textId="77777777" w:rsidTr="005E076C">
        <w:trPr>
          <w:cantSplit/>
          <w:tblHeader/>
        </w:trPr>
        <w:tc>
          <w:tcPr>
            <w:tcW w:w="1236" w:type="dxa"/>
            <w:tcMar>
              <w:left w:w="108" w:type="dxa"/>
              <w:right w:w="108" w:type="dxa"/>
            </w:tcMar>
          </w:tcPr>
          <w:p w14:paraId="2BF69EC9" w14:textId="77777777" w:rsidR="005E076C" w:rsidRDefault="005E076C" w:rsidP="005E076C">
            <w:pPr>
              <w:pStyle w:val="TableBullet"/>
              <w:numPr>
                <w:ilvl w:val="0"/>
                <w:numId w:val="0"/>
              </w:numPr>
              <w:ind w:left="284" w:hanging="284"/>
            </w:pPr>
            <w:r>
              <w:t>5</w:t>
            </w:r>
          </w:p>
        </w:tc>
        <w:tc>
          <w:tcPr>
            <w:tcW w:w="2268" w:type="dxa"/>
            <w:tcMar>
              <w:left w:w="108" w:type="dxa"/>
              <w:right w:w="108" w:type="dxa"/>
            </w:tcMar>
          </w:tcPr>
          <w:p w14:paraId="2F3646A8" w14:textId="77777777" w:rsidR="005E076C" w:rsidRDefault="005E076C" w:rsidP="005E076C">
            <w:pPr>
              <w:pStyle w:val="TableText"/>
            </w:pPr>
            <w:r w:rsidRPr="006B3F96">
              <w:t>Property Type</w:t>
            </w:r>
          </w:p>
        </w:tc>
        <w:tc>
          <w:tcPr>
            <w:tcW w:w="5566" w:type="dxa"/>
            <w:tcMar>
              <w:left w:w="108" w:type="dxa"/>
              <w:right w:w="108" w:type="dxa"/>
            </w:tcMar>
          </w:tcPr>
          <w:p w14:paraId="5041795E" w14:textId="77777777" w:rsidR="005E076C" w:rsidRDefault="005E076C" w:rsidP="00A263ED">
            <w:pPr>
              <w:pStyle w:val="TableText"/>
            </w:pPr>
            <w:r w:rsidRPr="00C40F11">
              <w:t>CoreLogic identified category for the property such as House, Unit, Flats, Land, Business i.e. House, Unit, Flats, Business, Commercial, Community, Farm, Land, Storage Unit</w:t>
            </w:r>
          </w:p>
        </w:tc>
      </w:tr>
      <w:tr w:rsidR="005E076C" w14:paraId="309903BB" w14:textId="77777777" w:rsidTr="005E076C">
        <w:trPr>
          <w:cantSplit/>
          <w:tblHeader/>
        </w:trPr>
        <w:tc>
          <w:tcPr>
            <w:tcW w:w="1236" w:type="dxa"/>
            <w:tcMar>
              <w:left w:w="108" w:type="dxa"/>
              <w:right w:w="108" w:type="dxa"/>
            </w:tcMar>
          </w:tcPr>
          <w:p w14:paraId="1263C468" w14:textId="77777777" w:rsidR="005E076C" w:rsidRDefault="005E076C" w:rsidP="005E076C">
            <w:pPr>
              <w:pStyle w:val="TableBullet"/>
              <w:numPr>
                <w:ilvl w:val="0"/>
                <w:numId w:val="0"/>
              </w:numPr>
              <w:ind w:left="284" w:hanging="284"/>
            </w:pPr>
            <w:r>
              <w:t>6</w:t>
            </w:r>
          </w:p>
        </w:tc>
        <w:tc>
          <w:tcPr>
            <w:tcW w:w="2268" w:type="dxa"/>
            <w:tcMar>
              <w:left w:w="108" w:type="dxa"/>
              <w:right w:w="108" w:type="dxa"/>
            </w:tcMar>
          </w:tcPr>
          <w:p w14:paraId="18728833" w14:textId="77777777" w:rsidR="005E076C" w:rsidRDefault="005E076C" w:rsidP="005E076C">
            <w:pPr>
              <w:pStyle w:val="TableText"/>
            </w:pPr>
            <w:r w:rsidRPr="006B3F96">
              <w:t>Property Type Minor</w:t>
            </w:r>
          </w:p>
        </w:tc>
        <w:tc>
          <w:tcPr>
            <w:tcW w:w="5566" w:type="dxa"/>
            <w:tcMar>
              <w:left w:w="108" w:type="dxa"/>
              <w:right w:w="108" w:type="dxa"/>
            </w:tcMar>
          </w:tcPr>
          <w:p w14:paraId="7CDFCBC3" w14:textId="77777777" w:rsidR="005E076C" w:rsidRDefault="005E076C" w:rsidP="00A263ED">
            <w:pPr>
              <w:pStyle w:val="TableText"/>
            </w:pPr>
            <w:r w:rsidRPr="00C40F11">
              <w:t>Corelogic minor category for properties such as Multi Storey, Duplex, One story/Lowset, etc.</w:t>
            </w:r>
          </w:p>
        </w:tc>
      </w:tr>
      <w:tr w:rsidR="005E076C" w14:paraId="75388A2F" w14:textId="77777777" w:rsidTr="005E076C">
        <w:trPr>
          <w:cantSplit/>
          <w:tblHeader/>
        </w:trPr>
        <w:tc>
          <w:tcPr>
            <w:tcW w:w="1236" w:type="dxa"/>
            <w:tcMar>
              <w:left w:w="108" w:type="dxa"/>
              <w:right w:w="108" w:type="dxa"/>
            </w:tcMar>
          </w:tcPr>
          <w:p w14:paraId="7930FB91" w14:textId="77777777" w:rsidR="005E076C" w:rsidRDefault="005E076C" w:rsidP="005E076C">
            <w:pPr>
              <w:pStyle w:val="TableText"/>
            </w:pPr>
            <w:r>
              <w:t>7</w:t>
            </w:r>
          </w:p>
        </w:tc>
        <w:tc>
          <w:tcPr>
            <w:tcW w:w="2268" w:type="dxa"/>
            <w:tcMar>
              <w:left w:w="108" w:type="dxa"/>
              <w:right w:w="108" w:type="dxa"/>
            </w:tcMar>
          </w:tcPr>
          <w:p w14:paraId="672FD353" w14:textId="77777777" w:rsidR="005E076C" w:rsidRDefault="005E076C" w:rsidP="005E076C">
            <w:pPr>
              <w:pStyle w:val="TableText"/>
            </w:pPr>
            <w:r w:rsidRPr="006B3F96">
              <w:t>Primary Land Use</w:t>
            </w:r>
          </w:p>
        </w:tc>
        <w:tc>
          <w:tcPr>
            <w:tcW w:w="5566" w:type="dxa"/>
            <w:tcMar>
              <w:left w:w="108" w:type="dxa"/>
              <w:right w:w="108" w:type="dxa"/>
            </w:tcMar>
          </w:tcPr>
          <w:p w14:paraId="30CAF57D" w14:textId="77777777" w:rsidR="005E076C" w:rsidRDefault="005E076C" w:rsidP="00A263ED">
            <w:pPr>
              <w:pStyle w:val="TableText"/>
            </w:pPr>
            <w:r w:rsidRPr="00C40F11">
              <w:t>The Primary Land Use of the property such as single Unit Dwelling, House etc.</w:t>
            </w:r>
          </w:p>
        </w:tc>
      </w:tr>
      <w:tr w:rsidR="005E076C" w14:paraId="4319B06E" w14:textId="77777777" w:rsidTr="005E076C">
        <w:trPr>
          <w:cantSplit/>
          <w:tblHeader/>
        </w:trPr>
        <w:tc>
          <w:tcPr>
            <w:tcW w:w="1236" w:type="dxa"/>
            <w:tcMar>
              <w:left w:w="108" w:type="dxa"/>
              <w:right w:w="108" w:type="dxa"/>
            </w:tcMar>
          </w:tcPr>
          <w:p w14:paraId="151A1BBF" w14:textId="77777777" w:rsidR="005E076C" w:rsidRDefault="005E076C" w:rsidP="005E076C">
            <w:pPr>
              <w:pStyle w:val="TableText"/>
            </w:pPr>
            <w:r>
              <w:t>8</w:t>
            </w:r>
          </w:p>
        </w:tc>
        <w:tc>
          <w:tcPr>
            <w:tcW w:w="2268" w:type="dxa"/>
            <w:tcMar>
              <w:left w:w="108" w:type="dxa"/>
              <w:right w:w="108" w:type="dxa"/>
            </w:tcMar>
          </w:tcPr>
          <w:p w14:paraId="25A72CCE" w14:textId="77777777" w:rsidR="005E076C" w:rsidRDefault="005E076C" w:rsidP="005E076C">
            <w:pPr>
              <w:pStyle w:val="TableText"/>
            </w:pPr>
            <w:r w:rsidRPr="006B3F96">
              <w:t>Latitude</w:t>
            </w:r>
          </w:p>
        </w:tc>
        <w:tc>
          <w:tcPr>
            <w:tcW w:w="5566" w:type="dxa"/>
            <w:tcMar>
              <w:left w:w="108" w:type="dxa"/>
              <w:right w:w="108" w:type="dxa"/>
            </w:tcMar>
          </w:tcPr>
          <w:p w14:paraId="196E9A14" w14:textId="77777777" w:rsidR="005E076C" w:rsidRDefault="005E076C" w:rsidP="00A263ED">
            <w:pPr>
              <w:pStyle w:val="TableText"/>
            </w:pPr>
            <w:r w:rsidRPr="00C40F11">
              <w:t>The geographical latitude of the property.</w:t>
            </w:r>
          </w:p>
        </w:tc>
      </w:tr>
      <w:tr w:rsidR="005E076C" w14:paraId="0A4F7D62" w14:textId="77777777" w:rsidTr="005E076C">
        <w:trPr>
          <w:cantSplit/>
          <w:tblHeader/>
        </w:trPr>
        <w:tc>
          <w:tcPr>
            <w:tcW w:w="1236" w:type="dxa"/>
            <w:tcMar>
              <w:left w:w="108" w:type="dxa"/>
              <w:right w:w="108" w:type="dxa"/>
            </w:tcMar>
          </w:tcPr>
          <w:p w14:paraId="4B924A85" w14:textId="77777777" w:rsidR="005E076C" w:rsidRDefault="005E076C" w:rsidP="005E076C">
            <w:pPr>
              <w:pStyle w:val="TableText"/>
            </w:pPr>
            <w:r>
              <w:t>9</w:t>
            </w:r>
          </w:p>
        </w:tc>
        <w:tc>
          <w:tcPr>
            <w:tcW w:w="2268" w:type="dxa"/>
            <w:tcMar>
              <w:left w:w="108" w:type="dxa"/>
              <w:right w:w="108" w:type="dxa"/>
            </w:tcMar>
          </w:tcPr>
          <w:p w14:paraId="4641B2FF" w14:textId="77777777" w:rsidR="005E076C" w:rsidRDefault="005E076C" w:rsidP="005E076C">
            <w:pPr>
              <w:pStyle w:val="TableText"/>
            </w:pPr>
            <w:r w:rsidRPr="006B3F96">
              <w:t>Longitude</w:t>
            </w:r>
          </w:p>
        </w:tc>
        <w:tc>
          <w:tcPr>
            <w:tcW w:w="5566" w:type="dxa"/>
            <w:tcMar>
              <w:left w:w="108" w:type="dxa"/>
              <w:right w:w="108" w:type="dxa"/>
            </w:tcMar>
          </w:tcPr>
          <w:p w14:paraId="617CC2F1" w14:textId="77777777" w:rsidR="005E076C" w:rsidRDefault="005E076C" w:rsidP="00A263ED">
            <w:pPr>
              <w:pStyle w:val="TableText"/>
            </w:pPr>
            <w:r w:rsidRPr="00C40F11">
              <w:t>The geographical longitude of the property.</w:t>
            </w:r>
          </w:p>
        </w:tc>
      </w:tr>
      <w:tr w:rsidR="005E076C" w14:paraId="64D5B860" w14:textId="77777777" w:rsidTr="005E076C">
        <w:trPr>
          <w:cantSplit/>
          <w:tblHeader/>
        </w:trPr>
        <w:tc>
          <w:tcPr>
            <w:tcW w:w="1236" w:type="dxa"/>
            <w:tcMar>
              <w:left w:w="108" w:type="dxa"/>
              <w:right w:w="108" w:type="dxa"/>
            </w:tcMar>
          </w:tcPr>
          <w:p w14:paraId="2689C64F" w14:textId="77777777" w:rsidR="005E076C" w:rsidRDefault="005E076C" w:rsidP="005E076C">
            <w:pPr>
              <w:pStyle w:val="TableText"/>
            </w:pPr>
            <w:r>
              <w:t>10</w:t>
            </w:r>
          </w:p>
        </w:tc>
        <w:tc>
          <w:tcPr>
            <w:tcW w:w="2268" w:type="dxa"/>
            <w:tcMar>
              <w:left w:w="108" w:type="dxa"/>
              <w:right w:w="108" w:type="dxa"/>
            </w:tcMar>
          </w:tcPr>
          <w:p w14:paraId="0E8996E6" w14:textId="77777777" w:rsidR="005E076C" w:rsidRDefault="005E076C" w:rsidP="005E076C">
            <w:pPr>
              <w:pStyle w:val="TableText"/>
            </w:pPr>
            <w:r w:rsidRPr="006B3F96">
              <w:t>Bedrooms</w:t>
            </w:r>
          </w:p>
        </w:tc>
        <w:tc>
          <w:tcPr>
            <w:tcW w:w="5566" w:type="dxa"/>
            <w:tcMar>
              <w:left w:w="108" w:type="dxa"/>
              <w:right w:w="108" w:type="dxa"/>
            </w:tcMar>
          </w:tcPr>
          <w:p w14:paraId="4F6EB2FF" w14:textId="77777777" w:rsidR="005E076C" w:rsidRDefault="005E076C" w:rsidP="00A263ED">
            <w:pPr>
              <w:pStyle w:val="TableText"/>
            </w:pPr>
            <w:r w:rsidRPr="00C40F11">
              <w:t>The most recently recorded bedrooms count.</w:t>
            </w:r>
          </w:p>
        </w:tc>
      </w:tr>
      <w:tr w:rsidR="005E076C" w14:paraId="3383F3D7" w14:textId="77777777" w:rsidTr="005E076C">
        <w:trPr>
          <w:cantSplit/>
          <w:tblHeader/>
        </w:trPr>
        <w:tc>
          <w:tcPr>
            <w:tcW w:w="1236" w:type="dxa"/>
            <w:tcMar>
              <w:left w:w="108" w:type="dxa"/>
              <w:right w:w="108" w:type="dxa"/>
            </w:tcMar>
          </w:tcPr>
          <w:p w14:paraId="760F2F9C" w14:textId="77777777" w:rsidR="005E076C" w:rsidRDefault="005E076C" w:rsidP="005E076C">
            <w:pPr>
              <w:pStyle w:val="TableText"/>
            </w:pPr>
            <w:r>
              <w:t>11</w:t>
            </w:r>
          </w:p>
        </w:tc>
        <w:tc>
          <w:tcPr>
            <w:tcW w:w="2268" w:type="dxa"/>
            <w:tcMar>
              <w:left w:w="108" w:type="dxa"/>
              <w:right w:w="108" w:type="dxa"/>
            </w:tcMar>
          </w:tcPr>
          <w:p w14:paraId="3FA273BA" w14:textId="77777777" w:rsidR="005E076C" w:rsidRDefault="005E076C" w:rsidP="005E076C">
            <w:pPr>
              <w:pStyle w:val="TableText"/>
            </w:pPr>
            <w:r w:rsidRPr="006B3F96">
              <w:t>Bathrooms</w:t>
            </w:r>
          </w:p>
        </w:tc>
        <w:tc>
          <w:tcPr>
            <w:tcW w:w="5566" w:type="dxa"/>
            <w:tcMar>
              <w:left w:w="108" w:type="dxa"/>
              <w:right w:w="108" w:type="dxa"/>
            </w:tcMar>
          </w:tcPr>
          <w:p w14:paraId="563E6A61" w14:textId="77777777" w:rsidR="005E076C" w:rsidRDefault="005E076C" w:rsidP="00A263ED">
            <w:pPr>
              <w:pStyle w:val="TableText"/>
            </w:pPr>
            <w:r w:rsidRPr="00C40F11">
              <w:t>The most recently recorded count of bathrooms for the property (inclusive of ensuites).</w:t>
            </w:r>
          </w:p>
        </w:tc>
      </w:tr>
      <w:tr w:rsidR="005E076C" w14:paraId="66731BB7" w14:textId="77777777" w:rsidTr="005E076C">
        <w:trPr>
          <w:cantSplit/>
          <w:tblHeader/>
        </w:trPr>
        <w:tc>
          <w:tcPr>
            <w:tcW w:w="1236" w:type="dxa"/>
            <w:tcMar>
              <w:left w:w="108" w:type="dxa"/>
              <w:right w:w="108" w:type="dxa"/>
            </w:tcMar>
          </w:tcPr>
          <w:p w14:paraId="682E4875" w14:textId="77777777" w:rsidR="005E076C" w:rsidRDefault="005E076C" w:rsidP="005E076C">
            <w:pPr>
              <w:pStyle w:val="TableText"/>
            </w:pPr>
            <w:r>
              <w:t>12</w:t>
            </w:r>
          </w:p>
        </w:tc>
        <w:tc>
          <w:tcPr>
            <w:tcW w:w="2268" w:type="dxa"/>
            <w:tcMar>
              <w:left w:w="108" w:type="dxa"/>
              <w:right w:w="108" w:type="dxa"/>
            </w:tcMar>
          </w:tcPr>
          <w:p w14:paraId="529EAA09" w14:textId="77777777" w:rsidR="005E076C" w:rsidRDefault="005E076C" w:rsidP="005E076C">
            <w:pPr>
              <w:pStyle w:val="TableText"/>
            </w:pPr>
            <w:r w:rsidRPr="006B3F96">
              <w:t>Land Area</w:t>
            </w:r>
          </w:p>
        </w:tc>
        <w:tc>
          <w:tcPr>
            <w:tcW w:w="5566" w:type="dxa"/>
            <w:tcMar>
              <w:left w:w="108" w:type="dxa"/>
              <w:right w:w="108" w:type="dxa"/>
            </w:tcMar>
          </w:tcPr>
          <w:p w14:paraId="2BEE0CF0" w14:textId="77777777" w:rsidR="005E076C" w:rsidRDefault="005E076C" w:rsidP="00A263ED">
            <w:pPr>
              <w:pStyle w:val="TableText"/>
            </w:pPr>
            <w:r w:rsidRPr="00C40F11">
              <w:t>Total size of the parcel/s in square metres.</w:t>
            </w:r>
          </w:p>
        </w:tc>
      </w:tr>
      <w:tr w:rsidR="005E076C" w14:paraId="6CB78C2C" w14:textId="77777777" w:rsidTr="005E076C">
        <w:trPr>
          <w:cantSplit/>
          <w:tblHeader/>
        </w:trPr>
        <w:tc>
          <w:tcPr>
            <w:tcW w:w="1236" w:type="dxa"/>
            <w:tcMar>
              <w:left w:w="108" w:type="dxa"/>
              <w:right w:w="108" w:type="dxa"/>
            </w:tcMar>
          </w:tcPr>
          <w:p w14:paraId="68FB3516" w14:textId="77777777" w:rsidR="005E076C" w:rsidRDefault="005E076C" w:rsidP="005E076C">
            <w:pPr>
              <w:pStyle w:val="TableText"/>
            </w:pPr>
            <w:r>
              <w:t>13</w:t>
            </w:r>
          </w:p>
        </w:tc>
        <w:tc>
          <w:tcPr>
            <w:tcW w:w="2268" w:type="dxa"/>
            <w:tcMar>
              <w:left w:w="108" w:type="dxa"/>
              <w:right w:w="108" w:type="dxa"/>
            </w:tcMar>
          </w:tcPr>
          <w:p w14:paraId="083085A1" w14:textId="77777777" w:rsidR="005E076C" w:rsidRDefault="005E076C" w:rsidP="005E076C">
            <w:pPr>
              <w:pStyle w:val="TableText"/>
            </w:pPr>
            <w:r w:rsidRPr="006B3F96">
              <w:t>Transfer ID</w:t>
            </w:r>
          </w:p>
        </w:tc>
        <w:tc>
          <w:tcPr>
            <w:tcW w:w="5566" w:type="dxa"/>
            <w:tcMar>
              <w:left w:w="108" w:type="dxa"/>
              <w:right w:w="108" w:type="dxa"/>
            </w:tcMar>
          </w:tcPr>
          <w:p w14:paraId="488335E6" w14:textId="77777777" w:rsidR="005E076C" w:rsidRDefault="005E076C" w:rsidP="00A263ED">
            <w:pPr>
              <w:pStyle w:val="TableText"/>
            </w:pPr>
            <w:r w:rsidRPr="00C40F11">
              <w:t>Unique record key within the core database for the transfer</w:t>
            </w:r>
          </w:p>
        </w:tc>
      </w:tr>
      <w:tr w:rsidR="005E076C" w14:paraId="7D5A0C6A" w14:textId="77777777" w:rsidTr="005E076C">
        <w:trPr>
          <w:cantSplit/>
          <w:tblHeader/>
        </w:trPr>
        <w:tc>
          <w:tcPr>
            <w:tcW w:w="1236" w:type="dxa"/>
            <w:tcMar>
              <w:left w:w="108" w:type="dxa"/>
              <w:right w:w="108" w:type="dxa"/>
            </w:tcMar>
          </w:tcPr>
          <w:p w14:paraId="58896919" w14:textId="77777777" w:rsidR="005E076C" w:rsidRDefault="005E076C" w:rsidP="005E076C">
            <w:pPr>
              <w:pStyle w:val="TableText"/>
            </w:pPr>
            <w:r>
              <w:t>14</w:t>
            </w:r>
          </w:p>
        </w:tc>
        <w:tc>
          <w:tcPr>
            <w:tcW w:w="2268" w:type="dxa"/>
            <w:tcMar>
              <w:left w:w="108" w:type="dxa"/>
              <w:right w:w="108" w:type="dxa"/>
            </w:tcMar>
          </w:tcPr>
          <w:p w14:paraId="2A91BA53" w14:textId="77777777" w:rsidR="005E076C" w:rsidRDefault="005E076C" w:rsidP="005E076C">
            <w:pPr>
              <w:pStyle w:val="TableText"/>
            </w:pPr>
            <w:r w:rsidRPr="006B3F96">
              <w:t>Contract Date</w:t>
            </w:r>
          </w:p>
        </w:tc>
        <w:tc>
          <w:tcPr>
            <w:tcW w:w="5566" w:type="dxa"/>
            <w:tcMar>
              <w:left w:w="108" w:type="dxa"/>
              <w:right w:w="108" w:type="dxa"/>
            </w:tcMar>
          </w:tcPr>
          <w:p w14:paraId="33A5DE9D" w14:textId="77777777" w:rsidR="005E076C" w:rsidRDefault="005E076C" w:rsidP="00A263ED">
            <w:pPr>
              <w:pStyle w:val="TableText"/>
            </w:pPr>
            <w:r w:rsidRPr="00C40F11">
              <w:t xml:space="preserve">Contract date of transfer which indicates the date on which the sale price was contractually committed between a vendor and a purchaser. </w:t>
            </w:r>
          </w:p>
        </w:tc>
      </w:tr>
      <w:tr w:rsidR="005E076C" w14:paraId="661663E1" w14:textId="77777777" w:rsidTr="005E076C">
        <w:trPr>
          <w:cantSplit/>
          <w:tblHeader/>
        </w:trPr>
        <w:tc>
          <w:tcPr>
            <w:tcW w:w="1236" w:type="dxa"/>
            <w:tcMar>
              <w:left w:w="108" w:type="dxa"/>
              <w:right w:w="108" w:type="dxa"/>
            </w:tcMar>
          </w:tcPr>
          <w:p w14:paraId="029B477B" w14:textId="77777777" w:rsidR="005E076C" w:rsidRDefault="005E076C" w:rsidP="005E076C">
            <w:pPr>
              <w:pStyle w:val="TableText"/>
            </w:pPr>
            <w:r>
              <w:t>15</w:t>
            </w:r>
          </w:p>
        </w:tc>
        <w:tc>
          <w:tcPr>
            <w:tcW w:w="2268" w:type="dxa"/>
            <w:tcMar>
              <w:left w:w="108" w:type="dxa"/>
              <w:right w:w="108" w:type="dxa"/>
            </w:tcMar>
          </w:tcPr>
          <w:p w14:paraId="1A11EEA9" w14:textId="77777777" w:rsidR="005E076C" w:rsidRDefault="005E076C" w:rsidP="005E076C">
            <w:pPr>
              <w:pStyle w:val="TableText"/>
            </w:pPr>
            <w:r w:rsidRPr="006B3F96">
              <w:t>Transaction Date</w:t>
            </w:r>
          </w:p>
        </w:tc>
        <w:tc>
          <w:tcPr>
            <w:tcW w:w="5566" w:type="dxa"/>
            <w:tcMar>
              <w:left w:w="108" w:type="dxa"/>
              <w:right w:w="108" w:type="dxa"/>
            </w:tcMar>
          </w:tcPr>
          <w:p w14:paraId="3CFD8CFC" w14:textId="77777777" w:rsidR="005E076C" w:rsidRDefault="005E076C" w:rsidP="00A263ED">
            <w:pPr>
              <w:pStyle w:val="TableText"/>
            </w:pPr>
            <w:r w:rsidRPr="00C40F11">
              <w:t>Contract Date for states were VG Contract Date is provided include NSW, VIC, QLD, WA, TAS, ACT only</w:t>
            </w:r>
          </w:p>
        </w:tc>
      </w:tr>
      <w:tr w:rsidR="005E076C" w14:paraId="3B12CAB2" w14:textId="77777777" w:rsidTr="005E076C">
        <w:trPr>
          <w:cantSplit/>
          <w:tblHeader/>
        </w:trPr>
        <w:tc>
          <w:tcPr>
            <w:tcW w:w="1236" w:type="dxa"/>
            <w:tcMar>
              <w:left w:w="108" w:type="dxa"/>
              <w:right w:w="108" w:type="dxa"/>
            </w:tcMar>
          </w:tcPr>
          <w:p w14:paraId="0402A1C2" w14:textId="77777777" w:rsidR="005E076C" w:rsidRDefault="005E076C" w:rsidP="005E076C">
            <w:pPr>
              <w:pStyle w:val="TableText"/>
            </w:pPr>
            <w:r>
              <w:t>16</w:t>
            </w:r>
          </w:p>
        </w:tc>
        <w:tc>
          <w:tcPr>
            <w:tcW w:w="2268" w:type="dxa"/>
            <w:tcMar>
              <w:left w:w="108" w:type="dxa"/>
              <w:right w:w="108" w:type="dxa"/>
            </w:tcMar>
          </w:tcPr>
          <w:p w14:paraId="74043BFB" w14:textId="77777777" w:rsidR="005E076C" w:rsidRDefault="005E076C" w:rsidP="005E076C">
            <w:pPr>
              <w:pStyle w:val="TableText"/>
            </w:pPr>
            <w:r w:rsidRPr="006B3F96">
              <w:t>Contract Price</w:t>
            </w:r>
          </w:p>
        </w:tc>
        <w:tc>
          <w:tcPr>
            <w:tcW w:w="5566" w:type="dxa"/>
            <w:tcMar>
              <w:left w:w="108" w:type="dxa"/>
              <w:right w:w="108" w:type="dxa"/>
            </w:tcMar>
          </w:tcPr>
          <w:p w14:paraId="617E0857" w14:textId="77777777" w:rsidR="005E076C" w:rsidRDefault="005E076C" w:rsidP="00A263ED">
            <w:pPr>
              <w:pStyle w:val="TableText"/>
            </w:pPr>
            <w:r w:rsidRPr="00C40F11">
              <w:t>A proxy Contract Date with Settlement Date substituted for states where no VG Contract Date is provided. Allows for ordering transfers by the time that the transfer occurred.</w:t>
            </w:r>
          </w:p>
        </w:tc>
      </w:tr>
      <w:tr w:rsidR="005E076C" w14:paraId="7F7EDB13" w14:textId="77777777" w:rsidTr="005E076C">
        <w:trPr>
          <w:cantSplit/>
          <w:tblHeader/>
        </w:trPr>
        <w:tc>
          <w:tcPr>
            <w:tcW w:w="1236" w:type="dxa"/>
            <w:tcMar>
              <w:left w:w="108" w:type="dxa"/>
              <w:right w:w="108" w:type="dxa"/>
            </w:tcMar>
          </w:tcPr>
          <w:p w14:paraId="5AF6E761" w14:textId="77777777" w:rsidR="005E076C" w:rsidRDefault="005E076C" w:rsidP="005E076C">
            <w:pPr>
              <w:pStyle w:val="TableText"/>
            </w:pPr>
            <w:r>
              <w:t>17</w:t>
            </w:r>
          </w:p>
        </w:tc>
        <w:tc>
          <w:tcPr>
            <w:tcW w:w="2268" w:type="dxa"/>
            <w:tcMar>
              <w:left w:w="108" w:type="dxa"/>
              <w:right w:w="108" w:type="dxa"/>
            </w:tcMar>
          </w:tcPr>
          <w:p w14:paraId="4D175079" w14:textId="77777777" w:rsidR="005E076C" w:rsidRDefault="005E076C" w:rsidP="005E076C">
            <w:pPr>
              <w:pStyle w:val="TableText"/>
            </w:pPr>
            <w:r w:rsidRPr="006B3F96">
              <w:t>Multi Sale</w:t>
            </w:r>
          </w:p>
        </w:tc>
        <w:tc>
          <w:tcPr>
            <w:tcW w:w="5566" w:type="dxa"/>
            <w:tcMar>
              <w:left w:w="108" w:type="dxa"/>
              <w:right w:w="108" w:type="dxa"/>
            </w:tcMar>
          </w:tcPr>
          <w:p w14:paraId="127722CD" w14:textId="77777777" w:rsidR="005E076C" w:rsidRDefault="005E076C" w:rsidP="00A263ED">
            <w:pPr>
              <w:pStyle w:val="TableText"/>
            </w:pPr>
            <w:r w:rsidRPr="00C40F11">
              <w:t>Sale price of transfer indicating the consideration for the property changing ownership (if available)</w:t>
            </w:r>
          </w:p>
        </w:tc>
      </w:tr>
    </w:tbl>
    <w:p w14:paraId="40A7687B" w14:textId="77777777" w:rsidR="00141342" w:rsidRPr="00614630" w:rsidRDefault="00744CF1" w:rsidP="00A263ED">
      <w:pPr>
        <w:rPr>
          <w:i/>
          <w:sz w:val="16"/>
        </w:rPr>
      </w:pPr>
      <w:r w:rsidRPr="00614630">
        <w:rPr>
          <w:i/>
          <w:sz w:val="16"/>
        </w:rPr>
        <w:t>Source:</w:t>
      </w:r>
      <w:r w:rsidR="00141342" w:rsidRPr="00614630">
        <w:rPr>
          <w:i/>
          <w:sz w:val="16"/>
        </w:rPr>
        <w:t xml:space="preserve"> </w:t>
      </w:r>
      <w:r w:rsidRPr="00614630">
        <w:rPr>
          <w:i/>
          <w:sz w:val="16"/>
        </w:rPr>
        <w:t>CoreLogic</w:t>
      </w:r>
    </w:p>
    <w:p w14:paraId="716004D5" w14:textId="77777777" w:rsidR="004F3BD3" w:rsidRDefault="004F3BD3" w:rsidP="004F3BD3">
      <w:pPr>
        <w:pStyle w:val="Heading4"/>
        <w:numPr>
          <w:ilvl w:val="0"/>
          <w:numId w:val="0"/>
        </w:numPr>
      </w:pPr>
      <w:r>
        <w:t>Definition of farmland prices</w:t>
      </w:r>
    </w:p>
    <w:p w14:paraId="0BA64A88" w14:textId="7B304A97" w:rsidR="00512A86" w:rsidRDefault="00083400">
      <w:r>
        <w:t xml:space="preserve">The variables provided </w:t>
      </w:r>
      <w:r w:rsidR="00620EA4">
        <w:t xml:space="preserve">(Table 1) </w:t>
      </w:r>
      <w:r>
        <w:t xml:space="preserve">in the base dataset are used </w:t>
      </w:r>
      <w:r w:rsidR="00812361">
        <w:t xml:space="preserve">in the regression analysis </w:t>
      </w:r>
      <w:r>
        <w:t xml:space="preserve">for the dependent variable (contract price per hectare [land area is converted from square meters to </w:t>
      </w:r>
      <w:r>
        <w:lastRenderedPageBreak/>
        <w:t xml:space="preserve">hectares]), some basic explanatory variables (bedrooms, bathrooms), years (which can be used as dummy variables), and linking variables (Lot number, geographical coordinates). The price per hectare calculation is complicated by ‘multi sale’ transactions, where several land parcels (usually different sizes) are grouped for sale. A single contract price is supplied for the ‘multi sale’, therefore simply calculating price per hectares as a division of contract price and land area (in hectares) is </w:t>
      </w:r>
      <w:r w:rsidR="009E2DF5">
        <w:t xml:space="preserve">an </w:t>
      </w:r>
      <w:r>
        <w:t>incorrect</w:t>
      </w:r>
      <w:r w:rsidR="0010121A">
        <w:t xml:space="preserve"> representation of ‘price per hectare’</w:t>
      </w:r>
      <w:r>
        <w:t xml:space="preserve">. In this study, we use multi sale transactions to aggregate land area by </w:t>
      </w:r>
      <w:r w:rsidR="00620EA4">
        <w:t>the sum</w:t>
      </w:r>
      <w:r>
        <w:t xml:space="preserve"> of all l</w:t>
      </w:r>
      <w:r w:rsidR="00623543">
        <w:t>and parcels within a multi sale</w:t>
      </w:r>
      <w:r>
        <w:t>, and then obtain ‘price per hectare’ as the total multi sale contract price divided by the total multi sale land area. A limitation of this approach is that we are treating all land transactions within a multi sale as having equal value (when in reality this may not be the case). Future iterations of this work will look to refine the treatment of multi sale transactions using quality adjustment weightings.</w:t>
      </w:r>
    </w:p>
    <w:p w14:paraId="0585ED4C" w14:textId="77777777" w:rsidR="00141342" w:rsidRDefault="00744CF1">
      <w:r w:rsidRPr="00744CF1">
        <w:t>The main CoreLogic dataset is accompanied by a linking key</w:t>
      </w:r>
      <w:r w:rsidR="00885511">
        <w:t xml:space="preserve"> dataset (see Appendix Tables A3 and A4</w:t>
      </w:r>
      <w:r w:rsidRPr="00744CF1">
        <w:t xml:space="preserve">), which </w:t>
      </w:r>
      <w:r w:rsidR="00512A86">
        <w:t>contains variables needed to join</w:t>
      </w:r>
      <w:r w:rsidRPr="00744CF1">
        <w:t xml:space="preserve"> to state level cadastral parcel boundaries. After deriving spatial parcel boundaries for each CoreLogic property, we can begin linking various spatial farm level variables to the CoreLogic dataset as outlined in the section to follow (Spatial transformation and variable construction).</w:t>
      </w:r>
      <w:r w:rsidR="00512A86">
        <w:t xml:space="preserve"> </w:t>
      </w:r>
    </w:p>
    <w:p w14:paraId="7DED1E53" w14:textId="173424A5" w:rsidR="004F3BD3" w:rsidRDefault="004F3BD3" w:rsidP="00973D01">
      <w:pPr>
        <w:pStyle w:val="Heading4"/>
        <w:numPr>
          <w:ilvl w:val="0"/>
          <w:numId w:val="0"/>
        </w:numPr>
      </w:pPr>
      <w:r>
        <w:t>Re</w:t>
      </w:r>
      <w:r w:rsidR="009F055A">
        <w:t>moving non-broadacre farm recor</w:t>
      </w:r>
      <w:r>
        <w:t>ds</w:t>
      </w:r>
    </w:p>
    <w:p w14:paraId="0CB14C51" w14:textId="77777777" w:rsidR="00BC3DD1" w:rsidRDefault="00744CF1">
      <w:r w:rsidRPr="00744CF1">
        <w:t xml:space="preserve">An initial review of the dataset indicated a large number </w:t>
      </w:r>
      <w:r w:rsidR="003B44C9">
        <w:t xml:space="preserve">of records unlikely to be </w:t>
      </w:r>
      <w:r w:rsidR="0044154A">
        <w:t>broadacre</w:t>
      </w:r>
      <w:r w:rsidRPr="00744CF1">
        <w:t xml:space="preserve"> farmland, highlighting typical ‘administrative data issues’ including duplicate records and missing values. </w:t>
      </w:r>
      <w:r w:rsidR="00512A86">
        <w:t>Issues included</w:t>
      </w:r>
      <w:r w:rsidRPr="00744CF1">
        <w:t xml:space="preserve"> a high number of hobby farms, mine sites, </w:t>
      </w:r>
      <w:r w:rsidR="003B44C9">
        <w:t>urban residences, and non-</w:t>
      </w:r>
      <w:r w:rsidR="0044154A">
        <w:t>broadacre</w:t>
      </w:r>
      <w:r w:rsidRPr="00744CF1">
        <w:t xml:space="preserve"> farms such as irrigated horticulture. </w:t>
      </w:r>
      <w:r w:rsidR="00623543">
        <w:t>Our approach</w:t>
      </w:r>
      <w:r w:rsidRPr="00744CF1">
        <w:t xml:space="preserve"> strictly refine</w:t>
      </w:r>
      <w:r w:rsidR="00623543">
        <w:t>s</w:t>
      </w:r>
      <w:r w:rsidRPr="00744CF1">
        <w:t xml:space="preserve"> </w:t>
      </w:r>
      <w:r w:rsidR="00623543">
        <w:t>the data</w:t>
      </w:r>
      <w:r w:rsidRPr="00744CF1">
        <w:t xml:space="preserve"> scope so that the transaction</w:t>
      </w:r>
      <w:r w:rsidR="003B44C9">
        <w:t xml:space="preserve"> records closely resemble </w:t>
      </w:r>
      <w:r w:rsidR="0044154A">
        <w:t>broadacre</w:t>
      </w:r>
      <w:r w:rsidRPr="00744CF1">
        <w:t xml:space="preserve"> farmland. The raw dataset contained 700,424 property transactions (for 349,217 unique properties) between 1900 and</w:t>
      </w:r>
      <w:r w:rsidR="0010121A">
        <w:t xml:space="preserve"> 2019; however after completing our </w:t>
      </w:r>
      <w:r w:rsidRPr="00744CF1">
        <w:t>data cleaning, we are left with 166,994 transactions between 1975 and 2018. This cautious approach ensures t</w:t>
      </w:r>
      <w:r w:rsidR="003B44C9">
        <w:t xml:space="preserve">hat we are analysing true </w:t>
      </w:r>
      <w:r w:rsidR="0044154A">
        <w:t>broadacre</w:t>
      </w:r>
      <w:r w:rsidRPr="00744CF1">
        <w:t xml:space="preserve"> farmland and provides scope to increase the sample size with further data testing in future iterations.</w:t>
      </w:r>
      <w:r w:rsidR="00512A86">
        <w:t xml:space="preserve"> </w:t>
      </w:r>
      <w:r w:rsidR="00512A86" w:rsidRPr="009F055A">
        <w:t xml:space="preserve">Figure 1 </w:t>
      </w:r>
      <w:r w:rsidR="00F67098" w:rsidRPr="009F055A">
        <w:t xml:space="preserve">(on page </w:t>
      </w:r>
      <w:r w:rsidR="0010121A" w:rsidRPr="009F055A">
        <w:t>12</w:t>
      </w:r>
      <w:r w:rsidR="00F67098" w:rsidRPr="009F055A">
        <w:t>)</w:t>
      </w:r>
      <w:r w:rsidR="00F67098">
        <w:t xml:space="preserve"> </w:t>
      </w:r>
      <w:r w:rsidR="00512A86">
        <w:t xml:space="preserve">illustrates the average ‘price per hectare’ and sample size in the raw dataset. The volatility and magnitude demonstrates a need for careful refinement of the data scope. </w:t>
      </w:r>
    </w:p>
    <w:p w14:paraId="08C98424" w14:textId="77777777" w:rsidR="00744CF1" w:rsidRDefault="00744CF1" w:rsidP="00744CF1">
      <w:r>
        <w:t xml:space="preserve">Preliminary testing of the dataset revealed a high number of transactions where either contract price was $0 or land area was missing, resulting in a large number of </w:t>
      </w:r>
      <w:r w:rsidR="00132203">
        <w:t>‘</w:t>
      </w:r>
      <w:r>
        <w:t>$0/[not available]</w:t>
      </w:r>
      <w:r w:rsidR="00132203">
        <w:t>’</w:t>
      </w:r>
      <w:r>
        <w:t xml:space="preserve"> price per hectare. We expect that these low or zero values are either due to data/reporting errors (missing contract price or missing land area), or due to reasons in relation to legal definition (i.e. family transactions, transactions within trusts). Data testing also reveals unrealistically expensive properties on a ‘per hectare basis’</w:t>
      </w:r>
      <w:r w:rsidR="00E91D9A">
        <w:t>. Further investigation indicated</w:t>
      </w:r>
      <w:r>
        <w:t xml:space="preserve"> that very small land parcels tend to experience erratic or unrealistic prices per hectare – many of which appear to be mine sites, commercial buildings or other non-</w:t>
      </w:r>
      <w:r w:rsidR="0044154A">
        <w:t>broadacre</w:t>
      </w:r>
      <w:r>
        <w:t xml:space="preserve"> farmland. </w:t>
      </w:r>
      <w:r w:rsidR="007E4FA2">
        <w:t xml:space="preserve">For this reason, we remove ‘quantile extremes’, and drop transactions with small land areas. </w:t>
      </w:r>
    </w:p>
    <w:p w14:paraId="35DEFBD9" w14:textId="20D49374" w:rsidR="00744CF1" w:rsidRDefault="00744CF1" w:rsidP="00744CF1">
      <w:r>
        <w:t>The prevalence of hobby farms provides another challenge. These hobby farms tend to be ope</w:t>
      </w:r>
      <w:r w:rsidR="00214FFA">
        <w:t>rated for the purpose of lifestyle</w:t>
      </w:r>
      <w:r>
        <w:t xml:space="preserve"> (rather than profit), tend to be situated on small and expensive land parcels, are often located in close proximity to urban areas, and usually include expensive buildings or homesteads. A simple </w:t>
      </w:r>
      <w:r w:rsidR="00BC3DD1">
        <w:t xml:space="preserve">check of hobby farms </w:t>
      </w:r>
      <w:r w:rsidR="00BC3DD1" w:rsidRPr="00BC3DD1">
        <w:rPr>
          <w:i/>
        </w:rPr>
        <w:t>(CL_Property_Type_Minor = “Hobby”)</w:t>
      </w:r>
      <w:r w:rsidR="00BC3DD1">
        <w:rPr>
          <w:i/>
        </w:rPr>
        <w:t xml:space="preserve"> </w:t>
      </w:r>
      <w:r w:rsidR="00BC3DD1">
        <w:t>revealed that average price per hectare for these farms was $</w:t>
      </w:r>
      <w:r w:rsidR="007E4FA2">
        <w:t>531,112 —</w:t>
      </w:r>
      <w:r>
        <w:t xml:space="preserve"> far in exc</w:t>
      </w:r>
      <w:r w:rsidR="003B44C9">
        <w:t xml:space="preserve">ess </w:t>
      </w:r>
      <w:r w:rsidR="003B44C9">
        <w:lastRenderedPageBreak/>
        <w:t xml:space="preserve">of the most expensive </w:t>
      </w:r>
      <w:r w:rsidR="0044154A">
        <w:t>broadacre</w:t>
      </w:r>
      <w:r>
        <w:t xml:space="preserve"> farmland in Australia. We note that hobby farms may also be identified where CL_Primary_Land_Use is equal to “lifestyle”. </w:t>
      </w:r>
    </w:p>
    <w:p w14:paraId="46707219" w14:textId="65A38E8B" w:rsidR="00744CF1" w:rsidRDefault="00744CF1" w:rsidP="00744CF1">
      <w:r>
        <w:t>In addition to hobby farms, the prices of horticultural farms te</w:t>
      </w:r>
      <w:r w:rsidR="003B44C9">
        <w:t xml:space="preserve">nds to be incomparable to </w:t>
      </w:r>
      <w:r w:rsidR="0044154A">
        <w:t>broadacre</w:t>
      </w:r>
      <w:r>
        <w:t xml:space="preserve"> farmland – due to the high </w:t>
      </w:r>
      <w:r w:rsidR="00214FFA">
        <w:t>capital</w:t>
      </w:r>
      <w:r>
        <w:t xml:space="preserve"> costs associated with irrigation and perennial crops (i.e. fruit and nut trees). Similarly, dairy farms are also diffi</w:t>
      </w:r>
      <w:r w:rsidR="003B44C9">
        <w:t xml:space="preserve">cult to analyse alongside </w:t>
      </w:r>
      <w:r w:rsidR="0044154A">
        <w:t>broadacre</w:t>
      </w:r>
      <w:r>
        <w:t xml:space="preserve"> farmland due to the high</w:t>
      </w:r>
      <w:r w:rsidR="00214FFA">
        <w:t xml:space="preserve"> proportion of</w:t>
      </w:r>
      <w:r>
        <w:t xml:space="preserve"> fixed capital </w:t>
      </w:r>
      <w:r w:rsidR="00214FFA">
        <w:t>value in total sale price</w:t>
      </w:r>
      <w:r>
        <w:t xml:space="preserve">. </w:t>
      </w:r>
    </w:p>
    <w:p w14:paraId="62D600BF" w14:textId="77777777" w:rsidR="00744CF1" w:rsidRDefault="00744CF1" w:rsidP="00744CF1">
      <w:r>
        <w:t xml:space="preserve">Therefore, we must address the following anomalies in setting our scope strictly to </w:t>
      </w:r>
      <w:r w:rsidR="0044154A">
        <w:t>broadacre</w:t>
      </w:r>
      <w:r>
        <w:t xml:space="preserve"> farms: </w:t>
      </w:r>
    </w:p>
    <w:p w14:paraId="46E78D28" w14:textId="77777777" w:rsidR="00744CF1" w:rsidRDefault="00744CF1" w:rsidP="00744CF1">
      <w:r>
        <w:t>•</w:t>
      </w:r>
      <w:r>
        <w:tab/>
        <w:t>Excessively high and excessive low price per hectare</w:t>
      </w:r>
    </w:p>
    <w:p w14:paraId="3C1F1558" w14:textId="77777777" w:rsidR="00744CF1" w:rsidRDefault="00744CF1" w:rsidP="00744CF1">
      <w:r>
        <w:t>•</w:t>
      </w:r>
      <w:r>
        <w:tab/>
        <w:t>Excessively small farm size (in hectares)</w:t>
      </w:r>
    </w:p>
    <w:p w14:paraId="0F829455" w14:textId="77777777" w:rsidR="00744CF1" w:rsidRDefault="00744CF1" w:rsidP="00744CF1">
      <w:r>
        <w:t>•</w:t>
      </w:r>
      <w:r>
        <w:tab/>
        <w:t>Non-</w:t>
      </w:r>
      <w:r w:rsidR="0044154A">
        <w:t>broadacre</w:t>
      </w:r>
      <w:r>
        <w:t xml:space="preserve"> farms according to CoreLogic identifier labels. </w:t>
      </w:r>
    </w:p>
    <w:p w14:paraId="1F813FAC" w14:textId="77777777" w:rsidR="004F3BD3" w:rsidRDefault="004F3BD3" w:rsidP="00973D01">
      <w:pPr>
        <w:pStyle w:val="Heading4"/>
        <w:numPr>
          <w:ilvl w:val="0"/>
          <w:numId w:val="0"/>
        </w:numPr>
      </w:pPr>
      <w:r>
        <w:t>Further treatment of CoreLogic data</w:t>
      </w:r>
    </w:p>
    <w:p w14:paraId="3C746534" w14:textId="77777777" w:rsidR="00744CF1" w:rsidRDefault="00744CF1" w:rsidP="00744CF1">
      <w:r>
        <w:t xml:space="preserve">In order to address the above data issues, we apply a systematic data scope refinement process after linking the explanatory variables (discussed in the following section). This data linking process addressed some of the issues above (as well as limiting the year range to between 1975 and 2018) and reduces the number of transactions from 700,424 to 683,014. </w:t>
      </w:r>
      <w:r w:rsidR="00EB2DA7">
        <w:t>In order to ensure that the records in our analysis contains exclusive broadacre farms, further refinement is needed and t</w:t>
      </w:r>
      <w:r w:rsidR="007E4FA2">
        <w:t xml:space="preserve">he number of transactions in the final clean dataset is 166,994. </w:t>
      </w:r>
    </w:p>
    <w:p w14:paraId="585B4CD0" w14:textId="77777777" w:rsidR="00744CF1" w:rsidRDefault="00744CF1" w:rsidP="00744CF1">
      <w:r>
        <w:t>•</w:t>
      </w:r>
      <w:r>
        <w:tab/>
        <w:t xml:space="preserve">Price per hectare: </w:t>
      </w:r>
    </w:p>
    <w:p w14:paraId="419EA7FF" w14:textId="77777777" w:rsidR="00744CF1" w:rsidRDefault="00744CF1" w:rsidP="00EF7920">
      <w:pPr>
        <w:pStyle w:val="ListParagraph"/>
        <w:numPr>
          <w:ilvl w:val="0"/>
          <w:numId w:val="43"/>
        </w:numPr>
      </w:pPr>
      <w:r>
        <w:t>(drop if price per hectare</w:t>
      </w:r>
      <w:r w:rsidR="00E91D9A">
        <w:t xml:space="preserve"> </w:t>
      </w:r>
      <w:r>
        <w:t>=</w:t>
      </w:r>
      <w:r w:rsidR="00E91D9A">
        <w:t xml:space="preserve"> </w:t>
      </w:r>
      <w:r>
        <w:t>0) (111,419 observations deleted)</w:t>
      </w:r>
    </w:p>
    <w:p w14:paraId="7E9FB2B5" w14:textId="77777777" w:rsidR="00744CF1" w:rsidRDefault="003B44C9" w:rsidP="00744CF1">
      <w:r>
        <w:t>•</w:t>
      </w:r>
      <w:r>
        <w:tab/>
      </w:r>
      <w:r w:rsidR="0044154A">
        <w:t>Broadacre</w:t>
      </w:r>
      <w:r w:rsidR="00744CF1">
        <w:t xml:space="preserve"> label trim [dummy v</w:t>
      </w:r>
      <w:r w:rsidR="00885511">
        <w:t>ariables] (see Appendix Table A5 and A6</w:t>
      </w:r>
      <w:r w:rsidR="00744CF1">
        <w:t xml:space="preserve">): </w:t>
      </w:r>
    </w:p>
    <w:p w14:paraId="4F97B81F" w14:textId="77777777" w:rsidR="00744CF1" w:rsidRDefault="00A643E9" w:rsidP="00EF7920">
      <w:pPr>
        <w:pStyle w:val="ListParagraph"/>
        <w:numPr>
          <w:ilvl w:val="0"/>
          <w:numId w:val="43"/>
        </w:numPr>
      </w:pPr>
      <w:r>
        <w:t>drop if cl_property_type ≠</w:t>
      </w:r>
      <w:r w:rsidR="00744CF1">
        <w:t xml:space="preserve"> "Farm"  (180,406 observations deleted)</w:t>
      </w:r>
    </w:p>
    <w:p w14:paraId="0A7F6C89" w14:textId="77777777" w:rsidR="00744CF1" w:rsidRDefault="00744CF1" w:rsidP="00EF7920">
      <w:pPr>
        <w:pStyle w:val="ListParagraph"/>
        <w:numPr>
          <w:ilvl w:val="0"/>
          <w:numId w:val="43"/>
        </w:numPr>
      </w:pPr>
      <w:r>
        <w:t>drop if cl_property_type_minor</w:t>
      </w:r>
      <w:r w:rsidR="00E91D9A">
        <w:t xml:space="preserve"> </w:t>
      </w:r>
      <w:r w:rsidRPr="007B61AE">
        <w:t>=</w:t>
      </w:r>
      <w:r w:rsidR="00E91D9A">
        <w:t xml:space="preserve"> </w:t>
      </w:r>
      <w:r>
        <w:t>"Hobby"   (84,296 observations deleted)</w:t>
      </w:r>
    </w:p>
    <w:p w14:paraId="55736D21" w14:textId="77777777" w:rsidR="00744CF1" w:rsidRDefault="00E91D9A" w:rsidP="00EF7920">
      <w:pPr>
        <w:pStyle w:val="ListParagraph"/>
        <w:numPr>
          <w:ilvl w:val="0"/>
          <w:numId w:val="43"/>
        </w:numPr>
      </w:pPr>
      <w:r>
        <w:t xml:space="preserve">drop if lifestyle = </w:t>
      </w:r>
      <w:r w:rsidR="00744CF1">
        <w:t>1  (18,399 observations deleted)</w:t>
      </w:r>
    </w:p>
    <w:p w14:paraId="482E6F04" w14:textId="77777777" w:rsidR="00744CF1" w:rsidRDefault="00E91D9A" w:rsidP="00EF7920">
      <w:pPr>
        <w:pStyle w:val="ListParagraph"/>
        <w:numPr>
          <w:ilvl w:val="0"/>
          <w:numId w:val="43"/>
        </w:numPr>
      </w:pPr>
      <w:r>
        <w:t xml:space="preserve">drop if dairy = </w:t>
      </w:r>
      <w:r w:rsidR="00744CF1">
        <w:t>1  (6,374 observations deleted)</w:t>
      </w:r>
    </w:p>
    <w:p w14:paraId="3865D91A" w14:textId="77777777" w:rsidR="00744CF1" w:rsidRDefault="00E91D9A" w:rsidP="00EF7920">
      <w:pPr>
        <w:pStyle w:val="ListParagraph"/>
        <w:numPr>
          <w:ilvl w:val="0"/>
          <w:numId w:val="43"/>
        </w:numPr>
      </w:pPr>
      <w:r>
        <w:t xml:space="preserve">drop if Irrigated </w:t>
      </w:r>
      <w:r w:rsidR="00744CF1">
        <w:t>=</w:t>
      </w:r>
      <w:r>
        <w:t xml:space="preserve"> </w:t>
      </w:r>
      <w:r w:rsidR="00744CF1">
        <w:t>1  (10,326 observations deleted)</w:t>
      </w:r>
    </w:p>
    <w:p w14:paraId="36467C75" w14:textId="77777777" w:rsidR="00744CF1" w:rsidRDefault="00E91D9A" w:rsidP="00EF7920">
      <w:pPr>
        <w:pStyle w:val="ListParagraph"/>
        <w:numPr>
          <w:ilvl w:val="0"/>
          <w:numId w:val="43"/>
        </w:numPr>
      </w:pPr>
      <w:r>
        <w:t xml:space="preserve">drop if sugar = </w:t>
      </w:r>
      <w:r w:rsidR="00744CF1">
        <w:t>1 (8,257 observations deleted)</w:t>
      </w:r>
    </w:p>
    <w:p w14:paraId="49216F51" w14:textId="77777777" w:rsidR="00744CF1" w:rsidRDefault="00744CF1" w:rsidP="00EF7920">
      <w:pPr>
        <w:pStyle w:val="ListParagraph"/>
        <w:numPr>
          <w:ilvl w:val="0"/>
          <w:numId w:val="43"/>
        </w:numPr>
      </w:pPr>
      <w:r>
        <w:t>drop if h</w:t>
      </w:r>
      <w:r w:rsidR="00E91D9A">
        <w:t xml:space="preserve">orticulture = </w:t>
      </w:r>
      <w:r>
        <w:t>1 (8,936 observations deleted)</w:t>
      </w:r>
    </w:p>
    <w:p w14:paraId="22B855F6" w14:textId="77777777" w:rsidR="00744CF1" w:rsidRDefault="00744CF1" w:rsidP="00744CF1">
      <w:r>
        <w:t>•</w:t>
      </w:r>
      <w:r>
        <w:tab/>
        <w:t xml:space="preserve">Quantile extremes </w:t>
      </w:r>
    </w:p>
    <w:p w14:paraId="14C6888D" w14:textId="77777777" w:rsidR="00744CF1" w:rsidRDefault="00744CF1" w:rsidP="00EF7920">
      <w:pPr>
        <w:pStyle w:val="ListParagraph"/>
        <w:numPr>
          <w:ilvl w:val="0"/>
          <w:numId w:val="45"/>
        </w:numPr>
      </w:pPr>
      <w:r>
        <w:t>Drop if hectares quantile</w:t>
      </w:r>
      <w:r w:rsidR="00E91D9A">
        <w:t xml:space="preserve"> is in the </w:t>
      </w:r>
      <w:r w:rsidR="007B61AE">
        <w:t>lower</w:t>
      </w:r>
      <w:r w:rsidR="00E91D9A">
        <w:t xml:space="preserve"> 20%</w:t>
      </w:r>
      <w:r>
        <w:t xml:space="preserve"> (48,380 observations deleted)</w:t>
      </w:r>
    </w:p>
    <w:p w14:paraId="1F7135F5" w14:textId="77777777" w:rsidR="00744CF1" w:rsidRDefault="00744CF1" w:rsidP="007B61AE">
      <w:pPr>
        <w:pStyle w:val="ListParagraph"/>
        <w:numPr>
          <w:ilvl w:val="0"/>
          <w:numId w:val="45"/>
        </w:numPr>
      </w:pPr>
      <w:r>
        <w:t>Drop if price per hectare quantile by year</w:t>
      </w:r>
      <w:r w:rsidR="007B61AE">
        <w:t xml:space="preserve"> is in the lower 10% or in the upper 90%</w:t>
      </w:r>
      <w:r>
        <w:t xml:space="preserve"> (39,227 observations deleted)</w:t>
      </w:r>
    </w:p>
    <w:p w14:paraId="552FBC56" w14:textId="762DE01E" w:rsidR="00EF7920" w:rsidRDefault="00744CF1">
      <w:r>
        <w:t xml:space="preserve">The quantiles for size (hectares) are calculated for the entire sample (using stata xtile [see Equation 8 in Methods section]), while the </w:t>
      </w:r>
      <w:r w:rsidR="00214FFA">
        <w:t>quantiles for price per hectare</w:t>
      </w:r>
      <w:r>
        <w:t xml:space="preserve"> are calculated separately for each year. The impact of constraining the scope to </w:t>
      </w:r>
      <w:r w:rsidR="0044154A">
        <w:t>broadacre</w:t>
      </w:r>
      <w:r>
        <w:t xml:space="preserve"> farms is evident </w:t>
      </w:r>
      <w:r>
        <w:lastRenderedPageBreak/>
        <w:t>when comparing Figures 1 and 2 — which illustrate average annual price per hectare and sample size for the pre and post adjusted datasets. Note that the average price per hectare is unrealistically high and erratic in the ‘pre’ dataset (Figure 1), whereas this average becomes more normalised and stable in the ‘post’ dataset (Figure 2). As expected, the specification of a strict data scope and the removal of extreme (likely non-</w:t>
      </w:r>
      <w:r w:rsidR="0044154A">
        <w:t>broadacre</w:t>
      </w:r>
      <w:r>
        <w:t xml:space="preserve">) transaction records has resulted in considerable loss of sample size. Currently this is preferable to risking inclusion of non </w:t>
      </w:r>
      <w:r w:rsidR="0044154A">
        <w:t>broadacre</w:t>
      </w:r>
      <w:r>
        <w:t xml:space="preserve"> farmland in the analysis to follow and enables us to generate </w:t>
      </w:r>
      <w:r w:rsidR="00EF7920">
        <w:t xml:space="preserve">meaningful results.  </w:t>
      </w:r>
      <w:r w:rsidR="007E4FA2">
        <w:t xml:space="preserve">Future work will look to review and loosen these data constraints — to improve sample size without jeopardising data quality. </w:t>
      </w:r>
    </w:p>
    <w:p w14:paraId="23592242" w14:textId="77777777" w:rsidR="00BC3DD1" w:rsidRDefault="00BC3DD1" w:rsidP="00BC3DD1">
      <w:pPr>
        <w:pStyle w:val="Caption"/>
        <w:rPr>
          <w:vertAlign w:val="superscript"/>
        </w:rPr>
      </w:pPr>
      <w:bookmarkStart w:id="7" w:name="_Toc25744014"/>
      <w:r>
        <w:t xml:space="preserve">Figure </w:t>
      </w:r>
      <w:r>
        <w:rPr>
          <w:noProof/>
        </w:rPr>
        <w:fldChar w:fldCharType="begin"/>
      </w:r>
      <w:r>
        <w:rPr>
          <w:noProof/>
        </w:rPr>
        <w:instrText xml:space="preserve"> SEQ Figure \* ARABIC </w:instrText>
      </w:r>
      <w:r>
        <w:rPr>
          <w:noProof/>
        </w:rPr>
        <w:fldChar w:fldCharType="separate"/>
      </w:r>
      <w:r w:rsidR="009F7388">
        <w:rPr>
          <w:noProof/>
        </w:rPr>
        <w:t>1</w:t>
      </w:r>
      <w:r>
        <w:rPr>
          <w:noProof/>
        </w:rPr>
        <w:fldChar w:fldCharType="end"/>
      </w:r>
      <w:r>
        <w:t xml:space="preserve"> </w:t>
      </w:r>
      <w:r w:rsidRPr="00744CF1">
        <w:t>Pre-data cleaning, average price per hectare and sample count</w:t>
      </w:r>
      <w:bookmarkEnd w:id="7"/>
    </w:p>
    <w:p w14:paraId="2D8410D9" w14:textId="77777777" w:rsidR="00BC3DD1" w:rsidRDefault="00BC3DD1" w:rsidP="00BC3DD1">
      <w:r>
        <w:rPr>
          <w:noProof/>
          <w:lang w:eastAsia="en-AU"/>
        </w:rPr>
        <w:drawing>
          <wp:inline distT="0" distB="0" distL="0" distR="0" wp14:anchorId="2D26635F" wp14:editId="34BF05A2">
            <wp:extent cx="5705475" cy="23812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872AA0" w14:textId="77777777" w:rsidR="00BC3DD1" w:rsidRPr="007B61AE" w:rsidRDefault="00BC3DD1">
      <w:pPr>
        <w:rPr>
          <w:i/>
          <w:sz w:val="16"/>
        </w:rPr>
      </w:pPr>
      <w:r w:rsidRPr="00614630">
        <w:rPr>
          <w:i/>
          <w:sz w:val="16"/>
        </w:rPr>
        <w:t>Source: authors esti</w:t>
      </w:r>
      <w:r w:rsidR="007B61AE">
        <w:rPr>
          <w:i/>
          <w:sz w:val="16"/>
        </w:rPr>
        <w:t>mates, custom CoreLogic dataset</w:t>
      </w:r>
    </w:p>
    <w:p w14:paraId="627B1523" w14:textId="77777777" w:rsidR="00744CF1" w:rsidRDefault="00744CF1" w:rsidP="00744CF1">
      <w:pPr>
        <w:pStyle w:val="Caption"/>
        <w:rPr>
          <w:vertAlign w:val="superscript"/>
        </w:rPr>
      </w:pPr>
      <w:bookmarkStart w:id="8" w:name="_Toc25744015"/>
      <w:r>
        <w:t xml:space="preserve">Figure </w:t>
      </w:r>
      <w:r>
        <w:rPr>
          <w:noProof/>
        </w:rPr>
        <w:fldChar w:fldCharType="begin"/>
      </w:r>
      <w:r>
        <w:rPr>
          <w:noProof/>
        </w:rPr>
        <w:instrText xml:space="preserve"> SEQ Figure \* ARABIC </w:instrText>
      </w:r>
      <w:r>
        <w:rPr>
          <w:noProof/>
        </w:rPr>
        <w:fldChar w:fldCharType="separate"/>
      </w:r>
      <w:r w:rsidR="009F7388">
        <w:rPr>
          <w:noProof/>
        </w:rPr>
        <w:t>2</w:t>
      </w:r>
      <w:r>
        <w:rPr>
          <w:noProof/>
        </w:rPr>
        <w:fldChar w:fldCharType="end"/>
      </w:r>
      <w:r>
        <w:t xml:space="preserve"> </w:t>
      </w:r>
      <w:r w:rsidRPr="00744CF1">
        <w:t>Post-data cleaning, average price per hectare versus sample size</w:t>
      </w:r>
      <w:bookmarkEnd w:id="8"/>
      <w:r w:rsidRPr="00744CF1">
        <w:tab/>
      </w:r>
    </w:p>
    <w:p w14:paraId="26E6D7D4" w14:textId="77777777" w:rsidR="00744CF1" w:rsidRDefault="00744CF1" w:rsidP="00744CF1">
      <w:r>
        <w:rPr>
          <w:noProof/>
          <w:lang w:eastAsia="en-AU"/>
        </w:rPr>
        <w:drawing>
          <wp:inline distT="0" distB="0" distL="0" distR="0" wp14:anchorId="1F47F4B1" wp14:editId="2682DFCD">
            <wp:extent cx="5695950" cy="24955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F29A04" w14:textId="77777777" w:rsidR="00EF7920" w:rsidRPr="00614630" w:rsidRDefault="00744CF1" w:rsidP="00EF7920">
      <w:pPr>
        <w:rPr>
          <w:i/>
          <w:sz w:val="16"/>
        </w:rPr>
      </w:pPr>
      <w:r w:rsidRPr="00614630">
        <w:rPr>
          <w:b/>
          <w:i/>
          <w:sz w:val="16"/>
        </w:rPr>
        <w:t>Source:</w:t>
      </w:r>
      <w:r w:rsidRPr="00614630">
        <w:rPr>
          <w:i/>
          <w:sz w:val="16"/>
        </w:rPr>
        <w:t xml:space="preserve"> author</w:t>
      </w:r>
      <w:r w:rsidR="00EF7920" w:rsidRPr="00614630">
        <w:rPr>
          <w:i/>
          <w:sz w:val="16"/>
        </w:rPr>
        <w:t>s</w:t>
      </w:r>
      <w:r w:rsidRPr="00614630">
        <w:rPr>
          <w:i/>
          <w:sz w:val="16"/>
        </w:rPr>
        <w:t xml:space="preserve"> estimates</w:t>
      </w:r>
      <w:r w:rsidR="00EF7920" w:rsidRPr="00614630">
        <w:rPr>
          <w:i/>
          <w:sz w:val="16"/>
        </w:rPr>
        <w:t>, custom CoreLogic dataset</w:t>
      </w:r>
    </w:p>
    <w:p w14:paraId="760B2F31" w14:textId="77777777" w:rsidR="00A643E9" w:rsidRDefault="00A643E9"/>
    <w:p w14:paraId="261E5D4B" w14:textId="77777777" w:rsidR="00744CF1" w:rsidRDefault="00744CF1" w:rsidP="00DA4354">
      <w:pPr>
        <w:pStyle w:val="Heading3"/>
        <w:numPr>
          <w:ilvl w:val="0"/>
          <w:numId w:val="0"/>
        </w:numPr>
        <w:ind w:left="964" w:hanging="964"/>
      </w:pPr>
      <w:bookmarkStart w:id="9" w:name="_Toc25743999"/>
      <w:r w:rsidRPr="00744CF1">
        <w:lastRenderedPageBreak/>
        <w:t>Spatial transformation and variable construction</w:t>
      </w:r>
      <w:bookmarkEnd w:id="9"/>
    </w:p>
    <w:p w14:paraId="75EDDA3D" w14:textId="77777777" w:rsidR="00045FD0" w:rsidRDefault="006606A8">
      <w:r w:rsidRPr="006606A8">
        <w:t>An important feature of this study is the transformation of farmland transaction information into spa</w:t>
      </w:r>
      <w:r w:rsidR="00885511">
        <w:t>tial parcel boundaries</w:t>
      </w:r>
      <w:r w:rsidRPr="006606A8">
        <w:t>.</w:t>
      </w:r>
      <w:r w:rsidR="00885511">
        <w:t xml:space="preserve"> These boundaries are presented in Map 1, with a colour scaling applied to represent the maximum real price per hectare for each parcel.</w:t>
      </w:r>
      <w:r w:rsidRPr="006606A8">
        <w:t xml:space="preserve"> </w:t>
      </w:r>
      <w:r w:rsidR="00045FD0">
        <w:t xml:space="preserve">The inset in Map 1 demonstrates the detailed land parcel level data and the differences in price per hectare that exist within a small area. </w:t>
      </w:r>
      <w:r w:rsidR="00885511">
        <w:t>The spatial parcel boundary linkage</w:t>
      </w:r>
      <w:r w:rsidRPr="006606A8">
        <w:t xml:space="preserve"> enables the derivation of farm specific attributes using various spatial datasets, so that a series of covariates can be developed for use in the hedonic models. </w:t>
      </w:r>
      <w:r w:rsidR="00045FD0">
        <w:t xml:space="preserve">This effectively enables us to determine the factors (e.g. soil, climate, and distance to towns) that are driving </w:t>
      </w:r>
      <w:r w:rsidR="0044154A">
        <w:t>broadacre</w:t>
      </w:r>
      <w:r w:rsidR="00DA3A4F">
        <w:t xml:space="preserve"> </w:t>
      </w:r>
      <w:r w:rsidR="00045FD0">
        <w:t xml:space="preserve">farmland value. </w:t>
      </w:r>
    </w:p>
    <w:p w14:paraId="40DA47C0" w14:textId="77777777" w:rsidR="009C2B20" w:rsidRDefault="00BF6A7E">
      <w:pPr>
        <w:pStyle w:val="Caption"/>
      </w:pPr>
      <w:bookmarkStart w:id="10" w:name="_Ref445985062"/>
      <w:bookmarkStart w:id="11" w:name="_Toc409769199"/>
      <w:bookmarkStart w:id="12" w:name="_Toc25744021"/>
      <w:r>
        <w:t xml:space="preserve">Map </w:t>
      </w:r>
      <w:r>
        <w:rPr>
          <w:noProof/>
        </w:rPr>
        <w:fldChar w:fldCharType="begin"/>
      </w:r>
      <w:r>
        <w:rPr>
          <w:noProof/>
        </w:rPr>
        <w:instrText xml:space="preserve"> SEQ Map \* ARABIC </w:instrText>
      </w:r>
      <w:r>
        <w:rPr>
          <w:noProof/>
        </w:rPr>
        <w:fldChar w:fldCharType="separate"/>
      </w:r>
      <w:r w:rsidR="009F7388">
        <w:rPr>
          <w:noProof/>
        </w:rPr>
        <w:t>1</w:t>
      </w:r>
      <w:r>
        <w:rPr>
          <w:noProof/>
        </w:rPr>
        <w:fldChar w:fldCharType="end"/>
      </w:r>
      <w:bookmarkEnd w:id="10"/>
      <w:r>
        <w:t xml:space="preserve"> </w:t>
      </w:r>
      <w:bookmarkEnd w:id="11"/>
      <w:r w:rsidR="006606A8" w:rsidRPr="006606A8">
        <w:t>Price per hectare (maximum)</w:t>
      </w:r>
      <w:r w:rsidR="00DA4354">
        <w:t xml:space="preserve"> by parcel in clean dataset 1975</w:t>
      </w:r>
      <w:r w:rsidR="006606A8" w:rsidRPr="006606A8">
        <w:t>-2018</w:t>
      </w:r>
      <w:bookmarkEnd w:id="12"/>
    </w:p>
    <w:p w14:paraId="10FF78AE" w14:textId="77777777" w:rsidR="009C2B20" w:rsidRDefault="006606A8">
      <w:pPr>
        <w:pStyle w:val="Picture"/>
      </w:pPr>
      <w:r>
        <w:drawing>
          <wp:inline distT="0" distB="0" distL="0" distR="0" wp14:anchorId="05D0897A" wp14:editId="2C36C42B">
            <wp:extent cx="5731510" cy="5061585"/>
            <wp:effectExtent l="0" t="0" r="2540" b="5715"/>
            <wp:docPr id="9" name="Picture 9" descr="C:\Users\chancellor will\AppData\Local\Microsoft\Windows\INetCache\Content.Outlook\KOJLTY6R\Max_price_adjusted for inflation.png"/>
            <wp:cNvGraphicFramePr/>
            <a:graphic xmlns:a="http://schemas.openxmlformats.org/drawingml/2006/main">
              <a:graphicData uri="http://schemas.openxmlformats.org/drawingml/2006/picture">
                <pic:pic xmlns:pic="http://schemas.openxmlformats.org/drawingml/2006/picture">
                  <pic:nvPicPr>
                    <pic:cNvPr id="9" name="Picture 9" descr="C:\Users\chancellor will\AppData\Local\Microsoft\Windows\INetCache\Content.Outlook\KOJLTY6R\Max_price_adjusted for inflation.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061585"/>
                    </a:xfrm>
                    <a:prstGeom prst="rect">
                      <a:avLst/>
                    </a:prstGeom>
                    <a:noFill/>
                    <a:ln>
                      <a:noFill/>
                    </a:ln>
                  </pic:spPr>
                </pic:pic>
              </a:graphicData>
            </a:graphic>
          </wp:inline>
        </w:drawing>
      </w:r>
    </w:p>
    <w:p w14:paraId="33C55C37" w14:textId="77777777" w:rsidR="006606A8" w:rsidRPr="00614630" w:rsidRDefault="006606A8" w:rsidP="00A263ED">
      <w:pPr>
        <w:spacing w:after="0"/>
        <w:rPr>
          <w:i/>
          <w:sz w:val="16"/>
        </w:rPr>
      </w:pPr>
      <w:r w:rsidRPr="00614630">
        <w:rPr>
          <w:i/>
          <w:sz w:val="16"/>
        </w:rPr>
        <w:t>Source: CoreLogic custom dataset, authors estimates.</w:t>
      </w:r>
    </w:p>
    <w:p w14:paraId="356F7BE1" w14:textId="77777777" w:rsidR="006606A8" w:rsidRPr="00614630" w:rsidRDefault="006606A8" w:rsidP="00A263ED">
      <w:pPr>
        <w:spacing w:after="0"/>
        <w:rPr>
          <w:i/>
          <w:sz w:val="16"/>
        </w:rPr>
      </w:pPr>
      <w:r w:rsidRPr="00614630">
        <w:rPr>
          <w:i/>
          <w:sz w:val="16"/>
        </w:rPr>
        <w:t>Note: Maximum price by parcel adjusted to real 2018 prices for comparability.</w:t>
      </w:r>
    </w:p>
    <w:p w14:paraId="10F02EAC" w14:textId="77777777" w:rsidR="00EF7920" w:rsidRDefault="00EF7920" w:rsidP="006606A8">
      <w:pPr>
        <w:rPr>
          <w:rFonts w:asciiTheme="majorHAnsi" w:hAnsiTheme="majorHAnsi"/>
        </w:rPr>
      </w:pPr>
    </w:p>
    <w:p w14:paraId="693B3E58" w14:textId="77777777" w:rsidR="005D0187" w:rsidRDefault="005D0187" w:rsidP="006606A8">
      <w:pPr>
        <w:rPr>
          <w:rFonts w:asciiTheme="majorHAnsi" w:hAnsiTheme="majorHAnsi"/>
        </w:rPr>
      </w:pPr>
    </w:p>
    <w:p w14:paraId="20D3A936" w14:textId="77777777" w:rsidR="005D0187" w:rsidRDefault="005D0187" w:rsidP="006606A8">
      <w:pPr>
        <w:rPr>
          <w:rFonts w:asciiTheme="majorHAnsi" w:hAnsiTheme="majorHAnsi"/>
        </w:rPr>
      </w:pPr>
    </w:p>
    <w:p w14:paraId="730F3E07" w14:textId="77777777" w:rsidR="00BA392C" w:rsidRDefault="00BA392C" w:rsidP="006606A8">
      <w:pPr>
        <w:rPr>
          <w:rFonts w:asciiTheme="majorHAnsi" w:hAnsiTheme="majorHAnsi"/>
        </w:rPr>
      </w:pPr>
    </w:p>
    <w:p w14:paraId="2ACB8256" w14:textId="77777777" w:rsidR="005D0187" w:rsidRDefault="006606A8" w:rsidP="006606A8">
      <w:pPr>
        <w:rPr>
          <w:rFonts w:asciiTheme="majorHAnsi" w:hAnsiTheme="majorHAnsi"/>
        </w:rPr>
      </w:pPr>
      <w:r w:rsidRPr="00A47D99">
        <w:rPr>
          <w:rFonts w:asciiTheme="majorHAnsi" w:hAnsiTheme="majorHAnsi"/>
        </w:rPr>
        <w:lastRenderedPageBreak/>
        <w:t>We construct spatial variables to explain farmland price per hectare according to the following categories;</w:t>
      </w:r>
    </w:p>
    <w:p w14:paraId="5C53F761" w14:textId="77777777" w:rsidR="00DA3A4F" w:rsidRPr="00DA3A4F" w:rsidRDefault="00DA3A4F" w:rsidP="00DA3A4F">
      <w:pPr>
        <w:pStyle w:val="Heading3"/>
        <w:numPr>
          <w:ilvl w:val="0"/>
          <w:numId w:val="0"/>
        </w:numPr>
      </w:pPr>
      <w:bookmarkStart w:id="13" w:name="_Toc25744000"/>
      <w:r>
        <w:t>Spatial variables</w:t>
      </w:r>
      <w:bookmarkEnd w:id="13"/>
    </w:p>
    <w:p w14:paraId="1C4631C9" w14:textId="77777777" w:rsidR="005D0187" w:rsidRDefault="006606A8" w:rsidP="00DA3A4F">
      <w:pPr>
        <w:pStyle w:val="Heading4"/>
        <w:numPr>
          <w:ilvl w:val="0"/>
          <w:numId w:val="0"/>
        </w:numPr>
      </w:pPr>
      <w:r w:rsidRPr="00A47D99">
        <w:t>Transport connectedness</w:t>
      </w:r>
    </w:p>
    <w:p w14:paraId="4BF0B4ED" w14:textId="4E7CEF59" w:rsidR="006606A8" w:rsidRPr="00A47D99" w:rsidRDefault="006606A8" w:rsidP="006606A8">
      <w:pPr>
        <w:rPr>
          <w:rFonts w:asciiTheme="majorHAnsi" w:hAnsiTheme="majorHAnsi"/>
        </w:rPr>
      </w:pPr>
      <w:r w:rsidRPr="00A47D99">
        <w:rPr>
          <w:rFonts w:asciiTheme="majorHAnsi" w:hAnsiTheme="majorHAnsi"/>
        </w:rPr>
        <w:t>Connectedness to the Australian transport network represents an ability to deliver farming inputs (e.g. fertiliser, seed, and fodder) and dispatch farming outputs (e.g. tonnes of wheat, bales of wool), which is important to the profitability of a farming businesses. Proximity to towns and cities may also have other benefit</w:t>
      </w:r>
      <w:r w:rsidR="00214FFA">
        <w:rPr>
          <w:rFonts w:asciiTheme="majorHAnsi" w:hAnsiTheme="majorHAnsi"/>
        </w:rPr>
        <w:t>s such as an increased access to amenities</w:t>
      </w:r>
      <w:r w:rsidRPr="00A47D99">
        <w:rPr>
          <w:rFonts w:asciiTheme="majorHAnsi" w:hAnsiTheme="majorHAnsi"/>
        </w:rPr>
        <w:t xml:space="preserve">. We therefore are interested in the distance from the farm to towns and the respective transportation costs, which differ depending on road surface type. </w:t>
      </w:r>
    </w:p>
    <w:p w14:paraId="6C59B7D2" w14:textId="77777777" w:rsidR="006606A8" w:rsidRPr="00455CE3" w:rsidRDefault="006606A8" w:rsidP="006606A8">
      <w:pPr>
        <w:rPr>
          <w:rFonts w:asciiTheme="majorHAnsi" w:hAnsiTheme="majorHAnsi"/>
        </w:rPr>
      </w:pPr>
      <w:r w:rsidRPr="00A47D99">
        <w:rPr>
          <w:rFonts w:asciiTheme="majorHAnsi" w:hAnsiTheme="majorHAnsi"/>
        </w:rPr>
        <w:t>To account for transport connectedness, we construct two variables — transport cost to town and transport cost to city, where a ‘town’ has a population of at least 1,000 residents and a ‘city’ has a population of at least 100,000 residents. Distance is calculated from the road network node (intersection) nearest to the property boundary polygon to a node assigned to the nearest respective town or city. The route chosen from farm to town or city minimises transport cost based on road class, formation and length (using the Djikstra algorithm). The cost rate is 1 unit per km for sealed principle roads and increases to 2 units per km for unsealed minor roads. Tracks are also included to ensure connectivity of the road network (5 unit</w:t>
      </w:r>
      <w:r w:rsidR="005D0187">
        <w:rPr>
          <w:rFonts w:asciiTheme="majorHAnsi" w:hAnsiTheme="majorHAnsi"/>
        </w:rPr>
        <w:t>s per kilometre</w:t>
      </w:r>
      <w:r w:rsidRPr="00A47D99">
        <w:rPr>
          <w:rFonts w:asciiTheme="majorHAnsi" w:hAnsiTheme="majorHAnsi"/>
        </w:rPr>
        <w:t xml:space="preserve">), as are ferry and barge route lines to (e.g. Flinders Island, Daintree River) with a cost rate of 20 units </w:t>
      </w:r>
      <w:r w:rsidR="005D0187">
        <w:rPr>
          <w:rFonts w:asciiTheme="majorHAnsi" w:hAnsiTheme="majorHAnsi"/>
        </w:rPr>
        <w:t>per kilometre</w:t>
      </w:r>
      <w:r w:rsidRPr="00455CE3">
        <w:rPr>
          <w:rFonts w:asciiTheme="majorHAnsi" w:hAnsiTheme="majorHAnsi"/>
        </w:rPr>
        <w:t xml:space="preserve">. </w:t>
      </w:r>
    </w:p>
    <w:p w14:paraId="48EDD751" w14:textId="77777777" w:rsidR="006606A8" w:rsidRPr="00455CE3" w:rsidRDefault="006606A8" w:rsidP="006606A8">
      <w:pPr>
        <w:rPr>
          <w:rFonts w:asciiTheme="majorHAnsi" w:hAnsiTheme="majorHAnsi"/>
        </w:rPr>
      </w:pPr>
      <w:r w:rsidRPr="00455CE3">
        <w:rPr>
          <w:rFonts w:asciiTheme="majorHAnsi" w:hAnsiTheme="majorHAnsi"/>
        </w:rPr>
        <w:t xml:space="preserve">The road network is based on Geoscience Australia Topo250k series 3 data (Geodata, 2006), and town locations are based on the ABS Urban Centres and Localities (UCL) from the 2016 census (ABS, 2017). </w:t>
      </w:r>
    </w:p>
    <w:p w14:paraId="676A2B25" w14:textId="77777777" w:rsidR="005D0187" w:rsidRDefault="005D0187" w:rsidP="00DA3A4F">
      <w:pPr>
        <w:pStyle w:val="Heading4"/>
        <w:numPr>
          <w:ilvl w:val="0"/>
          <w:numId w:val="0"/>
        </w:numPr>
      </w:pPr>
      <w:r>
        <w:t>Rainfall</w:t>
      </w:r>
    </w:p>
    <w:p w14:paraId="6F0619C8" w14:textId="77777777" w:rsidR="006606A8" w:rsidRPr="00455CE3" w:rsidRDefault="006606A8" w:rsidP="006606A8">
      <w:pPr>
        <w:rPr>
          <w:rFonts w:asciiTheme="majorHAnsi" w:hAnsiTheme="majorHAnsi"/>
        </w:rPr>
      </w:pPr>
      <w:r w:rsidRPr="00455CE3">
        <w:rPr>
          <w:rFonts w:asciiTheme="majorHAnsi" w:hAnsiTheme="majorHAnsi"/>
        </w:rPr>
        <w:t>Rainfall is an important</w:t>
      </w:r>
      <w:r w:rsidR="00623543">
        <w:rPr>
          <w:rFonts w:asciiTheme="majorHAnsi" w:hAnsiTheme="majorHAnsi"/>
        </w:rPr>
        <w:t xml:space="preserve"> factor</w:t>
      </w:r>
      <w:r w:rsidRPr="00455CE3">
        <w:rPr>
          <w:rFonts w:asciiTheme="majorHAnsi" w:hAnsiTheme="majorHAnsi"/>
        </w:rPr>
        <w:t xml:space="preserve"> of agricultural production, and is therefore expected to contribute to land value. Land situated in areas of favourable average rainfall can lead to more profitable and reliable crop or livestock production. High rainfall properties are therefore likely to attract higher prices per hectare than farmland in the arid areas of inland Australia. While average rainfall differs considerably between the ABARES High Rainfall Zone, the Wheat Sheep Zone, and the Pastoral Zone – there are also significant rainfall variations within these zones. </w:t>
      </w:r>
    </w:p>
    <w:p w14:paraId="58180AB6" w14:textId="77777777" w:rsidR="006606A8" w:rsidRPr="00455CE3" w:rsidRDefault="006606A8" w:rsidP="006606A8">
      <w:pPr>
        <w:rPr>
          <w:rFonts w:asciiTheme="majorHAnsi" w:hAnsiTheme="majorHAnsi"/>
        </w:rPr>
      </w:pPr>
      <w:r w:rsidRPr="00455CE3">
        <w:rPr>
          <w:rFonts w:asciiTheme="majorHAnsi" w:hAnsiTheme="majorHAnsi"/>
        </w:rPr>
        <w:t xml:space="preserve">There are several possible rainfall variables that can be generated using the data available. We use actual quarterly rainfall by farm (available from 1960 to 2018) such that Q1=Jan-Mar, Q2=Apr-Jun; Q3=Jul-Sep; Q4=Oct-Dec. Rainfall is linked to farmland property using the BoM AWAP rainfall grids (which have a 0.05x0.05 degree grid cells [about 5x5km]) (BoM, 2019a). Where a property extends over more than one grid cell the area weighted average across the rectangular extent of the property has been calculated. </w:t>
      </w:r>
    </w:p>
    <w:p w14:paraId="2D5FC81A" w14:textId="77777777" w:rsidR="005D0187" w:rsidRDefault="005D0187" w:rsidP="00DA3A4F">
      <w:pPr>
        <w:pStyle w:val="Heading4"/>
        <w:numPr>
          <w:ilvl w:val="0"/>
          <w:numId w:val="0"/>
        </w:numPr>
      </w:pPr>
      <w:r>
        <w:t>Temperature</w:t>
      </w:r>
    </w:p>
    <w:p w14:paraId="4E8C5B12" w14:textId="77777777" w:rsidR="006606A8" w:rsidRPr="00455CE3" w:rsidRDefault="006606A8" w:rsidP="006606A8">
      <w:pPr>
        <w:rPr>
          <w:rFonts w:asciiTheme="majorHAnsi" w:hAnsiTheme="majorHAnsi"/>
        </w:rPr>
      </w:pPr>
      <w:r w:rsidRPr="00455CE3">
        <w:rPr>
          <w:rFonts w:asciiTheme="majorHAnsi" w:hAnsiTheme="majorHAnsi"/>
        </w:rPr>
        <w:t xml:space="preserve">As with rainfall, variations in temperature can impact agricultural production and possibly the value of farmland. Anecdotally, areas with hotter protracted periods may be less desirable for some farming production types (and may attract lower land prices) than areas which tend to experience more moderate average temperatures. The temperature variables are constructed in a similar way to the rainfall variables, with actual temperature variables representing quarterly </w:t>
      </w:r>
      <w:r w:rsidRPr="00455CE3">
        <w:rPr>
          <w:rFonts w:asciiTheme="majorHAnsi" w:hAnsiTheme="majorHAnsi"/>
        </w:rPr>
        <w:lastRenderedPageBreak/>
        <w:t xml:space="preserve">annual temperature for each year by farm between 1960 and 2018 such that Q1=Jan-Mar, Q2=Apr-Jun; Q3=Jul-Sep; Q4=Oct-Dec. Temperature is linked to farmland property using the BoM AWAP grids (which have a 0.05x0.05 degree grid cells [about 5x5km] (BoM, 2019b). Where a property extends over more than one grid cell the area weighted average across the rectangular extent of the property has been calculated. </w:t>
      </w:r>
    </w:p>
    <w:p w14:paraId="798EA245" w14:textId="77777777" w:rsidR="005D0187" w:rsidRDefault="005D0187" w:rsidP="00DA3A4F">
      <w:pPr>
        <w:pStyle w:val="Heading4"/>
        <w:numPr>
          <w:ilvl w:val="0"/>
          <w:numId w:val="0"/>
        </w:numPr>
      </w:pPr>
      <w:r>
        <w:t>Water coverage</w:t>
      </w:r>
    </w:p>
    <w:p w14:paraId="6FF41E02" w14:textId="77777777" w:rsidR="005D0187" w:rsidRDefault="006606A8" w:rsidP="00BA392C">
      <w:r w:rsidRPr="00455CE3">
        <w:t>Water is considered to be a generally important resource for agricultural production, therefore the existence of water cover on farmland may impact farmland value. Yet, excessive water coverage might present flood risk, therefore it is difficult to predict the impact of water cover on farmland values. Using the Geoscience Australia Water Observations from Space data records, we apply a variable to capture the percentage frequency with which water has been detected over the Landsat archive for each 25x25m pixel (Geoscience Australia, 2019). High percentages indicate water storages, lakes and water courses; whereas lower percentages capture flooding and flood irrigation. Woody vegetat</w:t>
      </w:r>
      <w:r w:rsidR="005D0187">
        <w:t>ion cover and clearing history</w:t>
      </w:r>
    </w:p>
    <w:p w14:paraId="129BD327" w14:textId="21DE1B80" w:rsidR="00214FFA" w:rsidRDefault="007F2D31" w:rsidP="00214FFA">
      <w:pPr>
        <w:pStyle w:val="Heading4"/>
        <w:numPr>
          <w:ilvl w:val="0"/>
          <w:numId w:val="0"/>
        </w:numPr>
      </w:pPr>
      <w:r>
        <w:t>V</w:t>
      </w:r>
      <w:r w:rsidR="00214FFA">
        <w:t>egetation</w:t>
      </w:r>
    </w:p>
    <w:p w14:paraId="03303721" w14:textId="6671ED7A" w:rsidR="006606A8" w:rsidRPr="00455CE3" w:rsidRDefault="00214FFA" w:rsidP="006606A8">
      <w:pPr>
        <w:rPr>
          <w:rFonts w:asciiTheme="majorHAnsi" w:hAnsiTheme="majorHAnsi"/>
        </w:rPr>
      </w:pPr>
      <w:r>
        <w:rPr>
          <w:rFonts w:asciiTheme="majorHAnsi" w:hAnsiTheme="majorHAnsi"/>
        </w:rPr>
        <w:t xml:space="preserve">The presence of </w:t>
      </w:r>
      <w:r w:rsidR="003B44C9">
        <w:rPr>
          <w:rFonts w:asciiTheme="majorHAnsi" w:hAnsiTheme="majorHAnsi"/>
        </w:rPr>
        <w:t xml:space="preserve">woody vegetation on </w:t>
      </w:r>
      <w:r w:rsidR="0044154A">
        <w:rPr>
          <w:rFonts w:asciiTheme="majorHAnsi" w:hAnsiTheme="majorHAnsi"/>
        </w:rPr>
        <w:t>broadacre</w:t>
      </w:r>
      <w:r w:rsidR="006606A8" w:rsidRPr="00455CE3">
        <w:rPr>
          <w:rFonts w:asciiTheme="majorHAnsi" w:hAnsiTheme="majorHAnsi"/>
        </w:rPr>
        <w:t xml:space="preserve"> farmland is expected to impact value for several reasons. First, vegetation on cropping land can reduced the productive capacity of that land due to physical obstacles and competition for water and nutrients. Similarly, grazing land with heavy tree cover may produce less pasture and increase costs associated with livestock herding. However, there is a case for retaining woody vegetation, such as for providing shelter from wind and extreme weather. Vegetation can also be beneficial to land quality, by reducing or preventing erosion and by returning nitrogen to the soil. Therefore the expected impact of land clearing and vegetation cover on farmland value is unclear and expected to vary by region and production type. </w:t>
      </w:r>
    </w:p>
    <w:p w14:paraId="6BBF9EF7" w14:textId="77777777" w:rsidR="006606A8" w:rsidRPr="00455CE3" w:rsidRDefault="006606A8" w:rsidP="006606A8">
      <w:pPr>
        <w:rPr>
          <w:rFonts w:asciiTheme="majorHAnsi" w:hAnsiTheme="majorHAnsi"/>
        </w:rPr>
      </w:pPr>
      <w:r w:rsidRPr="00455CE3">
        <w:rPr>
          <w:rFonts w:asciiTheme="majorHAnsi" w:hAnsiTheme="majorHAnsi"/>
        </w:rPr>
        <w:t xml:space="preserve">Vegetation at farm level for each of the available years between 1988 and 2018 is calculated such that 0 means all cleared and 100 means all woody vegetation. This covariate is based on the National Forest and Sparse Woody Vegetation Data (Version 3, 2018 Release) (Department of Environment and Energy, 2018). To practically test the relationship between land clearing and land value, a trend at farm level is derived over the available time period and the corresponding gradient provides an indication of either vegetation clearing or vegetation growth — and the extent of this clearing or growth. </w:t>
      </w:r>
    </w:p>
    <w:p w14:paraId="3142497E" w14:textId="77777777" w:rsidR="006606A8" w:rsidRPr="00455CE3" w:rsidRDefault="006606A8" w:rsidP="006606A8">
      <w:pPr>
        <w:rPr>
          <w:rFonts w:asciiTheme="majorHAnsi" w:hAnsiTheme="majorHAnsi"/>
        </w:rPr>
      </w:pPr>
      <w:r w:rsidRPr="00455CE3">
        <w:rPr>
          <w:rFonts w:asciiTheme="majorHAnsi" w:hAnsiTheme="majorHAnsi"/>
        </w:rPr>
        <w:t xml:space="preserve">Landsat satellite imagery is used to derive the variable to discriminate woody vegetation from forest, sparse woody and non-woody land cover across a time series from 1988 to 2018 (Department of Environment and Energy, 2019). A forest is defined as woody vegetation with a minimum 20% canopy cover, potentially reaching 2 metres high and a minimum area of 0.2 hectares. Sparse woody is defined as woody vegetation with a canopy cover between 5-19%. The National Carbon Accounting System (NCAS) woody vegetation cover grids include the following 23 years (omitting first two digits from year numbers):  88 89 91 92 95 98 00 02 04 05 06 07 08 09 10 11 12 13 14 15 16 17 18. Each 0.00025 x 0.00025 degree pixel takes a value in {0,1,2,255} where 0 means non-woody cover; 1 means Sparse woody vegetation and 2 means Woody vegetation (forest). 255 means ‘no data’. The variable calculated is the average value excluding ‘no data’ times 50. If all the woody cover grid cells in the property area for a given year are 0 then the average will also be 0. Similarly an output value of 100 from an average of 2 in a </w:t>
      </w:r>
      <w:r w:rsidRPr="00455CE3">
        <w:rPr>
          <w:rFonts w:asciiTheme="majorHAnsi" w:hAnsiTheme="majorHAnsi"/>
        </w:rPr>
        <w:lastRenderedPageBreak/>
        <w:t xml:space="preserve">given year would mean all the grid cells for a given property have the value 2 in that year. Note that northern SA and southern NT are not included in the NCAS data. </w:t>
      </w:r>
    </w:p>
    <w:p w14:paraId="570A3692" w14:textId="77777777" w:rsidR="005D0187" w:rsidRDefault="006606A8" w:rsidP="00DA3A4F">
      <w:pPr>
        <w:pStyle w:val="Heading4"/>
        <w:numPr>
          <w:ilvl w:val="0"/>
          <w:numId w:val="0"/>
        </w:numPr>
      </w:pPr>
      <w:r w:rsidRPr="00455CE3">
        <w:t>Topo</w:t>
      </w:r>
      <w:r w:rsidR="005D0187">
        <w:t>graphy</w:t>
      </w:r>
    </w:p>
    <w:p w14:paraId="3DDC6A0A" w14:textId="77777777" w:rsidR="006606A8" w:rsidRPr="00455CE3" w:rsidRDefault="003B44C9" w:rsidP="006606A8">
      <w:pPr>
        <w:rPr>
          <w:rFonts w:asciiTheme="majorHAnsi" w:hAnsiTheme="majorHAnsi"/>
        </w:rPr>
      </w:pPr>
      <w:r>
        <w:rPr>
          <w:rFonts w:asciiTheme="majorHAnsi" w:hAnsiTheme="majorHAnsi"/>
        </w:rPr>
        <w:t xml:space="preserve">The topography of </w:t>
      </w:r>
      <w:r w:rsidR="0044154A">
        <w:rPr>
          <w:rFonts w:asciiTheme="majorHAnsi" w:hAnsiTheme="majorHAnsi"/>
        </w:rPr>
        <w:t>broadacre</w:t>
      </w:r>
      <w:r w:rsidR="006606A8" w:rsidRPr="00455CE3">
        <w:rPr>
          <w:rFonts w:asciiTheme="majorHAnsi" w:hAnsiTheme="majorHAnsi"/>
        </w:rPr>
        <w:t xml:space="preserve"> farmland is likely to impact value, with land profiles potentially restricting or broadening the farm production opportunities available to the owner. Generally, steep hilly land may be inaccessible for cropping machinery and limit production opportunities — possibly impeding value. Conversely, flat or slightly undulating land may present few barriers to agricultural production and generally coincide with higher land values. Yet, it is anticipated that this impact of land slope on price per hectare is likely to be subtle. To account for topography, four classes ranging from 1 for flat to 4 for steep are generated to estimate the proportion of the property in each slope class. These variables use the Shuttle Radar Topographic Mission (SRTM) digital elevation model which has 0.0008333 degree pixels (about 90m) (Geoscience Australia, 2011). </w:t>
      </w:r>
    </w:p>
    <w:p w14:paraId="4BDCC3CB" w14:textId="77777777" w:rsidR="005D0187" w:rsidRDefault="005D0187" w:rsidP="00DA3A4F">
      <w:pPr>
        <w:pStyle w:val="Heading4"/>
        <w:numPr>
          <w:ilvl w:val="0"/>
          <w:numId w:val="0"/>
        </w:numPr>
      </w:pPr>
      <w:r>
        <w:t>Building cover</w:t>
      </w:r>
    </w:p>
    <w:p w14:paraId="6F502B7E" w14:textId="60D1C069" w:rsidR="006606A8" w:rsidRPr="00455CE3" w:rsidRDefault="006606A8" w:rsidP="006606A8">
      <w:pPr>
        <w:rPr>
          <w:rFonts w:asciiTheme="majorHAnsi" w:hAnsiTheme="majorHAnsi"/>
        </w:rPr>
      </w:pPr>
      <w:r w:rsidRPr="00455CE3">
        <w:rPr>
          <w:rFonts w:asciiTheme="majorHAnsi" w:hAnsiTheme="majorHAnsi"/>
        </w:rPr>
        <w:t>Physical buildings such as storage sheds or residential homesteads are generally expected to result in higher farmland values. The number of building points present on each property is derived using state data. Data are available for all states except Western Au</w:t>
      </w:r>
      <w:r w:rsidR="00CD261E">
        <w:rPr>
          <w:rFonts w:asciiTheme="majorHAnsi" w:hAnsiTheme="majorHAnsi"/>
        </w:rPr>
        <w:t xml:space="preserve">stralia and Northern Territory via data.gov.au. </w:t>
      </w:r>
    </w:p>
    <w:p w14:paraId="71A17E6D" w14:textId="77777777" w:rsidR="005D0187" w:rsidRDefault="005D0187" w:rsidP="00DA3A4F">
      <w:pPr>
        <w:pStyle w:val="Heading4"/>
        <w:numPr>
          <w:ilvl w:val="0"/>
          <w:numId w:val="0"/>
        </w:numPr>
      </w:pPr>
      <w:r>
        <w:t>Land use type</w:t>
      </w:r>
    </w:p>
    <w:p w14:paraId="5B7C0CF6" w14:textId="77777777" w:rsidR="006606A8" w:rsidRPr="00455CE3" w:rsidRDefault="006606A8" w:rsidP="006606A8">
      <w:pPr>
        <w:rPr>
          <w:rFonts w:asciiTheme="majorHAnsi" w:hAnsiTheme="majorHAnsi"/>
        </w:rPr>
      </w:pPr>
      <w:r w:rsidRPr="00455CE3">
        <w:rPr>
          <w:rFonts w:asciiTheme="majorHAnsi" w:hAnsiTheme="majorHAnsi"/>
        </w:rPr>
        <w:t xml:space="preserve">Land use type is likely to impact farmland value. Land use variables are constructed by overlaying the Catchment Scale Land Use of Australia Update December 2018 (CLUM18) dataset (ABARES, 2019) on the CoreLogic parcel boundaries, and then assigning a primary, secondary, and tertiary land use category. CLUM18 was converted from a raster with 50m x 50m pixels to a polygon layer before the layer was overlaid. Overlaps between the layers that are less than half the area of one CLUM18 pixel have been ignored so the total of the hectares field will be a little less than the property area. Some very small properties could have been lost as a result. It is probable that these small properties are out of scope. </w:t>
      </w:r>
    </w:p>
    <w:p w14:paraId="410A32D4" w14:textId="77777777" w:rsidR="006606A8" w:rsidRPr="00455CE3" w:rsidRDefault="006606A8" w:rsidP="006606A8">
      <w:pPr>
        <w:rPr>
          <w:rFonts w:asciiTheme="majorHAnsi" w:hAnsiTheme="majorHAnsi"/>
        </w:rPr>
      </w:pPr>
      <w:r w:rsidRPr="00455CE3">
        <w:rPr>
          <w:rFonts w:asciiTheme="majorHAnsi" w:hAnsiTheme="majorHAnsi"/>
        </w:rPr>
        <w:t xml:space="preserve">While this process generated a large number of potential variables, our focus is on the following land use (cropping, grazing, mining, wind power, and buildings/infrastructure) for the purpose of constructing dummy variables. For cropping and grazing, a flag is assigned where cropping or grazing land use respectively exceeds 50 hectares. For mine sites, wind power turbines, and building infrastructure, a flag is assigned where these respective land use features are present within the farmland polygon boundaries. </w:t>
      </w:r>
    </w:p>
    <w:p w14:paraId="3F4CB35A" w14:textId="77777777" w:rsidR="005D0187" w:rsidRDefault="005D0187" w:rsidP="00DA3A4F">
      <w:pPr>
        <w:pStyle w:val="Heading4"/>
        <w:numPr>
          <w:ilvl w:val="0"/>
          <w:numId w:val="0"/>
        </w:numPr>
      </w:pPr>
      <w:r>
        <w:t>Soil condition</w:t>
      </w:r>
    </w:p>
    <w:p w14:paraId="7C895058" w14:textId="77777777" w:rsidR="006606A8" w:rsidRPr="00DA3A4F" w:rsidRDefault="00DA3A4F" w:rsidP="006606A8">
      <w:pPr>
        <w:rPr>
          <w:rFonts w:asciiTheme="majorHAnsi" w:hAnsiTheme="majorHAnsi"/>
        </w:rPr>
      </w:pPr>
      <w:r>
        <w:rPr>
          <w:rFonts w:asciiTheme="majorHAnsi" w:hAnsiTheme="majorHAnsi"/>
        </w:rPr>
        <w:t xml:space="preserve">Soil </w:t>
      </w:r>
      <w:r w:rsidR="006606A8" w:rsidRPr="00455CE3">
        <w:rPr>
          <w:rFonts w:asciiTheme="majorHAnsi" w:hAnsiTheme="majorHAnsi"/>
        </w:rPr>
        <w:t>may be important for pasture and cr</w:t>
      </w:r>
      <w:r w:rsidR="003B44C9">
        <w:rPr>
          <w:rFonts w:asciiTheme="majorHAnsi" w:hAnsiTheme="majorHAnsi"/>
        </w:rPr>
        <w:t xml:space="preserve">op production, and hence, </w:t>
      </w:r>
      <w:r w:rsidR="0044154A">
        <w:rPr>
          <w:rFonts w:asciiTheme="majorHAnsi" w:hAnsiTheme="majorHAnsi"/>
        </w:rPr>
        <w:t>broadacre</w:t>
      </w:r>
      <w:r w:rsidR="006606A8" w:rsidRPr="00455CE3">
        <w:rPr>
          <w:rFonts w:asciiTheme="majorHAnsi" w:hAnsiTheme="majorHAnsi"/>
        </w:rPr>
        <w:t xml:space="preserve"> farmland value. Degradation of land (such as erosion) may also be undesirable and impact value negatively, however, due to the complexity of these variables it is difficult to anticipate their impact on </w:t>
      </w:r>
      <w:r w:rsidR="0044154A">
        <w:rPr>
          <w:rFonts w:asciiTheme="majorHAnsi" w:hAnsiTheme="majorHAnsi"/>
        </w:rPr>
        <w:t>broadacre</w:t>
      </w:r>
      <w:r w:rsidR="006606A8" w:rsidRPr="00455CE3">
        <w:rPr>
          <w:rFonts w:asciiTheme="majorHAnsi" w:hAnsiTheme="majorHAnsi"/>
        </w:rPr>
        <w:t xml:space="preserve"> farmland value. To account for soil, we include four soil condition layers from Leys et al. (2017). The variables constructed from these layers are acidification risk, carbon risk, erosion by water risk, and erosion by wind risk. Interpretation of these variables with relation to land value is more difficult due to the multiple dimensions of soil characteristics. Acidification, for example, has increased in many areas due to the intensification of cropping and nitrogen fertiliser use (Leys et al. 2017).</w:t>
      </w:r>
    </w:p>
    <w:p w14:paraId="3ADC3934" w14:textId="466E91AD" w:rsidR="00DA3A4F" w:rsidRPr="00DA3A4F" w:rsidRDefault="00083400" w:rsidP="00DA3A4F">
      <w:pPr>
        <w:pStyle w:val="Heading3"/>
        <w:numPr>
          <w:ilvl w:val="0"/>
          <w:numId w:val="0"/>
        </w:numPr>
        <w:ind w:left="964" w:hanging="964"/>
      </w:pPr>
      <w:bookmarkStart w:id="14" w:name="_Toc25744001"/>
      <w:r>
        <w:lastRenderedPageBreak/>
        <w:t>Non-</w:t>
      </w:r>
      <w:r w:rsidR="00480FFB">
        <w:t>farm-specific</w:t>
      </w:r>
      <w:r>
        <w:t xml:space="preserve"> variables</w:t>
      </w:r>
      <w:bookmarkEnd w:id="14"/>
    </w:p>
    <w:p w14:paraId="2D8B55D6" w14:textId="77777777" w:rsidR="007E0EE2" w:rsidRDefault="0044154A" w:rsidP="00DA3A4F">
      <w:pPr>
        <w:pStyle w:val="Heading4"/>
        <w:numPr>
          <w:ilvl w:val="0"/>
          <w:numId w:val="0"/>
        </w:numPr>
      </w:pPr>
      <w:r>
        <w:t>Broadacre</w:t>
      </w:r>
      <w:r w:rsidR="006606A8" w:rsidRPr="006606A8">
        <w:t xml:space="preserve"> productivity (by S</w:t>
      </w:r>
      <w:r w:rsidR="007E0EE2">
        <w:t>tate)</w:t>
      </w:r>
    </w:p>
    <w:p w14:paraId="5568B354" w14:textId="77777777" w:rsidR="006606A8" w:rsidRPr="006606A8" w:rsidRDefault="00405ED7" w:rsidP="00455CE3">
      <w:r>
        <w:t>E</w:t>
      </w:r>
      <w:r w:rsidR="006606A8" w:rsidRPr="006606A8">
        <w:t>xperimental (unpublished) state leve</w:t>
      </w:r>
      <w:r w:rsidR="003B44C9">
        <w:t xml:space="preserve">l estimates of the ABARES </w:t>
      </w:r>
      <w:r w:rsidR="0044154A">
        <w:t>broadacre</w:t>
      </w:r>
      <w:r w:rsidR="006606A8" w:rsidRPr="006606A8">
        <w:t xml:space="preserve"> Total Factor Productivity (TFP) series are included in the hedonic estimation. These estimates are annual from 1978 to 2018. The purpose of including these estimates is to control for state specific technology progress and improvements in production (such as through management practices) that may have a corresponding impact on farmland values. </w:t>
      </w:r>
    </w:p>
    <w:p w14:paraId="2CB48D63" w14:textId="6B6B8CA3" w:rsidR="007E0EE2" w:rsidRDefault="006606A8" w:rsidP="0025373F">
      <w:pPr>
        <w:pStyle w:val="Heading4"/>
        <w:numPr>
          <w:ilvl w:val="0"/>
          <w:numId w:val="0"/>
        </w:numPr>
        <w:tabs>
          <w:tab w:val="left" w:pos="6549"/>
        </w:tabs>
      </w:pPr>
      <w:r w:rsidRPr="006606A8">
        <w:t>Rur</w:t>
      </w:r>
      <w:r w:rsidR="00DA3A4F">
        <w:t>al debt</w:t>
      </w:r>
      <w:r w:rsidRPr="006606A8">
        <w:t xml:space="preserve"> </w:t>
      </w:r>
      <w:r w:rsidR="00480FFB">
        <w:tab/>
      </w:r>
    </w:p>
    <w:p w14:paraId="25A0C9B6" w14:textId="77777777" w:rsidR="006606A8" w:rsidRPr="006606A8" w:rsidRDefault="006606A8" w:rsidP="00455CE3">
      <w:r w:rsidRPr="006606A8">
        <w:t xml:space="preserve">The level of rural debt provides an indication of the availability of finance and </w:t>
      </w:r>
      <w:r w:rsidR="003B44C9">
        <w:t xml:space="preserve">sentiment which may drive </w:t>
      </w:r>
      <w:r w:rsidR="0044154A">
        <w:t>broadacre</w:t>
      </w:r>
      <w:r w:rsidRPr="006606A8">
        <w:t xml:space="preserve"> farmland values. We use the variable ‘total rural debt’ from the Reserve Bank of Australia Money and Credit and Statistics (RBA, 2019). Unfortunately this variable is general (i.e. not farm or location specific), providing only a basic indication of debt levels from 1975 to 2018. </w:t>
      </w:r>
    </w:p>
    <w:p w14:paraId="24670E2E" w14:textId="77777777" w:rsidR="007E0EE2" w:rsidRDefault="00DA3A4F" w:rsidP="00DA3A4F">
      <w:pPr>
        <w:pStyle w:val="Heading4"/>
        <w:numPr>
          <w:ilvl w:val="0"/>
          <w:numId w:val="0"/>
        </w:numPr>
      </w:pPr>
      <w:r>
        <w:t>Primary land use dummies</w:t>
      </w:r>
    </w:p>
    <w:p w14:paraId="2097C3FE" w14:textId="77777777" w:rsidR="006606A8" w:rsidRPr="006606A8" w:rsidRDefault="006606A8" w:rsidP="00455CE3">
      <w:r w:rsidRPr="006606A8">
        <w:t>Dummies are generated to identify cropping, livestock, mixed, dairy, irrigated, vineyards, sugar, lifestyle, and horticulture; for the purposes of testing and data cleaning. These variables were constructed using key words in the CoreLogic primary land use v</w:t>
      </w:r>
      <w:r w:rsidR="00885511">
        <w:t>ariable (as in Appendix Table A5 and A6</w:t>
      </w:r>
      <w:r w:rsidRPr="006606A8">
        <w:t xml:space="preserve">). These variables are useful as they provide an indication of production type at the time of sale, and according to CoreLogic are constantly maintained and generally considered to be high quality. </w:t>
      </w:r>
    </w:p>
    <w:p w14:paraId="7946B379" w14:textId="77777777" w:rsidR="007E0EE2" w:rsidRDefault="00DA3A4F" w:rsidP="00DA3A4F">
      <w:pPr>
        <w:pStyle w:val="Heading4"/>
        <w:numPr>
          <w:ilvl w:val="0"/>
          <w:numId w:val="0"/>
        </w:numPr>
      </w:pPr>
      <w:r>
        <w:t>ABARES zone dummies</w:t>
      </w:r>
      <w:r w:rsidR="006606A8" w:rsidRPr="006606A8">
        <w:t xml:space="preserve"> </w:t>
      </w:r>
    </w:p>
    <w:p w14:paraId="28601EBF" w14:textId="77777777" w:rsidR="006606A8" w:rsidRPr="006606A8" w:rsidRDefault="006606A8" w:rsidP="00455CE3">
      <w:r w:rsidRPr="006606A8">
        <w:t xml:space="preserve">A flag of either (High Rainfall Zone [HFRZ], Wheat Sheep Zone [WSZ], Pastoral Zone [PZ]) is assigned to each CoreLogic transaction where geographic </w:t>
      </w:r>
      <w:r w:rsidR="00CD261E" w:rsidRPr="006606A8">
        <w:t>coordinates</w:t>
      </w:r>
      <w:r w:rsidRPr="006606A8">
        <w:t xml:space="preserve"> (latitude/longitude) fall within the respective ABARES zone. This flag is used as a control variable and as a hedonic model constraint.   </w:t>
      </w:r>
    </w:p>
    <w:p w14:paraId="0A884D8C" w14:textId="77777777" w:rsidR="007E0EE2" w:rsidRDefault="00DA3A4F" w:rsidP="00DA3A4F">
      <w:pPr>
        <w:pStyle w:val="Heading4"/>
        <w:numPr>
          <w:ilvl w:val="0"/>
          <w:numId w:val="0"/>
        </w:numPr>
      </w:pPr>
      <w:r>
        <w:t>GRDC zone dummies</w:t>
      </w:r>
    </w:p>
    <w:p w14:paraId="2A13A444" w14:textId="77777777" w:rsidR="006606A8" w:rsidRPr="006606A8" w:rsidRDefault="006606A8" w:rsidP="00455CE3">
      <w:r w:rsidRPr="006606A8">
        <w:t xml:space="preserve"> A flag of either (GRDC Southern [GRDC_S], GRDC Northern [GRDC_N], GRDC Western [GRDC_W]) is assigned to each CoreLogic transaction where geographic </w:t>
      </w:r>
      <w:r w:rsidR="00CD261E" w:rsidRPr="006606A8">
        <w:t>coordinates</w:t>
      </w:r>
      <w:r w:rsidRPr="006606A8">
        <w:t xml:space="preserve"> (latitude/longitude) fall within the respective GRDC zone. This flag is used as a control variable and as a hedonic model constraint.   </w:t>
      </w:r>
    </w:p>
    <w:p w14:paraId="4E918537" w14:textId="77777777" w:rsidR="007E0EE2" w:rsidRDefault="00DA3A4F" w:rsidP="00DA3A4F">
      <w:pPr>
        <w:pStyle w:val="Heading4"/>
        <w:numPr>
          <w:ilvl w:val="0"/>
          <w:numId w:val="0"/>
        </w:numPr>
      </w:pPr>
      <w:r>
        <w:t>Time dummies</w:t>
      </w:r>
      <w:r w:rsidR="006606A8" w:rsidRPr="006606A8">
        <w:t xml:space="preserve"> </w:t>
      </w:r>
    </w:p>
    <w:p w14:paraId="3FB077E1" w14:textId="77777777" w:rsidR="006606A8" w:rsidRDefault="006606A8" w:rsidP="00455CE3">
      <w:r w:rsidRPr="006606A8">
        <w:t>An annual flag generated for each year from 1975 to 2018 based on the transaction date of property.</w:t>
      </w:r>
    </w:p>
    <w:p w14:paraId="6FF3D7F7" w14:textId="77777777" w:rsidR="006606A8" w:rsidRDefault="006606A8" w:rsidP="006606A8">
      <w:pPr>
        <w:rPr>
          <w:rFonts w:ascii="Calibri" w:hAnsi="Calibri"/>
          <w:sz w:val="18"/>
        </w:rPr>
      </w:pPr>
    </w:p>
    <w:p w14:paraId="78B107C7" w14:textId="77777777" w:rsidR="006606A8" w:rsidRDefault="006606A8" w:rsidP="006606A8">
      <w:pPr>
        <w:pStyle w:val="Heading2"/>
      </w:pPr>
      <w:bookmarkStart w:id="15" w:name="_Toc25744002"/>
      <w:r>
        <w:lastRenderedPageBreak/>
        <w:t>Method</w:t>
      </w:r>
      <w:bookmarkEnd w:id="15"/>
    </w:p>
    <w:p w14:paraId="3A84509C" w14:textId="77777777" w:rsidR="00620EA4" w:rsidRDefault="00620EA4" w:rsidP="00620EA4">
      <w:r>
        <w:t xml:space="preserve">Many hedonic studies have attempted to estimate the values of residential real estate, yet few have attempted to generate estimates of Australian farmland – mainly reflecting data scarcity and limitations. Yet, the well-worn path of residential real estate hedonic estimation provides valuable lessons that can be applied in developing a hedonic model of Australian </w:t>
      </w:r>
      <w:r w:rsidR="0044154A">
        <w:t>broadacre</w:t>
      </w:r>
      <w:r>
        <w:t xml:space="preserve"> farmland values. For example, Waltl (2016) found that the number of bedrooms and the number of bathrooms affected house prices differently depending on price segment. Specifically, additional bathrooms led to higher values in the top price segment, whereas additional bedrooms are more important to the lower price segment. Such differences cannot be easily observed in typical linear hedonic models, since they assume the relationship between the dependent variable (price) and the co-variates (bedrooms and bathrooms in this example), are the same for all transactions. We therefore consider the importance of controlling for differences between price segments in our hedonic model — which we test using a simultaneous quantile regression approach. </w:t>
      </w:r>
    </w:p>
    <w:p w14:paraId="01153922" w14:textId="77777777" w:rsidR="00620EA4" w:rsidRDefault="00620EA4" w:rsidP="00620EA4">
      <w:r>
        <w:t xml:space="preserve">An advantage of the quantile approach is that it becomes possible to differentiate between farmland sub markets (i.e. according to </w:t>
      </w:r>
      <w:r w:rsidR="00BA392C">
        <w:t>value</w:t>
      </w:r>
      <w:r>
        <w:t xml:space="preserve"> or size), based on the assumption that the drivers of value for large farms may differ from small farms. Similarly, the value of inexpensive farmland may be driven by different factors than for expensive farmland. While the quantile approach provides important insights to the drivers of farmland value (by price segment, by size), a more traditional stratified robust ordinary least squa</w:t>
      </w:r>
      <w:r w:rsidR="00BA392C">
        <w:t xml:space="preserve">res regression approach is </w:t>
      </w:r>
      <w:r>
        <w:t xml:space="preserve">used to generate hedonic farmland models (national level, zone). </w:t>
      </w:r>
    </w:p>
    <w:p w14:paraId="263D7344" w14:textId="77777777" w:rsidR="00620EA4" w:rsidRDefault="00620EA4" w:rsidP="00620EA4">
      <w:r>
        <w:t xml:space="preserve">The hedonic approach [which uses characteristics to determine price alongside historic and imputed sale price information in regression analysis to generate indexes], is one of several possible approaches to farmland valuation. Other methods include repeat sales, appraisal and stratification. The stratification method separates the total sample into strata according to property type, median price and other factors. The appraisal method is a process of matching an appraised value to a sale value for the same property in a previous period. The repeat sales method uses information from properties sold multiple times to create indexes — such that the sample only contains properties sold multiple times. Our approach uses both hedonics and stratification. </w:t>
      </w:r>
    </w:p>
    <w:p w14:paraId="1E7BCE19" w14:textId="77777777" w:rsidR="00620EA4" w:rsidRDefault="00620EA4" w:rsidP="00620EA4">
      <w:r>
        <w:t xml:space="preserve">There are limitations and challenges with all methods. For example, obtaining sufficiently detailed data to explain value is a challenge (potentially leading to omitted variable bias). One possible solution to compensate for this data limitation is to use longitude and latitude as a way of controlling for spatial dependence (De Haan and Diewert, 2013). Some examples which use variations of hedonic price valuation with spatial dependence include Hill and Scholz (2014), Hill et al. (2010) and Hill (2011). Rather than control for spatial dependence (by using geographic coordinates as explanatory variables), we identify specific spatial farm level characteristics using spatial data linkages. </w:t>
      </w:r>
    </w:p>
    <w:p w14:paraId="0E9E649F" w14:textId="77777777" w:rsidR="00620EA4" w:rsidRDefault="00620EA4" w:rsidP="00620EA4">
      <w:r>
        <w:t xml:space="preserve">A broad range of intricate factors are thought to drive farmland value, and therefore specifying a logical theoretical model (as we have in Table 2) is an important step in obtaining meaningful results. Our theoretical model is loosely based on overseas examples of farmland hedonic estimation, such as in Pyykkönen (2006) who included a range factors to explain farmland value </w:t>
      </w:r>
      <w:r>
        <w:lastRenderedPageBreak/>
        <w:t xml:space="preserve">such as parcel size, land features, land quality, cropping yield, climate variables and infrastructure availability. Other studies such as Drescher et al. (2001) applied a very different range of explanatory variables including economic and government influences, expectations about the future, and market participant characteristics. Examples also exist where liveability and recreational amenities are controlled for (i.e., access to scenic landscapes, wetlands, lakes, forest (Ma and Swinton, 2011). Other factors used to explain farmland value include soil erosion (Palmquist and Danielson 1989), distance from urbanised areas (Huang et al. 2006), purpose of neighbouring land (Chicoine, 1981), rainfall and temperature (Mendelsohn et al. 1994) among many others. Practically, the development of a theoretical model is often limited by data availability. Obtaining, deriving and linking suitable data to develop such a model for Australian </w:t>
      </w:r>
      <w:r w:rsidR="0044154A">
        <w:t>broadacre</w:t>
      </w:r>
      <w:r>
        <w:t xml:space="preserve"> farmland was therefore a significant component of this study. </w:t>
      </w:r>
    </w:p>
    <w:p w14:paraId="6D86E730" w14:textId="77777777" w:rsidR="00620EA4" w:rsidRDefault="00620EA4" w:rsidP="006606A8">
      <w:r>
        <w:t>Only a handful of academic studies have attempted to estimate Australian farmland values using the hedonic approach, however these studies appear to be bound by data limitations, focusing on a specific regional area over a short period of time (Dent and Ward 2014, King and Sinden 1988, Eves 2016). We are unaware of any attempt to estimate Australian farmland values at the national level using a hedonic approach, particularly using such an extensive dataset which exceeds a 40 year period. However, there are examples of accounting type approaches which use historic trends to generate prices. Rural Bank (2016), for example, uses state government data to calculate farmland sale price averages over time by state, region and municipality. They provide commentary to suggest what the drivers of farmland value might include (location, climate, productivity, land quality, sentiment, interest rates, commodity prices, and general economic performance), however</w:t>
      </w:r>
      <w:r w:rsidR="00405ED7">
        <w:t xml:space="preserve"> this appears to be anecdotal. </w:t>
      </w:r>
    </w:p>
    <w:p w14:paraId="6B600034" w14:textId="77777777" w:rsidR="00EF7920" w:rsidRDefault="00AA223F" w:rsidP="006606A8">
      <w:r>
        <w:t>In this study, t</w:t>
      </w:r>
      <w:r w:rsidR="006606A8" w:rsidRPr="006606A8">
        <w:t xml:space="preserve">he method used to estimate </w:t>
      </w:r>
      <w:r w:rsidR="003B44C9">
        <w:t xml:space="preserve">the drivers of Australian </w:t>
      </w:r>
      <w:r w:rsidR="0044154A">
        <w:t>broadacre</w:t>
      </w:r>
      <w:r w:rsidR="006606A8" w:rsidRPr="006606A8">
        <w:t xml:space="preserve"> farmland value is based on the conceptual framework in Table 2, where price per hectare is the dependent variable. The explanatory variables can be categorised as ‘spatial farm specific’, ‘administrative’ or ‘macro-indicators’. The spatial variables are important in explaining the specific features of a given farmland property that contributes to value. Similarly, some of the administrative variables do provide farm specific explanatory power for land value (such as land area and house size where applicable). The macro indicators are more general, and relate to the state or national level, yet despite this ‘broadness’ they are still likely to impact on farmland value by influencing market sentiment and the availability of finance. These macro indicators are only used in the national level models.</w:t>
      </w:r>
    </w:p>
    <w:p w14:paraId="5CF4B25D" w14:textId="77777777" w:rsidR="006606A8" w:rsidRDefault="006606A8" w:rsidP="00F428E1">
      <w:pPr>
        <w:pStyle w:val="Caption"/>
      </w:pPr>
      <w:bookmarkStart w:id="16" w:name="_Toc25744009"/>
      <w:r>
        <w:t xml:space="preserve">Table </w:t>
      </w:r>
      <w:r>
        <w:rPr>
          <w:noProof/>
        </w:rPr>
        <w:fldChar w:fldCharType="begin"/>
      </w:r>
      <w:r>
        <w:rPr>
          <w:noProof/>
        </w:rPr>
        <w:instrText xml:space="preserve"> SEQ Table \* ARABIC </w:instrText>
      </w:r>
      <w:r>
        <w:rPr>
          <w:noProof/>
        </w:rPr>
        <w:fldChar w:fldCharType="separate"/>
      </w:r>
      <w:r w:rsidR="009F7388">
        <w:rPr>
          <w:noProof/>
        </w:rPr>
        <w:t>2</w:t>
      </w:r>
      <w:r>
        <w:rPr>
          <w:noProof/>
        </w:rPr>
        <w:fldChar w:fldCharType="end"/>
      </w:r>
      <w:r>
        <w:t xml:space="preserve"> </w:t>
      </w:r>
      <w:r w:rsidRPr="006606A8">
        <w:t>Theoretical model of explanatory variables</w:t>
      </w:r>
      <w:bookmarkEnd w:id="1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5"/>
        <w:gridCol w:w="1122"/>
        <w:gridCol w:w="1491"/>
        <w:gridCol w:w="5472"/>
      </w:tblGrid>
      <w:tr w:rsidR="00F428E1" w14:paraId="06403279" w14:textId="77777777" w:rsidTr="00405ED7">
        <w:tc>
          <w:tcPr>
            <w:tcW w:w="985" w:type="dxa"/>
            <w:hideMark/>
          </w:tcPr>
          <w:p w14:paraId="326B9425" w14:textId="77777777" w:rsidR="00F428E1" w:rsidRDefault="00F428E1">
            <w:pPr>
              <w:spacing w:before="0"/>
              <w:rPr>
                <w:rFonts w:eastAsia="Calibri" w:cs="Times New Roman"/>
                <w:b/>
                <w:sz w:val="16"/>
                <w:szCs w:val="16"/>
              </w:rPr>
            </w:pPr>
            <w:r>
              <w:rPr>
                <w:b/>
                <w:sz w:val="16"/>
                <w:szCs w:val="16"/>
              </w:rPr>
              <w:t>Data type</w:t>
            </w:r>
          </w:p>
        </w:tc>
        <w:tc>
          <w:tcPr>
            <w:tcW w:w="1126" w:type="dxa"/>
            <w:hideMark/>
          </w:tcPr>
          <w:p w14:paraId="641F1AAB" w14:textId="77777777" w:rsidR="00F428E1" w:rsidRDefault="00F428E1">
            <w:pPr>
              <w:spacing w:before="0"/>
              <w:rPr>
                <w:b/>
                <w:sz w:val="16"/>
                <w:szCs w:val="16"/>
              </w:rPr>
            </w:pPr>
            <w:r>
              <w:rPr>
                <w:b/>
                <w:sz w:val="16"/>
                <w:szCs w:val="16"/>
              </w:rPr>
              <w:t>Explanatory variable</w:t>
            </w:r>
          </w:p>
        </w:tc>
        <w:tc>
          <w:tcPr>
            <w:tcW w:w="1499" w:type="dxa"/>
            <w:hideMark/>
          </w:tcPr>
          <w:p w14:paraId="184EFA0D" w14:textId="77777777" w:rsidR="00F428E1" w:rsidRDefault="00F428E1">
            <w:pPr>
              <w:spacing w:before="0"/>
              <w:rPr>
                <w:b/>
                <w:sz w:val="16"/>
                <w:szCs w:val="16"/>
              </w:rPr>
            </w:pPr>
            <w:r>
              <w:rPr>
                <w:b/>
                <w:sz w:val="16"/>
                <w:szCs w:val="16"/>
              </w:rPr>
              <w:t xml:space="preserve">Description </w:t>
            </w:r>
          </w:p>
        </w:tc>
        <w:tc>
          <w:tcPr>
            <w:tcW w:w="5450" w:type="dxa"/>
            <w:hideMark/>
          </w:tcPr>
          <w:p w14:paraId="28DB75BA" w14:textId="77777777" w:rsidR="00F428E1" w:rsidRDefault="00F428E1">
            <w:pPr>
              <w:spacing w:before="0"/>
              <w:rPr>
                <w:b/>
                <w:sz w:val="16"/>
                <w:szCs w:val="16"/>
              </w:rPr>
            </w:pPr>
            <w:r>
              <w:rPr>
                <w:b/>
                <w:sz w:val="16"/>
                <w:szCs w:val="16"/>
              </w:rPr>
              <w:t>Expected relationship to dependent variable</w:t>
            </w:r>
          </w:p>
        </w:tc>
      </w:tr>
      <w:tr w:rsidR="007E0EE2" w14:paraId="05837C22" w14:textId="77777777" w:rsidTr="00405ED7">
        <w:tc>
          <w:tcPr>
            <w:tcW w:w="985" w:type="dxa"/>
            <w:vMerge w:val="restart"/>
            <w:vAlign w:val="center"/>
            <w:hideMark/>
          </w:tcPr>
          <w:p w14:paraId="67DCED86" w14:textId="77777777" w:rsidR="007E0EE2" w:rsidRDefault="007E0EE2">
            <w:pPr>
              <w:spacing w:before="0"/>
              <w:rPr>
                <w:sz w:val="12"/>
                <w:szCs w:val="16"/>
              </w:rPr>
            </w:pPr>
            <w:r>
              <w:rPr>
                <w:sz w:val="12"/>
                <w:szCs w:val="16"/>
              </w:rPr>
              <w:t>Administrative</w:t>
            </w:r>
          </w:p>
          <w:p w14:paraId="219115E8" w14:textId="77777777" w:rsidR="007E0EE2" w:rsidRDefault="007E0EE2" w:rsidP="002278E0">
            <w:pPr>
              <w:rPr>
                <w:sz w:val="12"/>
                <w:szCs w:val="16"/>
              </w:rPr>
            </w:pPr>
          </w:p>
        </w:tc>
        <w:tc>
          <w:tcPr>
            <w:tcW w:w="1126" w:type="dxa"/>
            <w:vAlign w:val="center"/>
            <w:hideMark/>
          </w:tcPr>
          <w:p w14:paraId="56023228" w14:textId="77777777" w:rsidR="007E0EE2" w:rsidRDefault="007E0EE2">
            <w:pPr>
              <w:spacing w:before="0"/>
              <w:rPr>
                <w:sz w:val="12"/>
                <w:szCs w:val="16"/>
              </w:rPr>
            </w:pPr>
            <w:r>
              <w:rPr>
                <w:sz w:val="12"/>
                <w:szCs w:val="16"/>
              </w:rPr>
              <w:t>Number of bedrooms</w:t>
            </w:r>
          </w:p>
        </w:tc>
        <w:tc>
          <w:tcPr>
            <w:tcW w:w="1499" w:type="dxa"/>
            <w:vAlign w:val="center"/>
            <w:hideMark/>
          </w:tcPr>
          <w:p w14:paraId="2D4B104F" w14:textId="77777777" w:rsidR="007E0EE2" w:rsidRDefault="007E0EE2">
            <w:pPr>
              <w:spacing w:before="0"/>
              <w:rPr>
                <w:sz w:val="12"/>
                <w:szCs w:val="16"/>
              </w:rPr>
            </w:pPr>
            <w:r>
              <w:rPr>
                <w:sz w:val="12"/>
                <w:szCs w:val="16"/>
              </w:rPr>
              <w:t>Number of bedrooms if house is present on transacted property</w:t>
            </w:r>
          </w:p>
        </w:tc>
        <w:tc>
          <w:tcPr>
            <w:tcW w:w="5450" w:type="dxa"/>
            <w:vMerge w:val="restart"/>
            <w:vAlign w:val="center"/>
            <w:hideMark/>
          </w:tcPr>
          <w:p w14:paraId="33BD7021" w14:textId="77777777" w:rsidR="007E0EE2" w:rsidRDefault="007E0EE2">
            <w:pPr>
              <w:spacing w:before="0"/>
              <w:rPr>
                <w:sz w:val="12"/>
                <w:szCs w:val="16"/>
              </w:rPr>
            </w:pPr>
            <w:r>
              <w:rPr>
                <w:sz w:val="12"/>
                <w:szCs w:val="16"/>
              </w:rPr>
              <w:t xml:space="preserve">Positive – presence of house likely to increase land value. Larger house is expected to increase this further. </w:t>
            </w:r>
          </w:p>
        </w:tc>
      </w:tr>
      <w:tr w:rsidR="007E0EE2" w14:paraId="26B653E6" w14:textId="77777777" w:rsidTr="00405ED7">
        <w:tc>
          <w:tcPr>
            <w:tcW w:w="0" w:type="auto"/>
            <w:vMerge/>
            <w:vAlign w:val="center"/>
            <w:hideMark/>
          </w:tcPr>
          <w:p w14:paraId="203DC52C" w14:textId="77777777" w:rsidR="007E0EE2" w:rsidRDefault="007E0EE2" w:rsidP="002278E0">
            <w:pPr>
              <w:rPr>
                <w:sz w:val="12"/>
                <w:szCs w:val="16"/>
              </w:rPr>
            </w:pPr>
          </w:p>
        </w:tc>
        <w:tc>
          <w:tcPr>
            <w:tcW w:w="1126" w:type="dxa"/>
            <w:vAlign w:val="center"/>
            <w:hideMark/>
          </w:tcPr>
          <w:p w14:paraId="7CC1F1E3" w14:textId="77777777" w:rsidR="007E0EE2" w:rsidRDefault="007E0EE2">
            <w:pPr>
              <w:spacing w:before="0"/>
              <w:rPr>
                <w:sz w:val="12"/>
                <w:szCs w:val="16"/>
              </w:rPr>
            </w:pPr>
            <w:r>
              <w:rPr>
                <w:sz w:val="12"/>
                <w:szCs w:val="16"/>
              </w:rPr>
              <w:t xml:space="preserve">Number of bathrooms </w:t>
            </w:r>
          </w:p>
        </w:tc>
        <w:tc>
          <w:tcPr>
            <w:tcW w:w="1499" w:type="dxa"/>
            <w:vAlign w:val="center"/>
            <w:hideMark/>
          </w:tcPr>
          <w:p w14:paraId="3769878D" w14:textId="77777777" w:rsidR="007E0EE2" w:rsidRDefault="007E0EE2">
            <w:pPr>
              <w:spacing w:before="0"/>
              <w:rPr>
                <w:sz w:val="12"/>
                <w:szCs w:val="16"/>
              </w:rPr>
            </w:pPr>
            <w:r>
              <w:rPr>
                <w:sz w:val="12"/>
                <w:szCs w:val="16"/>
              </w:rPr>
              <w:t>Number of bathrooms if house is present on transacted property</w:t>
            </w:r>
          </w:p>
        </w:tc>
        <w:tc>
          <w:tcPr>
            <w:tcW w:w="0" w:type="auto"/>
            <w:vMerge/>
            <w:vAlign w:val="center"/>
            <w:hideMark/>
          </w:tcPr>
          <w:p w14:paraId="66821040" w14:textId="77777777" w:rsidR="007E0EE2" w:rsidRDefault="007E0EE2">
            <w:pPr>
              <w:spacing w:before="0"/>
              <w:rPr>
                <w:sz w:val="12"/>
                <w:szCs w:val="16"/>
              </w:rPr>
            </w:pPr>
          </w:p>
        </w:tc>
      </w:tr>
      <w:tr w:rsidR="007E0EE2" w14:paraId="1CCB94C3" w14:textId="77777777" w:rsidTr="00405ED7">
        <w:tc>
          <w:tcPr>
            <w:tcW w:w="0" w:type="auto"/>
            <w:vMerge/>
            <w:vAlign w:val="center"/>
          </w:tcPr>
          <w:p w14:paraId="3BBD6091" w14:textId="77777777" w:rsidR="007E0EE2" w:rsidRDefault="007E0EE2">
            <w:pPr>
              <w:rPr>
                <w:sz w:val="12"/>
                <w:szCs w:val="16"/>
              </w:rPr>
            </w:pPr>
          </w:p>
        </w:tc>
        <w:tc>
          <w:tcPr>
            <w:tcW w:w="1126" w:type="dxa"/>
            <w:vAlign w:val="center"/>
          </w:tcPr>
          <w:p w14:paraId="6B2E757D" w14:textId="77777777" w:rsidR="007E0EE2" w:rsidRDefault="007E0EE2">
            <w:pPr>
              <w:rPr>
                <w:sz w:val="12"/>
                <w:szCs w:val="16"/>
              </w:rPr>
            </w:pPr>
            <w:r>
              <w:rPr>
                <w:sz w:val="12"/>
                <w:szCs w:val="16"/>
              </w:rPr>
              <w:t>Hectares</w:t>
            </w:r>
          </w:p>
        </w:tc>
        <w:tc>
          <w:tcPr>
            <w:tcW w:w="1499" w:type="dxa"/>
            <w:vAlign w:val="center"/>
          </w:tcPr>
          <w:p w14:paraId="705E1BF1" w14:textId="77777777" w:rsidR="007E0EE2" w:rsidRDefault="007E0EE2">
            <w:pPr>
              <w:rPr>
                <w:sz w:val="12"/>
                <w:szCs w:val="16"/>
              </w:rPr>
            </w:pPr>
            <w:r>
              <w:rPr>
                <w:sz w:val="12"/>
                <w:szCs w:val="16"/>
              </w:rPr>
              <w:t>Land size for transacted property</w:t>
            </w:r>
          </w:p>
        </w:tc>
        <w:tc>
          <w:tcPr>
            <w:tcW w:w="0" w:type="auto"/>
            <w:vAlign w:val="center"/>
          </w:tcPr>
          <w:p w14:paraId="6562DD2B" w14:textId="77777777" w:rsidR="007E0EE2" w:rsidRDefault="007E0EE2">
            <w:pPr>
              <w:rPr>
                <w:sz w:val="12"/>
                <w:szCs w:val="16"/>
              </w:rPr>
            </w:pPr>
            <w:r>
              <w:rPr>
                <w:sz w:val="12"/>
                <w:szCs w:val="16"/>
              </w:rPr>
              <w:t>Negative – small farms generally expected to have higher value on ‘per hectare’ basis. As size increases, price per hectare is likely to decline.</w:t>
            </w:r>
          </w:p>
        </w:tc>
      </w:tr>
      <w:tr w:rsidR="007E0EE2" w14:paraId="06A819E0" w14:textId="77777777" w:rsidTr="00405ED7">
        <w:tc>
          <w:tcPr>
            <w:tcW w:w="0" w:type="auto"/>
            <w:vMerge/>
            <w:vAlign w:val="center"/>
          </w:tcPr>
          <w:p w14:paraId="4916C406" w14:textId="77777777" w:rsidR="007E0EE2" w:rsidRDefault="007E0EE2">
            <w:pPr>
              <w:rPr>
                <w:sz w:val="12"/>
                <w:szCs w:val="16"/>
              </w:rPr>
            </w:pPr>
          </w:p>
        </w:tc>
        <w:tc>
          <w:tcPr>
            <w:tcW w:w="1126" w:type="dxa"/>
            <w:vAlign w:val="center"/>
          </w:tcPr>
          <w:p w14:paraId="096AE317" w14:textId="77777777" w:rsidR="007E0EE2" w:rsidRDefault="007E0EE2">
            <w:pPr>
              <w:rPr>
                <w:sz w:val="12"/>
                <w:szCs w:val="16"/>
              </w:rPr>
            </w:pPr>
            <w:r>
              <w:rPr>
                <w:sz w:val="12"/>
                <w:szCs w:val="16"/>
              </w:rPr>
              <w:t>Multi-sale</w:t>
            </w:r>
          </w:p>
        </w:tc>
        <w:tc>
          <w:tcPr>
            <w:tcW w:w="1499" w:type="dxa"/>
            <w:vAlign w:val="center"/>
          </w:tcPr>
          <w:p w14:paraId="649692B7" w14:textId="77777777" w:rsidR="007E0EE2" w:rsidRDefault="007E0EE2">
            <w:pPr>
              <w:rPr>
                <w:sz w:val="12"/>
                <w:szCs w:val="16"/>
              </w:rPr>
            </w:pPr>
            <w:r>
              <w:rPr>
                <w:sz w:val="12"/>
                <w:szCs w:val="16"/>
              </w:rPr>
              <w:t>Flag to indicate property parcels sold as grouping</w:t>
            </w:r>
          </w:p>
        </w:tc>
        <w:tc>
          <w:tcPr>
            <w:tcW w:w="0" w:type="auto"/>
            <w:vAlign w:val="center"/>
          </w:tcPr>
          <w:p w14:paraId="7F875A82" w14:textId="49FF8A41" w:rsidR="007E0EE2" w:rsidRDefault="007E0EE2" w:rsidP="007F2D31">
            <w:pPr>
              <w:rPr>
                <w:sz w:val="12"/>
                <w:szCs w:val="16"/>
              </w:rPr>
            </w:pPr>
            <w:r>
              <w:rPr>
                <w:sz w:val="12"/>
                <w:szCs w:val="16"/>
              </w:rPr>
              <w:t xml:space="preserve">Negative – </w:t>
            </w:r>
            <w:r w:rsidR="007F2D31">
              <w:rPr>
                <w:sz w:val="12"/>
                <w:szCs w:val="16"/>
              </w:rPr>
              <w:t xml:space="preserve">sale of parcels as grouping may result in reduced price per hectare. </w:t>
            </w:r>
          </w:p>
        </w:tc>
      </w:tr>
      <w:tr w:rsidR="007E0EE2" w14:paraId="70BB17ED" w14:textId="77777777" w:rsidTr="00405ED7">
        <w:tc>
          <w:tcPr>
            <w:tcW w:w="985" w:type="dxa"/>
            <w:vMerge w:val="restart"/>
            <w:vAlign w:val="center"/>
            <w:hideMark/>
          </w:tcPr>
          <w:p w14:paraId="79F56889" w14:textId="77777777" w:rsidR="007E0EE2" w:rsidRDefault="007E0EE2" w:rsidP="002278E0">
            <w:pPr>
              <w:spacing w:before="0"/>
              <w:rPr>
                <w:sz w:val="12"/>
                <w:szCs w:val="16"/>
              </w:rPr>
            </w:pPr>
            <w:r>
              <w:rPr>
                <w:sz w:val="12"/>
                <w:szCs w:val="16"/>
              </w:rPr>
              <w:lastRenderedPageBreak/>
              <w:t>Spatial</w:t>
            </w:r>
          </w:p>
        </w:tc>
        <w:tc>
          <w:tcPr>
            <w:tcW w:w="1126" w:type="dxa"/>
            <w:vAlign w:val="center"/>
            <w:hideMark/>
          </w:tcPr>
          <w:p w14:paraId="56B83885" w14:textId="77777777" w:rsidR="007E0EE2" w:rsidRDefault="007E0EE2">
            <w:pPr>
              <w:spacing w:before="0"/>
              <w:rPr>
                <w:sz w:val="12"/>
                <w:szCs w:val="16"/>
              </w:rPr>
            </w:pPr>
            <w:r>
              <w:rPr>
                <w:sz w:val="12"/>
                <w:szCs w:val="16"/>
              </w:rPr>
              <w:t>Building points</w:t>
            </w:r>
          </w:p>
        </w:tc>
        <w:tc>
          <w:tcPr>
            <w:tcW w:w="1499" w:type="dxa"/>
            <w:vAlign w:val="center"/>
          </w:tcPr>
          <w:p w14:paraId="745D1DC1" w14:textId="77777777" w:rsidR="007E0EE2" w:rsidRDefault="00263B2D" w:rsidP="00263B2D">
            <w:pPr>
              <w:spacing w:before="0"/>
              <w:rPr>
                <w:sz w:val="12"/>
                <w:szCs w:val="16"/>
              </w:rPr>
            </w:pPr>
            <w:r>
              <w:rPr>
                <w:sz w:val="12"/>
                <w:szCs w:val="16"/>
              </w:rPr>
              <w:t xml:space="preserve">Spatial building points on parcel </w:t>
            </w:r>
          </w:p>
        </w:tc>
        <w:tc>
          <w:tcPr>
            <w:tcW w:w="5450" w:type="dxa"/>
            <w:vAlign w:val="center"/>
            <w:hideMark/>
          </w:tcPr>
          <w:p w14:paraId="334B7458" w14:textId="77777777" w:rsidR="007E0EE2" w:rsidRDefault="007E0EE2">
            <w:pPr>
              <w:spacing w:before="0"/>
              <w:rPr>
                <w:sz w:val="12"/>
                <w:szCs w:val="16"/>
              </w:rPr>
            </w:pPr>
            <w:r>
              <w:rPr>
                <w:sz w:val="12"/>
                <w:szCs w:val="16"/>
              </w:rPr>
              <w:t>Positive, greater fixed capital investment likely to increase farmland value</w:t>
            </w:r>
          </w:p>
        </w:tc>
      </w:tr>
      <w:tr w:rsidR="007E0EE2" w14:paraId="53F5712E" w14:textId="77777777" w:rsidTr="00405ED7">
        <w:tc>
          <w:tcPr>
            <w:tcW w:w="985" w:type="dxa"/>
            <w:vMerge/>
            <w:vAlign w:val="center"/>
            <w:hideMark/>
          </w:tcPr>
          <w:p w14:paraId="5491D5A2" w14:textId="77777777" w:rsidR="007E0EE2" w:rsidRDefault="007E0EE2">
            <w:pPr>
              <w:spacing w:before="0"/>
              <w:rPr>
                <w:sz w:val="12"/>
                <w:szCs w:val="16"/>
              </w:rPr>
            </w:pPr>
          </w:p>
        </w:tc>
        <w:tc>
          <w:tcPr>
            <w:tcW w:w="1126" w:type="dxa"/>
            <w:vAlign w:val="center"/>
            <w:hideMark/>
          </w:tcPr>
          <w:p w14:paraId="79BD8F79" w14:textId="77777777" w:rsidR="007E0EE2" w:rsidRDefault="007E0EE2">
            <w:pPr>
              <w:spacing w:before="0"/>
              <w:rPr>
                <w:sz w:val="12"/>
                <w:szCs w:val="16"/>
              </w:rPr>
            </w:pPr>
            <w:r>
              <w:rPr>
                <w:sz w:val="12"/>
                <w:szCs w:val="16"/>
              </w:rPr>
              <w:t>Transport cost to small town (population 1,000)</w:t>
            </w:r>
          </w:p>
        </w:tc>
        <w:tc>
          <w:tcPr>
            <w:tcW w:w="1499" w:type="dxa"/>
            <w:vAlign w:val="center"/>
            <w:hideMark/>
          </w:tcPr>
          <w:p w14:paraId="78361D2C" w14:textId="77777777" w:rsidR="007E0EE2" w:rsidRDefault="007E0EE2">
            <w:pPr>
              <w:spacing w:before="0"/>
              <w:rPr>
                <w:sz w:val="12"/>
                <w:szCs w:val="16"/>
              </w:rPr>
            </w:pPr>
            <w:r>
              <w:rPr>
                <w:sz w:val="12"/>
                <w:szCs w:val="16"/>
              </w:rPr>
              <w:t xml:space="preserve">Distance from property to small town, accounting for quality/type of roads and infrastructure. </w:t>
            </w:r>
          </w:p>
        </w:tc>
        <w:tc>
          <w:tcPr>
            <w:tcW w:w="5450" w:type="dxa"/>
            <w:vMerge w:val="restart"/>
            <w:vAlign w:val="center"/>
            <w:hideMark/>
          </w:tcPr>
          <w:p w14:paraId="4F0A29E1" w14:textId="77777777" w:rsidR="007E0EE2" w:rsidRDefault="007E0EE2">
            <w:pPr>
              <w:spacing w:before="0"/>
              <w:rPr>
                <w:sz w:val="12"/>
                <w:szCs w:val="16"/>
              </w:rPr>
            </w:pPr>
            <w:r>
              <w:rPr>
                <w:sz w:val="12"/>
                <w:szCs w:val="16"/>
              </w:rPr>
              <w:t>Negative – an increase in the distance / cost to a small or large town suggests the property is more remote and has less access to infrastructure and services. This is likely to reduce land value.</w:t>
            </w:r>
          </w:p>
        </w:tc>
      </w:tr>
      <w:tr w:rsidR="007E0EE2" w14:paraId="2A849AD5" w14:textId="77777777" w:rsidTr="00405ED7">
        <w:tc>
          <w:tcPr>
            <w:tcW w:w="0" w:type="auto"/>
            <w:vMerge/>
            <w:vAlign w:val="center"/>
            <w:hideMark/>
          </w:tcPr>
          <w:p w14:paraId="0A03E6C1" w14:textId="77777777" w:rsidR="007E0EE2" w:rsidRDefault="007E0EE2">
            <w:pPr>
              <w:spacing w:before="0"/>
              <w:rPr>
                <w:sz w:val="12"/>
                <w:szCs w:val="16"/>
              </w:rPr>
            </w:pPr>
          </w:p>
        </w:tc>
        <w:tc>
          <w:tcPr>
            <w:tcW w:w="1126" w:type="dxa"/>
            <w:vAlign w:val="center"/>
            <w:hideMark/>
          </w:tcPr>
          <w:p w14:paraId="52B822F3" w14:textId="77777777" w:rsidR="007E0EE2" w:rsidRDefault="007E0EE2">
            <w:pPr>
              <w:spacing w:before="0"/>
              <w:rPr>
                <w:sz w:val="12"/>
                <w:szCs w:val="16"/>
              </w:rPr>
            </w:pPr>
            <w:r>
              <w:rPr>
                <w:sz w:val="12"/>
                <w:szCs w:val="16"/>
              </w:rPr>
              <w:t>Transport cost to large town (population 100,000)</w:t>
            </w:r>
          </w:p>
        </w:tc>
        <w:tc>
          <w:tcPr>
            <w:tcW w:w="1499" w:type="dxa"/>
            <w:vAlign w:val="center"/>
            <w:hideMark/>
          </w:tcPr>
          <w:p w14:paraId="7D219DE3" w14:textId="77777777" w:rsidR="007E0EE2" w:rsidRDefault="007E0EE2">
            <w:pPr>
              <w:spacing w:before="0"/>
              <w:rPr>
                <w:sz w:val="12"/>
                <w:szCs w:val="16"/>
              </w:rPr>
            </w:pPr>
            <w:r>
              <w:rPr>
                <w:sz w:val="12"/>
                <w:szCs w:val="16"/>
              </w:rPr>
              <w:t>Distance from property to large town, accounting for quality/type of roads and infrastructure.</w:t>
            </w:r>
          </w:p>
        </w:tc>
        <w:tc>
          <w:tcPr>
            <w:tcW w:w="0" w:type="auto"/>
            <w:vMerge/>
            <w:vAlign w:val="center"/>
            <w:hideMark/>
          </w:tcPr>
          <w:p w14:paraId="0DB316F6" w14:textId="77777777" w:rsidR="007E0EE2" w:rsidRDefault="007E0EE2">
            <w:pPr>
              <w:spacing w:before="0"/>
              <w:rPr>
                <w:sz w:val="12"/>
                <w:szCs w:val="16"/>
              </w:rPr>
            </w:pPr>
          </w:p>
        </w:tc>
      </w:tr>
      <w:tr w:rsidR="007E0EE2" w14:paraId="41B4A401" w14:textId="77777777" w:rsidTr="00405ED7">
        <w:tc>
          <w:tcPr>
            <w:tcW w:w="0" w:type="auto"/>
            <w:vMerge/>
            <w:vAlign w:val="center"/>
            <w:hideMark/>
          </w:tcPr>
          <w:p w14:paraId="3C34B173" w14:textId="77777777" w:rsidR="007E0EE2" w:rsidRDefault="007E0EE2">
            <w:pPr>
              <w:spacing w:before="0"/>
              <w:rPr>
                <w:sz w:val="12"/>
                <w:szCs w:val="16"/>
              </w:rPr>
            </w:pPr>
          </w:p>
        </w:tc>
        <w:tc>
          <w:tcPr>
            <w:tcW w:w="1126" w:type="dxa"/>
            <w:vAlign w:val="center"/>
            <w:hideMark/>
          </w:tcPr>
          <w:p w14:paraId="4C885AF9" w14:textId="77777777" w:rsidR="007E0EE2" w:rsidRDefault="007E0EE2">
            <w:pPr>
              <w:spacing w:before="0"/>
              <w:rPr>
                <w:sz w:val="12"/>
                <w:szCs w:val="16"/>
              </w:rPr>
            </w:pPr>
            <w:r>
              <w:rPr>
                <w:sz w:val="12"/>
                <w:szCs w:val="16"/>
              </w:rPr>
              <w:t xml:space="preserve">Land clearing </w:t>
            </w:r>
          </w:p>
        </w:tc>
        <w:tc>
          <w:tcPr>
            <w:tcW w:w="1499" w:type="dxa"/>
            <w:vAlign w:val="center"/>
            <w:hideMark/>
          </w:tcPr>
          <w:p w14:paraId="2616E643" w14:textId="77777777" w:rsidR="007E0EE2" w:rsidRDefault="007E0EE2">
            <w:pPr>
              <w:spacing w:before="0"/>
              <w:rPr>
                <w:sz w:val="12"/>
                <w:szCs w:val="16"/>
              </w:rPr>
            </w:pPr>
            <w:r>
              <w:rPr>
                <w:sz w:val="12"/>
                <w:szCs w:val="16"/>
              </w:rPr>
              <w:t>Evidence of land clearing (negative) or revegetation (positive) between 1988 and 2018)</w:t>
            </w:r>
          </w:p>
        </w:tc>
        <w:tc>
          <w:tcPr>
            <w:tcW w:w="5450" w:type="dxa"/>
            <w:vAlign w:val="center"/>
            <w:hideMark/>
          </w:tcPr>
          <w:p w14:paraId="578C7014" w14:textId="77777777" w:rsidR="007E0EE2" w:rsidRDefault="007E0EE2">
            <w:pPr>
              <w:spacing w:before="0"/>
              <w:rPr>
                <w:sz w:val="12"/>
                <w:szCs w:val="16"/>
              </w:rPr>
            </w:pPr>
            <w:r>
              <w:rPr>
                <w:sz w:val="12"/>
                <w:szCs w:val="16"/>
              </w:rPr>
              <w:t>Unknown, potential to be positive or negative depending on region and farm type</w:t>
            </w:r>
          </w:p>
        </w:tc>
      </w:tr>
      <w:tr w:rsidR="007E0EE2" w14:paraId="58F08A69" w14:textId="77777777" w:rsidTr="00405ED7">
        <w:tc>
          <w:tcPr>
            <w:tcW w:w="0" w:type="auto"/>
            <w:vMerge/>
            <w:vAlign w:val="center"/>
            <w:hideMark/>
          </w:tcPr>
          <w:p w14:paraId="4A04940D" w14:textId="77777777" w:rsidR="007E0EE2" w:rsidRDefault="007E0EE2">
            <w:pPr>
              <w:spacing w:before="0"/>
              <w:rPr>
                <w:sz w:val="12"/>
                <w:szCs w:val="16"/>
              </w:rPr>
            </w:pPr>
          </w:p>
        </w:tc>
        <w:tc>
          <w:tcPr>
            <w:tcW w:w="1126" w:type="dxa"/>
            <w:vAlign w:val="center"/>
            <w:hideMark/>
          </w:tcPr>
          <w:p w14:paraId="2CB0A0D3" w14:textId="77777777" w:rsidR="007E0EE2" w:rsidRDefault="007E0EE2">
            <w:pPr>
              <w:spacing w:before="0"/>
              <w:rPr>
                <w:sz w:val="12"/>
                <w:szCs w:val="16"/>
              </w:rPr>
            </w:pPr>
            <w:r>
              <w:rPr>
                <w:sz w:val="12"/>
                <w:szCs w:val="16"/>
              </w:rPr>
              <w:t>Land slope (flat)</w:t>
            </w:r>
          </w:p>
        </w:tc>
        <w:tc>
          <w:tcPr>
            <w:tcW w:w="1499" w:type="dxa"/>
            <w:vAlign w:val="center"/>
            <w:hideMark/>
          </w:tcPr>
          <w:p w14:paraId="0F1679ED" w14:textId="77777777" w:rsidR="007E0EE2" w:rsidRDefault="007E0EE2">
            <w:pPr>
              <w:spacing w:before="0"/>
              <w:rPr>
                <w:sz w:val="12"/>
                <w:szCs w:val="16"/>
              </w:rPr>
            </w:pPr>
            <w:r>
              <w:rPr>
                <w:sz w:val="12"/>
                <w:szCs w:val="16"/>
              </w:rPr>
              <w:t>Percentage of land parcel that is flat</w:t>
            </w:r>
          </w:p>
        </w:tc>
        <w:tc>
          <w:tcPr>
            <w:tcW w:w="5450" w:type="dxa"/>
            <w:vMerge w:val="restart"/>
            <w:vAlign w:val="center"/>
            <w:hideMark/>
          </w:tcPr>
          <w:p w14:paraId="6C502035" w14:textId="77777777" w:rsidR="007E0EE2" w:rsidRDefault="007E0EE2">
            <w:pPr>
              <w:spacing w:before="0"/>
              <w:rPr>
                <w:sz w:val="12"/>
                <w:szCs w:val="16"/>
              </w:rPr>
            </w:pPr>
            <w:r>
              <w:rPr>
                <w:sz w:val="12"/>
                <w:szCs w:val="16"/>
              </w:rPr>
              <w:t xml:space="preserve">Unknown – flatter land is expected to be a positive attribute for land value, whereas hilly or steep land is likely to be negative. However gradient may be irrelevant for some production types. </w:t>
            </w:r>
          </w:p>
        </w:tc>
      </w:tr>
      <w:tr w:rsidR="007E0EE2" w14:paraId="627ED07C" w14:textId="77777777" w:rsidTr="00405ED7">
        <w:tc>
          <w:tcPr>
            <w:tcW w:w="0" w:type="auto"/>
            <w:vMerge/>
            <w:vAlign w:val="center"/>
            <w:hideMark/>
          </w:tcPr>
          <w:p w14:paraId="1EFAD369" w14:textId="77777777" w:rsidR="007E0EE2" w:rsidRDefault="007E0EE2">
            <w:pPr>
              <w:spacing w:before="0"/>
              <w:rPr>
                <w:sz w:val="12"/>
                <w:szCs w:val="16"/>
              </w:rPr>
            </w:pPr>
          </w:p>
        </w:tc>
        <w:tc>
          <w:tcPr>
            <w:tcW w:w="1126" w:type="dxa"/>
            <w:vAlign w:val="center"/>
            <w:hideMark/>
          </w:tcPr>
          <w:p w14:paraId="178D20E3" w14:textId="77777777" w:rsidR="007E0EE2" w:rsidRDefault="007E0EE2">
            <w:pPr>
              <w:spacing w:before="0"/>
              <w:rPr>
                <w:sz w:val="12"/>
                <w:szCs w:val="16"/>
              </w:rPr>
            </w:pPr>
            <w:r>
              <w:rPr>
                <w:sz w:val="12"/>
                <w:szCs w:val="16"/>
              </w:rPr>
              <w:t>Land slope (undulating)</w:t>
            </w:r>
          </w:p>
        </w:tc>
        <w:tc>
          <w:tcPr>
            <w:tcW w:w="1499" w:type="dxa"/>
            <w:vAlign w:val="center"/>
            <w:hideMark/>
          </w:tcPr>
          <w:p w14:paraId="1C3371B8" w14:textId="77777777" w:rsidR="007E0EE2" w:rsidRDefault="007E0EE2">
            <w:pPr>
              <w:spacing w:before="0"/>
              <w:rPr>
                <w:sz w:val="12"/>
                <w:szCs w:val="16"/>
              </w:rPr>
            </w:pPr>
            <w:r>
              <w:rPr>
                <w:sz w:val="12"/>
                <w:szCs w:val="16"/>
              </w:rPr>
              <w:t>Percentage of land parcel that is undulating</w:t>
            </w:r>
          </w:p>
        </w:tc>
        <w:tc>
          <w:tcPr>
            <w:tcW w:w="0" w:type="auto"/>
            <w:vMerge/>
            <w:vAlign w:val="center"/>
            <w:hideMark/>
          </w:tcPr>
          <w:p w14:paraId="7C9E5DBB" w14:textId="77777777" w:rsidR="007E0EE2" w:rsidRDefault="007E0EE2">
            <w:pPr>
              <w:spacing w:before="0"/>
              <w:rPr>
                <w:sz w:val="12"/>
                <w:szCs w:val="16"/>
              </w:rPr>
            </w:pPr>
          </w:p>
        </w:tc>
      </w:tr>
      <w:tr w:rsidR="007E0EE2" w14:paraId="777AF817" w14:textId="77777777" w:rsidTr="00405ED7">
        <w:tc>
          <w:tcPr>
            <w:tcW w:w="0" w:type="auto"/>
            <w:vMerge/>
            <w:vAlign w:val="center"/>
            <w:hideMark/>
          </w:tcPr>
          <w:p w14:paraId="36110122" w14:textId="77777777" w:rsidR="007E0EE2" w:rsidRDefault="007E0EE2">
            <w:pPr>
              <w:spacing w:before="0"/>
              <w:rPr>
                <w:sz w:val="12"/>
                <w:szCs w:val="16"/>
              </w:rPr>
            </w:pPr>
          </w:p>
        </w:tc>
        <w:tc>
          <w:tcPr>
            <w:tcW w:w="1126" w:type="dxa"/>
            <w:vAlign w:val="center"/>
            <w:hideMark/>
          </w:tcPr>
          <w:p w14:paraId="45655842" w14:textId="77777777" w:rsidR="007E0EE2" w:rsidRDefault="007E0EE2">
            <w:pPr>
              <w:spacing w:before="0"/>
              <w:rPr>
                <w:sz w:val="12"/>
                <w:szCs w:val="16"/>
              </w:rPr>
            </w:pPr>
            <w:r>
              <w:rPr>
                <w:sz w:val="12"/>
                <w:szCs w:val="16"/>
              </w:rPr>
              <w:t>Land slope (Hilly)</w:t>
            </w:r>
          </w:p>
        </w:tc>
        <w:tc>
          <w:tcPr>
            <w:tcW w:w="1499" w:type="dxa"/>
            <w:vAlign w:val="center"/>
            <w:hideMark/>
          </w:tcPr>
          <w:p w14:paraId="5BF7ACD3" w14:textId="77777777" w:rsidR="007E0EE2" w:rsidRDefault="007E0EE2">
            <w:pPr>
              <w:spacing w:before="0"/>
              <w:rPr>
                <w:sz w:val="12"/>
                <w:szCs w:val="16"/>
              </w:rPr>
            </w:pPr>
            <w:r>
              <w:rPr>
                <w:sz w:val="12"/>
                <w:szCs w:val="16"/>
              </w:rPr>
              <w:t>Percentage of land parcel that is hilly</w:t>
            </w:r>
          </w:p>
        </w:tc>
        <w:tc>
          <w:tcPr>
            <w:tcW w:w="0" w:type="auto"/>
            <w:vMerge/>
            <w:vAlign w:val="center"/>
            <w:hideMark/>
          </w:tcPr>
          <w:p w14:paraId="47ADF41E" w14:textId="77777777" w:rsidR="007E0EE2" w:rsidRDefault="007E0EE2">
            <w:pPr>
              <w:spacing w:before="0"/>
              <w:rPr>
                <w:sz w:val="12"/>
                <w:szCs w:val="16"/>
              </w:rPr>
            </w:pPr>
          </w:p>
        </w:tc>
      </w:tr>
      <w:tr w:rsidR="007E0EE2" w14:paraId="088A4786" w14:textId="77777777" w:rsidTr="00405ED7">
        <w:tc>
          <w:tcPr>
            <w:tcW w:w="0" w:type="auto"/>
            <w:vMerge/>
            <w:vAlign w:val="center"/>
            <w:hideMark/>
          </w:tcPr>
          <w:p w14:paraId="438C785A" w14:textId="77777777" w:rsidR="007E0EE2" w:rsidRDefault="007E0EE2">
            <w:pPr>
              <w:spacing w:before="0"/>
              <w:rPr>
                <w:sz w:val="12"/>
                <w:szCs w:val="16"/>
              </w:rPr>
            </w:pPr>
          </w:p>
        </w:tc>
        <w:tc>
          <w:tcPr>
            <w:tcW w:w="1126" w:type="dxa"/>
            <w:vAlign w:val="center"/>
            <w:hideMark/>
          </w:tcPr>
          <w:p w14:paraId="7EF1E10B" w14:textId="77777777" w:rsidR="007E0EE2" w:rsidRDefault="007E0EE2">
            <w:pPr>
              <w:spacing w:before="0"/>
              <w:rPr>
                <w:sz w:val="12"/>
                <w:szCs w:val="16"/>
              </w:rPr>
            </w:pPr>
            <w:r>
              <w:rPr>
                <w:sz w:val="12"/>
                <w:szCs w:val="16"/>
              </w:rPr>
              <w:t>Land slope (Steep)</w:t>
            </w:r>
          </w:p>
        </w:tc>
        <w:tc>
          <w:tcPr>
            <w:tcW w:w="1499" w:type="dxa"/>
            <w:vAlign w:val="center"/>
            <w:hideMark/>
          </w:tcPr>
          <w:p w14:paraId="205366B9" w14:textId="77777777" w:rsidR="007E0EE2" w:rsidRDefault="007E0EE2">
            <w:pPr>
              <w:spacing w:before="0"/>
              <w:rPr>
                <w:sz w:val="12"/>
                <w:szCs w:val="16"/>
              </w:rPr>
            </w:pPr>
            <w:r>
              <w:rPr>
                <w:sz w:val="12"/>
                <w:szCs w:val="16"/>
              </w:rPr>
              <w:t>Percentage of land parcel that is Steep</w:t>
            </w:r>
          </w:p>
        </w:tc>
        <w:tc>
          <w:tcPr>
            <w:tcW w:w="0" w:type="auto"/>
            <w:vMerge/>
            <w:vAlign w:val="center"/>
            <w:hideMark/>
          </w:tcPr>
          <w:p w14:paraId="3A988745" w14:textId="77777777" w:rsidR="007E0EE2" w:rsidRDefault="007E0EE2">
            <w:pPr>
              <w:spacing w:before="0"/>
              <w:rPr>
                <w:sz w:val="12"/>
                <w:szCs w:val="16"/>
              </w:rPr>
            </w:pPr>
          </w:p>
        </w:tc>
      </w:tr>
      <w:tr w:rsidR="007E0EE2" w14:paraId="3EEE4D49" w14:textId="77777777" w:rsidTr="00405ED7">
        <w:tc>
          <w:tcPr>
            <w:tcW w:w="0" w:type="auto"/>
            <w:vMerge/>
            <w:vAlign w:val="center"/>
            <w:hideMark/>
          </w:tcPr>
          <w:p w14:paraId="3BE690E8" w14:textId="77777777" w:rsidR="007E0EE2" w:rsidRDefault="007E0EE2">
            <w:pPr>
              <w:spacing w:before="0"/>
              <w:rPr>
                <w:sz w:val="12"/>
                <w:szCs w:val="16"/>
              </w:rPr>
            </w:pPr>
          </w:p>
        </w:tc>
        <w:tc>
          <w:tcPr>
            <w:tcW w:w="1126" w:type="dxa"/>
            <w:vAlign w:val="center"/>
            <w:hideMark/>
          </w:tcPr>
          <w:p w14:paraId="1751FB16" w14:textId="77777777" w:rsidR="007E0EE2" w:rsidRDefault="007E0EE2">
            <w:pPr>
              <w:spacing w:before="0"/>
              <w:rPr>
                <w:sz w:val="12"/>
                <w:szCs w:val="16"/>
              </w:rPr>
            </w:pPr>
            <w:r>
              <w:rPr>
                <w:sz w:val="12"/>
                <w:szCs w:val="16"/>
              </w:rPr>
              <w:t>Rainfall Jan-Mar</w:t>
            </w:r>
          </w:p>
        </w:tc>
        <w:tc>
          <w:tcPr>
            <w:tcW w:w="1499" w:type="dxa"/>
            <w:vMerge w:val="restart"/>
            <w:vAlign w:val="center"/>
            <w:hideMark/>
          </w:tcPr>
          <w:p w14:paraId="3F1A3690" w14:textId="77777777" w:rsidR="007E0EE2" w:rsidRDefault="007E0EE2">
            <w:pPr>
              <w:spacing w:before="0"/>
              <w:rPr>
                <w:sz w:val="12"/>
                <w:szCs w:val="16"/>
              </w:rPr>
            </w:pPr>
            <w:r>
              <w:rPr>
                <w:sz w:val="12"/>
                <w:szCs w:val="16"/>
              </w:rPr>
              <w:t xml:space="preserve">Average rainfall assigned to farm by quarter </w:t>
            </w:r>
          </w:p>
        </w:tc>
        <w:tc>
          <w:tcPr>
            <w:tcW w:w="5450" w:type="dxa"/>
            <w:vMerge w:val="restart"/>
            <w:vAlign w:val="center"/>
            <w:hideMark/>
          </w:tcPr>
          <w:p w14:paraId="6BABF54C" w14:textId="77777777" w:rsidR="007E0EE2" w:rsidRDefault="007E0EE2">
            <w:pPr>
              <w:spacing w:before="0"/>
              <w:rPr>
                <w:sz w:val="12"/>
                <w:szCs w:val="16"/>
              </w:rPr>
            </w:pPr>
            <w:r>
              <w:rPr>
                <w:sz w:val="12"/>
                <w:szCs w:val="16"/>
              </w:rPr>
              <w:t xml:space="preserve">Positive – Farmland with high average rainfall is likely to be positive for value due to the benefits for most agricultural production systems.  </w:t>
            </w:r>
          </w:p>
        </w:tc>
      </w:tr>
      <w:tr w:rsidR="007E0EE2" w14:paraId="40AAD050" w14:textId="77777777" w:rsidTr="00405ED7">
        <w:tc>
          <w:tcPr>
            <w:tcW w:w="0" w:type="auto"/>
            <w:vMerge/>
            <w:vAlign w:val="center"/>
            <w:hideMark/>
          </w:tcPr>
          <w:p w14:paraId="5717B9EB" w14:textId="77777777" w:rsidR="007E0EE2" w:rsidRDefault="007E0EE2">
            <w:pPr>
              <w:spacing w:before="0"/>
              <w:rPr>
                <w:sz w:val="12"/>
                <w:szCs w:val="16"/>
              </w:rPr>
            </w:pPr>
          </w:p>
        </w:tc>
        <w:tc>
          <w:tcPr>
            <w:tcW w:w="1126" w:type="dxa"/>
            <w:vAlign w:val="center"/>
            <w:hideMark/>
          </w:tcPr>
          <w:p w14:paraId="44444264" w14:textId="77777777" w:rsidR="007E0EE2" w:rsidRDefault="007E0EE2">
            <w:pPr>
              <w:spacing w:before="0"/>
              <w:rPr>
                <w:sz w:val="12"/>
                <w:szCs w:val="16"/>
              </w:rPr>
            </w:pPr>
            <w:r>
              <w:rPr>
                <w:sz w:val="12"/>
                <w:szCs w:val="16"/>
              </w:rPr>
              <w:t>Rainfall Apr-Jun</w:t>
            </w:r>
          </w:p>
        </w:tc>
        <w:tc>
          <w:tcPr>
            <w:tcW w:w="0" w:type="auto"/>
            <w:vMerge/>
            <w:vAlign w:val="center"/>
            <w:hideMark/>
          </w:tcPr>
          <w:p w14:paraId="09B3BDE3" w14:textId="77777777" w:rsidR="007E0EE2" w:rsidRDefault="007E0EE2">
            <w:pPr>
              <w:spacing w:before="0"/>
              <w:rPr>
                <w:sz w:val="12"/>
                <w:szCs w:val="16"/>
              </w:rPr>
            </w:pPr>
          </w:p>
        </w:tc>
        <w:tc>
          <w:tcPr>
            <w:tcW w:w="0" w:type="auto"/>
            <w:vMerge/>
            <w:vAlign w:val="center"/>
            <w:hideMark/>
          </w:tcPr>
          <w:p w14:paraId="4F8872D9" w14:textId="77777777" w:rsidR="007E0EE2" w:rsidRDefault="007E0EE2">
            <w:pPr>
              <w:spacing w:before="0"/>
              <w:rPr>
                <w:sz w:val="12"/>
                <w:szCs w:val="16"/>
              </w:rPr>
            </w:pPr>
          </w:p>
        </w:tc>
      </w:tr>
      <w:tr w:rsidR="007E0EE2" w14:paraId="7EC31E95" w14:textId="77777777" w:rsidTr="00405ED7">
        <w:tc>
          <w:tcPr>
            <w:tcW w:w="0" w:type="auto"/>
            <w:vMerge/>
            <w:vAlign w:val="center"/>
            <w:hideMark/>
          </w:tcPr>
          <w:p w14:paraId="740672F6" w14:textId="77777777" w:rsidR="007E0EE2" w:rsidRDefault="007E0EE2">
            <w:pPr>
              <w:spacing w:before="0"/>
              <w:rPr>
                <w:sz w:val="12"/>
                <w:szCs w:val="16"/>
              </w:rPr>
            </w:pPr>
          </w:p>
        </w:tc>
        <w:tc>
          <w:tcPr>
            <w:tcW w:w="1126" w:type="dxa"/>
            <w:vAlign w:val="center"/>
            <w:hideMark/>
          </w:tcPr>
          <w:p w14:paraId="367548C5" w14:textId="77777777" w:rsidR="007E0EE2" w:rsidRDefault="007E0EE2">
            <w:pPr>
              <w:spacing w:before="0"/>
              <w:rPr>
                <w:sz w:val="12"/>
                <w:szCs w:val="16"/>
              </w:rPr>
            </w:pPr>
            <w:r>
              <w:rPr>
                <w:sz w:val="12"/>
                <w:szCs w:val="16"/>
              </w:rPr>
              <w:t>Rainfall Jul-Sep</w:t>
            </w:r>
          </w:p>
        </w:tc>
        <w:tc>
          <w:tcPr>
            <w:tcW w:w="0" w:type="auto"/>
            <w:vMerge/>
            <w:vAlign w:val="center"/>
            <w:hideMark/>
          </w:tcPr>
          <w:p w14:paraId="4C757BB7" w14:textId="77777777" w:rsidR="007E0EE2" w:rsidRDefault="007E0EE2">
            <w:pPr>
              <w:spacing w:before="0"/>
              <w:rPr>
                <w:sz w:val="12"/>
                <w:szCs w:val="16"/>
              </w:rPr>
            </w:pPr>
          </w:p>
        </w:tc>
        <w:tc>
          <w:tcPr>
            <w:tcW w:w="0" w:type="auto"/>
            <w:vMerge/>
            <w:vAlign w:val="center"/>
            <w:hideMark/>
          </w:tcPr>
          <w:p w14:paraId="521806A1" w14:textId="77777777" w:rsidR="007E0EE2" w:rsidRDefault="007E0EE2">
            <w:pPr>
              <w:spacing w:before="0"/>
              <w:rPr>
                <w:sz w:val="12"/>
                <w:szCs w:val="16"/>
              </w:rPr>
            </w:pPr>
          </w:p>
        </w:tc>
      </w:tr>
      <w:tr w:rsidR="007E0EE2" w14:paraId="02D000F0" w14:textId="77777777" w:rsidTr="00405ED7">
        <w:tc>
          <w:tcPr>
            <w:tcW w:w="0" w:type="auto"/>
            <w:vMerge/>
            <w:vAlign w:val="center"/>
            <w:hideMark/>
          </w:tcPr>
          <w:p w14:paraId="1E794101" w14:textId="77777777" w:rsidR="007E0EE2" w:rsidRDefault="007E0EE2">
            <w:pPr>
              <w:spacing w:before="0"/>
              <w:rPr>
                <w:sz w:val="12"/>
                <w:szCs w:val="16"/>
              </w:rPr>
            </w:pPr>
          </w:p>
        </w:tc>
        <w:tc>
          <w:tcPr>
            <w:tcW w:w="1126" w:type="dxa"/>
            <w:vAlign w:val="center"/>
            <w:hideMark/>
          </w:tcPr>
          <w:p w14:paraId="2CBF750B" w14:textId="77777777" w:rsidR="007E0EE2" w:rsidRDefault="007E0EE2">
            <w:pPr>
              <w:spacing w:before="0"/>
              <w:rPr>
                <w:sz w:val="12"/>
                <w:szCs w:val="16"/>
              </w:rPr>
            </w:pPr>
            <w:r>
              <w:rPr>
                <w:sz w:val="12"/>
                <w:szCs w:val="16"/>
              </w:rPr>
              <w:t>Rainfall Oct-Dec</w:t>
            </w:r>
          </w:p>
        </w:tc>
        <w:tc>
          <w:tcPr>
            <w:tcW w:w="0" w:type="auto"/>
            <w:vMerge/>
            <w:vAlign w:val="center"/>
            <w:hideMark/>
          </w:tcPr>
          <w:p w14:paraId="47F9EAE2" w14:textId="77777777" w:rsidR="007E0EE2" w:rsidRDefault="007E0EE2">
            <w:pPr>
              <w:spacing w:before="0"/>
              <w:rPr>
                <w:sz w:val="12"/>
                <w:szCs w:val="16"/>
              </w:rPr>
            </w:pPr>
          </w:p>
        </w:tc>
        <w:tc>
          <w:tcPr>
            <w:tcW w:w="0" w:type="auto"/>
            <w:vMerge/>
            <w:vAlign w:val="center"/>
            <w:hideMark/>
          </w:tcPr>
          <w:p w14:paraId="59B4A94E" w14:textId="77777777" w:rsidR="007E0EE2" w:rsidRDefault="007E0EE2">
            <w:pPr>
              <w:spacing w:before="0"/>
              <w:rPr>
                <w:sz w:val="12"/>
                <w:szCs w:val="16"/>
              </w:rPr>
            </w:pPr>
          </w:p>
        </w:tc>
      </w:tr>
      <w:tr w:rsidR="007E0EE2" w14:paraId="659A7DFD" w14:textId="77777777" w:rsidTr="00405ED7">
        <w:tc>
          <w:tcPr>
            <w:tcW w:w="0" w:type="auto"/>
            <w:vMerge/>
            <w:vAlign w:val="center"/>
            <w:hideMark/>
          </w:tcPr>
          <w:p w14:paraId="00C0A460" w14:textId="77777777" w:rsidR="007E0EE2" w:rsidRDefault="007E0EE2">
            <w:pPr>
              <w:spacing w:before="0"/>
              <w:rPr>
                <w:sz w:val="12"/>
                <w:szCs w:val="16"/>
              </w:rPr>
            </w:pPr>
          </w:p>
        </w:tc>
        <w:tc>
          <w:tcPr>
            <w:tcW w:w="1126" w:type="dxa"/>
            <w:vAlign w:val="center"/>
            <w:hideMark/>
          </w:tcPr>
          <w:p w14:paraId="796E984B" w14:textId="77777777" w:rsidR="007E0EE2" w:rsidRDefault="007E0EE2">
            <w:pPr>
              <w:spacing w:before="0"/>
              <w:rPr>
                <w:sz w:val="12"/>
                <w:szCs w:val="16"/>
              </w:rPr>
            </w:pPr>
            <w:r>
              <w:rPr>
                <w:sz w:val="12"/>
                <w:szCs w:val="16"/>
              </w:rPr>
              <w:t>Maximum temperature Jan-Mar</w:t>
            </w:r>
          </w:p>
        </w:tc>
        <w:tc>
          <w:tcPr>
            <w:tcW w:w="1499" w:type="dxa"/>
            <w:vMerge w:val="restart"/>
            <w:vAlign w:val="center"/>
            <w:hideMark/>
          </w:tcPr>
          <w:p w14:paraId="22D56689" w14:textId="77777777" w:rsidR="007E0EE2" w:rsidRDefault="007E0EE2">
            <w:pPr>
              <w:spacing w:before="0"/>
              <w:rPr>
                <w:sz w:val="12"/>
                <w:szCs w:val="16"/>
              </w:rPr>
            </w:pPr>
            <w:r>
              <w:rPr>
                <w:sz w:val="12"/>
                <w:szCs w:val="16"/>
              </w:rPr>
              <w:t>Average maximum temperature assigned to farm</w:t>
            </w:r>
          </w:p>
        </w:tc>
        <w:tc>
          <w:tcPr>
            <w:tcW w:w="5450" w:type="dxa"/>
            <w:vMerge w:val="restart"/>
            <w:vAlign w:val="center"/>
            <w:hideMark/>
          </w:tcPr>
          <w:p w14:paraId="6FCB4ECA" w14:textId="77777777" w:rsidR="007E0EE2" w:rsidRDefault="007E0EE2">
            <w:pPr>
              <w:spacing w:before="0"/>
              <w:rPr>
                <w:sz w:val="12"/>
                <w:szCs w:val="16"/>
              </w:rPr>
            </w:pPr>
            <w:r>
              <w:rPr>
                <w:sz w:val="12"/>
                <w:szCs w:val="16"/>
              </w:rPr>
              <w:t xml:space="preserve">Negative – Areas with high average maximum temperatures are expected to demand lower prices, as this is unfavourable for most </w:t>
            </w:r>
            <w:r w:rsidR="0044154A">
              <w:rPr>
                <w:sz w:val="12"/>
                <w:szCs w:val="16"/>
              </w:rPr>
              <w:t>broadacre</w:t>
            </w:r>
            <w:r>
              <w:rPr>
                <w:sz w:val="12"/>
                <w:szCs w:val="16"/>
              </w:rPr>
              <w:t xml:space="preserve"> production activities. </w:t>
            </w:r>
          </w:p>
        </w:tc>
      </w:tr>
      <w:tr w:rsidR="007E0EE2" w14:paraId="7477BE9B" w14:textId="77777777" w:rsidTr="00405ED7">
        <w:tc>
          <w:tcPr>
            <w:tcW w:w="0" w:type="auto"/>
            <w:vMerge/>
            <w:vAlign w:val="center"/>
            <w:hideMark/>
          </w:tcPr>
          <w:p w14:paraId="72E02E3F" w14:textId="77777777" w:rsidR="007E0EE2" w:rsidRDefault="007E0EE2">
            <w:pPr>
              <w:spacing w:before="0"/>
              <w:rPr>
                <w:sz w:val="12"/>
                <w:szCs w:val="16"/>
              </w:rPr>
            </w:pPr>
          </w:p>
        </w:tc>
        <w:tc>
          <w:tcPr>
            <w:tcW w:w="1126" w:type="dxa"/>
            <w:vAlign w:val="center"/>
            <w:hideMark/>
          </w:tcPr>
          <w:p w14:paraId="1D5B10D6" w14:textId="77777777" w:rsidR="007E0EE2" w:rsidRDefault="007E0EE2">
            <w:pPr>
              <w:spacing w:before="0"/>
              <w:rPr>
                <w:sz w:val="12"/>
                <w:szCs w:val="16"/>
              </w:rPr>
            </w:pPr>
            <w:r>
              <w:rPr>
                <w:sz w:val="12"/>
                <w:szCs w:val="16"/>
              </w:rPr>
              <w:t>Maximum temperature Apr-Jun</w:t>
            </w:r>
          </w:p>
        </w:tc>
        <w:tc>
          <w:tcPr>
            <w:tcW w:w="0" w:type="auto"/>
            <w:vMerge/>
            <w:vAlign w:val="center"/>
            <w:hideMark/>
          </w:tcPr>
          <w:p w14:paraId="49A1B596" w14:textId="77777777" w:rsidR="007E0EE2" w:rsidRDefault="007E0EE2">
            <w:pPr>
              <w:spacing w:before="0"/>
              <w:rPr>
                <w:sz w:val="12"/>
                <w:szCs w:val="16"/>
              </w:rPr>
            </w:pPr>
          </w:p>
        </w:tc>
        <w:tc>
          <w:tcPr>
            <w:tcW w:w="0" w:type="auto"/>
            <w:vMerge/>
            <w:vAlign w:val="center"/>
            <w:hideMark/>
          </w:tcPr>
          <w:p w14:paraId="5BC01F25" w14:textId="77777777" w:rsidR="007E0EE2" w:rsidRDefault="007E0EE2">
            <w:pPr>
              <w:spacing w:before="0"/>
              <w:rPr>
                <w:sz w:val="12"/>
                <w:szCs w:val="16"/>
              </w:rPr>
            </w:pPr>
          </w:p>
        </w:tc>
      </w:tr>
      <w:tr w:rsidR="007E0EE2" w14:paraId="7FB74185" w14:textId="77777777" w:rsidTr="00405ED7">
        <w:tc>
          <w:tcPr>
            <w:tcW w:w="0" w:type="auto"/>
            <w:vMerge/>
            <w:vAlign w:val="center"/>
            <w:hideMark/>
          </w:tcPr>
          <w:p w14:paraId="30D83D4A" w14:textId="77777777" w:rsidR="007E0EE2" w:rsidRDefault="007E0EE2">
            <w:pPr>
              <w:spacing w:before="0"/>
              <w:rPr>
                <w:sz w:val="12"/>
                <w:szCs w:val="16"/>
              </w:rPr>
            </w:pPr>
          </w:p>
        </w:tc>
        <w:tc>
          <w:tcPr>
            <w:tcW w:w="1126" w:type="dxa"/>
            <w:vAlign w:val="center"/>
            <w:hideMark/>
          </w:tcPr>
          <w:p w14:paraId="72B418D2" w14:textId="77777777" w:rsidR="007E0EE2" w:rsidRDefault="007E0EE2">
            <w:pPr>
              <w:spacing w:before="0"/>
              <w:rPr>
                <w:sz w:val="12"/>
                <w:szCs w:val="16"/>
              </w:rPr>
            </w:pPr>
            <w:r>
              <w:rPr>
                <w:sz w:val="12"/>
                <w:szCs w:val="16"/>
              </w:rPr>
              <w:t>Maximum temperature Jul-Sep</w:t>
            </w:r>
          </w:p>
        </w:tc>
        <w:tc>
          <w:tcPr>
            <w:tcW w:w="0" w:type="auto"/>
            <w:vMerge/>
            <w:vAlign w:val="center"/>
            <w:hideMark/>
          </w:tcPr>
          <w:p w14:paraId="0229216F" w14:textId="77777777" w:rsidR="007E0EE2" w:rsidRDefault="007E0EE2">
            <w:pPr>
              <w:spacing w:before="0"/>
              <w:rPr>
                <w:sz w:val="12"/>
                <w:szCs w:val="16"/>
              </w:rPr>
            </w:pPr>
          </w:p>
        </w:tc>
        <w:tc>
          <w:tcPr>
            <w:tcW w:w="0" w:type="auto"/>
            <w:vMerge/>
            <w:vAlign w:val="center"/>
            <w:hideMark/>
          </w:tcPr>
          <w:p w14:paraId="7EF45D96" w14:textId="77777777" w:rsidR="007E0EE2" w:rsidRDefault="007E0EE2">
            <w:pPr>
              <w:spacing w:before="0"/>
              <w:rPr>
                <w:sz w:val="12"/>
                <w:szCs w:val="16"/>
              </w:rPr>
            </w:pPr>
          </w:p>
        </w:tc>
      </w:tr>
      <w:tr w:rsidR="007E0EE2" w14:paraId="2DF23270" w14:textId="77777777" w:rsidTr="00405ED7">
        <w:tc>
          <w:tcPr>
            <w:tcW w:w="0" w:type="auto"/>
            <w:vMerge/>
            <w:vAlign w:val="center"/>
            <w:hideMark/>
          </w:tcPr>
          <w:p w14:paraId="3459902A" w14:textId="77777777" w:rsidR="007E0EE2" w:rsidRDefault="007E0EE2">
            <w:pPr>
              <w:spacing w:before="0"/>
              <w:rPr>
                <w:sz w:val="12"/>
                <w:szCs w:val="16"/>
              </w:rPr>
            </w:pPr>
          </w:p>
        </w:tc>
        <w:tc>
          <w:tcPr>
            <w:tcW w:w="1126" w:type="dxa"/>
            <w:vAlign w:val="center"/>
            <w:hideMark/>
          </w:tcPr>
          <w:p w14:paraId="6AFC770B" w14:textId="77777777" w:rsidR="007E0EE2" w:rsidRDefault="007E0EE2">
            <w:pPr>
              <w:spacing w:before="0"/>
              <w:rPr>
                <w:sz w:val="12"/>
                <w:szCs w:val="16"/>
              </w:rPr>
            </w:pPr>
            <w:r>
              <w:rPr>
                <w:sz w:val="12"/>
                <w:szCs w:val="16"/>
              </w:rPr>
              <w:t>Maximum temperature Oct-Dec</w:t>
            </w:r>
          </w:p>
        </w:tc>
        <w:tc>
          <w:tcPr>
            <w:tcW w:w="0" w:type="auto"/>
            <w:vMerge/>
            <w:vAlign w:val="center"/>
            <w:hideMark/>
          </w:tcPr>
          <w:p w14:paraId="726FCE63" w14:textId="77777777" w:rsidR="007E0EE2" w:rsidRDefault="007E0EE2">
            <w:pPr>
              <w:spacing w:before="0"/>
              <w:rPr>
                <w:sz w:val="12"/>
                <w:szCs w:val="16"/>
              </w:rPr>
            </w:pPr>
          </w:p>
        </w:tc>
        <w:tc>
          <w:tcPr>
            <w:tcW w:w="0" w:type="auto"/>
            <w:vMerge/>
            <w:vAlign w:val="center"/>
            <w:hideMark/>
          </w:tcPr>
          <w:p w14:paraId="464DB3A9" w14:textId="77777777" w:rsidR="007E0EE2" w:rsidRDefault="007E0EE2">
            <w:pPr>
              <w:spacing w:before="0"/>
              <w:rPr>
                <w:sz w:val="12"/>
                <w:szCs w:val="16"/>
              </w:rPr>
            </w:pPr>
          </w:p>
        </w:tc>
      </w:tr>
      <w:tr w:rsidR="007E0EE2" w14:paraId="38241ACD" w14:textId="77777777" w:rsidTr="00405ED7">
        <w:tc>
          <w:tcPr>
            <w:tcW w:w="0" w:type="auto"/>
            <w:vMerge/>
            <w:vAlign w:val="center"/>
            <w:hideMark/>
          </w:tcPr>
          <w:p w14:paraId="3F85B693" w14:textId="77777777" w:rsidR="007E0EE2" w:rsidRDefault="007E0EE2">
            <w:pPr>
              <w:spacing w:before="0"/>
              <w:rPr>
                <w:sz w:val="12"/>
                <w:szCs w:val="16"/>
              </w:rPr>
            </w:pPr>
          </w:p>
        </w:tc>
        <w:tc>
          <w:tcPr>
            <w:tcW w:w="1126" w:type="dxa"/>
            <w:vAlign w:val="center"/>
            <w:hideMark/>
          </w:tcPr>
          <w:p w14:paraId="07B9EE9C" w14:textId="77777777" w:rsidR="007E0EE2" w:rsidRDefault="007E0EE2">
            <w:pPr>
              <w:spacing w:before="0"/>
              <w:rPr>
                <w:sz w:val="12"/>
                <w:szCs w:val="16"/>
              </w:rPr>
            </w:pPr>
            <w:r>
              <w:rPr>
                <w:sz w:val="12"/>
                <w:szCs w:val="16"/>
              </w:rPr>
              <w:t>Minimum temperature Jan-Mar</w:t>
            </w:r>
          </w:p>
        </w:tc>
        <w:tc>
          <w:tcPr>
            <w:tcW w:w="1499" w:type="dxa"/>
            <w:vMerge w:val="restart"/>
            <w:vAlign w:val="center"/>
            <w:hideMark/>
          </w:tcPr>
          <w:p w14:paraId="03039BE9" w14:textId="77777777" w:rsidR="007E0EE2" w:rsidRDefault="007E0EE2">
            <w:pPr>
              <w:spacing w:before="0"/>
              <w:rPr>
                <w:sz w:val="12"/>
                <w:szCs w:val="16"/>
              </w:rPr>
            </w:pPr>
            <w:r>
              <w:rPr>
                <w:sz w:val="12"/>
                <w:szCs w:val="16"/>
              </w:rPr>
              <w:t>Average minimum temperature assigned to farm</w:t>
            </w:r>
          </w:p>
        </w:tc>
        <w:tc>
          <w:tcPr>
            <w:tcW w:w="5450" w:type="dxa"/>
            <w:vMerge w:val="restart"/>
            <w:vAlign w:val="center"/>
            <w:hideMark/>
          </w:tcPr>
          <w:p w14:paraId="3C80E6D4" w14:textId="77777777" w:rsidR="007E0EE2" w:rsidRDefault="007E0EE2">
            <w:pPr>
              <w:spacing w:before="0"/>
              <w:rPr>
                <w:sz w:val="12"/>
                <w:szCs w:val="16"/>
              </w:rPr>
            </w:pPr>
            <w:r>
              <w:rPr>
                <w:sz w:val="12"/>
                <w:szCs w:val="16"/>
              </w:rPr>
              <w:t xml:space="preserve">Unknown – the effect of average minimum temperature on </w:t>
            </w:r>
            <w:r w:rsidR="0044154A">
              <w:rPr>
                <w:sz w:val="12"/>
                <w:szCs w:val="16"/>
              </w:rPr>
              <w:t>broadacre</w:t>
            </w:r>
            <w:r>
              <w:rPr>
                <w:sz w:val="12"/>
                <w:szCs w:val="16"/>
              </w:rPr>
              <w:t xml:space="preserve"> production is unclear, yet this may be positively related to value due to reduced frost risk which is unfavourable for some crop production systems. </w:t>
            </w:r>
          </w:p>
        </w:tc>
      </w:tr>
      <w:tr w:rsidR="007E0EE2" w14:paraId="4A419994" w14:textId="77777777" w:rsidTr="00405ED7">
        <w:tc>
          <w:tcPr>
            <w:tcW w:w="0" w:type="auto"/>
            <w:vMerge/>
            <w:vAlign w:val="center"/>
            <w:hideMark/>
          </w:tcPr>
          <w:p w14:paraId="5C24F566" w14:textId="77777777" w:rsidR="007E0EE2" w:rsidRDefault="007E0EE2">
            <w:pPr>
              <w:spacing w:before="0"/>
              <w:rPr>
                <w:sz w:val="12"/>
                <w:szCs w:val="16"/>
              </w:rPr>
            </w:pPr>
          </w:p>
        </w:tc>
        <w:tc>
          <w:tcPr>
            <w:tcW w:w="1126" w:type="dxa"/>
            <w:vAlign w:val="center"/>
            <w:hideMark/>
          </w:tcPr>
          <w:p w14:paraId="10E73C79" w14:textId="77777777" w:rsidR="007E0EE2" w:rsidRDefault="007E0EE2">
            <w:pPr>
              <w:spacing w:before="0"/>
              <w:rPr>
                <w:sz w:val="12"/>
                <w:szCs w:val="16"/>
              </w:rPr>
            </w:pPr>
            <w:r>
              <w:rPr>
                <w:sz w:val="12"/>
                <w:szCs w:val="16"/>
              </w:rPr>
              <w:t>Minimum temperature Apr-Jun</w:t>
            </w:r>
          </w:p>
        </w:tc>
        <w:tc>
          <w:tcPr>
            <w:tcW w:w="0" w:type="auto"/>
            <w:vMerge/>
            <w:vAlign w:val="center"/>
            <w:hideMark/>
          </w:tcPr>
          <w:p w14:paraId="1207AF73" w14:textId="77777777" w:rsidR="007E0EE2" w:rsidRDefault="007E0EE2">
            <w:pPr>
              <w:spacing w:before="0"/>
              <w:rPr>
                <w:sz w:val="12"/>
                <w:szCs w:val="16"/>
              </w:rPr>
            </w:pPr>
          </w:p>
        </w:tc>
        <w:tc>
          <w:tcPr>
            <w:tcW w:w="0" w:type="auto"/>
            <w:vMerge/>
            <w:vAlign w:val="center"/>
            <w:hideMark/>
          </w:tcPr>
          <w:p w14:paraId="4BE278D0" w14:textId="77777777" w:rsidR="007E0EE2" w:rsidRDefault="007E0EE2">
            <w:pPr>
              <w:spacing w:before="0"/>
              <w:rPr>
                <w:sz w:val="12"/>
                <w:szCs w:val="16"/>
              </w:rPr>
            </w:pPr>
          </w:p>
        </w:tc>
      </w:tr>
      <w:tr w:rsidR="007E0EE2" w14:paraId="0254FD23" w14:textId="77777777" w:rsidTr="00405ED7">
        <w:tc>
          <w:tcPr>
            <w:tcW w:w="0" w:type="auto"/>
            <w:vMerge/>
            <w:vAlign w:val="center"/>
            <w:hideMark/>
          </w:tcPr>
          <w:p w14:paraId="51ADB0AF" w14:textId="77777777" w:rsidR="007E0EE2" w:rsidRDefault="007E0EE2">
            <w:pPr>
              <w:spacing w:before="0"/>
              <w:rPr>
                <w:sz w:val="12"/>
                <w:szCs w:val="16"/>
              </w:rPr>
            </w:pPr>
          </w:p>
        </w:tc>
        <w:tc>
          <w:tcPr>
            <w:tcW w:w="1126" w:type="dxa"/>
            <w:vAlign w:val="center"/>
            <w:hideMark/>
          </w:tcPr>
          <w:p w14:paraId="0F601553" w14:textId="77777777" w:rsidR="007E0EE2" w:rsidRDefault="007E0EE2">
            <w:pPr>
              <w:spacing w:before="0"/>
              <w:rPr>
                <w:sz w:val="12"/>
                <w:szCs w:val="16"/>
              </w:rPr>
            </w:pPr>
            <w:r>
              <w:rPr>
                <w:sz w:val="12"/>
                <w:szCs w:val="16"/>
              </w:rPr>
              <w:t>Minimum temperature Jul-Sep</w:t>
            </w:r>
          </w:p>
        </w:tc>
        <w:tc>
          <w:tcPr>
            <w:tcW w:w="0" w:type="auto"/>
            <w:vMerge/>
            <w:vAlign w:val="center"/>
            <w:hideMark/>
          </w:tcPr>
          <w:p w14:paraId="741ECC45" w14:textId="77777777" w:rsidR="007E0EE2" w:rsidRDefault="007E0EE2">
            <w:pPr>
              <w:spacing w:before="0"/>
              <w:rPr>
                <w:sz w:val="12"/>
                <w:szCs w:val="16"/>
              </w:rPr>
            </w:pPr>
          </w:p>
        </w:tc>
        <w:tc>
          <w:tcPr>
            <w:tcW w:w="0" w:type="auto"/>
            <w:vMerge/>
            <w:vAlign w:val="center"/>
            <w:hideMark/>
          </w:tcPr>
          <w:p w14:paraId="5C8F58F8" w14:textId="77777777" w:rsidR="007E0EE2" w:rsidRDefault="007E0EE2">
            <w:pPr>
              <w:spacing w:before="0"/>
              <w:rPr>
                <w:sz w:val="12"/>
                <w:szCs w:val="16"/>
              </w:rPr>
            </w:pPr>
          </w:p>
        </w:tc>
      </w:tr>
      <w:tr w:rsidR="007E0EE2" w14:paraId="1F56C013" w14:textId="77777777" w:rsidTr="00405ED7">
        <w:tc>
          <w:tcPr>
            <w:tcW w:w="0" w:type="auto"/>
            <w:vMerge/>
            <w:vAlign w:val="center"/>
            <w:hideMark/>
          </w:tcPr>
          <w:p w14:paraId="117FCF6E" w14:textId="77777777" w:rsidR="007E0EE2" w:rsidRDefault="007E0EE2">
            <w:pPr>
              <w:spacing w:before="0"/>
              <w:rPr>
                <w:sz w:val="12"/>
                <w:szCs w:val="16"/>
              </w:rPr>
            </w:pPr>
          </w:p>
        </w:tc>
        <w:tc>
          <w:tcPr>
            <w:tcW w:w="1126" w:type="dxa"/>
            <w:vAlign w:val="center"/>
            <w:hideMark/>
          </w:tcPr>
          <w:p w14:paraId="6F456CC7" w14:textId="77777777" w:rsidR="007E0EE2" w:rsidRDefault="007E0EE2">
            <w:pPr>
              <w:spacing w:before="0"/>
              <w:rPr>
                <w:sz w:val="12"/>
                <w:szCs w:val="16"/>
              </w:rPr>
            </w:pPr>
            <w:r>
              <w:rPr>
                <w:sz w:val="12"/>
                <w:szCs w:val="16"/>
              </w:rPr>
              <w:t>Minimum temperature Oct-Dec</w:t>
            </w:r>
          </w:p>
        </w:tc>
        <w:tc>
          <w:tcPr>
            <w:tcW w:w="0" w:type="auto"/>
            <w:vMerge/>
            <w:vAlign w:val="center"/>
            <w:hideMark/>
          </w:tcPr>
          <w:p w14:paraId="556AF984" w14:textId="77777777" w:rsidR="007E0EE2" w:rsidRDefault="007E0EE2">
            <w:pPr>
              <w:spacing w:before="0"/>
              <w:rPr>
                <w:sz w:val="12"/>
                <w:szCs w:val="16"/>
              </w:rPr>
            </w:pPr>
          </w:p>
        </w:tc>
        <w:tc>
          <w:tcPr>
            <w:tcW w:w="0" w:type="auto"/>
            <w:vMerge/>
            <w:vAlign w:val="center"/>
            <w:hideMark/>
          </w:tcPr>
          <w:p w14:paraId="03F31419" w14:textId="77777777" w:rsidR="007E0EE2" w:rsidRDefault="007E0EE2">
            <w:pPr>
              <w:spacing w:before="0"/>
              <w:rPr>
                <w:sz w:val="12"/>
                <w:szCs w:val="16"/>
              </w:rPr>
            </w:pPr>
          </w:p>
        </w:tc>
      </w:tr>
      <w:tr w:rsidR="007E0EE2" w14:paraId="5DA12C82" w14:textId="77777777" w:rsidTr="00405ED7">
        <w:tc>
          <w:tcPr>
            <w:tcW w:w="0" w:type="auto"/>
            <w:vMerge/>
            <w:vAlign w:val="center"/>
            <w:hideMark/>
          </w:tcPr>
          <w:p w14:paraId="5E136D32" w14:textId="77777777" w:rsidR="007E0EE2" w:rsidRDefault="007E0EE2">
            <w:pPr>
              <w:spacing w:before="0"/>
              <w:rPr>
                <w:sz w:val="12"/>
                <w:szCs w:val="16"/>
              </w:rPr>
            </w:pPr>
          </w:p>
        </w:tc>
        <w:tc>
          <w:tcPr>
            <w:tcW w:w="1126" w:type="dxa"/>
            <w:vAlign w:val="center"/>
            <w:hideMark/>
          </w:tcPr>
          <w:p w14:paraId="2A50FE44" w14:textId="77777777" w:rsidR="007E0EE2" w:rsidRDefault="007E0EE2">
            <w:pPr>
              <w:spacing w:before="0"/>
              <w:rPr>
                <w:sz w:val="12"/>
                <w:szCs w:val="16"/>
              </w:rPr>
            </w:pPr>
            <w:r>
              <w:rPr>
                <w:sz w:val="12"/>
                <w:szCs w:val="16"/>
              </w:rPr>
              <w:t>Water cover 20%</w:t>
            </w:r>
          </w:p>
        </w:tc>
        <w:tc>
          <w:tcPr>
            <w:tcW w:w="1499" w:type="dxa"/>
            <w:vMerge w:val="restart"/>
            <w:vAlign w:val="center"/>
            <w:hideMark/>
          </w:tcPr>
          <w:p w14:paraId="00374E26" w14:textId="77777777" w:rsidR="007E0EE2" w:rsidRDefault="007E0EE2">
            <w:pPr>
              <w:spacing w:before="0"/>
              <w:rPr>
                <w:sz w:val="12"/>
                <w:szCs w:val="16"/>
              </w:rPr>
            </w:pPr>
            <w:r>
              <w:rPr>
                <w:sz w:val="12"/>
                <w:szCs w:val="16"/>
              </w:rPr>
              <w:t>Percentage of transacted farmland with water cover</w:t>
            </w:r>
          </w:p>
        </w:tc>
        <w:tc>
          <w:tcPr>
            <w:tcW w:w="5450" w:type="dxa"/>
            <w:vMerge w:val="restart"/>
            <w:vAlign w:val="center"/>
            <w:hideMark/>
          </w:tcPr>
          <w:p w14:paraId="64BDBA4E" w14:textId="77777777" w:rsidR="007E0EE2" w:rsidRDefault="007E0EE2">
            <w:pPr>
              <w:spacing w:before="0"/>
              <w:rPr>
                <w:sz w:val="12"/>
                <w:szCs w:val="16"/>
              </w:rPr>
            </w:pPr>
            <w:r>
              <w:rPr>
                <w:sz w:val="12"/>
                <w:szCs w:val="16"/>
              </w:rPr>
              <w:t xml:space="preserve">Unknown – low levels of water cover are expected to be positive, however excessive water cover may be negative due to increased flood risk. </w:t>
            </w:r>
          </w:p>
        </w:tc>
      </w:tr>
      <w:tr w:rsidR="007E0EE2" w14:paraId="0F80971F" w14:textId="77777777" w:rsidTr="00405ED7">
        <w:tc>
          <w:tcPr>
            <w:tcW w:w="0" w:type="auto"/>
            <w:vMerge/>
            <w:vAlign w:val="center"/>
            <w:hideMark/>
          </w:tcPr>
          <w:p w14:paraId="0B356E37" w14:textId="77777777" w:rsidR="007E0EE2" w:rsidRDefault="007E0EE2">
            <w:pPr>
              <w:spacing w:before="0"/>
              <w:rPr>
                <w:sz w:val="12"/>
                <w:szCs w:val="16"/>
              </w:rPr>
            </w:pPr>
          </w:p>
        </w:tc>
        <w:tc>
          <w:tcPr>
            <w:tcW w:w="1126" w:type="dxa"/>
            <w:vAlign w:val="center"/>
            <w:hideMark/>
          </w:tcPr>
          <w:p w14:paraId="1BD1F88B" w14:textId="77777777" w:rsidR="007E0EE2" w:rsidRDefault="007E0EE2">
            <w:pPr>
              <w:spacing w:before="0"/>
              <w:rPr>
                <w:sz w:val="12"/>
                <w:szCs w:val="16"/>
              </w:rPr>
            </w:pPr>
            <w:r>
              <w:rPr>
                <w:sz w:val="12"/>
                <w:szCs w:val="16"/>
              </w:rPr>
              <w:t>Water cover 5%</w:t>
            </w:r>
          </w:p>
        </w:tc>
        <w:tc>
          <w:tcPr>
            <w:tcW w:w="0" w:type="auto"/>
            <w:vMerge/>
            <w:vAlign w:val="center"/>
            <w:hideMark/>
          </w:tcPr>
          <w:p w14:paraId="6138A7B0" w14:textId="77777777" w:rsidR="007E0EE2" w:rsidRDefault="007E0EE2">
            <w:pPr>
              <w:spacing w:before="0"/>
              <w:rPr>
                <w:sz w:val="12"/>
                <w:szCs w:val="16"/>
              </w:rPr>
            </w:pPr>
          </w:p>
        </w:tc>
        <w:tc>
          <w:tcPr>
            <w:tcW w:w="0" w:type="auto"/>
            <w:vMerge/>
            <w:vAlign w:val="center"/>
            <w:hideMark/>
          </w:tcPr>
          <w:p w14:paraId="5585F7CF" w14:textId="77777777" w:rsidR="007E0EE2" w:rsidRDefault="007E0EE2">
            <w:pPr>
              <w:spacing w:before="0"/>
              <w:rPr>
                <w:sz w:val="12"/>
                <w:szCs w:val="16"/>
              </w:rPr>
            </w:pPr>
          </w:p>
        </w:tc>
      </w:tr>
      <w:tr w:rsidR="007E0EE2" w14:paraId="5DC1B6E9" w14:textId="77777777" w:rsidTr="00405ED7">
        <w:tc>
          <w:tcPr>
            <w:tcW w:w="0" w:type="auto"/>
            <w:vMerge/>
            <w:vAlign w:val="center"/>
            <w:hideMark/>
          </w:tcPr>
          <w:p w14:paraId="53322859" w14:textId="77777777" w:rsidR="007E0EE2" w:rsidRDefault="007E0EE2">
            <w:pPr>
              <w:spacing w:before="0"/>
              <w:rPr>
                <w:sz w:val="12"/>
                <w:szCs w:val="16"/>
              </w:rPr>
            </w:pPr>
          </w:p>
        </w:tc>
        <w:tc>
          <w:tcPr>
            <w:tcW w:w="1126" w:type="dxa"/>
            <w:vAlign w:val="center"/>
            <w:hideMark/>
          </w:tcPr>
          <w:p w14:paraId="4642BEFD" w14:textId="77777777" w:rsidR="007E0EE2" w:rsidRDefault="007E0EE2">
            <w:pPr>
              <w:spacing w:before="0"/>
              <w:rPr>
                <w:sz w:val="12"/>
                <w:szCs w:val="16"/>
              </w:rPr>
            </w:pPr>
            <w:r>
              <w:rPr>
                <w:sz w:val="12"/>
                <w:szCs w:val="16"/>
              </w:rPr>
              <w:t>Water cover 1.5%</w:t>
            </w:r>
          </w:p>
        </w:tc>
        <w:tc>
          <w:tcPr>
            <w:tcW w:w="0" w:type="auto"/>
            <w:vMerge/>
            <w:vAlign w:val="center"/>
            <w:hideMark/>
          </w:tcPr>
          <w:p w14:paraId="09A5D5E4" w14:textId="77777777" w:rsidR="007E0EE2" w:rsidRDefault="007E0EE2">
            <w:pPr>
              <w:spacing w:before="0"/>
              <w:rPr>
                <w:sz w:val="12"/>
                <w:szCs w:val="16"/>
              </w:rPr>
            </w:pPr>
          </w:p>
        </w:tc>
        <w:tc>
          <w:tcPr>
            <w:tcW w:w="0" w:type="auto"/>
            <w:vMerge/>
            <w:vAlign w:val="center"/>
            <w:hideMark/>
          </w:tcPr>
          <w:p w14:paraId="3A0B4779" w14:textId="77777777" w:rsidR="007E0EE2" w:rsidRDefault="007E0EE2">
            <w:pPr>
              <w:spacing w:before="0"/>
              <w:rPr>
                <w:sz w:val="12"/>
                <w:szCs w:val="16"/>
              </w:rPr>
            </w:pPr>
          </w:p>
        </w:tc>
      </w:tr>
      <w:tr w:rsidR="00F428E1" w14:paraId="5C00B175" w14:textId="77777777" w:rsidTr="00405ED7">
        <w:tc>
          <w:tcPr>
            <w:tcW w:w="985" w:type="dxa"/>
            <w:vMerge w:val="restart"/>
            <w:vAlign w:val="center"/>
            <w:hideMark/>
          </w:tcPr>
          <w:p w14:paraId="6B92ED32" w14:textId="77777777" w:rsidR="00F428E1" w:rsidRDefault="00F428E1">
            <w:pPr>
              <w:spacing w:before="0"/>
              <w:rPr>
                <w:sz w:val="12"/>
                <w:szCs w:val="16"/>
              </w:rPr>
            </w:pPr>
            <w:r>
              <w:rPr>
                <w:sz w:val="12"/>
                <w:szCs w:val="16"/>
              </w:rPr>
              <w:t>Spatial</w:t>
            </w:r>
          </w:p>
        </w:tc>
        <w:tc>
          <w:tcPr>
            <w:tcW w:w="1126" w:type="dxa"/>
            <w:vAlign w:val="center"/>
            <w:hideMark/>
          </w:tcPr>
          <w:p w14:paraId="7EA28E39" w14:textId="77777777" w:rsidR="00F428E1" w:rsidRDefault="00F428E1">
            <w:pPr>
              <w:spacing w:before="0"/>
              <w:rPr>
                <w:sz w:val="12"/>
                <w:szCs w:val="16"/>
              </w:rPr>
            </w:pPr>
            <w:r>
              <w:rPr>
                <w:sz w:val="12"/>
                <w:szCs w:val="16"/>
              </w:rPr>
              <w:t xml:space="preserve">Cropping </w:t>
            </w:r>
          </w:p>
        </w:tc>
        <w:tc>
          <w:tcPr>
            <w:tcW w:w="1499" w:type="dxa"/>
            <w:vAlign w:val="center"/>
            <w:hideMark/>
          </w:tcPr>
          <w:p w14:paraId="3D3712AC" w14:textId="77777777" w:rsidR="00F428E1" w:rsidRDefault="00F428E1">
            <w:pPr>
              <w:spacing w:before="0"/>
              <w:rPr>
                <w:sz w:val="12"/>
                <w:szCs w:val="16"/>
              </w:rPr>
            </w:pPr>
            <w:r>
              <w:rPr>
                <w:sz w:val="12"/>
                <w:szCs w:val="16"/>
              </w:rPr>
              <w:t xml:space="preserve">Dummy variable assigned where land used for cropping exceeds 50 hectares </w:t>
            </w:r>
          </w:p>
        </w:tc>
        <w:tc>
          <w:tcPr>
            <w:tcW w:w="5450" w:type="dxa"/>
            <w:vAlign w:val="center"/>
            <w:hideMark/>
          </w:tcPr>
          <w:p w14:paraId="04D434F8" w14:textId="77777777" w:rsidR="00F428E1" w:rsidRDefault="00F428E1">
            <w:pPr>
              <w:spacing w:before="0"/>
              <w:rPr>
                <w:sz w:val="12"/>
                <w:szCs w:val="16"/>
              </w:rPr>
            </w:pPr>
            <w:r>
              <w:rPr>
                <w:sz w:val="12"/>
                <w:szCs w:val="16"/>
              </w:rPr>
              <w:t>Positive/unknown – may indicate more valuable farmland</w:t>
            </w:r>
          </w:p>
        </w:tc>
      </w:tr>
      <w:tr w:rsidR="00F428E1" w14:paraId="6D903048" w14:textId="77777777" w:rsidTr="00405ED7">
        <w:tc>
          <w:tcPr>
            <w:tcW w:w="0" w:type="auto"/>
            <w:vMerge/>
            <w:vAlign w:val="center"/>
            <w:hideMark/>
          </w:tcPr>
          <w:p w14:paraId="21A4CB85" w14:textId="77777777" w:rsidR="00F428E1" w:rsidRDefault="00F428E1">
            <w:pPr>
              <w:spacing w:before="0"/>
              <w:rPr>
                <w:sz w:val="12"/>
                <w:szCs w:val="16"/>
              </w:rPr>
            </w:pPr>
          </w:p>
        </w:tc>
        <w:tc>
          <w:tcPr>
            <w:tcW w:w="1126" w:type="dxa"/>
            <w:vAlign w:val="center"/>
            <w:hideMark/>
          </w:tcPr>
          <w:p w14:paraId="4A206404" w14:textId="77777777" w:rsidR="00F428E1" w:rsidRDefault="00F428E1">
            <w:pPr>
              <w:spacing w:before="0"/>
              <w:rPr>
                <w:sz w:val="12"/>
                <w:szCs w:val="16"/>
              </w:rPr>
            </w:pPr>
            <w:r>
              <w:rPr>
                <w:sz w:val="12"/>
                <w:szCs w:val="16"/>
              </w:rPr>
              <w:t xml:space="preserve">Grazing </w:t>
            </w:r>
          </w:p>
        </w:tc>
        <w:tc>
          <w:tcPr>
            <w:tcW w:w="1499" w:type="dxa"/>
            <w:vAlign w:val="center"/>
            <w:hideMark/>
          </w:tcPr>
          <w:p w14:paraId="57A9B7DB" w14:textId="77777777" w:rsidR="00F428E1" w:rsidRDefault="00F428E1">
            <w:pPr>
              <w:spacing w:before="0"/>
              <w:rPr>
                <w:sz w:val="12"/>
                <w:szCs w:val="16"/>
              </w:rPr>
            </w:pPr>
            <w:r>
              <w:rPr>
                <w:sz w:val="12"/>
                <w:szCs w:val="16"/>
              </w:rPr>
              <w:t>Dummy variable assigned where land used for grazing exceeds 50 hectares</w:t>
            </w:r>
          </w:p>
        </w:tc>
        <w:tc>
          <w:tcPr>
            <w:tcW w:w="5450" w:type="dxa"/>
            <w:vAlign w:val="center"/>
            <w:hideMark/>
          </w:tcPr>
          <w:p w14:paraId="24FF3490" w14:textId="77777777" w:rsidR="00F428E1" w:rsidRDefault="00F428E1">
            <w:pPr>
              <w:spacing w:before="0"/>
              <w:rPr>
                <w:sz w:val="12"/>
                <w:szCs w:val="16"/>
              </w:rPr>
            </w:pPr>
            <w:r>
              <w:rPr>
                <w:sz w:val="12"/>
                <w:szCs w:val="16"/>
              </w:rPr>
              <w:t>Negative/unknown – may indicate less valuable farmland</w:t>
            </w:r>
          </w:p>
        </w:tc>
      </w:tr>
      <w:tr w:rsidR="00F428E1" w14:paraId="37D925E1" w14:textId="77777777" w:rsidTr="00405ED7">
        <w:tc>
          <w:tcPr>
            <w:tcW w:w="0" w:type="auto"/>
            <w:vMerge/>
            <w:vAlign w:val="center"/>
            <w:hideMark/>
          </w:tcPr>
          <w:p w14:paraId="4F992E4B" w14:textId="77777777" w:rsidR="00F428E1" w:rsidRDefault="00F428E1">
            <w:pPr>
              <w:spacing w:before="0"/>
              <w:rPr>
                <w:sz w:val="12"/>
                <w:szCs w:val="16"/>
              </w:rPr>
            </w:pPr>
          </w:p>
        </w:tc>
        <w:tc>
          <w:tcPr>
            <w:tcW w:w="1126" w:type="dxa"/>
            <w:vAlign w:val="center"/>
            <w:hideMark/>
          </w:tcPr>
          <w:p w14:paraId="4291E211" w14:textId="77777777" w:rsidR="00F428E1" w:rsidRDefault="00F428E1">
            <w:pPr>
              <w:spacing w:before="0"/>
              <w:rPr>
                <w:sz w:val="12"/>
                <w:szCs w:val="16"/>
              </w:rPr>
            </w:pPr>
            <w:r>
              <w:rPr>
                <w:sz w:val="12"/>
                <w:szCs w:val="16"/>
              </w:rPr>
              <w:t>Mines sites</w:t>
            </w:r>
          </w:p>
        </w:tc>
        <w:tc>
          <w:tcPr>
            <w:tcW w:w="1499" w:type="dxa"/>
            <w:vAlign w:val="center"/>
            <w:hideMark/>
          </w:tcPr>
          <w:p w14:paraId="719A7273" w14:textId="77777777" w:rsidR="00F428E1" w:rsidRDefault="00F428E1">
            <w:pPr>
              <w:spacing w:before="0"/>
              <w:rPr>
                <w:sz w:val="12"/>
                <w:szCs w:val="16"/>
              </w:rPr>
            </w:pPr>
            <w:r>
              <w:rPr>
                <w:sz w:val="12"/>
                <w:szCs w:val="16"/>
              </w:rPr>
              <w:t>Dummy variable assigned where mine site identified on farmland</w:t>
            </w:r>
          </w:p>
        </w:tc>
        <w:tc>
          <w:tcPr>
            <w:tcW w:w="5450" w:type="dxa"/>
            <w:vAlign w:val="center"/>
            <w:hideMark/>
          </w:tcPr>
          <w:p w14:paraId="4D25A288" w14:textId="77777777" w:rsidR="00F428E1" w:rsidRDefault="00F428E1">
            <w:pPr>
              <w:spacing w:before="0"/>
              <w:rPr>
                <w:sz w:val="12"/>
                <w:szCs w:val="16"/>
              </w:rPr>
            </w:pPr>
            <w:r>
              <w:rPr>
                <w:sz w:val="12"/>
                <w:szCs w:val="16"/>
              </w:rPr>
              <w:t>Unknown. Some anecdotal information suggests a positive relationship</w:t>
            </w:r>
          </w:p>
        </w:tc>
      </w:tr>
      <w:tr w:rsidR="00F428E1" w14:paraId="356EE98F" w14:textId="77777777" w:rsidTr="00405ED7">
        <w:tc>
          <w:tcPr>
            <w:tcW w:w="0" w:type="auto"/>
            <w:vMerge/>
            <w:vAlign w:val="center"/>
            <w:hideMark/>
          </w:tcPr>
          <w:p w14:paraId="208F06DA" w14:textId="77777777" w:rsidR="00F428E1" w:rsidRDefault="00F428E1">
            <w:pPr>
              <w:spacing w:before="0"/>
              <w:rPr>
                <w:sz w:val="12"/>
                <w:szCs w:val="16"/>
              </w:rPr>
            </w:pPr>
          </w:p>
        </w:tc>
        <w:tc>
          <w:tcPr>
            <w:tcW w:w="1126" w:type="dxa"/>
            <w:vAlign w:val="center"/>
            <w:hideMark/>
          </w:tcPr>
          <w:p w14:paraId="2A069211" w14:textId="77777777" w:rsidR="00F428E1" w:rsidRDefault="00F428E1">
            <w:pPr>
              <w:spacing w:before="0"/>
              <w:rPr>
                <w:sz w:val="12"/>
                <w:szCs w:val="16"/>
              </w:rPr>
            </w:pPr>
            <w:r>
              <w:rPr>
                <w:sz w:val="12"/>
                <w:szCs w:val="16"/>
              </w:rPr>
              <w:t xml:space="preserve">Wind power </w:t>
            </w:r>
          </w:p>
        </w:tc>
        <w:tc>
          <w:tcPr>
            <w:tcW w:w="1499" w:type="dxa"/>
            <w:vAlign w:val="center"/>
            <w:hideMark/>
          </w:tcPr>
          <w:p w14:paraId="591E6AD8" w14:textId="77777777" w:rsidR="00F428E1" w:rsidRDefault="00F428E1">
            <w:pPr>
              <w:spacing w:before="0"/>
              <w:rPr>
                <w:sz w:val="12"/>
                <w:szCs w:val="16"/>
              </w:rPr>
            </w:pPr>
            <w:r>
              <w:rPr>
                <w:sz w:val="12"/>
                <w:szCs w:val="16"/>
              </w:rPr>
              <w:t>Dummy where wind turbines present on farmland</w:t>
            </w:r>
          </w:p>
        </w:tc>
        <w:tc>
          <w:tcPr>
            <w:tcW w:w="5450" w:type="dxa"/>
            <w:vAlign w:val="center"/>
            <w:hideMark/>
          </w:tcPr>
          <w:p w14:paraId="7EF5C40C" w14:textId="34AD107B" w:rsidR="00F428E1" w:rsidRDefault="00F428E1" w:rsidP="007F2D31">
            <w:pPr>
              <w:spacing w:before="0"/>
              <w:rPr>
                <w:sz w:val="12"/>
                <w:szCs w:val="16"/>
              </w:rPr>
            </w:pPr>
            <w:r>
              <w:rPr>
                <w:sz w:val="12"/>
                <w:szCs w:val="16"/>
              </w:rPr>
              <w:t xml:space="preserve">Positive – </w:t>
            </w:r>
            <w:r w:rsidR="007F2D31">
              <w:rPr>
                <w:sz w:val="12"/>
                <w:szCs w:val="16"/>
              </w:rPr>
              <w:t>rental returns</w:t>
            </w:r>
          </w:p>
        </w:tc>
      </w:tr>
      <w:tr w:rsidR="00F428E1" w14:paraId="5553D1D2" w14:textId="77777777" w:rsidTr="00405ED7">
        <w:tc>
          <w:tcPr>
            <w:tcW w:w="0" w:type="auto"/>
            <w:vMerge/>
            <w:vAlign w:val="center"/>
            <w:hideMark/>
          </w:tcPr>
          <w:p w14:paraId="7B02EDAF" w14:textId="77777777" w:rsidR="00F428E1" w:rsidRDefault="00F428E1">
            <w:pPr>
              <w:spacing w:before="0"/>
              <w:rPr>
                <w:sz w:val="12"/>
                <w:szCs w:val="16"/>
              </w:rPr>
            </w:pPr>
          </w:p>
        </w:tc>
        <w:tc>
          <w:tcPr>
            <w:tcW w:w="1126" w:type="dxa"/>
            <w:vAlign w:val="center"/>
            <w:hideMark/>
          </w:tcPr>
          <w:p w14:paraId="3A655181" w14:textId="77777777" w:rsidR="00F428E1" w:rsidRDefault="00F428E1">
            <w:pPr>
              <w:spacing w:before="0"/>
              <w:rPr>
                <w:sz w:val="12"/>
                <w:szCs w:val="16"/>
              </w:rPr>
            </w:pPr>
            <w:r>
              <w:rPr>
                <w:sz w:val="12"/>
                <w:szCs w:val="16"/>
              </w:rPr>
              <w:t>Buildings</w:t>
            </w:r>
          </w:p>
        </w:tc>
        <w:tc>
          <w:tcPr>
            <w:tcW w:w="1499" w:type="dxa"/>
            <w:vAlign w:val="center"/>
            <w:hideMark/>
          </w:tcPr>
          <w:p w14:paraId="5BF49050" w14:textId="77777777" w:rsidR="00F428E1" w:rsidRDefault="00F428E1">
            <w:pPr>
              <w:spacing w:before="0"/>
              <w:rPr>
                <w:sz w:val="12"/>
                <w:szCs w:val="16"/>
              </w:rPr>
            </w:pPr>
            <w:r>
              <w:rPr>
                <w:sz w:val="12"/>
                <w:szCs w:val="16"/>
              </w:rPr>
              <w:t xml:space="preserve">Dummy where buildings/infrastructure are present </w:t>
            </w:r>
          </w:p>
        </w:tc>
        <w:tc>
          <w:tcPr>
            <w:tcW w:w="5450" w:type="dxa"/>
            <w:vAlign w:val="center"/>
            <w:hideMark/>
          </w:tcPr>
          <w:p w14:paraId="50512DB8" w14:textId="77777777" w:rsidR="00F428E1" w:rsidRDefault="00F428E1">
            <w:pPr>
              <w:spacing w:before="0"/>
              <w:rPr>
                <w:sz w:val="12"/>
                <w:szCs w:val="16"/>
              </w:rPr>
            </w:pPr>
            <w:r>
              <w:rPr>
                <w:sz w:val="12"/>
                <w:szCs w:val="16"/>
              </w:rPr>
              <w:t>Positive – fixed investment may increase farmland value</w:t>
            </w:r>
          </w:p>
        </w:tc>
      </w:tr>
      <w:tr w:rsidR="00F428E1" w14:paraId="7DBED2DB" w14:textId="77777777" w:rsidTr="00405ED7">
        <w:tc>
          <w:tcPr>
            <w:tcW w:w="0" w:type="auto"/>
            <w:vMerge/>
            <w:vAlign w:val="center"/>
            <w:hideMark/>
          </w:tcPr>
          <w:p w14:paraId="0BA5474C" w14:textId="77777777" w:rsidR="00F428E1" w:rsidRDefault="00F428E1">
            <w:pPr>
              <w:spacing w:before="0"/>
              <w:rPr>
                <w:sz w:val="12"/>
                <w:szCs w:val="16"/>
              </w:rPr>
            </w:pPr>
          </w:p>
        </w:tc>
        <w:tc>
          <w:tcPr>
            <w:tcW w:w="1126" w:type="dxa"/>
            <w:vAlign w:val="center"/>
            <w:hideMark/>
          </w:tcPr>
          <w:p w14:paraId="5EACF890" w14:textId="77777777" w:rsidR="00F428E1" w:rsidRDefault="00F428E1">
            <w:pPr>
              <w:spacing w:before="0"/>
              <w:rPr>
                <w:sz w:val="12"/>
                <w:szCs w:val="16"/>
              </w:rPr>
            </w:pPr>
            <w:r>
              <w:rPr>
                <w:sz w:val="12"/>
                <w:szCs w:val="16"/>
              </w:rPr>
              <w:t>Soil Acid high</w:t>
            </w:r>
          </w:p>
        </w:tc>
        <w:tc>
          <w:tcPr>
            <w:tcW w:w="1499" w:type="dxa"/>
            <w:vAlign w:val="center"/>
            <w:hideMark/>
          </w:tcPr>
          <w:p w14:paraId="2CC890DE" w14:textId="77777777" w:rsidR="00F428E1" w:rsidRDefault="00F428E1">
            <w:pPr>
              <w:spacing w:before="0"/>
              <w:rPr>
                <w:sz w:val="12"/>
                <w:szCs w:val="16"/>
              </w:rPr>
            </w:pPr>
            <w:r>
              <w:rPr>
                <w:sz w:val="12"/>
                <w:szCs w:val="16"/>
              </w:rPr>
              <w:t>Acidification risk high</w:t>
            </w:r>
          </w:p>
        </w:tc>
        <w:tc>
          <w:tcPr>
            <w:tcW w:w="5450" w:type="dxa"/>
            <w:vAlign w:val="center"/>
            <w:hideMark/>
          </w:tcPr>
          <w:p w14:paraId="256A6559" w14:textId="77777777" w:rsidR="00F428E1" w:rsidRDefault="00F428E1">
            <w:pPr>
              <w:spacing w:before="0"/>
              <w:rPr>
                <w:sz w:val="12"/>
                <w:szCs w:val="16"/>
              </w:rPr>
            </w:pPr>
            <w:r>
              <w:rPr>
                <w:sz w:val="12"/>
                <w:szCs w:val="16"/>
              </w:rPr>
              <w:t>Negative</w:t>
            </w:r>
          </w:p>
        </w:tc>
      </w:tr>
      <w:tr w:rsidR="00F428E1" w14:paraId="2B571FD0" w14:textId="77777777" w:rsidTr="00405ED7">
        <w:tc>
          <w:tcPr>
            <w:tcW w:w="0" w:type="auto"/>
            <w:vMerge/>
            <w:vAlign w:val="center"/>
            <w:hideMark/>
          </w:tcPr>
          <w:p w14:paraId="1CAC1F5C" w14:textId="77777777" w:rsidR="00F428E1" w:rsidRDefault="00F428E1">
            <w:pPr>
              <w:spacing w:before="0"/>
              <w:rPr>
                <w:sz w:val="12"/>
                <w:szCs w:val="16"/>
              </w:rPr>
            </w:pPr>
          </w:p>
        </w:tc>
        <w:tc>
          <w:tcPr>
            <w:tcW w:w="1126" w:type="dxa"/>
            <w:vAlign w:val="center"/>
            <w:hideMark/>
          </w:tcPr>
          <w:p w14:paraId="123BD362" w14:textId="77777777" w:rsidR="00F428E1" w:rsidRDefault="00F428E1">
            <w:pPr>
              <w:spacing w:before="0"/>
              <w:rPr>
                <w:sz w:val="12"/>
                <w:szCs w:val="16"/>
              </w:rPr>
            </w:pPr>
            <w:r>
              <w:rPr>
                <w:sz w:val="12"/>
                <w:szCs w:val="16"/>
              </w:rPr>
              <w:t>Soil Carbon high</w:t>
            </w:r>
          </w:p>
        </w:tc>
        <w:tc>
          <w:tcPr>
            <w:tcW w:w="1499" w:type="dxa"/>
            <w:vAlign w:val="center"/>
            <w:hideMark/>
          </w:tcPr>
          <w:p w14:paraId="1C290A9B" w14:textId="77777777" w:rsidR="00F428E1" w:rsidRDefault="00F428E1">
            <w:pPr>
              <w:spacing w:before="0"/>
              <w:rPr>
                <w:sz w:val="12"/>
                <w:szCs w:val="16"/>
              </w:rPr>
            </w:pPr>
            <w:r>
              <w:rPr>
                <w:sz w:val="12"/>
                <w:szCs w:val="16"/>
              </w:rPr>
              <w:t>Soil carbon potential high</w:t>
            </w:r>
          </w:p>
        </w:tc>
        <w:tc>
          <w:tcPr>
            <w:tcW w:w="5450" w:type="dxa"/>
            <w:vAlign w:val="center"/>
            <w:hideMark/>
          </w:tcPr>
          <w:p w14:paraId="6D889208" w14:textId="77777777" w:rsidR="00F428E1" w:rsidRDefault="00F428E1">
            <w:pPr>
              <w:spacing w:before="0"/>
              <w:rPr>
                <w:sz w:val="12"/>
                <w:szCs w:val="16"/>
              </w:rPr>
            </w:pPr>
            <w:r>
              <w:rPr>
                <w:sz w:val="12"/>
                <w:szCs w:val="16"/>
              </w:rPr>
              <w:t>Negative</w:t>
            </w:r>
          </w:p>
        </w:tc>
      </w:tr>
      <w:tr w:rsidR="00F428E1" w14:paraId="1EDAC775" w14:textId="77777777" w:rsidTr="00405ED7">
        <w:tc>
          <w:tcPr>
            <w:tcW w:w="0" w:type="auto"/>
            <w:vMerge/>
            <w:vAlign w:val="center"/>
            <w:hideMark/>
          </w:tcPr>
          <w:p w14:paraId="486C3F69" w14:textId="77777777" w:rsidR="00F428E1" w:rsidRDefault="00F428E1">
            <w:pPr>
              <w:spacing w:before="0"/>
              <w:rPr>
                <w:sz w:val="12"/>
                <w:szCs w:val="16"/>
              </w:rPr>
            </w:pPr>
          </w:p>
        </w:tc>
        <w:tc>
          <w:tcPr>
            <w:tcW w:w="1126" w:type="dxa"/>
            <w:vAlign w:val="center"/>
            <w:hideMark/>
          </w:tcPr>
          <w:p w14:paraId="7BC9789B" w14:textId="77777777" w:rsidR="00F428E1" w:rsidRDefault="00F428E1">
            <w:pPr>
              <w:spacing w:before="0"/>
              <w:rPr>
                <w:sz w:val="12"/>
                <w:szCs w:val="16"/>
              </w:rPr>
            </w:pPr>
            <w:r>
              <w:rPr>
                <w:sz w:val="12"/>
                <w:szCs w:val="16"/>
              </w:rPr>
              <w:t>Wind erosion high</w:t>
            </w:r>
          </w:p>
        </w:tc>
        <w:tc>
          <w:tcPr>
            <w:tcW w:w="1499" w:type="dxa"/>
            <w:vAlign w:val="center"/>
            <w:hideMark/>
          </w:tcPr>
          <w:p w14:paraId="7B24CDDD" w14:textId="77777777" w:rsidR="00F428E1" w:rsidRDefault="00F428E1">
            <w:pPr>
              <w:spacing w:before="0"/>
              <w:rPr>
                <w:sz w:val="12"/>
                <w:szCs w:val="16"/>
              </w:rPr>
            </w:pPr>
            <w:r>
              <w:rPr>
                <w:sz w:val="12"/>
                <w:szCs w:val="16"/>
              </w:rPr>
              <w:t>Wind erosion risk high</w:t>
            </w:r>
          </w:p>
        </w:tc>
        <w:tc>
          <w:tcPr>
            <w:tcW w:w="5450" w:type="dxa"/>
            <w:vAlign w:val="center"/>
            <w:hideMark/>
          </w:tcPr>
          <w:p w14:paraId="4DFA855B" w14:textId="77777777" w:rsidR="00F428E1" w:rsidRDefault="00F428E1">
            <w:pPr>
              <w:spacing w:before="0"/>
              <w:rPr>
                <w:sz w:val="12"/>
                <w:szCs w:val="16"/>
              </w:rPr>
            </w:pPr>
            <w:r>
              <w:rPr>
                <w:sz w:val="12"/>
                <w:szCs w:val="16"/>
              </w:rPr>
              <w:t>Negative</w:t>
            </w:r>
          </w:p>
        </w:tc>
      </w:tr>
      <w:tr w:rsidR="00F428E1" w14:paraId="231B00FC" w14:textId="77777777" w:rsidTr="00405ED7">
        <w:tc>
          <w:tcPr>
            <w:tcW w:w="0" w:type="auto"/>
            <w:vMerge/>
            <w:vAlign w:val="center"/>
            <w:hideMark/>
          </w:tcPr>
          <w:p w14:paraId="4A228D59" w14:textId="77777777" w:rsidR="00F428E1" w:rsidRDefault="00F428E1">
            <w:pPr>
              <w:spacing w:before="0"/>
              <w:rPr>
                <w:sz w:val="12"/>
                <w:szCs w:val="16"/>
              </w:rPr>
            </w:pPr>
          </w:p>
        </w:tc>
        <w:tc>
          <w:tcPr>
            <w:tcW w:w="1126" w:type="dxa"/>
            <w:vAlign w:val="center"/>
            <w:hideMark/>
          </w:tcPr>
          <w:p w14:paraId="2A9571DD" w14:textId="77777777" w:rsidR="00F428E1" w:rsidRDefault="00F428E1">
            <w:pPr>
              <w:spacing w:before="0"/>
              <w:rPr>
                <w:sz w:val="12"/>
                <w:szCs w:val="16"/>
              </w:rPr>
            </w:pPr>
            <w:r>
              <w:rPr>
                <w:sz w:val="12"/>
                <w:szCs w:val="16"/>
              </w:rPr>
              <w:t>Water erosion high</w:t>
            </w:r>
          </w:p>
        </w:tc>
        <w:tc>
          <w:tcPr>
            <w:tcW w:w="1499" w:type="dxa"/>
            <w:vAlign w:val="center"/>
            <w:hideMark/>
          </w:tcPr>
          <w:p w14:paraId="423DFFA8" w14:textId="77777777" w:rsidR="00F428E1" w:rsidRDefault="00F428E1">
            <w:pPr>
              <w:spacing w:before="0"/>
              <w:rPr>
                <w:sz w:val="12"/>
                <w:szCs w:val="16"/>
              </w:rPr>
            </w:pPr>
            <w:r>
              <w:rPr>
                <w:sz w:val="12"/>
                <w:szCs w:val="16"/>
              </w:rPr>
              <w:t>Water erosion risk high</w:t>
            </w:r>
          </w:p>
        </w:tc>
        <w:tc>
          <w:tcPr>
            <w:tcW w:w="5450" w:type="dxa"/>
            <w:vAlign w:val="center"/>
            <w:hideMark/>
          </w:tcPr>
          <w:p w14:paraId="5F8597BC" w14:textId="77777777" w:rsidR="00F428E1" w:rsidRDefault="00F428E1">
            <w:pPr>
              <w:spacing w:before="0"/>
              <w:rPr>
                <w:sz w:val="12"/>
                <w:szCs w:val="16"/>
              </w:rPr>
            </w:pPr>
            <w:r>
              <w:rPr>
                <w:sz w:val="12"/>
                <w:szCs w:val="16"/>
              </w:rPr>
              <w:t>Negative</w:t>
            </w:r>
          </w:p>
        </w:tc>
      </w:tr>
      <w:tr w:rsidR="007E0EE2" w14:paraId="35260984" w14:textId="77777777" w:rsidTr="00405ED7">
        <w:tc>
          <w:tcPr>
            <w:tcW w:w="0" w:type="auto"/>
            <w:vMerge w:val="restart"/>
            <w:vAlign w:val="center"/>
          </w:tcPr>
          <w:p w14:paraId="5E01766C" w14:textId="77777777" w:rsidR="007E0EE2" w:rsidRDefault="007E0EE2">
            <w:pPr>
              <w:rPr>
                <w:sz w:val="12"/>
                <w:szCs w:val="16"/>
              </w:rPr>
            </w:pPr>
            <w:r>
              <w:rPr>
                <w:sz w:val="12"/>
                <w:szCs w:val="16"/>
              </w:rPr>
              <w:t>Macro</w:t>
            </w:r>
          </w:p>
        </w:tc>
        <w:tc>
          <w:tcPr>
            <w:tcW w:w="1126" w:type="dxa"/>
            <w:vAlign w:val="center"/>
          </w:tcPr>
          <w:p w14:paraId="7928F3E2" w14:textId="77777777" w:rsidR="007E0EE2" w:rsidRDefault="007E0EE2">
            <w:pPr>
              <w:rPr>
                <w:sz w:val="12"/>
                <w:szCs w:val="16"/>
              </w:rPr>
            </w:pPr>
            <w:r>
              <w:rPr>
                <w:sz w:val="12"/>
                <w:szCs w:val="16"/>
              </w:rPr>
              <w:t>Productivity</w:t>
            </w:r>
          </w:p>
        </w:tc>
        <w:tc>
          <w:tcPr>
            <w:tcW w:w="1499" w:type="dxa"/>
            <w:vAlign w:val="center"/>
          </w:tcPr>
          <w:p w14:paraId="33211F76" w14:textId="77777777" w:rsidR="007E0EE2" w:rsidRDefault="007E0EE2">
            <w:pPr>
              <w:rPr>
                <w:sz w:val="12"/>
                <w:szCs w:val="16"/>
              </w:rPr>
            </w:pPr>
            <w:r>
              <w:rPr>
                <w:sz w:val="12"/>
                <w:szCs w:val="16"/>
              </w:rPr>
              <w:t>State level experimental productivity estimates assigned as indicator of technology</w:t>
            </w:r>
          </w:p>
        </w:tc>
        <w:tc>
          <w:tcPr>
            <w:tcW w:w="5450" w:type="dxa"/>
            <w:vAlign w:val="center"/>
          </w:tcPr>
          <w:p w14:paraId="18C0BD2C" w14:textId="77777777" w:rsidR="007E0EE2" w:rsidRDefault="007E0EE2">
            <w:pPr>
              <w:rPr>
                <w:sz w:val="12"/>
                <w:szCs w:val="16"/>
              </w:rPr>
            </w:pPr>
            <w:r>
              <w:rPr>
                <w:sz w:val="12"/>
                <w:szCs w:val="16"/>
              </w:rPr>
              <w:t xml:space="preserve">Positive – productivity improvement may lead to improvements in land management and investment in fixed infrastructure through improved technology and farming practices.  </w:t>
            </w:r>
          </w:p>
        </w:tc>
      </w:tr>
      <w:tr w:rsidR="007E0EE2" w14:paraId="07795EF6" w14:textId="77777777" w:rsidTr="00405ED7">
        <w:tc>
          <w:tcPr>
            <w:tcW w:w="0" w:type="auto"/>
            <w:vMerge/>
            <w:vAlign w:val="center"/>
          </w:tcPr>
          <w:p w14:paraId="0F47E034" w14:textId="77777777" w:rsidR="007E0EE2" w:rsidRDefault="007E0EE2">
            <w:pPr>
              <w:rPr>
                <w:sz w:val="12"/>
                <w:szCs w:val="16"/>
              </w:rPr>
            </w:pPr>
          </w:p>
        </w:tc>
        <w:tc>
          <w:tcPr>
            <w:tcW w:w="1126" w:type="dxa"/>
            <w:vAlign w:val="center"/>
          </w:tcPr>
          <w:p w14:paraId="5370D6CC" w14:textId="77777777" w:rsidR="007E0EE2" w:rsidRDefault="007E0EE2">
            <w:pPr>
              <w:rPr>
                <w:sz w:val="12"/>
                <w:szCs w:val="16"/>
              </w:rPr>
            </w:pPr>
            <w:r>
              <w:rPr>
                <w:sz w:val="12"/>
                <w:szCs w:val="16"/>
              </w:rPr>
              <w:t>Rural debt</w:t>
            </w:r>
          </w:p>
        </w:tc>
        <w:tc>
          <w:tcPr>
            <w:tcW w:w="1499" w:type="dxa"/>
            <w:vAlign w:val="center"/>
          </w:tcPr>
          <w:p w14:paraId="2AED3AE2" w14:textId="77777777" w:rsidR="007E0EE2" w:rsidRDefault="007A0445" w:rsidP="007A0445">
            <w:pPr>
              <w:rPr>
                <w:sz w:val="12"/>
                <w:szCs w:val="16"/>
              </w:rPr>
            </w:pPr>
            <w:r>
              <w:rPr>
                <w:sz w:val="12"/>
                <w:szCs w:val="16"/>
              </w:rPr>
              <w:t>Total national rural debt (RBA)</w:t>
            </w:r>
          </w:p>
        </w:tc>
        <w:tc>
          <w:tcPr>
            <w:tcW w:w="5450" w:type="dxa"/>
            <w:vAlign w:val="center"/>
          </w:tcPr>
          <w:p w14:paraId="69F8C3B8" w14:textId="77777777" w:rsidR="007E0EE2" w:rsidRDefault="007E0EE2">
            <w:pPr>
              <w:rPr>
                <w:sz w:val="12"/>
                <w:szCs w:val="16"/>
              </w:rPr>
            </w:pPr>
            <w:r>
              <w:rPr>
                <w:sz w:val="12"/>
                <w:szCs w:val="16"/>
              </w:rPr>
              <w:t xml:space="preserve">Positive – Increases in debt may be an indication of increased demand for agricultural land and increase availability of lending.  </w:t>
            </w:r>
          </w:p>
        </w:tc>
      </w:tr>
    </w:tbl>
    <w:p w14:paraId="563CB32C" w14:textId="77777777" w:rsidR="006606A8" w:rsidRDefault="006606A8" w:rsidP="00E96433"/>
    <w:p w14:paraId="71B2747A" w14:textId="77777777" w:rsidR="00A47D99" w:rsidRPr="00EF7920" w:rsidRDefault="00A47D99" w:rsidP="00E96433">
      <w:pPr>
        <w:rPr>
          <w:rFonts w:asciiTheme="majorHAnsi" w:eastAsia="Calibri" w:hAnsiTheme="majorHAnsi" w:cs="Times New Roman"/>
        </w:rPr>
      </w:pPr>
      <w:r>
        <w:t xml:space="preserve">The method used to generate the hedonic land value estimates varies slightly according to the scope of the analysis. For the analysis at the national </w:t>
      </w:r>
      <w:r w:rsidR="00DD051D">
        <w:t xml:space="preserve">level, by ABARES zones </w:t>
      </w:r>
      <w:r>
        <w:t xml:space="preserve">and GRDC regions, a robust regression method (Hamilton, 1991) is applied (rreg in stata). The dependent and explanatory variables remain the same throughout, however the strata and controls vary slightly. This method begins by fitting an ordinary least squares regression based on a typical OLS as in Equation (1), where </w:t>
      </w:r>
      <w:r>
        <w:rPr>
          <w:rFonts w:asciiTheme="majorHAnsi" w:hAnsiTheme="majorHAnsi"/>
        </w:rPr>
        <w:t>the logged dependent variable (contract price per hectare) is represented by</w:t>
      </w:r>
      <m:oMath>
        <m:r>
          <w:rPr>
            <w:rFonts w:ascii="Cambria Math" w:hAnsi="Cambria Math"/>
          </w:rPr>
          <m:t xml:space="preserve"> </m:t>
        </m:r>
        <m:r>
          <m:rPr>
            <m:sty m:val="p"/>
          </m:rPr>
          <w:rPr>
            <w:rFonts w:ascii="Cambria Math" w:hAnsi="Cambria Math"/>
          </w:rPr>
          <m:t>log⁡</m:t>
        </m:r>
        <m:r>
          <w:rPr>
            <w:rFonts w:ascii="Cambria Math" w:hAnsi="Cambria Math"/>
          </w:rPr>
          <m:t>(Y)</m:t>
        </m:r>
      </m:oMath>
      <w:r>
        <w:rPr>
          <w:rFonts w:asciiTheme="majorHAnsi" w:hAnsiTheme="majorHAnsi"/>
        </w:rPr>
        <w:t>, the coefficients are represented by</w:t>
      </w:r>
      <m:oMath>
        <m:r>
          <w:rPr>
            <w:rFonts w:ascii="Cambria Math" w:hAnsi="Cambria Math"/>
          </w:rPr>
          <m:t xml:space="preserve"> β</m:t>
        </m:r>
      </m:oMath>
      <w:r>
        <w:rPr>
          <w:rFonts w:asciiTheme="majorHAnsi" w:hAnsiTheme="majorHAnsi"/>
        </w:rPr>
        <w:t>, the logged explanatory variables are represented by</w:t>
      </w:r>
      <m:oMath>
        <m:r>
          <w:rPr>
            <w:rFonts w:ascii="Cambria Math" w:hAnsi="Cambria Math"/>
          </w:rPr>
          <m:t xml:space="preserve"> </m:t>
        </m:r>
        <m:r>
          <m:rPr>
            <m:sty m:val="p"/>
          </m:rPr>
          <w:rPr>
            <w:rFonts w:ascii="Cambria Math" w:hAnsi="Cambria Math"/>
          </w:rPr>
          <m:t>log⁡</m:t>
        </m:r>
        <m:r>
          <w:rPr>
            <w:rFonts w:ascii="Cambria Math" w:hAnsi="Cambria Math"/>
          </w:rPr>
          <m:t>(X)</m:t>
        </m:r>
      </m:oMath>
      <w:r>
        <w:rPr>
          <w:rFonts w:asciiTheme="majorHAnsi" w:hAnsiTheme="majorHAnsi"/>
        </w:rPr>
        <w:t xml:space="preserve">, the dummy explanatory variables are represented as </w:t>
      </w:r>
      <m:oMath>
        <m:r>
          <w:rPr>
            <w:rFonts w:ascii="Cambria Math" w:hAnsi="Cambria Math"/>
          </w:rPr>
          <m:t xml:space="preserve"> XD</m:t>
        </m:r>
      </m:oMath>
      <w:r>
        <w:rPr>
          <w:rFonts w:asciiTheme="majorHAnsi" w:hAnsiTheme="majorHAnsi"/>
        </w:rPr>
        <w:t xml:space="preserve">, and the control variables for time (year) are </w:t>
      </w:r>
      <m:oMath>
        <m:r>
          <w:rPr>
            <w:rFonts w:ascii="Cambria Math" w:hAnsi="Cambria Math"/>
          </w:rPr>
          <m:t>CT</m:t>
        </m:r>
      </m:oMath>
      <w:r>
        <w:rPr>
          <w:rFonts w:asciiTheme="majorHAnsi" w:hAnsiTheme="majorHAnsi"/>
        </w:rPr>
        <w:t xml:space="preserve"> (where the base year is automatically selected). The error term is represented by</w:t>
      </w:r>
      <m:oMath>
        <m:r>
          <w:rPr>
            <w:rFonts w:ascii="Cambria Math" w:hAnsi="Cambria Math"/>
          </w:rPr>
          <m:t xml:space="preserve"> ϵ</m:t>
        </m:r>
      </m:oMath>
      <w:r>
        <w:rPr>
          <w:rFonts w:asciiTheme="majorHAnsi" w:hAnsiTheme="majorHAnsi"/>
        </w:rPr>
        <w:t xml:space="preserve">. Equation 1 is used for the analysis at the national level: </w:t>
      </w:r>
    </w:p>
    <w:p w14:paraId="662B4FD3" w14:textId="77777777" w:rsidR="00A47D99" w:rsidRDefault="009F7388" w:rsidP="00A643E9">
      <w:pPr>
        <w:rPr>
          <w:rFonts w:asciiTheme="majorHAnsi" w:hAnsiTheme="majorHAnsi"/>
        </w:rPr>
      </w:pPr>
      <m:oMath>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CT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XD</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CT</m:t>
            </m:r>
          </m:e>
          <m:sub>
            <m:r>
              <w:rPr>
                <w:rFonts w:ascii="Cambria Math" w:hAnsi="Cambria Math"/>
              </w:rPr>
              <m:t>x</m:t>
            </m:r>
          </m:sub>
        </m:sSub>
        <m:r>
          <w:rPr>
            <w:rFonts w:ascii="Cambria Math" w:hAnsi="Cambria Math"/>
          </w:rPr>
          <m:t>+ϵ</m:t>
        </m:r>
      </m:oMath>
      <w:r w:rsidR="00A47D99">
        <w:rPr>
          <w:rFonts w:asciiTheme="majorHAnsi" w:hAnsiTheme="majorHAnsi"/>
        </w:rPr>
        <w:tab/>
      </w:r>
      <w:r w:rsidR="00A47D99">
        <w:rPr>
          <w:rFonts w:asciiTheme="majorHAnsi" w:hAnsiTheme="majorHAnsi"/>
        </w:rPr>
        <w:tab/>
        <w:t>(1)</w:t>
      </w:r>
    </w:p>
    <w:p w14:paraId="26A233E3" w14:textId="77777777" w:rsidR="00A47D99" w:rsidRDefault="00A47D99" w:rsidP="00E96433">
      <w:r>
        <w:t xml:space="preserve">For ABARES zones, strata </w:t>
      </w:r>
      <m:oMath>
        <m:r>
          <w:rPr>
            <w:rFonts w:ascii="Cambria Math" w:hAnsi="Cambria Math"/>
          </w:rPr>
          <m:t>R</m:t>
        </m:r>
      </m:oMath>
      <w:r>
        <w:t xml:space="preserve"> is assigned to separate the analysis according to the High Rainfall Zone, the Wheat Sheep Zone, and the </w:t>
      </w:r>
      <w:r w:rsidR="00EF7920">
        <w:t>Pastoral zone as in Equation 2:</w:t>
      </w:r>
    </w:p>
    <w:p w14:paraId="37AD43F6" w14:textId="77777777" w:rsidR="00A47D99" w:rsidRPr="00EF7920" w:rsidRDefault="009F7388" w:rsidP="00A643E9">
      <w:pPr>
        <w:rPr>
          <w:rFonts w:asciiTheme="majorHAnsi" w:hAnsiTheme="majorHAnsi"/>
        </w:rPr>
      </w:pPr>
      <m:oMath>
        <m:func>
          <m:funcPr>
            <m:ctrlPr>
              <w:rPr>
                <w:rFonts w:ascii="Cambria Math" w:hAnsi="Cambria Math"/>
                <w:i/>
              </w:rPr>
            </m:ctrlPr>
          </m:funcPr>
          <m:fName>
            <m:r>
              <w:rPr>
                <w:rFonts w:ascii="Cambria Math" w:hAnsi="Cambria Math"/>
              </w:rPr>
              <m:t>R(log</m:t>
            </m:r>
          </m:fName>
          <m:e>
            <m:d>
              <m:dPr>
                <m:ctrlPr>
                  <w:rPr>
                    <w:rFonts w:ascii="Cambria Math" w:hAnsi="Cambria Math"/>
                    <w:i/>
                  </w:rPr>
                </m:ctrlPr>
              </m:dPr>
              <m:e>
                <m:r>
                  <w:rPr>
                    <w:rFonts w:ascii="Cambria Math" w:hAnsi="Cambria Math"/>
                  </w:rPr>
                  <m:t>Y</m:t>
                </m:r>
              </m:e>
            </m:d>
          </m:e>
        </m:func>
        <m:r>
          <w:rPr>
            <w:rFonts w:ascii="Cambria Math" w:hAnsi="Cambria Math"/>
          </w:rPr>
          <m:t xml:space="preserve">)= </m:t>
        </m:r>
        <m:sSub>
          <m:sSubPr>
            <m:ctrlPr>
              <w:rPr>
                <w:rFonts w:ascii="Cambria Math" w:hAnsi="Cambria Math"/>
                <w:i/>
              </w:rPr>
            </m:ctrlPr>
          </m:sSubPr>
          <m:e>
            <m:r>
              <w:rPr>
                <w:rFonts w:ascii="Cambria Math" w:hAnsi="Cambria Math"/>
              </w:rPr>
              <m:t>R(β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CT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XD</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CT</m:t>
            </m:r>
          </m:e>
          <m:sub>
            <m:r>
              <w:rPr>
                <w:rFonts w:ascii="Cambria Math" w:hAnsi="Cambria Math"/>
              </w:rPr>
              <m:t>x</m:t>
            </m:r>
          </m:sub>
        </m:sSub>
        <m:r>
          <w:rPr>
            <w:rFonts w:ascii="Cambria Math" w:hAnsi="Cambria Math"/>
          </w:rPr>
          <m:t>)+ϵ</m:t>
        </m:r>
      </m:oMath>
      <w:r w:rsidR="00EF7920">
        <w:rPr>
          <w:rFonts w:asciiTheme="majorHAnsi" w:hAnsiTheme="majorHAnsi"/>
        </w:rPr>
        <w:tab/>
        <w:t>(2)</w:t>
      </w:r>
    </w:p>
    <w:p w14:paraId="0D150C90" w14:textId="77777777" w:rsidR="00A47D99" w:rsidRDefault="00A47D99" w:rsidP="00E96433">
      <w:r>
        <w:t xml:space="preserve">The GRDC regional analysis follows a similar logic, yet with the strata of </w:t>
      </w:r>
      <m:oMath>
        <m:r>
          <w:rPr>
            <w:rFonts w:ascii="Cambria Math" w:hAnsi="Cambria Math"/>
          </w:rPr>
          <m:t xml:space="preserve">G </m:t>
        </m:r>
      </m:oMath>
      <w:r>
        <w:t xml:space="preserve">applied to control for the three GRDC regions (Southern, Northern, and Western). A second constraint is applied to </w:t>
      </w:r>
      <w:r>
        <w:lastRenderedPageBreak/>
        <w:t>limit the transactions to cropping farms, which is based on CLUM data, such that</w:t>
      </w:r>
      <m:oMath>
        <m:r>
          <w:rPr>
            <w:rFonts w:ascii="Cambria Math" w:hAnsi="Cambria Math"/>
          </w:rPr>
          <m:t xml:space="preserve"> cropping area ≠0</m:t>
        </m:r>
      </m:oMath>
      <w:r>
        <w:t xml:space="preserve"> (represented as</w:t>
      </w:r>
      <m:oMath>
        <m:r>
          <w:rPr>
            <w:rFonts w:ascii="Cambria Math" w:hAnsi="Cambria Math"/>
          </w:rPr>
          <m:t xml:space="preserve"> C</m:t>
        </m:r>
      </m:oMath>
      <w:r w:rsidR="00380BA9">
        <w:t>) in Equation 3</w:t>
      </w:r>
      <w:r w:rsidR="00EF7920">
        <w:t xml:space="preserve">. </w:t>
      </w:r>
    </w:p>
    <w:p w14:paraId="7B8F9BC5" w14:textId="77777777" w:rsidR="00A47D99" w:rsidRDefault="009F7388" w:rsidP="00A47D99">
      <w:pPr>
        <w:jc w:val="both"/>
      </w:pPr>
      <m:oMath>
        <m:func>
          <m:funcPr>
            <m:ctrlPr>
              <w:rPr>
                <w:rFonts w:ascii="Cambria Math" w:hAnsi="Cambria Math"/>
                <w:i/>
              </w:rPr>
            </m:ctrlPr>
          </m:funcPr>
          <m:fName>
            <m:r>
              <w:rPr>
                <w:rFonts w:ascii="Cambria Math" w:hAnsi="Cambria Math"/>
              </w:rPr>
              <m:t>C.G(log</m:t>
            </m:r>
          </m:fName>
          <m:e>
            <m:d>
              <m:dPr>
                <m:ctrlPr>
                  <w:rPr>
                    <w:rFonts w:ascii="Cambria Math" w:hAnsi="Cambria Math"/>
                    <w:i/>
                  </w:rPr>
                </m:ctrlPr>
              </m:dPr>
              <m:e>
                <m:r>
                  <w:rPr>
                    <w:rFonts w:ascii="Cambria Math" w:hAnsi="Cambria Math"/>
                  </w:rPr>
                  <m:t>Y</m:t>
                </m:r>
              </m:e>
            </m:d>
          </m:e>
        </m:func>
        <m:r>
          <w:rPr>
            <w:rFonts w:ascii="Cambria Math" w:hAnsi="Cambria Math"/>
          </w:rPr>
          <m:t xml:space="preserve">)= </m:t>
        </m:r>
        <m:sSub>
          <m:sSubPr>
            <m:ctrlPr>
              <w:rPr>
                <w:rFonts w:ascii="Cambria Math" w:hAnsi="Cambria Math"/>
                <w:i/>
              </w:rPr>
            </m:ctrlPr>
          </m:sSubPr>
          <m:e>
            <m:r>
              <w:rPr>
                <w:rFonts w:ascii="Cambria Math" w:hAnsi="Cambria Math"/>
              </w:rPr>
              <m:t>C.G(β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CT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XD</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CT</m:t>
            </m:r>
          </m:e>
          <m:sub>
            <m:r>
              <w:rPr>
                <w:rFonts w:ascii="Cambria Math" w:hAnsi="Cambria Math"/>
              </w:rPr>
              <m:t>x</m:t>
            </m:r>
          </m:sub>
        </m:sSub>
        <m:r>
          <w:rPr>
            <w:rFonts w:ascii="Cambria Math" w:hAnsi="Cambria Math"/>
          </w:rPr>
          <m:t>)+ϵ</m:t>
        </m:r>
      </m:oMath>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380BA9">
        <w:rPr>
          <w:rFonts w:asciiTheme="majorHAnsi" w:hAnsiTheme="majorHAnsi"/>
        </w:rPr>
        <w:t>(3</w:t>
      </w:r>
      <w:r w:rsidR="00EF7920">
        <w:rPr>
          <w:rFonts w:asciiTheme="majorHAnsi" w:hAnsiTheme="majorHAnsi"/>
        </w:rPr>
        <w:t>)</w:t>
      </w:r>
    </w:p>
    <w:p w14:paraId="4F57BBE4" w14:textId="77777777" w:rsidR="00A47D99" w:rsidRDefault="00A47D99" w:rsidP="00E96433">
      <w:r>
        <w:t>After performing the OLS regressions following Equations 1 t</w:t>
      </w:r>
      <w:r w:rsidR="00BA392C">
        <w:t>o 3</w:t>
      </w:r>
      <w:r>
        <w:t>, the ‘robust regression’ approach (from Hamilton, 2012) next</w:t>
      </w:r>
      <w:r>
        <w:rPr>
          <w:rFonts w:asciiTheme="majorHAnsi" w:hAnsiTheme="majorHAnsi"/>
        </w:rPr>
        <w:t xml:space="preserve"> calculates weights, and then recalculates Equations 1 to </w:t>
      </w:r>
      <w:r w:rsidR="00BA392C">
        <w:rPr>
          <w:rFonts w:asciiTheme="majorHAnsi" w:hAnsiTheme="majorHAnsi"/>
        </w:rPr>
        <w:t>3</w:t>
      </w:r>
      <w:r>
        <w:rPr>
          <w:rFonts w:asciiTheme="majorHAnsi" w:hAnsiTheme="majorHAnsi"/>
        </w:rPr>
        <w:t xml:space="preserve"> using these </w:t>
      </w:r>
      <w:r>
        <w:t>weights. Huber weighting is the first function used, where small residuals receive weights of 1, and variables with larger residuals are assigned gradually lower weights. As outlined in Hamilton (2012), Huber weights (Huber 1964) are used until convergence, and then, from that result, biweights (Beaton and Tukey 1974) are used until convergence. Both weighting functions are used because Huber weights have problems dealing with severe outliers, whereas biweights sometimes fail to converge or have multiple solutions. The initial Huber weighting should improve the behaviour of the biweight estimator.</w:t>
      </w:r>
    </w:p>
    <w:p w14:paraId="73D0063F" w14:textId="77777777" w:rsidR="00A47D99" w:rsidRPr="00EF7920" w:rsidRDefault="00A47D99" w:rsidP="00E96433">
      <w:pPr>
        <w:rPr>
          <w:rFonts w:asciiTheme="majorHAnsi" w:hAnsiTheme="majorHAnsi"/>
        </w:rPr>
      </w:pPr>
      <w:r>
        <w:rPr>
          <w:rFonts w:asciiTheme="majorHAnsi" w:hAnsiTheme="majorHAnsi"/>
        </w:rPr>
        <w:t>Th</w:t>
      </w:r>
      <w:r w:rsidR="00380BA9">
        <w:rPr>
          <w:rFonts w:asciiTheme="majorHAnsi" w:hAnsiTheme="majorHAnsi"/>
        </w:rPr>
        <w:t>is is demonstrated in Equation 4</w:t>
      </w:r>
      <w:r>
        <w:rPr>
          <w:rFonts w:asciiTheme="majorHAnsi" w:hAnsiTheme="majorHAnsi"/>
        </w:rPr>
        <w:t xml:space="preserve">, where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Pr>
          <w:rFonts w:asciiTheme="majorHAnsi" w:hAnsiTheme="majorHAnsi"/>
        </w:rPr>
        <w:t xml:space="preserve"> represents the </w:t>
      </w:r>
      <m:oMath>
        <m:r>
          <w:rPr>
            <w:rFonts w:ascii="Cambria Math" w:hAnsi="Cambria Math"/>
          </w:rPr>
          <m:t>i</m:t>
        </m:r>
      </m:oMath>
      <w:r>
        <w:rPr>
          <w:rFonts w:asciiTheme="majorHAnsi" w:hAnsiTheme="majorHAnsi"/>
        </w:rPr>
        <w:t xml:space="preserve">th residual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oMath>
      <w:r>
        <w:rPr>
          <w:rFonts w:asciiTheme="majorHAnsi" w:hAnsiTheme="majorHAnsi"/>
        </w:rPr>
        <w:t xml:space="preserve"> and the median absolute deviation </w:t>
      </w:r>
      <m:oMath>
        <m:r>
          <w:rPr>
            <w:rFonts w:ascii="Cambria Math" w:hAnsi="Cambria Math"/>
          </w:rPr>
          <m:t>MAD</m:t>
        </m:r>
      </m:oMath>
      <w:r>
        <w:rPr>
          <w:rFonts w:asciiTheme="majorHAnsi" w:hAnsiTheme="majorHAnsi"/>
        </w:rPr>
        <w:t xml:space="preserve"> from the median residual</w:t>
      </w:r>
      <m:oMath>
        <m:r>
          <w:rPr>
            <w:rFonts w:ascii="Cambria Math" w:hAnsi="Cambria Math"/>
          </w:rPr>
          <m:t xml:space="preserve"> med</m:t>
        </m:r>
      </m:oMath>
      <w:r w:rsidR="00EF7920">
        <w:rPr>
          <w:rFonts w:asciiTheme="majorHAnsi" w:hAnsiTheme="majorHAnsi"/>
        </w:rPr>
        <w:t>:</w:t>
      </w:r>
    </w:p>
    <w:p w14:paraId="0E8C98B9" w14:textId="77777777" w:rsidR="00EF7920" w:rsidRDefault="00A47D99" w:rsidP="00A643E9">
      <w:pPr>
        <w:ind w:left="2313" w:firstLine="567"/>
        <w:jc w:val="right"/>
        <w:rPr>
          <w:rFonts w:asciiTheme="majorHAnsi" w:hAnsiTheme="majorHAnsi"/>
        </w:rPr>
      </w:pPr>
      <m:oMath>
        <m:r>
          <w:rPr>
            <w:rFonts w:ascii="Cambria Math" w:hAnsi="Cambria Math"/>
          </w:rPr>
          <m:t>MAD=med(</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-med</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e>
        </m:d>
      </m:oMath>
      <w:r w:rsidR="00A643E9">
        <w:rPr>
          <w:rFonts w:asciiTheme="majorHAnsi" w:hAnsiTheme="majorHAnsi"/>
        </w:rPr>
        <w:tab/>
      </w:r>
      <w:r w:rsidR="00A643E9">
        <w:rPr>
          <w:rFonts w:asciiTheme="majorHAnsi" w:hAnsiTheme="majorHAnsi"/>
        </w:rPr>
        <w:tab/>
      </w:r>
      <w:r w:rsidR="00A643E9">
        <w:rPr>
          <w:rFonts w:asciiTheme="majorHAnsi" w:hAnsiTheme="majorHAnsi"/>
        </w:rPr>
        <w:tab/>
      </w:r>
      <w:r w:rsidR="00EF7920">
        <w:rPr>
          <w:rFonts w:asciiTheme="majorHAnsi" w:hAnsiTheme="majorHAnsi"/>
        </w:rPr>
        <w:tab/>
      </w:r>
      <w:r w:rsidR="00380BA9">
        <w:rPr>
          <w:rFonts w:asciiTheme="majorHAnsi" w:hAnsiTheme="majorHAnsi"/>
        </w:rPr>
        <w:t>(4</w:t>
      </w:r>
      <w:r w:rsidR="00EF7920">
        <w:rPr>
          <w:rFonts w:asciiTheme="majorHAnsi" w:hAnsiTheme="majorHAnsi"/>
        </w:rPr>
        <w:t>)</w:t>
      </w:r>
    </w:p>
    <w:p w14:paraId="42CBB22C" w14:textId="77777777" w:rsidR="00EF7920" w:rsidRDefault="00A47D99" w:rsidP="00E96433">
      <w:pPr>
        <w:rPr>
          <w:rFonts w:asciiTheme="majorHAnsi" w:hAnsiTheme="majorHAnsi"/>
        </w:rPr>
      </w:pPr>
      <w:r>
        <w:rPr>
          <w:rFonts w:asciiTheme="majorHAnsi" w:hAnsiTheme="majorHAnsi"/>
        </w:rPr>
        <w:t xml:space="preserve">Noting that the </w:t>
      </w:r>
      <m:oMath>
        <m:r>
          <w:rPr>
            <w:rFonts w:ascii="Cambria Math" w:hAnsi="Cambria Math"/>
          </w:rPr>
          <m:t>i</m:t>
        </m:r>
      </m:oMath>
      <w:r>
        <w:rPr>
          <w:rFonts w:asciiTheme="majorHAnsi" w:hAnsiTheme="majorHAnsi"/>
        </w:rPr>
        <w:t xml:space="preserve">th scaled residual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Pr>
          <w:rFonts w:asciiTheme="majorHAnsi" w:hAnsiTheme="majorHAnsi"/>
        </w:rPr>
        <w:t xml:space="preserve"> is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/s</m:t>
        </m:r>
      </m:oMath>
      <w:r>
        <w:rPr>
          <w:rFonts w:asciiTheme="majorHAnsi" w:hAnsiTheme="majorHAnsi"/>
        </w:rPr>
        <w:t xml:space="preserve"> where </w:t>
      </w:r>
      <m:oMath>
        <m:r>
          <w:rPr>
            <w:rFonts w:ascii="Cambria Math" w:hAnsi="Cambria Math"/>
          </w:rPr>
          <m:t>s</m:t>
        </m:r>
      </m:oMath>
      <w:r>
        <w:rPr>
          <w:rFonts w:asciiTheme="majorHAnsi" w:hAnsiTheme="majorHAnsi"/>
        </w:rPr>
        <w:t xml:space="preserve"> is the residual scale estimate. The robust OLS method uses </w:t>
      </w:r>
      <m:oMath>
        <m:r>
          <w:rPr>
            <w:rFonts w:ascii="Cambria Math" w:hAnsi="Cambria Math"/>
          </w:rPr>
          <m:t>s=MAD/.6745</m:t>
        </m:r>
      </m:oMath>
      <w:r>
        <w:rPr>
          <w:rFonts w:asciiTheme="majorHAnsi" w:hAnsiTheme="majorHAnsi"/>
        </w:rPr>
        <w:t xml:space="preserve"> and the Huber estimation finds case weights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Pr>
          <w:rFonts w:asciiTheme="majorHAnsi" w:hAnsiTheme="majorHAnsi"/>
        </w:rPr>
        <w:t xml:space="preserve"> such that:</w:t>
      </w:r>
    </w:p>
    <w:p w14:paraId="1B7F07F8" w14:textId="77777777" w:rsidR="00EF7920" w:rsidRDefault="009F7388" w:rsidP="00EF7920">
      <w:pPr>
        <w:ind w:left="2268" w:firstLine="567"/>
        <w:jc w:val="right"/>
        <w:rPr>
          <w:rFonts w:asciiTheme="majorHAnsi" w:hAnsiTheme="majorHAnsi"/>
        </w:rPr>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c/</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 xml:space="preserve"> </m:t>
                </m:r>
              </m:e>
            </m:eqArr>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 xml:space="preserve">if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≤c</m:t>
                  </m:r>
                </m:e>
              </m:mr>
              <m:mr>
                <m:e>
                  <m:r>
                    <w:rPr>
                      <w:rFonts w:ascii="Cambria Math" w:hAnsi="Cambria Math"/>
                    </w:rPr>
                    <m:t>otherwise</m:t>
                  </m:r>
                </m:e>
              </m:mr>
            </m:m>
            <m:r>
              <w:rPr>
                <w:rFonts w:ascii="Cambria Math" w:hAnsi="Cambria Math"/>
              </w:rPr>
              <m:t xml:space="preserve"> </m:t>
            </m:r>
          </m:e>
        </m:d>
      </m:oMath>
      <w:r w:rsidR="00C558EE">
        <w:rPr>
          <w:rFonts w:asciiTheme="majorHAnsi" w:hAnsiTheme="majorHAnsi"/>
        </w:rPr>
        <w:tab/>
      </w:r>
      <w:r w:rsidR="00C558EE">
        <w:rPr>
          <w:rFonts w:asciiTheme="majorHAnsi" w:hAnsiTheme="majorHAnsi"/>
        </w:rPr>
        <w:tab/>
      </w:r>
      <w:r w:rsidR="00C558EE">
        <w:rPr>
          <w:rFonts w:asciiTheme="majorHAnsi" w:hAnsiTheme="majorHAnsi"/>
        </w:rPr>
        <w:tab/>
      </w:r>
      <w:r w:rsidR="00C558EE">
        <w:rPr>
          <w:rFonts w:asciiTheme="majorHAnsi" w:hAnsiTheme="majorHAnsi"/>
        </w:rPr>
        <w:tab/>
      </w:r>
      <w:r w:rsidR="00885511">
        <w:rPr>
          <w:rFonts w:asciiTheme="majorHAnsi" w:hAnsiTheme="majorHAnsi"/>
        </w:rPr>
        <w:tab/>
      </w:r>
      <w:r w:rsidR="00380BA9">
        <w:rPr>
          <w:rFonts w:asciiTheme="majorHAnsi" w:hAnsiTheme="majorHAnsi"/>
        </w:rPr>
        <w:t>(5</w:t>
      </w:r>
      <w:r w:rsidR="00885511">
        <w:rPr>
          <w:rFonts w:asciiTheme="majorHAnsi" w:hAnsiTheme="majorHAnsi"/>
        </w:rPr>
        <w:t>)</w:t>
      </w:r>
    </w:p>
    <w:p w14:paraId="73618198" w14:textId="77777777" w:rsidR="00EF7920" w:rsidRDefault="00A47D99" w:rsidP="00E96433">
      <w:pPr>
        <w:rPr>
          <w:rFonts w:asciiTheme="majorHAnsi" w:hAnsiTheme="majorHAnsi"/>
        </w:rPr>
      </w:pPr>
      <w:r>
        <w:rPr>
          <w:rFonts w:asciiTheme="majorHAnsi" w:hAnsiTheme="majorHAnsi"/>
        </w:rPr>
        <w:t xml:space="preserve">Where </w:t>
      </w:r>
      <m:oMath>
        <m:r>
          <w:rPr>
            <w:rFonts w:ascii="Cambria Math" w:hAnsi="Cambria Math"/>
          </w:rPr>
          <m:t>c</m:t>
        </m:r>
      </m:oMath>
      <w:r>
        <w:rPr>
          <w:rFonts w:asciiTheme="majorHAnsi" w:hAnsiTheme="majorHAnsi"/>
        </w:rPr>
        <w:t xml:space="preserve"> is a tuning constant, such that</w:t>
      </w:r>
      <m:oMath>
        <m:r>
          <w:rPr>
            <w:rFonts w:ascii="Cambria Math" w:hAnsi="Cambria Math"/>
          </w:rPr>
          <m:t xml:space="preserve"> c=1.345</m:t>
        </m:r>
      </m:oMath>
      <w:r>
        <w:rPr>
          <w:rFonts w:asciiTheme="majorHAnsi" w:hAnsiTheme="majorHAnsi"/>
        </w:rPr>
        <w:t>, meaning that down weighting begins where absolute residuals exceed approximately</w:t>
      </w:r>
      <m:oMath>
        <m:r>
          <w:rPr>
            <w:rFonts w:ascii="Cambria Math" w:hAnsi="Cambria Math"/>
          </w:rPr>
          <m:t xml:space="preserve"> 2 ∙MAD</m:t>
        </m:r>
      </m:oMath>
      <w:r>
        <w:rPr>
          <w:rFonts w:asciiTheme="majorHAnsi" w:hAnsiTheme="majorHAnsi"/>
        </w:rPr>
        <w:t xml:space="preserve">. The second weighting function used in robust OLS is referred to as ‘biweight’, where all non-zero residuals receive some down weighting according to the following function: </w:t>
      </w:r>
    </w:p>
    <w:p w14:paraId="7EB58F83" w14:textId="77777777" w:rsidR="00EF7920" w:rsidRDefault="009F7388" w:rsidP="00EF7920">
      <w:pPr>
        <w:ind w:left="2268" w:firstLine="567"/>
        <w:jc w:val="right"/>
        <w:rPr>
          <w:rFonts w:asciiTheme="majorHAnsi" w:hAnsiTheme="majorHAnsi"/>
        </w:rPr>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/c</m:t>
                                </m:r>
                              </m:e>
                            </m:d>
                          </m:e>
                          <m:sup>
                            <m:r>
                              <w:rPr>
                                <w:rFonts w:ascii="Cambria Math" w:hAnsi="Cambria Math"/>
                              </w:rPr>
                              <m:t>2</m:t>
                            </m:r>
                          </m:sup>
                        </m:sSup>
                      </m:e>
                    </m:d>
                  </m:e>
                  <m:sup>
                    <m:r>
                      <w:rPr>
                        <w:rFonts w:ascii="Cambria Math" w:hAnsi="Cambria Math"/>
                      </w:rPr>
                      <m:t>2</m:t>
                    </m:r>
                  </m:sup>
                </m:sSup>
              </m:e>
              <m:e>
                <m:r>
                  <w:rPr>
                    <w:rFonts w:ascii="Cambria Math" w:hAnsi="Cambria Math"/>
                  </w:rPr>
                  <m:t>0</m:t>
                </m:r>
              </m:e>
            </m:eqArr>
          </m:e>
        </m:d>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 xml:space="preserve">if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≤c</m:t>
              </m:r>
            </m:e>
          </m:mr>
          <m:mr>
            <m:e>
              <m:r>
                <w:rPr>
                  <w:rFonts w:ascii="Cambria Math" w:hAnsi="Cambria Math"/>
                </w:rPr>
                <m:t>otherwise</m:t>
              </m:r>
            </m:e>
          </m:mr>
        </m:m>
      </m:oMath>
      <w:r w:rsidR="00885511">
        <w:rPr>
          <w:rFonts w:asciiTheme="majorHAnsi" w:hAnsiTheme="majorHAnsi"/>
        </w:rPr>
        <w:tab/>
      </w:r>
      <w:r w:rsidR="00885511">
        <w:rPr>
          <w:rFonts w:asciiTheme="majorHAnsi" w:hAnsiTheme="majorHAnsi"/>
        </w:rPr>
        <w:tab/>
      </w:r>
      <w:r w:rsidR="00885511">
        <w:rPr>
          <w:rFonts w:asciiTheme="majorHAnsi" w:hAnsiTheme="majorHAnsi"/>
        </w:rPr>
        <w:tab/>
      </w:r>
      <w:r w:rsidR="00885511">
        <w:rPr>
          <w:rFonts w:asciiTheme="majorHAnsi" w:hAnsiTheme="majorHAnsi"/>
        </w:rPr>
        <w:tab/>
      </w:r>
      <w:r w:rsidR="00380BA9">
        <w:rPr>
          <w:rFonts w:asciiTheme="majorHAnsi" w:hAnsiTheme="majorHAnsi"/>
        </w:rPr>
        <w:t>(6</w:t>
      </w:r>
      <w:r w:rsidR="00885511">
        <w:rPr>
          <w:rFonts w:asciiTheme="majorHAnsi" w:hAnsiTheme="majorHAnsi"/>
        </w:rPr>
        <w:t>)</w:t>
      </w:r>
    </w:p>
    <w:p w14:paraId="164F98FE" w14:textId="77777777" w:rsidR="00A47D99" w:rsidRDefault="00A47D99" w:rsidP="00E96433">
      <w:pPr>
        <w:rPr>
          <w:rFonts w:asciiTheme="majorHAnsi" w:hAnsiTheme="majorHAnsi"/>
        </w:rPr>
      </w:pPr>
      <w:r>
        <w:rPr>
          <w:rFonts w:asciiTheme="majorHAnsi" w:hAnsiTheme="majorHAnsi"/>
        </w:rPr>
        <w:t xml:space="preserve">Very large residuals </w:t>
      </w:r>
      <m:oMath>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≥c)</m:t>
        </m:r>
      </m:oMath>
      <w:r>
        <w:rPr>
          <w:rFonts w:asciiTheme="majorHAnsi" w:hAnsiTheme="majorHAnsi"/>
        </w:rPr>
        <w:t xml:space="preserve"> result in zero weights and these severe outliers drop out of the analysis. The biweight iterations employ a turning constant of</w:t>
      </w:r>
      <m:oMath>
        <m:r>
          <w:rPr>
            <w:rFonts w:ascii="Cambria Math" w:hAnsi="Cambria Math"/>
          </w:rPr>
          <m:t xml:space="preserve"> c=4.685</m:t>
        </m:r>
      </m:oMath>
      <w:r>
        <w:rPr>
          <w:rFonts w:asciiTheme="majorHAnsi" w:hAnsiTheme="majorHAnsi"/>
        </w:rPr>
        <w:t xml:space="preserve">, meaning that cases with absolute residuals of </w:t>
      </w:r>
      <m:oMath>
        <m:r>
          <w:rPr>
            <w:rFonts w:ascii="Cambria Math" w:hAnsi="Cambria Math"/>
          </w:rPr>
          <m:t>7 ∙MAD</m:t>
        </m:r>
      </m:oMath>
      <w:r>
        <w:rPr>
          <w:rFonts w:asciiTheme="majorHAnsi" w:hAnsiTheme="majorHAnsi"/>
        </w:rPr>
        <w:t xml:space="preserve"> or more are assigned zero weights (and dropped). The turning constants </w:t>
      </w:r>
      <m:oMath>
        <m:r>
          <w:rPr>
            <w:rFonts w:ascii="Cambria Math" w:hAnsi="Cambria Math"/>
          </w:rPr>
          <m:t>c=1.345 (Huber)</m:t>
        </m:r>
      </m:oMath>
      <w:r>
        <w:rPr>
          <w:rFonts w:asciiTheme="majorHAnsi" w:hAnsiTheme="majorHAnsi"/>
        </w:rPr>
        <w:t xml:space="preserve"> and </w:t>
      </w:r>
      <m:oMath>
        <m:r>
          <w:rPr>
            <w:rFonts w:ascii="Cambria Math" w:hAnsi="Cambria Math"/>
          </w:rPr>
          <m:t>c=4.685 (biweight)</m:t>
        </m:r>
      </m:oMath>
      <w:r>
        <w:rPr>
          <w:rFonts w:asciiTheme="majorHAnsi" w:hAnsiTheme="majorHAnsi"/>
        </w:rPr>
        <w:t xml:space="preserve"> give these robust procedures about 95% of the efficiency of OLS when applied to data with normal distributed errors. </w:t>
      </w:r>
    </w:p>
    <w:p w14:paraId="06ACFA41" w14:textId="77777777" w:rsidR="00885511" w:rsidRDefault="00A47D99" w:rsidP="00E96433">
      <w:r>
        <w:t>To analyse farmland value from another perspective, we are interested in the relationship between price per hectare and the explanatory variables according to different farm size categories. This can be achieved by following a variation of the robust regression approach using the constraint</w:t>
      </w:r>
      <m:oMath>
        <m:r>
          <w:rPr>
            <w:rFonts w:ascii="Cambria Math" w:hAnsi="Cambria Math"/>
          </w:rPr>
          <m:t xml:space="preserve"> q</m:t>
        </m:r>
      </m:oMath>
      <w:r>
        <w:t>, which is a constructed quantile that categorises farmland transactions into 1 of 3 groups according to their respective size in hectares. These categories are generated using the following stata fun</w:t>
      </w:r>
      <w:r w:rsidR="00885511">
        <w:t xml:space="preserve">ction ‘xtile’ (Ryan, P. 2014). </w:t>
      </w:r>
    </w:p>
    <w:p w14:paraId="35094902" w14:textId="77777777" w:rsidR="00A47D99" w:rsidRDefault="00A47D99" w:rsidP="00EF7920">
      <w:pPr>
        <w:ind w:left="1134" w:firstLine="567"/>
        <w:jc w:val="center"/>
      </w:pPr>
      <m:oMath>
        <m:r>
          <w:rPr>
            <w:rFonts w:ascii="Cambria Math" w:hAnsi="Cambria Math"/>
          </w:rPr>
          <m:t>(-∞,</m:t>
        </m:r>
        <m:sSub>
          <m:sSubPr>
            <m:ctrlPr>
              <w:rPr>
                <w:rFonts w:ascii="Cambria Math" w:hAnsi="Cambria Math"/>
                <w:i/>
              </w:rPr>
            </m:ctrlPr>
          </m:sSubPr>
          <m:e>
            <m:r>
              <w:rPr>
                <w:rFonts w:ascii="Cambria Math" w:hAnsi="Cambria Math"/>
              </w:rPr>
              <m:t>x</m:t>
            </m:r>
          </m:e>
          <m:sub>
            <m:d>
              <m:dPr>
                <m:begChr m:val="["/>
                <m:endChr m:val="]"/>
                <m:ctrlPr>
                  <w:rPr>
                    <w:rFonts w:ascii="Cambria Math" w:hAnsi="Cambria Math"/>
                    <w:i/>
                  </w:rPr>
                </m:ctrlPr>
              </m:dPr>
              <m:e>
                <m:r>
                  <w:rPr>
                    <w:rFonts w:ascii="Cambria Math" w:hAnsi="Cambria Math"/>
                  </w:rPr>
                  <m:t>p1</m:t>
                </m:r>
              </m:e>
            </m:d>
          </m:sub>
        </m:sSub>
        <m:r>
          <w:rPr>
            <w:rFonts w:ascii="Cambria Math" w:hAnsi="Cambria Math"/>
          </w:rPr>
          <m:t>], (</m:t>
        </m:r>
        <m:sSub>
          <m:sSubPr>
            <m:ctrlPr>
              <w:rPr>
                <w:rFonts w:ascii="Cambria Math" w:hAnsi="Cambria Math"/>
                <w:i/>
              </w:rPr>
            </m:ctrlPr>
          </m:sSubPr>
          <m:e>
            <m:r>
              <w:rPr>
                <w:rFonts w:ascii="Cambria Math" w:hAnsi="Cambria Math"/>
              </w:rPr>
              <m:t>x</m:t>
            </m:r>
          </m:e>
          <m:sub>
            <m:d>
              <m:dPr>
                <m:begChr m:val="["/>
                <m:endChr m:val="]"/>
                <m:ctrlPr>
                  <w:rPr>
                    <w:rFonts w:ascii="Cambria Math" w:hAnsi="Cambria Math"/>
                    <w:i/>
                  </w:rPr>
                </m:ctrlPr>
              </m:dPr>
              <m:e>
                <m:r>
                  <w:rPr>
                    <w:rFonts w:ascii="Cambria Math" w:hAnsi="Cambria Math"/>
                  </w:rPr>
                  <m:t>p1</m:t>
                </m:r>
              </m:e>
            </m:d>
          </m:sub>
        </m:sSub>
        <m:r>
          <w:rPr>
            <w:rFonts w:ascii="Cambria Math" w:hAnsi="Cambria Math"/>
          </w:rPr>
          <m:t>,</m:t>
        </m:r>
        <m:sSub>
          <m:sSubPr>
            <m:ctrlPr>
              <w:rPr>
                <w:rFonts w:ascii="Cambria Math" w:hAnsi="Cambria Math"/>
                <w:i/>
              </w:rPr>
            </m:ctrlPr>
          </m:sSubPr>
          <m:e>
            <m:r>
              <w:rPr>
                <w:rFonts w:ascii="Cambria Math" w:hAnsi="Cambria Math"/>
              </w:rPr>
              <m:t>x</m:t>
            </m:r>
          </m:e>
          <m:sub>
            <m:d>
              <m:dPr>
                <m:begChr m:val="["/>
                <m:endChr m:val="]"/>
                <m:ctrlPr>
                  <w:rPr>
                    <w:rFonts w:ascii="Cambria Math" w:hAnsi="Cambria Math"/>
                    <w:i/>
                  </w:rPr>
                </m:ctrlPr>
              </m:dPr>
              <m:e>
                <m:r>
                  <w:rPr>
                    <w:rFonts w:ascii="Cambria Math" w:hAnsi="Cambria Math"/>
                  </w:rPr>
                  <m:t>p2</m:t>
                </m:r>
              </m:e>
            </m:d>
          </m:sub>
        </m:sSub>
        <m:r>
          <w:rPr>
            <w:rFonts w:ascii="Cambria Math" w:hAnsi="Cambria Math"/>
          </w:rPr>
          <m:t>], …, (</m:t>
        </m:r>
        <m:sSub>
          <m:sSubPr>
            <m:ctrlPr>
              <w:rPr>
                <w:rFonts w:ascii="Cambria Math" w:hAnsi="Cambria Math"/>
                <w:i/>
              </w:rPr>
            </m:ctrlPr>
          </m:sSubPr>
          <m:e>
            <m:r>
              <w:rPr>
                <w:rFonts w:ascii="Cambria Math" w:hAnsi="Cambria Math"/>
              </w:rPr>
              <m:t>x</m:t>
            </m:r>
          </m:e>
          <m:sub>
            <m:d>
              <m:dPr>
                <m:begChr m:val="["/>
                <m:endChr m:val="]"/>
                <m:ctrlPr>
                  <w:rPr>
                    <w:rFonts w:ascii="Cambria Math" w:hAnsi="Cambria Math"/>
                    <w:i/>
                  </w:rPr>
                </m:ctrlPr>
              </m:dPr>
              <m:e>
                <m:r>
                  <w:rPr>
                    <w:rFonts w:ascii="Cambria Math" w:hAnsi="Cambria Math"/>
                  </w:rPr>
                  <m:t>pm-2</m:t>
                </m:r>
              </m:e>
            </m:d>
          </m:sub>
        </m:sSub>
        <m:r>
          <w:rPr>
            <w:rFonts w:ascii="Cambria Math" w:hAnsi="Cambria Math"/>
          </w:rPr>
          <m:t>,</m:t>
        </m:r>
        <m:sSub>
          <m:sSubPr>
            <m:ctrlPr>
              <w:rPr>
                <w:rFonts w:ascii="Cambria Math" w:hAnsi="Cambria Math"/>
                <w:i/>
              </w:rPr>
            </m:ctrlPr>
          </m:sSubPr>
          <m:e>
            <m:r>
              <w:rPr>
                <w:rFonts w:ascii="Cambria Math" w:hAnsi="Cambria Math"/>
              </w:rPr>
              <m:t>x</m:t>
            </m:r>
          </m:e>
          <m:sub>
            <m:d>
              <m:dPr>
                <m:begChr m:val="["/>
                <m:endChr m:val="]"/>
                <m:ctrlPr>
                  <w:rPr>
                    <w:rFonts w:ascii="Cambria Math" w:hAnsi="Cambria Math"/>
                    <w:i/>
                  </w:rPr>
                </m:ctrlPr>
              </m:dPr>
              <m:e>
                <m:r>
                  <w:rPr>
                    <w:rFonts w:ascii="Cambria Math" w:hAnsi="Cambria Math"/>
                  </w:rPr>
                  <m:t>pm-1</m:t>
                </m:r>
              </m:e>
            </m:d>
          </m:sub>
        </m:sSub>
        <m:r>
          <w:rPr>
            <w:rFonts w:ascii="Cambria Math" w:hAnsi="Cambria Math"/>
          </w:rPr>
          <m:t>], (</m:t>
        </m:r>
        <m:sSub>
          <m:sSubPr>
            <m:ctrlPr>
              <w:rPr>
                <w:rFonts w:ascii="Cambria Math" w:hAnsi="Cambria Math"/>
                <w:i/>
              </w:rPr>
            </m:ctrlPr>
          </m:sSubPr>
          <m:e>
            <m:r>
              <w:rPr>
                <w:rFonts w:ascii="Cambria Math" w:hAnsi="Cambria Math"/>
              </w:rPr>
              <m:t>x</m:t>
            </m:r>
          </m:e>
          <m:sub>
            <m:d>
              <m:dPr>
                <m:begChr m:val="["/>
                <m:endChr m:val="]"/>
                <m:ctrlPr>
                  <w:rPr>
                    <w:rFonts w:ascii="Cambria Math" w:hAnsi="Cambria Math"/>
                    <w:i/>
                  </w:rPr>
                </m:ctrlPr>
              </m:dPr>
              <m:e>
                <m:r>
                  <w:rPr>
                    <w:rFonts w:ascii="Cambria Math" w:hAnsi="Cambria Math"/>
                  </w:rPr>
                  <m:t>pm-1</m:t>
                </m:r>
              </m:e>
            </m:d>
          </m:sub>
        </m:sSub>
        <m:r>
          <w:rPr>
            <w:rFonts w:ascii="Cambria Math" w:hAnsi="Cambria Math"/>
          </w:rPr>
          <m:t>,+∞)</m:t>
        </m:r>
      </m:oMath>
      <w:r w:rsidR="00380BA9">
        <w:tab/>
      </w:r>
      <w:r w:rsidR="00380BA9">
        <w:tab/>
        <w:t>(7</w:t>
      </w:r>
      <w:r w:rsidR="00EF7920">
        <w:t>)</w:t>
      </w:r>
    </w:p>
    <w:p w14:paraId="4042B0D0" w14:textId="77777777" w:rsidR="00A47D99" w:rsidRDefault="00A47D99" w:rsidP="00A47D99">
      <w:pPr>
        <w:jc w:val="both"/>
      </w:pPr>
      <w:r>
        <w:lastRenderedPageBreak/>
        <w:t>Numbered, respectively,</w:t>
      </w:r>
      <m:oMath>
        <m:r>
          <w:rPr>
            <w:rFonts w:ascii="Cambria Math" w:hAnsi="Cambria Math"/>
          </w:rPr>
          <m:t>1, 2, …, m</m:t>
        </m:r>
      </m:oMath>
      <w:r>
        <w:t xml:space="preserve">, based on the </w:t>
      </w:r>
      <m:oMath>
        <m:r>
          <w:rPr>
            <w:rFonts w:ascii="Cambria Math" w:hAnsi="Cambria Math"/>
          </w:rPr>
          <m:t>m</m:t>
        </m:r>
      </m:oMath>
      <w:r>
        <w:t xml:space="preserve"> quantiles given by the </w:t>
      </w: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th</m:t>
        </m:r>
      </m:oMath>
      <w:r>
        <w:t xml:space="preserve"> percentiles, where </w:t>
      </w:r>
      <m:oMath>
        <m:r>
          <w:rPr>
            <w:rFonts w:ascii="Cambria Math" w:hAnsi="Cambria Math"/>
          </w:rPr>
          <m:t xml:space="preserve">pk=100 k/m </m:t>
        </m:r>
      </m:oMath>
      <w:r>
        <w:t xml:space="preserve"> for </w:t>
      </w:r>
      <m:oMath>
        <m:r>
          <w:rPr>
            <w:rFonts w:ascii="Cambria Math" w:hAnsi="Cambria Math"/>
          </w:rPr>
          <m:t>k=1, 2, …, m-1.</m:t>
        </m:r>
      </m:oMath>
    </w:p>
    <w:p w14:paraId="5985E24B" w14:textId="77777777" w:rsidR="00EF7920" w:rsidRPr="00EF7920" w:rsidRDefault="009F7388" w:rsidP="00A47D99">
      <w:pPr>
        <w:jc w:val="both"/>
        <w:rPr>
          <w:rFonts w:asciiTheme="majorHAnsi" w:hAnsiTheme="majorHAnsi"/>
        </w:rPr>
      </w:pPr>
      <m:oMath>
        <m:func>
          <m:funcPr>
            <m:ctrlPr>
              <w:rPr>
                <w:rFonts w:ascii="Cambria Math" w:hAnsi="Cambria Math"/>
                <w:i/>
              </w:rPr>
            </m:ctrlPr>
          </m:funcPr>
          <m:fName>
            <m:r>
              <w:rPr>
                <w:rFonts w:ascii="Cambria Math" w:hAnsi="Cambria Math"/>
              </w:rPr>
              <m:t>q.S(log</m:t>
            </m:r>
          </m:fName>
          <m:e>
            <m:d>
              <m:dPr>
                <m:ctrlPr>
                  <w:rPr>
                    <w:rFonts w:ascii="Cambria Math" w:hAnsi="Cambria Math"/>
                    <w:i/>
                  </w:rPr>
                </m:ctrlPr>
              </m:dPr>
              <m:e>
                <m:r>
                  <w:rPr>
                    <w:rFonts w:ascii="Cambria Math" w:hAnsi="Cambria Math"/>
                  </w:rPr>
                  <m:t>Y</m:t>
                </m:r>
              </m:e>
            </m:d>
          </m:e>
        </m:func>
        <m:r>
          <w:rPr>
            <w:rFonts w:ascii="Cambria Math" w:hAnsi="Cambria Math"/>
          </w:rPr>
          <m:t xml:space="preserve">)= </m:t>
        </m:r>
        <m:sSub>
          <m:sSubPr>
            <m:ctrlPr>
              <w:rPr>
                <w:rFonts w:ascii="Cambria Math" w:hAnsi="Cambria Math"/>
                <w:i/>
              </w:rPr>
            </m:ctrlPr>
          </m:sSubPr>
          <m:e>
            <m:r>
              <w:rPr>
                <w:rFonts w:ascii="Cambria Math" w:hAnsi="Cambria Math"/>
              </w:rPr>
              <m:t>q. S(β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CT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XD</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ub>
        </m:sSub>
        <m:sSub>
          <m:sSubPr>
            <m:ctrlPr>
              <w:rPr>
                <w:rFonts w:ascii="Cambria Math" w:hAnsi="Cambria Math"/>
                <w:i/>
              </w:rPr>
            </m:ctrlPr>
          </m:sSubPr>
          <m:e>
            <m:r>
              <w:rPr>
                <w:rFonts w:ascii="Cambria Math" w:hAnsi="Cambria Math"/>
              </w:rPr>
              <m:t>CT</m:t>
            </m:r>
          </m:e>
          <m:sub>
            <m:r>
              <w:rPr>
                <w:rFonts w:ascii="Cambria Math" w:hAnsi="Cambria Math"/>
              </w:rPr>
              <m:t>1</m:t>
            </m:r>
          </m:sub>
        </m:sSub>
        <m:r>
          <w:rPr>
            <w:rFonts w:ascii="Cambria Math" w:hAnsi="Cambria Math"/>
          </w:rPr>
          <m:t>)+ϵ</m:t>
        </m:r>
      </m:oMath>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A47D99">
        <w:rPr>
          <w:rFonts w:asciiTheme="majorHAnsi" w:hAnsiTheme="majorHAnsi"/>
        </w:rPr>
        <w:tab/>
      </w:r>
      <w:r w:rsidR="00380BA9">
        <w:rPr>
          <w:rFonts w:asciiTheme="majorHAnsi" w:hAnsiTheme="majorHAnsi"/>
        </w:rPr>
        <w:t>(8</w:t>
      </w:r>
      <w:r w:rsidR="00A47D99">
        <w:rPr>
          <w:rFonts w:asciiTheme="majorHAnsi" w:hAnsiTheme="majorHAnsi"/>
        </w:rPr>
        <w:t>)</w:t>
      </w:r>
    </w:p>
    <w:p w14:paraId="00474312" w14:textId="77777777" w:rsidR="00A47D99" w:rsidRDefault="00A47D99" w:rsidP="00E96433">
      <w:pPr>
        <w:rPr>
          <w:rFonts w:asciiTheme="majorHAnsi" w:eastAsia="Times New Roman" w:hAnsiTheme="majorHAnsi"/>
          <w:bCs/>
          <w:lang w:eastAsia="en-AU"/>
        </w:rPr>
      </w:pPr>
      <w:r>
        <w:t xml:space="preserve">The final set of hedonic models use a simultaneous quantile regression approach (stata sqreg), to identify variations between the dependent and explanatory variables according to inexpensive, moderate and expensive farmland. This analysis is conducted from a national perspective only. The following functions are used for the national analysis, allowing quantiles to be specified and estimated simultaneously. </w:t>
      </w:r>
      <w:r>
        <w:rPr>
          <w:rFonts w:asciiTheme="majorHAnsi" w:eastAsia="Times New Roman" w:hAnsiTheme="majorHAnsi"/>
          <w:bCs/>
          <w:lang w:eastAsia="en-AU"/>
        </w:rPr>
        <w:t>An estimate of the entire variance-covariance matrix of the estimates is obtained by bootstrapping (Stata, 2014) with 20 iterations.</w:t>
      </w:r>
      <w:r>
        <w:rPr>
          <w:rFonts w:asciiTheme="majorHAnsi" w:eastAsia="Times New Roman" w:hAnsiTheme="majorHAnsi"/>
          <w:bCs/>
          <w:i/>
          <w:lang w:eastAsia="en-AU"/>
        </w:rPr>
        <w:t xml:space="preserve"> </w:t>
      </w:r>
      <w:r>
        <w:rPr>
          <w:rFonts w:asciiTheme="majorHAnsi" w:eastAsia="Times New Roman" w:hAnsiTheme="majorHAnsi"/>
          <w:bCs/>
          <w:lang w:eastAsia="en-AU"/>
        </w:rPr>
        <w:t>We therefore estimate the following where quantiles are represented by</w:t>
      </w:r>
      <m:oMath>
        <m:sSub>
          <m:sSubPr>
            <m:ctrlPr>
              <w:rPr>
                <w:rFonts w:ascii="Cambria Math" w:eastAsia="Times New Roman" w:hAnsi="Cambria Math"/>
                <w:bCs/>
                <w:i/>
              </w:rPr>
            </m:ctrlPr>
          </m:sSubPr>
          <m:e>
            <m:r>
              <w:rPr>
                <w:rFonts w:ascii="Cambria Math" w:eastAsia="Times New Roman" w:hAnsi="Cambria Math"/>
                <w:lang w:eastAsia="en-AU"/>
              </w:rPr>
              <m:t xml:space="preserve"> Q</m:t>
            </m:r>
          </m:e>
          <m:sub>
            <m:r>
              <w:rPr>
                <w:rFonts w:ascii="Cambria Math" w:eastAsia="Times New Roman" w:hAnsi="Cambria Math"/>
                <w:lang w:eastAsia="en-AU"/>
              </w:rPr>
              <m:t>x</m:t>
            </m:r>
          </m:sub>
        </m:sSub>
      </m:oMath>
      <w:r w:rsidR="00380BA9">
        <w:rPr>
          <w:rFonts w:asciiTheme="majorHAnsi" w:eastAsia="Times New Roman" w:hAnsiTheme="majorHAnsi"/>
          <w:bCs/>
          <w:lang w:eastAsia="en-AU"/>
        </w:rPr>
        <w:t xml:space="preserve"> in Equation 9</w:t>
      </w:r>
      <w:r w:rsidR="00EF7920">
        <w:rPr>
          <w:rFonts w:asciiTheme="majorHAnsi" w:eastAsia="Times New Roman" w:hAnsiTheme="majorHAnsi"/>
          <w:bCs/>
          <w:lang w:eastAsia="en-AU"/>
        </w:rPr>
        <w:t xml:space="preserve">: </w:t>
      </w:r>
    </w:p>
    <w:p w14:paraId="48E4CBA0" w14:textId="77777777" w:rsidR="00A47D99" w:rsidRDefault="00A47D99" w:rsidP="00A47D99">
      <w:pPr>
        <w:ind w:left="1134" w:firstLine="567"/>
        <w:rPr>
          <w:rFonts w:asciiTheme="majorHAnsi" w:eastAsia="Calibri" w:hAnsiTheme="majorHAnsi"/>
        </w:rPr>
      </w:pPr>
      <w:r>
        <w:rPr>
          <w:rFonts w:asciiTheme="majorHAnsi" w:eastAsia="Times New Roman" w:hAnsiTheme="majorHAnsi"/>
        </w:rPr>
        <w:t>[</w:t>
      </w:r>
      <m:oMath>
        <m:sSub>
          <m:sSubPr>
            <m:ctrlPr>
              <w:rPr>
                <w:rFonts w:ascii="Cambria Math" w:hAnsi="Cambria Math"/>
                <w:i/>
              </w:rPr>
            </m:ctrlPr>
          </m:sSubPr>
          <m:e>
            <m:r>
              <w:rPr>
                <w:rFonts w:ascii="Cambria Math" w:hAnsi="Cambria Math"/>
              </w:rPr>
              <m:t>(Q</m:t>
            </m:r>
          </m:e>
          <m:sub>
            <m:r>
              <w:rPr>
                <w:rFonts w:ascii="Cambria Math" w:hAnsi="Cambria Math"/>
              </w:rPr>
              <m:t>.10</m:t>
            </m:r>
          </m:sub>
        </m:sSub>
        <m:r>
          <w:rPr>
            <w:rFonts w:ascii="Cambria Math" w:hAnsi="Cambria Math"/>
          </w:rPr>
          <m:t>(</m:t>
        </m:r>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Sub>
              <m:sSubPr>
                <m:ctrlPr>
                  <w:rPr>
                    <w:rFonts w:ascii="Cambria Math" w:hAnsi="Cambria Math"/>
                    <w:i/>
                  </w:rPr>
                </m:ctrlPr>
              </m:sSubPr>
              <m:e>
                <m:r>
                  <w:rPr>
                    <w:rFonts w:ascii="Cambria Math" w:hAnsi="Cambria Math"/>
                  </w:rPr>
                  <m:t>.Q</m:t>
                </m:r>
              </m:e>
              <m:sub>
                <m:r>
                  <w:rPr>
                    <w:rFonts w:ascii="Cambria Math" w:hAnsi="Cambria Math"/>
                  </w:rPr>
                  <m:t>.10</m:t>
                </m:r>
              </m:sub>
            </m:sSub>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.10</m:t>
                </m:r>
              </m:sub>
            </m:sSub>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.10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.10</m:t>
                </m:r>
              </m:sub>
            </m:sSub>
          </m:sub>
        </m:sSub>
        <m:sSub>
          <m:sSubPr>
            <m:ctrlPr>
              <w:rPr>
                <w:rFonts w:ascii="Cambria Math" w:hAnsi="Cambria Math"/>
                <w:i/>
              </w:rPr>
            </m:ctrlPr>
          </m:sSubPr>
          <m:e>
            <m:r>
              <w:rPr>
                <w:rFonts w:ascii="Cambria Math" w:hAnsi="Cambria Math"/>
              </w:rPr>
              <m:t>XD</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.10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Sub>
              <m:sSubPr>
                <m:ctrlPr>
                  <w:rPr>
                    <w:rFonts w:ascii="Cambria Math" w:hAnsi="Cambria Math"/>
                    <w:i/>
                  </w:rPr>
                </m:ctrlPr>
              </m:sSubPr>
              <m:e>
                <m:r>
                  <w:rPr>
                    <w:rFonts w:ascii="Cambria Math" w:hAnsi="Cambria Math"/>
                  </w:rPr>
                  <m:t>Q</m:t>
                </m:r>
              </m:e>
              <m:sub>
                <m:r>
                  <w:rPr>
                    <w:rFonts w:ascii="Cambria Math" w:hAnsi="Cambria Math"/>
                  </w:rPr>
                  <m:t>.10</m:t>
                </m:r>
              </m:sub>
            </m:sSub>
          </m:sub>
        </m:sSub>
        <m:sSub>
          <m:sSubPr>
            <m:ctrlPr>
              <w:rPr>
                <w:rFonts w:ascii="Cambria Math" w:hAnsi="Cambria Math"/>
                <w:i/>
              </w:rPr>
            </m:ctrlPr>
          </m:sSubPr>
          <m:e>
            <m:r>
              <w:rPr>
                <w:rFonts w:ascii="Cambria Math" w:hAnsi="Cambria Math"/>
              </w:rPr>
              <m:t>CT</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.10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.10</m:t>
                </m:r>
              </m:sub>
            </m:sSub>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.10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.10</m:t>
                </m:r>
              </m:sub>
            </m:sSub>
          </m:sub>
        </m:sSub>
        <m:sSub>
          <m:sSubPr>
            <m:ctrlPr>
              <w:rPr>
                <w:rFonts w:ascii="Cambria Math" w:hAnsi="Cambria Math"/>
                <w:i/>
              </w:rPr>
            </m:ctrlPr>
          </m:sSubPr>
          <m:e>
            <m:r>
              <w:rPr>
                <w:rFonts w:ascii="Cambria Math" w:hAnsi="Cambria Math"/>
              </w:rPr>
              <m:t>XD</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.10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.10</m:t>
                </m:r>
              </m:sub>
            </m:sSub>
          </m:sub>
        </m:sSub>
        <m:sSub>
          <m:sSubPr>
            <m:ctrlPr>
              <w:rPr>
                <w:rFonts w:ascii="Cambria Math" w:hAnsi="Cambria Math"/>
                <w:i/>
              </w:rPr>
            </m:ctrlPr>
          </m:sSubPr>
          <m:e>
            <m:r>
              <w:rPr>
                <w:rFonts w:ascii="Cambria Math" w:hAnsi="Cambria Math"/>
              </w:rPr>
              <m:t>CT</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.10</m:t>
                </m:r>
              </m:sub>
            </m:sSub>
          </m:sub>
        </m:sSub>
        <m:r>
          <w:rPr>
            <w:rFonts w:ascii="Cambria Math" w:hAnsi="Cambria Math"/>
          </w:rPr>
          <m:t>+ϵ</m:t>
        </m:r>
      </m:oMath>
      <w:r>
        <w:rPr>
          <w:rFonts w:asciiTheme="majorHAnsi" w:hAnsiTheme="majorHAnsi"/>
          <w:i/>
        </w:rPr>
        <w:t xml:space="preserve">) </w:t>
      </w:r>
      <w:r>
        <w:rPr>
          <w:rFonts w:asciiTheme="majorHAnsi" w:hAnsiTheme="majorHAnsi"/>
        </w:rPr>
        <w:t>^</w:t>
      </w:r>
    </w:p>
    <w:p w14:paraId="0C649AE9" w14:textId="77777777" w:rsidR="00A47D99" w:rsidRDefault="00A47D99" w:rsidP="00A47D99">
      <w:pPr>
        <w:ind w:left="1134" w:firstLine="567"/>
        <w:rPr>
          <w:rFonts w:asciiTheme="majorHAnsi" w:hAnsiTheme="majorHAnsi"/>
        </w:rPr>
      </w:pPr>
      <w:r>
        <w:rPr>
          <w:rFonts w:asciiTheme="majorHAnsi" w:hAnsiTheme="majorHAnsi"/>
        </w:rPr>
        <w:tab/>
      </w:r>
      <w:r>
        <w:rPr>
          <w:rFonts w:asciiTheme="majorHAnsi" w:hAnsiTheme="majorHAnsi"/>
        </w:rPr>
        <w:tab/>
      </w:r>
      <m:oMath>
        <m:sSub>
          <m:sSubPr>
            <m:ctrlPr>
              <w:rPr>
                <w:rFonts w:ascii="Cambria Math" w:hAnsi="Cambria Math"/>
                <w:i/>
              </w:rPr>
            </m:ctrlPr>
          </m:sSubPr>
          <m:e>
            <m:r>
              <w:rPr>
                <w:rFonts w:ascii="Cambria Math" w:hAnsi="Cambria Math"/>
              </w:rPr>
              <m:t>(Q</m:t>
            </m:r>
          </m:e>
          <m:sub>
            <m:r>
              <w:rPr>
                <w:rFonts w:ascii="Cambria Math" w:hAnsi="Cambria Math"/>
              </w:rPr>
              <m:t>.50</m:t>
            </m:r>
          </m:sub>
        </m:sSub>
        <m:r>
          <w:rPr>
            <w:rFonts w:ascii="Cambria Math" w:hAnsi="Cambria Math"/>
          </w:rPr>
          <m:t>(</m:t>
        </m:r>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Sub>
              <m:sSubPr>
                <m:ctrlPr>
                  <w:rPr>
                    <w:rFonts w:ascii="Cambria Math" w:hAnsi="Cambria Math"/>
                    <w:i/>
                  </w:rPr>
                </m:ctrlPr>
              </m:sSubPr>
              <m:e>
                <m:r>
                  <w:rPr>
                    <w:rFonts w:ascii="Cambria Math" w:hAnsi="Cambria Math"/>
                  </w:rPr>
                  <m:t>.Q</m:t>
                </m:r>
              </m:e>
              <m:sub>
                <m:r>
                  <w:rPr>
                    <w:rFonts w:ascii="Cambria Math" w:hAnsi="Cambria Math"/>
                  </w:rPr>
                  <m:t>.50</m:t>
                </m:r>
              </m:sub>
            </m:sSub>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.50</m:t>
                </m:r>
              </m:sub>
            </m:sSub>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.50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.50</m:t>
                </m:r>
              </m:sub>
            </m:sSub>
          </m:sub>
        </m:sSub>
        <m:sSub>
          <m:sSubPr>
            <m:ctrlPr>
              <w:rPr>
                <w:rFonts w:ascii="Cambria Math" w:hAnsi="Cambria Math"/>
                <w:i/>
              </w:rPr>
            </m:ctrlPr>
          </m:sSubPr>
          <m:e>
            <m:r>
              <w:rPr>
                <w:rFonts w:ascii="Cambria Math" w:hAnsi="Cambria Math"/>
              </w:rPr>
              <m:t>XD</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.50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Sub>
              <m:sSubPr>
                <m:ctrlPr>
                  <w:rPr>
                    <w:rFonts w:ascii="Cambria Math" w:hAnsi="Cambria Math"/>
                    <w:i/>
                  </w:rPr>
                </m:ctrlPr>
              </m:sSubPr>
              <m:e>
                <m:r>
                  <w:rPr>
                    <w:rFonts w:ascii="Cambria Math" w:hAnsi="Cambria Math"/>
                  </w:rPr>
                  <m:t>Q</m:t>
                </m:r>
              </m:e>
              <m:sub>
                <m:r>
                  <w:rPr>
                    <w:rFonts w:ascii="Cambria Math" w:hAnsi="Cambria Math"/>
                  </w:rPr>
                  <m:t>.50</m:t>
                </m:r>
              </m:sub>
            </m:sSub>
          </m:sub>
        </m:sSub>
        <m:sSub>
          <m:sSubPr>
            <m:ctrlPr>
              <w:rPr>
                <w:rFonts w:ascii="Cambria Math" w:hAnsi="Cambria Math"/>
                <w:i/>
              </w:rPr>
            </m:ctrlPr>
          </m:sSubPr>
          <m:e>
            <m:r>
              <w:rPr>
                <w:rFonts w:ascii="Cambria Math" w:hAnsi="Cambria Math"/>
              </w:rPr>
              <m:t>CT</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.50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.50</m:t>
                </m:r>
              </m:sub>
            </m:sSub>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.50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.50</m:t>
                </m:r>
              </m:sub>
            </m:sSub>
          </m:sub>
        </m:sSub>
        <m:sSub>
          <m:sSubPr>
            <m:ctrlPr>
              <w:rPr>
                <w:rFonts w:ascii="Cambria Math" w:hAnsi="Cambria Math"/>
                <w:i/>
              </w:rPr>
            </m:ctrlPr>
          </m:sSubPr>
          <m:e>
            <m:r>
              <w:rPr>
                <w:rFonts w:ascii="Cambria Math" w:hAnsi="Cambria Math"/>
              </w:rPr>
              <m:t>XD</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.50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.50</m:t>
                </m:r>
              </m:sub>
            </m:sSub>
          </m:sub>
        </m:sSub>
        <m:sSub>
          <m:sSubPr>
            <m:ctrlPr>
              <w:rPr>
                <w:rFonts w:ascii="Cambria Math" w:hAnsi="Cambria Math"/>
                <w:i/>
              </w:rPr>
            </m:ctrlPr>
          </m:sSubPr>
          <m:e>
            <m:r>
              <w:rPr>
                <w:rFonts w:ascii="Cambria Math" w:hAnsi="Cambria Math"/>
              </w:rPr>
              <m:t>CT</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.50</m:t>
                </m:r>
              </m:sub>
            </m:sSub>
          </m:sub>
        </m:sSub>
        <m:r>
          <w:rPr>
            <w:rFonts w:ascii="Cambria Math" w:hAnsi="Cambria Math"/>
          </w:rPr>
          <m:t>+ϵ</m:t>
        </m:r>
      </m:oMath>
      <w:r>
        <w:rPr>
          <w:rFonts w:asciiTheme="majorHAnsi" w:hAnsiTheme="majorHAnsi"/>
          <w:i/>
        </w:rPr>
        <w:t xml:space="preserve">) </w:t>
      </w:r>
      <w:r>
        <w:rPr>
          <w:rFonts w:asciiTheme="majorHAnsi" w:hAnsiTheme="majorHAnsi"/>
        </w:rPr>
        <w:t>^</w:t>
      </w:r>
    </w:p>
    <w:p w14:paraId="0A97A015" w14:textId="77777777" w:rsidR="00EF7920" w:rsidRDefault="00A47D99" w:rsidP="00EF7920">
      <w:pPr>
        <w:ind w:left="1134" w:firstLine="567"/>
        <w:rPr>
          <w:rFonts w:asciiTheme="majorHAnsi" w:hAnsiTheme="majorHAnsi"/>
        </w:rPr>
      </w:pPr>
      <w:r>
        <w:rPr>
          <w:rFonts w:asciiTheme="majorHAnsi" w:hAnsiTheme="majorHAnsi"/>
        </w:rPr>
        <w:tab/>
      </w:r>
      <w:r>
        <w:rPr>
          <w:rFonts w:asciiTheme="majorHAnsi" w:hAnsiTheme="majorHAnsi"/>
        </w:rPr>
        <w:tab/>
      </w:r>
      <m:oMath>
        <m:sSub>
          <m:sSubPr>
            <m:ctrlPr>
              <w:rPr>
                <w:rFonts w:ascii="Cambria Math" w:hAnsi="Cambria Math"/>
                <w:i/>
              </w:rPr>
            </m:ctrlPr>
          </m:sSubPr>
          <m:e>
            <m:r>
              <w:rPr>
                <w:rFonts w:ascii="Cambria Math" w:hAnsi="Cambria Math"/>
              </w:rPr>
              <m:t>(Q</m:t>
            </m:r>
          </m:e>
          <m:sub>
            <m:r>
              <w:rPr>
                <w:rFonts w:ascii="Cambria Math" w:hAnsi="Cambria Math"/>
              </w:rPr>
              <m:t>.90</m:t>
            </m:r>
          </m:sub>
        </m:sSub>
        <m:r>
          <w:rPr>
            <w:rFonts w:ascii="Cambria Math" w:hAnsi="Cambria Math"/>
          </w:rPr>
          <m:t>(</m:t>
        </m:r>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Sub>
              <m:sSubPr>
                <m:ctrlPr>
                  <w:rPr>
                    <w:rFonts w:ascii="Cambria Math" w:hAnsi="Cambria Math"/>
                    <w:i/>
                  </w:rPr>
                </m:ctrlPr>
              </m:sSubPr>
              <m:e>
                <m:r>
                  <w:rPr>
                    <w:rFonts w:ascii="Cambria Math" w:hAnsi="Cambria Math"/>
                  </w:rPr>
                  <m:t>.Q</m:t>
                </m:r>
              </m:e>
              <m:sub>
                <m:r>
                  <w:rPr>
                    <w:rFonts w:ascii="Cambria Math" w:hAnsi="Cambria Math"/>
                  </w:rPr>
                  <m:t>.90</m:t>
                </m:r>
              </m:sub>
            </m:sSub>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.90</m:t>
                </m:r>
              </m:sub>
            </m:sSub>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.90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.90</m:t>
                </m:r>
              </m:sub>
            </m:sSub>
          </m:sub>
        </m:sSub>
        <m:sSub>
          <m:sSubPr>
            <m:ctrlPr>
              <w:rPr>
                <w:rFonts w:ascii="Cambria Math" w:hAnsi="Cambria Math"/>
                <w:i/>
              </w:rPr>
            </m:ctrlPr>
          </m:sSubPr>
          <m:e>
            <m:r>
              <w:rPr>
                <w:rFonts w:ascii="Cambria Math" w:hAnsi="Cambria Math"/>
              </w:rPr>
              <m:t>XD</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.90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Sub>
              <m:sSubPr>
                <m:ctrlPr>
                  <w:rPr>
                    <w:rFonts w:ascii="Cambria Math" w:hAnsi="Cambria Math"/>
                    <w:i/>
                  </w:rPr>
                </m:ctrlPr>
              </m:sSubPr>
              <m:e>
                <m:r>
                  <w:rPr>
                    <w:rFonts w:ascii="Cambria Math" w:hAnsi="Cambria Math"/>
                  </w:rPr>
                  <m:t>Q</m:t>
                </m:r>
              </m:e>
              <m:sub>
                <m:r>
                  <w:rPr>
                    <w:rFonts w:ascii="Cambria Math" w:hAnsi="Cambria Math"/>
                  </w:rPr>
                  <m:t>.90</m:t>
                </m:r>
              </m:sub>
            </m:sSub>
          </m:sub>
        </m:sSub>
        <m:sSub>
          <m:sSubPr>
            <m:ctrlPr>
              <w:rPr>
                <w:rFonts w:ascii="Cambria Math" w:hAnsi="Cambria Math"/>
                <w:i/>
              </w:rPr>
            </m:ctrlPr>
          </m:sSubPr>
          <m:e>
            <m:r>
              <w:rPr>
                <w:rFonts w:ascii="Cambria Math" w:hAnsi="Cambria Math"/>
              </w:rPr>
              <m:t>CT</m:t>
            </m:r>
          </m:e>
          <m:sub>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.90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.90</m:t>
                </m:r>
              </m:sub>
            </m:sSub>
          </m:sub>
        </m:sSub>
        <m:sSub>
          <m:sSubPr>
            <m:ctrlPr>
              <w:rPr>
                <w:rFonts w:ascii="Cambria Math" w:hAnsi="Cambria Math"/>
                <w:i/>
              </w:rPr>
            </m:ctrlPr>
          </m:sSubPr>
          <m:e>
            <m:func>
              <m:funcPr>
                <m:ctrlPr>
                  <w:rPr>
                    <w:rFonts w:ascii="Cambria Math" w:hAnsi="Cambria Math"/>
                    <w:i/>
                  </w:rPr>
                </m:ctrlPr>
              </m:funcPr>
              <m:fName>
                <m:r>
                  <w:rPr>
                    <w:rFonts w:ascii="Cambria Math" w:hAnsi="Cambria Math"/>
                  </w:rPr>
                  <m:t>log</m:t>
                </m:r>
              </m:fName>
              <m:e>
                <m:d>
                  <m:dPr>
                    <m:ctrlPr>
                      <w:rPr>
                        <w:rFonts w:ascii="Cambria Math" w:hAnsi="Cambria Math"/>
                        <w:i/>
                      </w:rPr>
                    </m:ctrlPr>
                  </m:dPr>
                  <m:e>
                    <m:r>
                      <w:rPr>
                        <w:rFonts w:ascii="Cambria Math" w:hAnsi="Cambria Math"/>
                      </w:rPr>
                      <m:t>X</m:t>
                    </m:r>
                  </m:e>
                </m:d>
              </m:e>
            </m:func>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.90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.90</m:t>
                </m:r>
              </m:sub>
            </m:sSub>
          </m:sub>
        </m:sSub>
        <m:sSub>
          <m:sSubPr>
            <m:ctrlPr>
              <w:rPr>
                <w:rFonts w:ascii="Cambria Math" w:hAnsi="Cambria Math"/>
                <w:i/>
              </w:rPr>
            </m:ctrlPr>
          </m:sSubPr>
          <m:e>
            <m:r>
              <w:rPr>
                <w:rFonts w:ascii="Cambria Math" w:hAnsi="Cambria Math"/>
              </w:rPr>
              <m:t>XD</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.90</m:t>
                </m:r>
              </m:sub>
            </m:sSub>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.90</m:t>
                </m:r>
              </m:sub>
            </m:sSub>
          </m:sub>
        </m:sSub>
        <m:sSub>
          <m:sSubPr>
            <m:ctrlPr>
              <w:rPr>
                <w:rFonts w:ascii="Cambria Math" w:hAnsi="Cambria Math"/>
                <w:i/>
              </w:rPr>
            </m:ctrlPr>
          </m:sSubPr>
          <m:e>
            <m:r>
              <w:rPr>
                <w:rFonts w:ascii="Cambria Math" w:hAnsi="Cambria Math"/>
              </w:rPr>
              <m:t>CT</m:t>
            </m:r>
          </m:e>
          <m: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.90</m:t>
                </m:r>
              </m:sub>
            </m:sSub>
          </m:sub>
        </m:sSub>
        <m:r>
          <w:rPr>
            <w:rFonts w:ascii="Cambria Math" w:hAnsi="Cambria Math"/>
          </w:rPr>
          <m:t>+ϵ</m:t>
        </m:r>
      </m:oMath>
      <w:r>
        <w:rPr>
          <w:rFonts w:asciiTheme="majorHAnsi" w:hAnsiTheme="majorHAnsi"/>
          <w:i/>
        </w:rPr>
        <w:t>) ]</w:t>
      </w:r>
      <w:r w:rsidR="00C558EE">
        <w:rPr>
          <w:rFonts w:asciiTheme="majorHAnsi" w:hAnsiTheme="majorHAnsi"/>
        </w:rPr>
        <w:tab/>
      </w:r>
      <w:r w:rsidR="00380BA9">
        <w:rPr>
          <w:rFonts w:asciiTheme="majorHAnsi" w:hAnsiTheme="majorHAnsi"/>
        </w:rPr>
        <w:t>(9</w:t>
      </w:r>
      <w:r w:rsidR="00885511">
        <w:rPr>
          <w:rFonts w:asciiTheme="majorHAnsi" w:hAnsiTheme="majorHAnsi"/>
        </w:rPr>
        <w:t>)</w:t>
      </w:r>
    </w:p>
    <w:p w14:paraId="75E50B62" w14:textId="77777777" w:rsidR="00A47D99" w:rsidRDefault="00A47D99" w:rsidP="00E96433">
      <w:pPr>
        <w:rPr>
          <w:rFonts w:asciiTheme="majorHAnsi" w:hAnsiTheme="majorHAnsi"/>
        </w:rPr>
      </w:pPr>
      <w:r>
        <w:rPr>
          <w:rFonts w:asciiTheme="majorHAnsi" w:hAnsiTheme="majorHAnsi"/>
        </w:rPr>
        <w:t xml:space="preserve">One feature of quantile regression is that it outputs a </w:t>
      </w:r>
      <m:oMath>
        <m:r>
          <w:rPr>
            <w:rFonts w:ascii="Cambria Math" w:hAnsi="Cambria Math"/>
          </w:rPr>
          <m:t xml:space="preserve">pseudo </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ajorHAnsi" w:hAnsiTheme="majorHAnsi"/>
        </w:rPr>
        <w:t xml:space="preserve"> rather than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ajorHAnsi" w:hAnsiTheme="majorHAnsi"/>
        </w:rPr>
        <w:t xml:space="preserve"> as an indicator of model fit. </w:t>
      </w:r>
      <m:oMath>
        <m:r>
          <w:rPr>
            <w:rFonts w:ascii="Cambria Math" w:hAnsi="Cambria Math"/>
          </w:rPr>
          <m:t xml:space="preserve">Pseudo </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ajorHAnsi" w:hAnsiTheme="majorHAnsi"/>
        </w:rPr>
        <w:t xml:space="preserve"> can be interpreted in the same way as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ajorHAnsi" w:hAnsiTheme="majorHAnsi"/>
        </w:rPr>
        <w:t>, however similarly high values will not be achieved. “</w:t>
      </w:r>
      <w:r>
        <w:rPr>
          <w:rFonts w:asciiTheme="majorHAnsi" w:hAnsiTheme="majorHAnsi"/>
          <w:i/>
        </w:rPr>
        <w:t xml:space="preserve">Those unfamiliar with </w:t>
      </w:r>
      <m:oMath>
        <m:sSup>
          <m:sSupPr>
            <m:ctrlPr>
              <w:rPr>
                <w:rFonts w:ascii="Cambria Math" w:hAnsi="Cambria Math"/>
                <w:i/>
              </w:rPr>
            </m:ctrlPr>
          </m:sSupPr>
          <m:e>
            <m:r>
              <w:rPr>
                <w:rFonts w:ascii="Cambria Math" w:hAnsi="Cambria Math"/>
              </w:rPr>
              <m:t>ρ</m:t>
            </m:r>
          </m:e>
          <m:sup>
            <m:r>
              <w:rPr>
                <w:rFonts w:ascii="Cambria Math" w:hAnsi="Cambria Math"/>
              </w:rPr>
              <m:t>2</m:t>
            </m:r>
          </m:sup>
        </m:sSup>
        <m:d>
          <m:dPr>
            <m:ctrlPr>
              <w:rPr>
                <w:rFonts w:ascii="Cambria Math" w:hAnsi="Cambria Math"/>
                <w:i/>
              </w:rPr>
            </m:ctrlPr>
          </m:dPr>
          <m:e>
            <m:r>
              <w:rPr>
                <w:rFonts w:ascii="Cambria Math" w:hAnsi="Cambria Math"/>
              </w:rPr>
              <m:t xml:space="preserve">pseudo </m:t>
            </m:r>
            <m:sSup>
              <m:sSupPr>
                <m:ctrlPr>
                  <w:rPr>
                    <w:rFonts w:ascii="Cambria Math" w:hAnsi="Cambria Math"/>
                    <w:i/>
                  </w:rPr>
                </m:ctrlPr>
              </m:sSupPr>
              <m:e>
                <m:r>
                  <w:rPr>
                    <w:rFonts w:ascii="Cambria Math" w:hAnsi="Cambria Math"/>
                  </w:rPr>
                  <m:t>R</m:t>
                </m:r>
              </m:e>
              <m:sup>
                <m:r>
                  <w:rPr>
                    <w:rFonts w:ascii="Cambria Math" w:hAnsi="Cambria Math"/>
                  </w:rPr>
                  <m:t>2</m:t>
                </m:r>
              </m:sup>
            </m:sSup>
          </m:e>
        </m:d>
      </m:oMath>
      <w:r>
        <w:rPr>
          <w:rFonts w:asciiTheme="majorHAnsi" w:hAnsiTheme="majorHAnsi"/>
          <w:i/>
        </w:rPr>
        <w:t xml:space="preserve"> should be forewarned that its values tend to be considerably lower than those of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ajorHAnsi" w:hAnsiTheme="majorHAnsi"/>
          <w:i/>
        </w:rPr>
        <w:t xml:space="preserve"> index and should not be judged by the standards for a “good fit” in ordinary regression analysis. For example, values of .2 to .4 for </w:t>
      </w:r>
      <m:oMath>
        <m:sSup>
          <m:sSupPr>
            <m:ctrlPr>
              <w:rPr>
                <w:rFonts w:ascii="Cambria Math" w:hAnsi="Cambria Math"/>
                <w:i/>
              </w:rPr>
            </m:ctrlPr>
          </m:sSupPr>
          <m:e>
            <m:r>
              <w:rPr>
                <w:rFonts w:ascii="Cambria Math" w:hAnsi="Cambria Math"/>
              </w:rPr>
              <m:t>ρ</m:t>
            </m:r>
          </m:e>
          <m:sup>
            <m:r>
              <w:rPr>
                <w:rFonts w:ascii="Cambria Math" w:hAnsi="Cambria Math"/>
              </w:rPr>
              <m:t>2</m:t>
            </m:r>
          </m:sup>
        </m:sSup>
      </m:oMath>
      <w:r>
        <w:rPr>
          <w:rFonts w:asciiTheme="majorHAnsi" w:hAnsiTheme="majorHAnsi"/>
          <w:i/>
        </w:rPr>
        <w:t xml:space="preserve"> represent an excellent fit.”</w:t>
      </w:r>
      <w:r>
        <w:rPr>
          <w:rFonts w:asciiTheme="majorHAnsi" w:hAnsiTheme="majorHAnsi"/>
        </w:rPr>
        <w:t xml:space="preserve"> (McFadden, 1977, p.34-35). </w:t>
      </w:r>
      <m:oMath>
        <m:r>
          <w:rPr>
            <w:rFonts w:ascii="Cambria Math" w:hAnsi="Cambria Math"/>
          </w:rPr>
          <m:t xml:space="preserve">Pseudo </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ajorHAnsi" w:hAnsiTheme="majorHAnsi"/>
        </w:rPr>
        <w:t xml:space="preserve"> is calculated as follows: </w:t>
      </w:r>
    </w:p>
    <w:p w14:paraId="6EF2B2EC" w14:textId="77777777" w:rsidR="00A47D99" w:rsidRDefault="00A47D99" w:rsidP="00EF7920">
      <w:pPr>
        <w:jc w:val="right"/>
        <w:rPr>
          <w:rFonts w:asciiTheme="majorHAnsi" w:hAnsiTheme="majorHAnsi"/>
        </w:rPr>
      </w:pPr>
      <m:oMath>
        <m:r>
          <w:rPr>
            <w:rFonts w:ascii="Cambria Math" w:hAnsi="Cambria Math"/>
          </w:rPr>
          <m:t xml:space="preserve">Pseudo </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Theme="majorHAnsi" w:hAnsiTheme="majorHAnsi"/>
        </w:rPr>
        <w:t xml:space="preserve">:  </w:t>
      </w:r>
      <m:oMath>
        <m:r>
          <w:rPr>
            <w:rFonts w:ascii="Cambria Math" w:hAnsi="Cambria Math"/>
          </w:rPr>
          <m:t xml:space="preserve">1- </m:t>
        </m:r>
        <m:f>
          <m:fPr>
            <m:ctrlPr>
              <w:rPr>
                <w:rFonts w:ascii="Cambria Math" w:hAnsi="Cambria Math"/>
                <w:i/>
              </w:rPr>
            </m:ctrlPr>
          </m:fPr>
          <m:num>
            <m:r>
              <w:rPr>
                <w:rFonts w:ascii="Cambria Math" w:hAnsi="Cambria Math"/>
              </w:rPr>
              <m:t>sum of weighted deviations about estimated quantile</m:t>
            </m:r>
          </m:num>
          <m:den>
            <m:r>
              <w:rPr>
                <w:rFonts w:ascii="Cambria Math" w:hAnsi="Cambria Math"/>
              </w:rPr>
              <m:t>sum of weighted deviations about raw quantile</m:t>
            </m:r>
          </m:den>
        </m:f>
      </m:oMath>
      <w:r w:rsidR="009A4DFB">
        <w:rPr>
          <w:rFonts w:asciiTheme="majorHAnsi" w:hAnsiTheme="majorHAnsi"/>
        </w:rPr>
        <w:tab/>
      </w:r>
      <w:r w:rsidR="009A4DFB">
        <w:rPr>
          <w:rFonts w:asciiTheme="majorHAnsi" w:hAnsiTheme="majorHAnsi"/>
        </w:rPr>
        <w:tab/>
      </w:r>
      <w:r w:rsidR="009A4DFB">
        <w:rPr>
          <w:rFonts w:asciiTheme="majorHAnsi" w:hAnsiTheme="majorHAnsi"/>
        </w:rPr>
        <w:tab/>
        <w:t>(10</w:t>
      </w:r>
      <w:r w:rsidR="00EF7920">
        <w:rPr>
          <w:rFonts w:asciiTheme="majorHAnsi" w:hAnsiTheme="majorHAnsi"/>
        </w:rPr>
        <w:t>)</w:t>
      </w:r>
    </w:p>
    <w:p w14:paraId="6FC6FF8B" w14:textId="77777777" w:rsidR="00A47D99" w:rsidRDefault="00A47D99" w:rsidP="00E96433">
      <w:pPr>
        <w:rPr>
          <w:rFonts w:asciiTheme="majorHAnsi" w:hAnsiTheme="majorHAnsi"/>
        </w:rPr>
      </w:pPr>
      <w:r>
        <w:rPr>
          <w:rFonts w:asciiTheme="majorHAnsi" w:hAnsiTheme="majorHAnsi"/>
        </w:rPr>
        <w:t xml:space="preserve">The simultaneous quantile regression allows for the use of bootstrapping (Stata, 2014), and effectively a resampled dataset. Resampling is repeated multiple times (in our case, 20 times), with a new random sample being used each time. This process builds a dataset of replicated statistics and calculates standard error using the standard formula for the sample standard deviation: </w:t>
      </w:r>
    </w:p>
    <w:p w14:paraId="4046626B" w14:textId="77777777" w:rsidR="00A47D99" w:rsidRDefault="009F7388" w:rsidP="00EF7920">
      <w:pPr>
        <w:jc w:val="right"/>
        <w:rPr>
          <w:rFonts w:asciiTheme="majorHAnsi" w:hAnsiTheme="majorHAnsi"/>
        </w:rPr>
      </w:pPr>
      <m:oMath>
        <m:acc>
          <m:accPr>
            <m:ctrlPr>
              <w:rPr>
                <w:rFonts w:ascii="Cambria Math" w:hAnsi="Cambria Math"/>
                <w:i/>
              </w:rPr>
            </m:ctrlPr>
          </m:accPr>
          <m:e>
            <m:r>
              <w:rPr>
                <w:rFonts w:ascii="Cambria Math" w:hAnsi="Cambria Math"/>
              </w:rPr>
              <m:t>se</m:t>
            </m:r>
          </m:e>
        </m:acc>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k-1</m:t>
                </m:r>
              </m:den>
            </m:f>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θ</m:t>
                    </m:r>
                  </m:e>
                </m:acc>
                <m:sSup>
                  <m:sSupPr>
                    <m:ctrlPr>
                      <w:rPr>
                        <w:rFonts w:ascii="Cambria Math" w:hAnsi="Cambria Math"/>
                        <w:i/>
                      </w:rPr>
                    </m:ctrlPr>
                  </m:sSupPr>
                  <m:e>
                    <m:r>
                      <w:rPr>
                        <w:rFonts w:ascii="Cambria Math" w:hAnsi="Cambria Math"/>
                      </w:rPr>
                      <m:t>)</m:t>
                    </m:r>
                  </m:e>
                  <m:sup>
                    <m:r>
                      <w:rPr>
                        <w:rFonts w:ascii="Cambria Math" w:hAnsi="Cambria Math"/>
                      </w:rPr>
                      <m:t>2</m:t>
                    </m:r>
                  </m:sup>
                </m:sSup>
              </m:e>
            </m:nary>
          </m:e>
        </m:d>
        <m:sSup>
          <m:sSupPr>
            <m:ctrlPr>
              <w:rPr>
                <w:rFonts w:ascii="Cambria Math" w:hAnsi="Cambria Math"/>
                <w:i/>
              </w:rPr>
            </m:ctrlPr>
          </m:sSupPr>
          <m:e>
            <m:r>
              <w:rPr>
                <w:rFonts w:ascii="Cambria Math" w:hAnsi="Cambria Math"/>
              </w:rPr>
              <m:t xml:space="preserve"> </m:t>
            </m:r>
          </m:e>
          <m:sup>
            <m:r>
              <w:rPr>
                <w:rFonts w:ascii="Cambria Math" w:hAnsi="Cambria Math"/>
              </w:rPr>
              <m:t>1/2</m:t>
            </m:r>
          </m:sup>
        </m:sSup>
      </m:oMath>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EF7920">
        <w:rPr>
          <w:rFonts w:asciiTheme="majorHAnsi" w:hAnsiTheme="majorHAnsi"/>
        </w:rPr>
        <w:tab/>
      </w:r>
      <w:r w:rsidR="009A4DFB">
        <w:rPr>
          <w:rFonts w:asciiTheme="majorHAnsi" w:hAnsiTheme="majorHAnsi"/>
        </w:rPr>
        <w:t>(11</w:t>
      </w:r>
      <w:r w:rsidR="00EF7920">
        <w:rPr>
          <w:rFonts w:asciiTheme="majorHAnsi" w:hAnsiTheme="majorHAnsi"/>
        </w:rPr>
        <w:t>)</w:t>
      </w:r>
    </w:p>
    <w:p w14:paraId="673A8480" w14:textId="77777777" w:rsidR="006606A8" w:rsidRPr="009A4DFB" w:rsidRDefault="00A47D99" w:rsidP="006606A8">
      <w:pPr>
        <w:rPr>
          <w:rFonts w:asciiTheme="majorHAnsi" w:hAnsiTheme="majorHAnsi"/>
        </w:rPr>
      </w:pPr>
      <w:r>
        <w:rPr>
          <w:rFonts w:asciiTheme="majorHAnsi" w:hAnsiTheme="majorHAnsi"/>
        </w:rPr>
        <w:t xml:space="preserve">Where: </w:t>
      </w:r>
      <m:oMath>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oMath>
      <w:r>
        <w:rPr>
          <w:rFonts w:asciiTheme="majorHAnsi" w:hAnsiTheme="majorHAnsi"/>
        </w:rPr>
        <w:t xml:space="preserve"> is the statistic calculated using the </w:t>
      </w:r>
      <m:oMath>
        <m:r>
          <w:rPr>
            <w:rFonts w:ascii="Cambria Math" w:hAnsi="Cambria Math"/>
          </w:rPr>
          <m:t>i</m:t>
        </m:r>
      </m:oMath>
      <w:r>
        <w:rPr>
          <w:rFonts w:asciiTheme="majorHAnsi" w:hAnsiTheme="majorHAnsi"/>
        </w:rPr>
        <w:t xml:space="preserve">th bootstrap sample, </w:t>
      </w:r>
      <m:oMath>
        <m:r>
          <w:rPr>
            <w:rFonts w:ascii="Cambria Math" w:hAnsi="Cambria Math"/>
          </w:rPr>
          <m:t>k</m:t>
        </m:r>
      </m:oMath>
      <w:r>
        <w:rPr>
          <w:rFonts w:asciiTheme="majorHAnsi" w:hAnsiTheme="majorHAnsi"/>
        </w:rPr>
        <w:t xml:space="preserve"> is the number of replications, and </w:t>
      </w:r>
      <m:oMath>
        <m:acc>
          <m:accPr>
            <m:chr m:val="̅"/>
            <m:ctrlPr>
              <w:rPr>
                <w:rFonts w:ascii="Cambria Math" w:hAnsi="Cambria Math"/>
                <w:i/>
              </w:rPr>
            </m:ctrlPr>
          </m:accPr>
          <m:e>
            <m:r>
              <w:rPr>
                <w:rFonts w:ascii="Cambria Math" w:hAnsi="Cambria Math"/>
              </w:rPr>
              <m:t>θ</m:t>
            </m:r>
          </m:e>
        </m:acc>
      </m:oMath>
      <w:r>
        <w:rPr>
          <w:rFonts w:asciiTheme="majorHAnsi" w:hAnsiTheme="majorHAnsi"/>
        </w:rPr>
        <w:t xml:space="preserve"> is the average of bootstrapped estimates. </w:t>
      </w:r>
    </w:p>
    <w:p w14:paraId="4AFA1657" w14:textId="77777777" w:rsidR="00A47D99" w:rsidRDefault="00A47D99" w:rsidP="00A47D99">
      <w:pPr>
        <w:pStyle w:val="Heading2"/>
      </w:pPr>
      <w:bookmarkStart w:id="17" w:name="_Toc25744003"/>
      <w:r>
        <w:lastRenderedPageBreak/>
        <w:t>Results</w:t>
      </w:r>
      <w:bookmarkEnd w:id="17"/>
    </w:p>
    <w:p w14:paraId="7737DA66" w14:textId="77777777" w:rsidR="00950B72" w:rsidRDefault="00A47D99" w:rsidP="00E96433">
      <w:r>
        <w:t>Results for each of the hedonic models are presented in the following order</w:t>
      </w:r>
      <w:r w:rsidR="00606222">
        <w:t>:</w:t>
      </w:r>
      <w:r w:rsidR="009F055A">
        <w:t xml:space="preserve"> </w:t>
      </w:r>
      <w:r>
        <w:t>National, ABAR</w:t>
      </w:r>
      <w:r w:rsidR="00643D56">
        <w:t xml:space="preserve">ES </w:t>
      </w:r>
      <w:r w:rsidR="00DD051D">
        <w:t>zones</w:t>
      </w:r>
      <w:r>
        <w:t xml:space="preserve">, GRDC regions, size quantiles, </w:t>
      </w:r>
      <w:r w:rsidR="009F055A">
        <w:t>and price</w:t>
      </w:r>
      <w:r>
        <w:t xml:space="preserve"> per hectare quantil</w:t>
      </w:r>
      <w:r w:rsidR="00643D56">
        <w:t>es. All results present the co</w:t>
      </w:r>
      <w:r w:rsidR="00643D56">
        <w:noBreakHyphen/>
      </w:r>
      <w:r>
        <w:t>efficient of the explanatory variable in log form – such that the percentage chang</w:t>
      </w:r>
      <w:r w:rsidR="00380BA9">
        <w:t>e in the co</w:t>
      </w:r>
      <w:r w:rsidR="00380BA9">
        <w:noBreakHyphen/>
      </w:r>
      <w:r>
        <w:t xml:space="preserve">efficient results in a corresponding percentage change in the dependent variable (price her hectare). Any insignificant co-efficient results </w:t>
      </w:r>
      <m:oMath>
        <m:r>
          <w:rPr>
            <w:rFonts w:ascii="Cambria Math" w:hAnsi="Cambria Math"/>
          </w:rPr>
          <m:t>where P&gt;</m:t>
        </m:r>
        <m:d>
          <m:dPr>
            <m:begChr m:val="|"/>
            <m:endChr m:val="|"/>
            <m:ctrlPr>
              <w:rPr>
                <w:rFonts w:ascii="Cambria Math" w:hAnsi="Cambria Math"/>
                <w:i/>
              </w:rPr>
            </m:ctrlPr>
          </m:dPr>
          <m:e>
            <m:r>
              <w:rPr>
                <w:rFonts w:ascii="Cambria Math" w:hAnsi="Cambria Math"/>
              </w:rPr>
              <m:t>t</m:t>
            </m:r>
          </m:e>
        </m:d>
        <m:r>
          <w:rPr>
            <w:rFonts w:ascii="Cambria Math" w:hAnsi="Cambria Math"/>
          </w:rPr>
          <m:t>= &gt;.05</m:t>
        </m:r>
      </m:oMath>
      <w:r w:rsidR="00950B72">
        <w:t xml:space="preserve"> are omitted, meaning that these variables </w:t>
      </w:r>
      <w:r w:rsidR="00D32929">
        <w:t xml:space="preserve">will appear as blank </w:t>
      </w:r>
      <w:r w:rsidR="00E625E2">
        <w:t xml:space="preserve">(no bar) </w:t>
      </w:r>
      <w:r w:rsidR="00D32929">
        <w:t>in Figure</w:t>
      </w:r>
      <w:r w:rsidR="00E625E2">
        <w:t>s</w:t>
      </w:r>
      <w:r w:rsidR="00D32929">
        <w:t xml:space="preserve"> 3 to 7</w:t>
      </w:r>
      <w:r w:rsidR="00950B72">
        <w:t xml:space="preserve">. </w:t>
      </w:r>
    </w:p>
    <w:p w14:paraId="34C2703E" w14:textId="77777777" w:rsidR="00EF7920" w:rsidRPr="00A263ED" w:rsidRDefault="00A47D99" w:rsidP="00E96433">
      <w:r>
        <w:t xml:space="preserve">Similarly, year control variables are omitted (for ease of presentation). Accompanying each set of results is a brief </w:t>
      </w:r>
      <w:r w:rsidR="00643D56">
        <w:t xml:space="preserve">descriptive </w:t>
      </w:r>
      <w:r>
        <w:t xml:space="preserve">interpretation. </w:t>
      </w:r>
    </w:p>
    <w:p w14:paraId="2258D7A9" w14:textId="77777777" w:rsidR="00A47D99" w:rsidRPr="00A47D99" w:rsidRDefault="00A47D99" w:rsidP="00A47D99">
      <w:pPr>
        <w:pStyle w:val="Caption"/>
        <w:rPr>
          <w:vertAlign w:val="superscript"/>
        </w:rPr>
      </w:pPr>
      <w:bookmarkStart w:id="18" w:name="_Toc25744016"/>
      <w:r>
        <w:t xml:space="preserve">Figure </w:t>
      </w:r>
      <w:r>
        <w:rPr>
          <w:noProof/>
        </w:rPr>
        <w:fldChar w:fldCharType="begin"/>
      </w:r>
      <w:r>
        <w:rPr>
          <w:noProof/>
        </w:rPr>
        <w:instrText xml:space="preserve"> SEQ Figure \* ARABIC </w:instrText>
      </w:r>
      <w:r>
        <w:rPr>
          <w:noProof/>
        </w:rPr>
        <w:fldChar w:fldCharType="separate"/>
      </w:r>
      <w:r w:rsidR="009F7388">
        <w:rPr>
          <w:noProof/>
        </w:rPr>
        <w:t>3</w:t>
      </w:r>
      <w:r>
        <w:rPr>
          <w:noProof/>
        </w:rPr>
        <w:fldChar w:fldCharType="end"/>
      </w:r>
      <w:r>
        <w:t xml:space="preserve"> </w:t>
      </w:r>
      <w:r w:rsidRPr="00A47D99">
        <w:t>Land value drivers – National</w:t>
      </w:r>
      <w:bookmarkEnd w:id="18"/>
    </w:p>
    <w:p w14:paraId="45563FC4" w14:textId="77777777" w:rsidR="00A47D99" w:rsidRDefault="007A0445" w:rsidP="00A47D99">
      <w:pPr>
        <w:rPr>
          <w:sz w:val="28"/>
        </w:rPr>
      </w:pPr>
      <w:r>
        <w:rPr>
          <w:noProof/>
          <w:lang w:eastAsia="en-AU"/>
        </w:rPr>
        <w:drawing>
          <wp:inline distT="0" distB="0" distL="0" distR="0" wp14:anchorId="4C107DF6" wp14:editId="2FBD2620">
            <wp:extent cx="6002655" cy="3152632"/>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D92616" w14:textId="77777777" w:rsidR="00A263ED" w:rsidRPr="00614630" w:rsidRDefault="00A263ED" w:rsidP="00A263ED">
      <w:pPr>
        <w:spacing w:after="0"/>
        <w:rPr>
          <w:i/>
          <w:sz w:val="16"/>
        </w:rPr>
      </w:pPr>
      <w:r w:rsidRPr="00614630">
        <w:rPr>
          <w:i/>
          <w:sz w:val="16"/>
        </w:rPr>
        <w:t>Source: Authors estimates</w:t>
      </w:r>
    </w:p>
    <w:p w14:paraId="5D96D256" w14:textId="77777777" w:rsidR="00EF7920" w:rsidRPr="00614630" w:rsidRDefault="00A47D99" w:rsidP="00A263ED">
      <w:pPr>
        <w:rPr>
          <w:i/>
          <w:sz w:val="16"/>
        </w:rPr>
      </w:pPr>
      <w:r w:rsidRPr="00614630">
        <w:rPr>
          <w:i/>
          <w:sz w:val="16"/>
        </w:rPr>
        <w:t>Note: (R</w:t>
      </w:r>
      <w:r w:rsidR="00A263ED" w:rsidRPr="00614630">
        <w:rPr>
          <w:i/>
          <w:sz w:val="16"/>
        </w:rPr>
        <w:t xml:space="preserve">²=.67), observations=166,994,  </w:t>
      </w:r>
    </w:p>
    <w:p w14:paraId="7E101DDB" w14:textId="7366AE82" w:rsidR="00A47D99" w:rsidRDefault="00A47D99" w:rsidP="00E96433">
      <w:r>
        <w:t>The national hedonic model provides a general overview of the factors which have driven farmland values from 1975 to 2018; and the propor</w:t>
      </w:r>
      <w:r w:rsidR="000F230D">
        <w:t xml:space="preserve">tional impact of these drivers. The presence of a house or </w:t>
      </w:r>
      <w:r>
        <w:t>buildings on the farmland appears to be important to value. Specifically, the size of</w:t>
      </w:r>
      <w:r w:rsidR="000F230D">
        <w:t xml:space="preserve"> the farm house (where present) and the number of buildings</w:t>
      </w:r>
      <w:r>
        <w:t xml:space="preserve"> has a significant and positive</w:t>
      </w:r>
      <w:r w:rsidR="00950B72">
        <w:t xml:space="preserve"> relationship with</w:t>
      </w:r>
      <w:r>
        <w:t xml:space="preserve"> price per hectare. Size (Hectares) is significant and n</w:t>
      </w:r>
      <w:r w:rsidR="007F2D31">
        <w:t>egative, suggesting that price per hectare</w:t>
      </w:r>
      <w:r>
        <w:t xml:space="preserve"> tends to be higher for smaller farms. Also aligning with expectations are transport costs, which are significant and negative for both towns and cities – suggesting that farmland value decreases with increased remoteness and reduced access to infrastructure. The multi-sale variable suggests that the grouping of land parcels into a s</w:t>
      </w:r>
      <w:r w:rsidR="00950B72">
        <w:t>ingle transaction drives reduced</w:t>
      </w:r>
      <w:r>
        <w:t xml:space="preserve"> value per hectare. </w:t>
      </w:r>
    </w:p>
    <w:p w14:paraId="4B565AFC" w14:textId="77777777" w:rsidR="003A00CE" w:rsidRDefault="00A47D99" w:rsidP="00E96433">
      <w:r>
        <w:t>The effect of land clearing is statistically significant and negative (-1.9%)</w:t>
      </w:r>
      <w:r w:rsidR="003A00CE">
        <w:t xml:space="preserve"> at the national level</w:t>
      </w:r>
      <w:r>
        <w:t xml:space="preserve">, suggesting that a reduction in vegetation may result in a subtle land value increase. Steep land </w:t>
      </w:r>
      <w:r>
        <w:lastRenderedPageBreak/>
        <w:t xml:space="preserve">terrain also has a significant (yet subtle) effect on farmland values, suggesting that very hilly land may result in a </w:t>
      </w:r>
      <w:r w:rsidR="003A00CE">
        <w:t>slight reduction in land value.</w:t>
      </w:r>
    </w:p>
    <w:p w14:paraId="4AED5C46" w14:textId="77777777" w:rsidR="003A00CE" w:rsidRDefault="00A47D99" w:rsidP="00E96433">
      <w:r>
        <w:t xml:space="preserve">Other general observations </w:t>
      </w:r>
      <w:r w:rsidR="003A00CE">
        <w:t xml:space="preserve">are that </w:t>
      </w:r>
      <w:r>
        <w:t>increased average rainfall, high average minimum temperature, productivity, increased average debt, production choice (cropping) and the presence of wind turbines or mine sites on farm</w:t>
      </w:r>
      <w:r w:rsidR="003A00CE">
        <w:t xml:space="preserve"> appear to positively drive farmland value</w:t>
      </w:r>
      <w:r>
        <w:t xml:space="preserve">. Factors that appear to be negative drivers of </w:t>
      </w:r>
      <w:r w:rsidR="0044154A">
        <w:t>broadacre</w:t>
      </w:r>
      <w:r>
        <w:t xml:space="preserve"> farmland value </w:t>
      </w:r>
      <w:r w:rsidR="003A00CE">
        <w:t xml:space="preserve">at the national level </w:t>
      </w:r>
      <w:r>
        <w:t xml:space="preserve">include high average maximum temperatures in the Jul-Sep and Oct-Dec quarters, high wind erosion risk and water cover of 5% or 1.5% (possibly due to heightened flood risk). </w:t>
      </w:r>
    </w:p>
    <w:p w14:paraId="0EF9C465" w14:textId="77777777" w:rsidR="006830F1" w:rsidRDefault="00A47D99" w:rsidP="00E96433">
      <w:r>
        <w:t xml:space="preserve">While the </w:t>
      </w:r>
      <w:r w:rsidR="00CC2FB1">
        <w:t xml:space="preserve">coefficients </w:t>
      </w:r>
      <w:r>
        <w:t>align with expectations</w:t>
      </w:r>
      <w:r w:rsidR="00CC2FB1">
        <w:t xml:space="preserve"> for most of the variables</w:t>
      </w:r>
      <w:r>
        <w:t>, results from some of the soil v</w:t>
      </w:r>
      <w:r w:rsidR="003A00CE">
        <w:t xml:space="preserve">ariables yielded unexpected </w:t>
      </w:r>
      <w:r w:rsidR="00373528">
        <w:t>signs</w:t>
      </w:r>
      <w:r>
        <w:t>, with high risk of acidification, carbon and water erosion all appearing to have a significant an</w:t>
      </w:r>
      <w:r w:rsidR="00CC2FB1">
        <w:t>d positive (yet minor) relationship</w:t>
      </w:r>
      <w:r>
        <w:t xml:space="preserve"> </w:t>
      </w:r>
      <w:r w:rsidR="00AF2DA4">
        <w:t xml:space="preserve">to </w:t>
      </w:r>
      <w:r>
        <w:t xml:space="preserve">farmland value. </w:t>
      </w:r>
      <w:r w:rsidR="00AF2DA4">
        <w:t>Although this appears to be counterintuitive, i</w:t>
      </w:r>
      <w:r w:rsidR="00CA2AA7">
        <w:t>t is also possible that t</w:t>
      </w:r>
      <w:r w:rsidR="00643D56">
        <w:t>he soil coefficients</w:t>
      </w:r>
      <w:r w:rsidR="00CC2FB1">
        <w:t xml:space="preserve"> are valid </w:t>
      </w:r>
      <w:r w:rsidR="00CA2AA7">
        <w:t xml:space="preserve">and that the </w:t>
      </w:r>
      <w:r w:rsidR="00373528">
        <w:t>initial interpretation (in Table 2) wa</w:t>
      </w:r>
      <w:r w:rsidR="00CA2AA7">
        <w:t>s incorrect</w:t>
      </w:r>
      <w:r w:rsidR="00CC2FB1">
        <w:t>, or that the interaction between soil risk and other variables (such as land clearing) and leading to spurious results. If we assume that the</w:t>
      </w:r>
      <w:r w:rsidR="00373528">
        <w:t xml:space="preserve"> soil variable results are valid</w:t>
      </w:r>
      <w:r w:rsidR="00CC2FB1">
        <w:t xml:space="preserve">, the signs of these covariates could be related to farmland profitability. For example, </w:t>
      </w:r>
      <w:r w:rsidR="00CA2AA7">
        <w:t>farmers that are operating their land more intensively (higher stocking densities and more intensive fertiliser use), m</w:t>
      </w:r>
      <w:r w:rsidR="00C95D30">
        <w:t xml:space="preserve">ay achieve higher profitability, which may </w:t>
      </w:r>
      <w:r w:rsidR="00643D56">
        <w:t>allow them to demand a higher price for their land</w:t>
      </w:r>
      <w:r w:rsidR="00C95D30">
        <w:t xml:space="preserve"> (despite the long term degradation of the soil, which may be unnoticed by the land purchaser). </w:t>
      </w:r>
      <w:r w:rsidR="00CC2FB1">
        <w:t xml:space="preserve">This hypothetical scenario therefore may induce the positive relationship between soil risk and farmland value. </w:t>
      </w:r>
    </w:p>
    <w:p w14:paraId="1EF01DCD" w14:textId="77777777" w:rsidR="00A47D99" w:rsidRPr="00A47D99" w:rsidRDefault="00A47D99" w:rsidP="00A47D99">
      <w:pPr>
        <w:pStyle w:val="Caption"/>
        <w:rPr>
          <w:vertAlign w:val="superscript"/>
        </w:rPr>
      </w:pPr>
      <w:bookmarkStart w:id="19" w:name="_Toc25744017"/>
      <w:r>
        <w:t xml:space="preserve">Figure </w:t>
      </w:r>
      <w:r>
        <w:rPr>
          <w:noProof/>
        </w:rPr>
        <w:fldChar w:fldCharType="begin"/>
      </w:r>
      <w:r>
        <w:rPr>
          <w:noProof/>
        </w:rPr>
        <w:instrText xml:space="preserve"> SEQ Figure \* ARABIC </w:instrText>
      </w:r>
      <w:r>
        <w:rPr>
          <w:noProof/>
        </w:rPr>
        <w:fldChar w:fldCharType="separate"/>
      </w:r>
      <w:r w:rsidR="009F7388">
        <w:rPr>
          <w:noProof/>
        </w:rPr>
        <w:t>4</w:t>
      </w:r>
      <w:r>
        <w:rPr>
          <w:noProof/>
        </w:rPr>
        <w:fldChar w:fldCharType="end"/>
      </w:r>
      <w:r>
        <w:t xml:space="preserve"> </w:t>
      </w:r>
      <w:r w:rsidRPr="00A47D99">
        <w:t xml:space="preserve">Land value drivers - ABARES </w:t>
      </w:r>
      <w:r w:rsidR="00DD051D">
        <w:t>zones</w:t>
      </w:r>
      <w:bookmarkEnd w:id="19"/>
    </w:p>
    <w:p w14:paraId="7CB40368" w14:textId="77777777" w:rsidR="00A47D99" w:rsidRDefault="00BB3A6A" w:rsidP="00A47D99">
      <w:pPr>
        <w:rPr>
          <w:sz w:val="28"/>
        </w:rPr>
      </w:pPr>
      <w:r>
        <w:rPr>
          <w:noProof/>
          <w:lang w:eastAsia="en-AU"/>
        </w:rPr>
        <w:drawing>
          <wp:inline distT="0" distB="0" distL="0" distR="0" wp14:anchorId="066C78B6" wp14:editId="0A5FA4DA">
            <wp:extent cx="5882185" cy="3125338"/>
            <wp:effectExtent l="0" t="0" r="444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F3A6FE" w14:textId="77777777" w:rsidR="00A263ED" w:rsidRPr="00614630" w:rsidRDefault="00A263ED" w:rsidP="00A263ED">
      <w:pPr>
        <w:spacing w:after="0"/>
        <w:rPr>
          <w:i/>
          <w:sz w:val="16"/>
        </w:rPr>
      </w:pPr>
      <w:r w:rsidRPr="00614630">
        <w:rPr>
          <w:i/>
          <w:sz w:val="16"/>
        </w:rPr>
        <w:t>Source: Authors estimates</w:t>
      </w:r>
    </w:p>
    <w:p w14:paraId="3E5A1BA4" w14:textId="77777777" w:rsidR="00A47D99" w:rsidRPr="00614630" w:rsidRDefault="00A47D99" w:rsidP="00A47D99">
      <w:pPr>
        <w:rPr>
          <w:i/>
          <w:sz w:val="16"/>
        </w:rPr>
      </w:pPr>
      <w:r w:rsidRPr="00614630">
        <w:rPr>
          <w:i/>
          <w:sz w:val="16"/>
        </w:rPr>
        <w:t>Note: High rainfall zone (R²=.65), observations=105,061; Wheat Sheep zone (R²=.64), observations= 85,423; Pastoral zone (R</w:t>
      </w:r>
      <w:r w:rsidR="00A263ED" w:rsidRPr="00614630">
        <w:rPr>
          <w:i/>
          <w:sz w:val="16"/>
        </w:rPr>
        <w:t>²=.6581), observations=2,376</w:t>
      </w:r>
    </w:p>
    <w:p w14:paraId="21E3335A" w14:textId="77777777" w:rsidR="00E625E2" w:rsidRDefault="00E625E2" w:rsidP="00E96433">
      <w:r>
        <w:t xml:space="preserve">To explore these drivers of </w:t>
      </w:r>
      <w:r w:rsidR="0044154A">
        <w:t>broadacre</w:t>
      </w:r>
      <w:r>
        <w:t xml:space="preserve"> farmland further, the next set of results compares ABARES farming zones </w:t>
      </w:r>
      <w:r>
        <w:rPr>
          <w:i/>
        </w:rPr>
        <w:t xml:space="preserve">(as in Appendix Box A1). </w:t>
      </w:r>
      <w:r>
        <w:t xml:space="preserve">These zones are the High Rainfall Zone (HRFZ), the Wheat Sheep Zone (WSZ), and the Pastoral Zone (PZ). It is generally accepted farms in the HRFZ </w:t>
      </w:r>
      <w:r>
        <w:lastRenderedPageBreak/>
        <w:t xml:space="preserve">are typically smaller and tend to benefit from favourable climate conditions. Farms in the WSZ are generally larger than in the HRFZ and experience moderate climate conditions suitable for large scale cropping. Farms in the PZ are generally large scale grazing properties which anecdotally attract lower prices on a per hectare basis.  </w:t>
      </w:r>
    </w:p>
    <w:p w14:paraId="2435D632" w14:textId="77777777" w:rsidR="00A47D99" w:rsidRDefault="00A47D99" w:rsidP="00E96433">
      <w:r>
        <w:t>Many of the land value drivers identified at the national level hold true after disaggregation into the ABARES zones</w:t>
      </w:r>
      <w:r w:rsidR="00E625E2">
        <w:t xml:space="preserve"> (Figure 4)</w:t>
      </w:r>
      <w:r>
        <w:t>. The presence of a house, buildings or infrastructure appear to be significant and positive for all zones — however a large house (in terms of number of bedrooms) appears to be more important in the PZ and a high number of buildings (i.e. sheds and houses) appears to be more important to value in the HRFZ. The coefficient sign (negative) and significance of farm size (hectares) and multi-sale holds for all ABARES zones. Multi</w:t>
      </w:r>
      <w:r>
        <w:noBreakHyphen/>
        <w:t xml:space="preserve">sale transactions attract lower land values in the WSZ, whereas farmland in the HRFZ is price sensitive to size (such that increasingly large farms may attract lower values on a price per hectare basis). Increased distance from towns negatively impacts land values in the HRFZ and WSZ, however is insignificant for the PZ. </w:t>
      </w:r>
    </w:p>
    <w:p w14:paraId="4066EF1E" w14:textId="03D91F5E" w:rsidR="00EF7920" w:rsidRDefault="00A47D99" w:rsidP="00E96433">
      <w:r>
        <w:t>Land value in the WSZ appears to be largely driven by favourable climatic conditions. Increased average rainfall</w:t>
      </w:r>
      <w:r w:rsidR="00950B72">
        <w:t xml:space="preserve"> in the WSZ</w:t>
      </w:r>
      <w:r>
        <w:t xml:space="preserve"> is positive and significant in all quarters, and high maximum average temperature in the Jul-Sep / Oct-Dec quarters is negative and significant. High risk of wind erosion is also</w:t>
      </w:r>
      <w:r w:rsidR="00CB55F8">
        <w:t xml:space="preserve"> a negative driver of </w:t>
      </w:r>
      <w:r w:rsidR="0044154A">
        <w:t>broadacre</w:t>
      </w:r>
      <w:r>
        <w:t xml:space="preserve"> farmland value in the WSZ. Note that cropping production type is positive for WSZ, whereas grazing production is negative. This combination of features may reflect that higher values are assigned to favourable cropping areas within the WSZ (compared to less favourable grazing area</w:t>
      </w:r>
      <w:r w:rsidR="007F2D31">
        <w:t>s of the WSZ with hotter and dri</w:t>
      </w:r>
      <w:r>
        <w:t xml:space="preserve">er climate conditions).  </w:t>
      </w:r>
    </w:p>
    <w:p w14:paraId="47F01928" w14:textId="77777777" w:rsidR="00A47D99" w:rsidRPr="00A47D99" w:rsidRDefault="00A47D99" w:rsidP="00A47D99">
      <w:pPr>
        <w:pStyle w:val="Caption"/>
        <w:rPr>
          <w:vertAlign w:val="superscript"/>
        </w:rPr>
      </w:pPr>
      <w:bookmarkStart w:id="20" w:name="_Toc25744018"/>
      <w:r>
        <w:t xml:space="preserve">Figure </w:t>
      </w:r>
      <w:r>
        <w:rPr>
          <w:noProof/>
        </w:rPr>
        <w:fldChar w:fldCharType="begin"/>
      </w:r>
      <w:r>
        <w:rPr>
          <w:noProof/>
        </w:rPr>
        <w:instrText xml:space="preserve"> SEQ Figure \* ARABIC </w:instrText>
      </w:r>
      <w:r>
        <w:rPr>
          <w:noProof/>
        </w:rPr>
        <w:fldChar w:fldCharType="separate"/>
      </w:r>
      <w:r w:rsidR="009F7388">
        <w:rPr>
          <w:noProof/>
        </w:rPr>
        <w:t>5</w:t>
      </w:r>
      <w:r>
        <w:rPr>
          <w:noProof/>
        </w:rPr>
        <w:fldChar w:fldCharType="end"/>
      </w:r>
      <w:r>
        <w:t xml:space="preserve"> </w:t>
      </w:r>
      <w:r w:rsidRPr="00A47D99">
        <w:t>Land value drivers – GRDC regions (</w:t>
      </w:r>
      <w:r w:rsidR="007728BB">
        <w:t>farms with cropping</w:t>
      </w:r>
      <w:r w:rsidRPr="00A47D99">
        <w:t>)</w:t>
      </w:r>
      <w:bookmarkEnd w:id="20"/>
    </w:p>
    <w:p w14:paraId="6101E367" w14:textId="77777777" w:rsidR="00A47D99" w:rsidRDefault="00BB3A6A" w:rsidP="00A47D99">
      <w:pPr>
        <w:rPr>
          <w:sz w:val="28"/>
        </w:rPr>
      </w:pPr>
      <w:r>
        <w:rPr>
          <w:noProof/>
          <w:lang w:eastAsia="en-AU"/>
        </w:rPr>
        <w:drawing>
          <wp:inline distT="0" distB="0" distL="0" distR="0" wp14:anchorId="124404A8" wp14:editId="5673631E">
            <wp:extent cx="5891917" cy="3085106"/>
            <wp:effectExtent l="0" t="0" r="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7DD863" w14:textId="77777777" w:rsidR="00A263ED" w:rsidRPr="00614630" w:rsidRDefault="00A263ED" w:rsidP="00A263ED">
      <w:pPr>
        <w:spacing w:after="0"/>
        <w:rPr>
          <w:i/>
          <w:sz w:val="16"/>
        </w:rPr>
      </w:pPr>
      <w:r w:rsidRPr="00614630">
        <w:rPr>
          <w:i/>
          <w:sz w:val="16"/>
        </w:rPr>
        <w:t>Source: Authors estimates</w:t>
      </w:r>
    </w:p>
    <w:p w14:paraId="16E30C02" w14:textId="77777777" w:rsidR="00A47D99" w:rsidRPr="00614630" w:rsidRDefault="00A47D99" w:rsidP="00A263ED">
      <w:pPr>
        <w:rPr>
          <w:i/>
        </w:rPr>
      </w:pPr>
      <w:r w:rsidRPr="00614630">
        <w:rPr>
          <w:i/>
          <w:sz w:val="16"/>
        </w:rPr>
        <w:t>Note: Southern GRDC region crop farms (R²=.64), observations=10,609; Northern GRDC region crop farms (R²=.64), observations=38,865; Western GRDC region crop farms (R²=.73), observations=6,990;</w:t>
      </w:r>
    </w:p>
    <w:p w14:paraId="1F506B7D" w14:textId="6048C557" w:rsidR="009F055A" w:rsidRDefault="007F2D31" w:rsidP="00E96433">
      <w:r>
        <w:t xml:space="preserve">Next, the </w:t>
      </w:r>
      <w:r w:rsidR="009F055A">
        <w:t xml:space="preserve">model in Figure 5 illustrates cropping farms by GRDC region. Climate appears to be the most important factor, with higher average rainfall in all seasons positively related to land value </w:t>
      </w:r>
      <w:r w:rsidR="009F055A">
        <w:lastRenderedPageBreak/>
        <w:t>in all GRDC regions. High average maximum temperatures in the Jul</w:t>
      </w:r>
      <w:r w:rsidR="009F055A">
        <w:noBreakHyphen/>
        <w:t>Sep quarter appears to drive values downward considerably in the Southern and Northern GRDC regions. Increased transportation cost is significant and negative for all GRDC regions, suggesting that increased remoteness is a negative land value driver. Larger farm size and multi</w:t>
      </w:r>
      <w:r w:rsidR="009F055A">
        <w:noBreakHyphen/>
        <w:t xml:space="preserve">sale transactions also appear to correspond with lower land values on a price per hectare basis.  </w:t>
      </w:r>
    </w:p>
    <w:p w14:paraId="6B386E2D" w14:textId="187D6E95" w:rsidR="00BC3DD1" w:rsidRDefault="00BC3DD1" w:rsidP="00E96433">
      <w:r w:rsidRPr="00744CF1">
        <w:t>When the hedonic models are generated (as presented in the ‘Results’ section), the dataset is refined further through stratification. The strata are ABARES agricultural production zones (High Rainfall,</w:t>
      </w:r>
      <w:r>
        <w:t xml:space="preserve"> Wheat Sheep, and Pastoral)</w:t>
      </w:r>
      <w:r w:rsidR="007F2D31">
        <w:t xml:space="preserve"> and</w:t>
      </w:r>
      <w:r w:rsidRPr="00744CF1">
        <w:t xml:space="preserve"> GRDC zones (crop farms in the GRDC Southern Region, GRDC Northern Region, and GRDC Western Region). Size and price quantiles are also </w:t>
      </w:r>
      <w:r>
        <w:t>used</w:t>
      </w:r>
      <w:r w:rsidRPr="00744CF1">
        <w:t xml:space="preserve"> as a form of stratification using quantile regression approaches.  </w:t>
      </w:r>
    </w:p>
    <w:p w14:paraId="6EE7B765" w14:textId="77777777" w:rsidR="006D07D3" w:rsidRDefault="00A47D99" w:rsidP="00E96433">
      <w:r>
        <w:t>Three separate models according to size quantiles are used to g</w:t>
      </w:r>
      <w:r w:rsidR="00885511">
        <w:t>enerate the results for Figu</w:t>
      </w:r>
      <w:r w:rsidR="00532DFC">
        <w:t>re 6</w:t>
      </w:r>
      <w:r>
        <w:t xml:space="preserve">, where hectares are categorised into three groups (using stata xtile). House characteristics appear to contribute positively for all size categories, yet are the most influential to land values on small farms (based on number of bedrooms) and then progressively less influential as farm size increases. Production type also appears to be important to value by size, with the crop farm flag positively affecting medium and large </w:t>
      </w:r>
      <w:r w:rsidR="0044154A">
        <w:t>broadacre</w:t>
      </w:r>
      <w:r>
        <w:t xml:space="preserve"> farmland value – compared to the grazing flag whic</w:t>
      </w:r>
      <w:r w:rsidR="009B40C8">
        <w:t xml:space="preserve">h is negative for large farms. An unusual coefficient is the ‘transport cost to city’ for large farms, which implies that the value of large farms benefits from increased distance to cities. </w:t>
      </w:r>
      <w:r w:rsidR="00C450B2">
        <w:t xml:space="preserve">This is difficult to interpret, however may be due to some expensive inland pastoral holdings. </w:t>
      </w:r>
    </w:p>
    <w:p w14:paraId="4A73920E" w14:textId="77777777" w:rsidR="00A47D99" w:rsidRPr="00A47D99" w:rsidRDefault="00A47D99" w:rsidP="00A47D99">
      <w:pPr>
        <w:pStyle w:val="Caption"/>
        <w:rPr>
          <w:vertAlign w:val="superscript"/>
        </w:rPr>
      </w:pPr>
      <w:bookmarkStart w:id="21" w:name="_Toc25744019"/>
      <w:r>
        <w:t xml:space="preserve">Figure </w:t>
      </w:r>
      <w:r>
        <w:rPr>
          <w:noProof/>
        </w:rPr>
        <w:fldChar w:fldCharType="begin"/>
      </w:r>
      <w:r>
        <w:rPr>
          <w:noProof/>
        </w:rPr>
        <w:instrText xml:space="preserve"> SEQ Figure \* ARABIC </w:instrText>
      </w:r>
      <w:r>
        <w:rPr>
          <w:noProof/>
        </w:rPr>
        <w:fldChar w:fldCharType="separate"/>
      </w:r>
      <w:r w:rsidR="009F7388">
        <w:rPr>
          <w:noProof/>
        </w:rPr>
        <w:t>6</w:t>
      </w:r>
      <w:r>
        <w:rPr>
          <w:noProof/>
        </w:rPr>
        <w:fldChar w:fldCharType="end"/>
      </w:r>
      <w:r>
        <w:t xml:space="preserve"> </w:t>
      </w:r>
      <w:r w:rsidRPr="00A47D99">
        <w:t>Land value drivers – National – by size quantiles</w:t>
      </w:r>
      <w:bookmarkEnd w:id="21"/>
    </w:p>
    <w:p w14:paraId="4EB7005F" w14:textId="77777777" w:rsidR="00A47D99" w:rsidRDefault="008D01C1" w:rsidP="00A47D99">
      <w:pPr>
        <w:rPr>
          <w:sz w:val="28"/>
        </w:rPr>
      </w:pPr>
      <w:r>
        <w:rPr>
          <w:noProof/>
          <w:lang w:eastAsia="en-AU"/>
        </w:rPr>
        <w:drawing>
          <wp:inline distT="0" distB="0" distL="0" distR="0" wp14:anchorId="23AE57AF" wp14:editId="7266899F">
            <wp:extent cx="6106602" cy="3427012"/>
            <wp:effectExtent l="0" t="0" r="889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961BD2" w14:textId="77777777" w:rsidR="00A263ED" w:rsidRPr="00614630" w:rsidRDefault="00A263ED" w:rsidP="00A263ED">
      <w:pPr>
        <w:spacing w:after="0"/>
        <w:rPr>
          <w:i/>
          <w:sz w:val="16"/>
        </w:rPr>
      </w:pPr>
      <w:r w:rsidRPr="00614630">
        <w:rPr>
          <w:i/>
          <w:sz w:val="16"/>
        </w:rPr>
        <w:t>Source: Authors estimates</w:t>
      </w:r>
    </w:p>
    <w:p w14:paraId="62B622ED" w14:textId="77777777" w:rsidR="006D07D3" w:rsidRPr="00614630" w:rsidRDefault="00A47D99" w:rsidP="00A263ED">
      <w:pPr>
        <w:rPr>
          <w:i/>
          <w:sz w:val="16"/>
        </w:rPr>
      </w:pPr>
      <w:r w:rsidRPr="00614630">
        <w:rPr>
          <w:i/>
          <w:sz w:val="16"/>
        </w:rPr>
        <w:t>Note: National small (R²=.58), observations=55,665; National medium (R²=.51), observations=55,664;</w:t>
      </w:r>
    </w:p>
    <w:p w14:paraId="0066BD8F" w14:textId="1F07F956" w:rsidR="00A263ED" w:rsidRDefault="009B40C8" w:rsidP="00E96433">
      <w:r>
        <w:t>The fol</w:t>
      </w:r>
      <w:r w:rsidR="00532DFC">
        <w:t>lowing estimates in Figure 7</w:t>
      </w:r>
      <w:r>
        <w:t xml:space="preserve"> were generated using a simultaneous quantile regression approach, in order to observe whether the drivers of farmland value differ according to price </w:t>
      </w:r>
      <w:r>
        <w:lastRenderedPageBreak/>
        <w:t xml:space="preserve">segment (price per hectare). For this analysis, we assign quantiles [using stata sqreg], to differentiate between cheap, moderate and expensive farmland. As this is a national level analysis we re-introduce the macro variables for productivity (L_TFP) and (L_ruraldebttotal). TFP appears to be a positive driver for cheap and moderately valued farmland, however is negative for expensive farmland. This </w:t>
      </w:r>
      <w:r w:rsidR="00C450B2">
        <w:t xml:space="preserve">implies that the most expensive farms (on a per hectare basis) may be less concerned with profitability and productivity. One possibility is that this quantile is capturing some farms which are operated for leisure. </w:t>
      </w:r>
      <w:r>
        <w:t xml:space="preserve">Cropping production type is also positively correlated for cheap and moderate farms. The importance of climate factors varies slightly by value. Interestingly, high average maximum temperatures are negative for Jul-Sep for moderate and expensive </w:t>
      </w:r>
      <w:r w:rsidR="0044154A">
        <w:t>broadacre</w:t>
      </w:r>
      <w:r>
        <w:t xml:space="preserve"> farmland (and i</w:t>
      </w:r>
      <w:r w:rsidR="00532DFC">
        <w:t xml:space="preserve">nsignificant for cheap farms). </w:t>
      </w:r>
    </w:p>
    <w:p w14:paraId="0082DA2A" w14:textId="77777777" w:rsidR="00A47D99" w:rsidRPr="00A47D99" w:rsidRDefault="00A47D99" w:rsidP="00A47D99">
      <w:pPr>
        <w:pStyle w:val="Caption"/>
        <w:rPr>
          <w:vertAlign w:val="superscript"/>
        </w:rPr>
      </w:pPr>
      <w:bookmarkStart w:id="22" w:name="_Toc25744020"/>
      <w:r>
        <w:t xml:space="preserve">Figure </w:t>
      </w:r>
      <w:r>
        <w:rPr>
          <w:noProof/>
        </w:rPr>
        <w:fldChar w:fldCharType="begin"/>
      </w:r>
      <w:r>
        <w:rPr>
          <w:noProof/>
        </w:rPr>
        <w:instrText xml:space="preserve"> SEQ Figure \* ARABIC </w:instrText>
      </w:r>
      <w:r>
        <w:rPr>
          <w:noProof/>
        </w:rPr>
        <w:fldChar w:fldCharType="separate"/>
      </w:r>
      <w:r w:rsidR="009F7388">
        <w:rPr>
          <w:noProof/>
        </w:rPr>
        <w:t>7</w:t>
      </w:r>
      <w:r>
        <w:rPr>
          <w:noProof/>
        </w:rPr>
        <w:fldChar w:fldCharType="end"/>
      </w:r>
      <w:r>
        <w:t xml:space="preserve"> </w:t>
      </w:r>
      <w:r w:rsidRPr="00A47D99">
        <w:t>Land value drivers – National – by price per hectare quantile</w:t>
      </w:r>
      <w:bookmarkEnd w:id="22"/>
    </w:p>
    <w:p w14:paraId="36F82E1D" w14:textId="77777777" w:rsidR="00A47D99" w:rsidRDefault="002E1CE3" w:rsidP="00A47D99">
      <w:pPr>
        <w:rPr>
          <w:sz w:val="28"/>
        </w:rPr>
      </w:pPr>
      <w:r>
        <w:rPr>
          <w:noProof/>
          <w:lang w:eastAsia="en-AU"/>
        </w:rPr>
        <w:drawing>
          <wp:inline distT="0" distB="0" distL="0" distR="0" wp14:anchorId="62BA89AD" wp14:editId="2940A7DD">
            <wp:extent cx="5991101" cy="339979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0DE0DE" w14:textId="77777777" w:rsidR="00A263ED" w:rsidRPr="00614630" w:rsidRDefault="00A263ED" w:rsidP="00A263ED">
      <w:pPr>
        <w:spacing w:after="0"/>
        <w:rPr>
          <w:i/>
          <w:sz w:val="16"/>
        </w:rPr>
      </w:pPr>
      <w:r w:rsidRPr="00614630">
        <w:rPr>
          <w:i/>
          <w:sz w:val="16"/>
        </w:rPr>
        <w:t>Source: Authors estimates</w:t>
      </w:r>
    </w:p>
    <w:p w14:paraId="31788B00" w14:textId="77777777" w:rsidR="00A47D99" w:rsidRPr="00614630" w:rsidRDefault="00A47D99" w:rsidP="00A47D99">
      <w:pPr>
        <w:rPr>
          <w:i/>
          <w:sz w:val="28"/>
        </w:rPr>
      </w:pPr>
      <w:r w:rsidRPr="00614630">
        <w:rPr>
          <w:i/>
          <w:sz w:val="16"/>
        </w:rPr>
        <w:t>Note: Cheap (.10) (</w:t>
      </w:r>
      <w:r w:rsidR="00967B59">
        <w:rPr>
          <w:i/>
          <w:sz w:val="16"/>
        </w:rPr>
        <w:t>P</w:t>
      </w:r>
      <w:r w:rsidRPr="00614630">
        <w:rPr>
          <w:i/>
          <w:sz w:val="16"/>
        </w:rPr>
        <w:t>R²=.42); Moderate (</w:t>
      </w:r>
      <w:r w:rsidR="00967B59">
        <w:rPr>
          <w:i/>
          <w:sz w:val="16"/>
        </w:rPr>
        <w:t>P</w:t>
      </w:r>
      <w:r w:rsidRPr="00614630">
        <w:rPr>
          <w:i/>
          <w:sz w:val="16"/>
        </w:rPr>
        <w:t>R²=.43), Expensive (</w:t>
      </w:r>
      <w:r w:rsidR="00967B59">
        <w:rPr>
          <w:i/>
          <w:sz w:val="16"/>
        </w:rPr>
        <w:t>P</w:t>
      </w:r>
      <w:r w:rsidRPr="00614630">
        <w:rPr>
          <w:i/>
          <w:sz w:val="16"/>
        </w:rPr>
        <w:t>R²=.39), Number of observations=166,994</w:t>
      </w:r>
    </w:p>
    <w:p w14:paraId="78795D7B" w14:textId="77777777" w:rsidR="006606A8" w:rsidRDefault="006606A8" w:rsidP="006606A8"/>
    <w:p w14:paraId="630439C2" w14:textId="77777777" w:rsidR="009C2B20" w:rsidRDefault="00A47D99">
      <w:pPr>
        <w:pStyle w:val="Heading2"/>
      </w:pPr>
      <w:bookmarkStart w:id="23" w:name="_Toc25744004"/>
      <w:r>
        <w:lastRenderedPageBreak/>
        <w:t>Conclusions and future research</w:t>
      </w:r>
      <w:bookmarkEnd w:id="23"/>
    </w:p>
    <w:p w14:paraId="3428ADE8" w14:textId="2BFEB30F" w:rsidR="00143C94" w:rsidRDefault="00143C94" w:rsidP="00A47D99">
      <w:pPr>
        <w:jc w:val="both"/>
      </w:pPr>
      <w:r>
        <w:t>This paper report</w:t>
      </w:r>
      <w:r w:rsidR="000C127B">
        <w:t>s</w:t>
      </w:r>
      <w:r>
        <w:t xml:space="preserve"> on the preliminary findings from our effort to </w:t>
      </w:r>
      <w:r w:rsidR="00E1369A">
        <w:t xml:space="preserve">develop statistical infrastructure around a large administrative </w:t>
      </w:r>
      <w:r w:rsidR="00AC7A39">
        <w:t>farm</w:t>
      </w:r>
      <w:r w:rsidR="00E1369A">
        <w:t xml:space="preserve">land transaction dataset. </w:t>
      </w:r>
      <w:r>
        <w:t>The data contains rich information, covering transaction records over a long time period and across all the States and Territories. We have supplemented the CoreLogic transaction records with data from other sources to increase its power in the estimation of farmland values. A</w:t>
      </w:r>
      <w:r w:rsidR="00D02757">
        <w:t xml:space="preserve">fter an intensive </w:t>
      </w:r>
      <w:r>
        <w:t>analysis</w:t>
      </w:r>
      <w:r w:rsidR="00D02757">
        <w:t xml:space="preserve">, </w:t>
      </w:r>
      <w:r>
        <w:t>we h</w:t>
      </w:r>
      <w:r w:rsidR="00D02757">
        <w:t>ave come to the conclusion that</w:t>
      </w:r>
      <w:r w:rsidR="00E1369A">
        <w:t xml:space="preserve"> the custom</w:t>
      </w:r>
      <w:r w:rsidR="00D02757">
        <w:t xml:space="preserve"> CoreLogic data</w:t>
      </w:r>
      <w:r w:rsidR="00E1369A">
        <w:t>set</w:t>
      </w:r>
      <w:r w:rsidR="00D02757">
        <w:t xml:space="preserve"> </w:t>
      </w:r>
      <w:r w:rsidR="00E1369A">
        <w:t>is</w:t>
      </w:r>
      <w:r w:rsidR="00D02757">
        <w:t xml:space="preserve"> of sufficient quality and is </w:t>
      </w:r>
      <w:r w:rsidR="00E1369A">
        <w:t>‘fit for purpose’</w:t>
      </w:r>
      <w:r w:rsidR="000C127B">
        <w:t>. However, in order to generate significant economic insights, i</w:t>
      </w:r>
      <w:r w:rsidR="00D02757">
        <w:t xml:space="preserve">t </w:t>
      </w:r>
      <w:r w:rsidR="000C127B">
        <w:t>is necessary to c</w:t>
      </w:r>
      <w:r w:rsidR="00D02757">
        <w:t>lean</w:t>
      </w:r>
      <w:r w:rsidR="00E1369A">
        <w:t xml:space="preserve"> and carefully define the scope of</w:t>
      </w:r>
      <w:r w:rsidR="00D02757">
        <w:t xml:space="preserve"> the </w:t>
      </w:r>
      <w:r w:rsidR="000C127B">
        <w:t xml:space="preserve">CoreLogic </w:t>
      </w:r>
      <w:r w:rsidR="00D02757">
        <w:t>data</w:t>
      </w:r>
      <w:r w:rsidR="00E1369A">
        <w:t>,</w:t>
      </w:r>
      <w:r w:rsidR="00D02757">
        <w:t xml:space="preserve"> </w:t>
      </w:r>
      <w:r w:rsidR="00E1369A">
        <w:t>as well as</w:t>
      </w:r>
      <w:r w:rsidR="00D02757">
        <w:t xml:space="preserve"> </w:t>
      </w:r>
      <w:r w:rsidR="000C127B">
        <w:t>complement it with</w:t>
      </w:r>
      <w:r w:rsidR="00FE25EB">
        <w:t xml:space="preserve"> data from </w:t>
      </w:r>
      <w:r w:rsidR="00D02757">
        <w:t>other sources</w:t>
      </w:r>
      <w:r w:rsidR="000C127B">
        <w:t>.</w:t>
      </w:r>
      <w:r w:rsidR="00D02757">
        <w:t xml:space="preserve"> </w:t>
      </w:r>
    </w:p>
    <w:p w14:paraId="17A45C60" w14:textId="3799D725" w:rsidR="001055E7" w:rsidRDefault="00ED7EE6" w:rsidP="00A47D99">
      <w:pPr>
        <w:jc w:val="both"/>
      </w:pPr>
      <w:r>
        <w:t>P</w:t>
      </w:r>
      <w:r w:rsidR="00606466">
        <w:t xml:space="preserve">reliminary </w:t>
      </w:r>
      <w:r w:rsidR="00D02757">
        <w:t xml:space="preserve">results from applying </w:t>
      </w:r>
      <w:r w:rsidR="00882448">
        <w:t xml:space="preserve">the </w:t>
      </w:r>
      <w:r w:rsidR="00497301">
        <w:t xml:space="preserve">first iteration of </w:t>
      </w:r>
      <w:r w:rsidR="00D02757">
        <w:t>hedonic models</w:t>
      </w:r>
      <w:r>
        <w:t xml:space="preserve"> were</w:t>
      </w:r>
      <w:r w:rsidR="00B04591">
        <w:t xml:space="preserve"> presented in this report</w:t>
      </w:r>
      <w:r w:rsidR="00882448">
        <w:t>.</w:t>
      </w:r>
      <w:r w:rsidR="00D02757">
        <w:t xml:space="preserve"> </w:t>
      </w:r>
      <w:r w:rsidR="00424AE4">
        <w:t xml:space="preserve">Factors that typically appear to have a positive relationship with farmland value are the presence of a farm house (and the size of that house), the number of buildings on the property </w:t>
      </w:r>
      <w:r>
        <w:t xml:space="preserve">and </w:t>
      </w:r>
      <w:r w:rsidR="00424AE4">
        <w:t xml:space="preserve">higher average rainfall. The existence of wind turbines and mine sites also appears to be related with higher farmland values. </w:t>
      </w:r>
      <w:r w:rsidR="001055E7">
        <w:t xml:space="preserve">The </w:t>
      </w:r>
      <w:r w:rsidR="007254C4">
        <w:t>broad economic</w:t>
      </w:r>
      <w:r w:rsidR="001055E7">
        <w:t xml:space="preserve"> variables (rural debt and productivity) appear to </w:t>
      </w:r>
      <w:r w:rsidR="00B02FDA">
        <w:t xml:space="preserve">similarly be positively </w:t>
      </w:r>
      <w:r w:rsidR="001055E7">
        <w:t xml:space="preserve">correlated with farmland values. Factors that generally have a negative effect on farmland </w:t>
      </w:r>
      <w:r>
        <w:t xml:space="preserve">value include farm </w:t>
      </w:r>
      <w:r w:rsidR="001055E7">
        <w:t>size (larger farms tend to be sold at a lower price per hectare), multi</w:t>
      </w:r>
      <w:r>
        <w:noBreakHyphen/>
      </w:r>
      <w:r w:rsidR="001055E7">
        <w:t>sale (price per hectare is lower when farms are sold as a group), remoteness (farms further from towns and cities tend to be cheaper), land clearing (implying that cleared properties achieve a slightly higher price)</w:t>
      </w:r>
      <w:r w:rsidR="00A677D0">
        <w:t xml:space="preserve">, </w:t>
      </w:r>
      <w:r w:rsidR="001055E7">
        <w:t>wind erosion risk (suggests that increased erosion is slightly negative for farmland price)</w:t>
      </w:r>
      <w:r w:rsidR="00A677D0">
        <w:t>, and high average maximum temperature from July to December</w:t>
      </w:r>
      <w:r w:rsidR="001055E7">
        <w:t xml:space="preserve">. </w:t>
      </w:r>
    </w:p>
    <w:p w14:paraId="11CFCE0E" w14:textId="5AFDE21D" w:rsidR="004E3A3D" w:rsidRDefault="00424AE4" w:rsidP="00A47D99">
      <w:pPr>
        <w:jc w:val="both"/>
      </w:pPr>
      <w:r>
        <w:t>Opportunities for further investigation and refinement of explanatory variables should be explored. For example,</w:t>
      </w:r>
      <w:r w:rsidR="00497301">
        <w:t xml:space="preserve"> the </w:t>
      </w:r>
      <w:r>
        <w:t xml:space="preserve">soil </w:t>
      </w:r>
      <w:r w:rsidR="00497301">
        <w:t xml:space="preserve">acidification </w:t>
      </w:r>
      <w:r>
        <w:t>variable</w:t>
      </w:r>
      <w:r w:rsidR="00497301">
        <w:t xml:space="preserve"> had a statistically significant and positive (yet small) correlation with land values in all hedonic models except for two of the regions in the crop specific GRDC model. </w:t>
      </w:r>
      <w:r w:rsidR="004E3A3D">
        <w:t xml:space="preserve">These findings were somewhat contrary to initial expectations, such that higher soil acidification was expected to indicate depletion of natural capital (e.g. through excessive fertiliser use), and therefore be correlated with lower land values. </w:t>
      </w:r>
      <w:r w:rsidR="00873BDA">
        <w:t xml:space="preserve">Such interactions and nuances demonstrate the complexity in analysing and ‘fitting’ farmland value statistical models; but also the potential they have to </w:t>
      </w:r>
      <w:r w:rsidR="00ED3CB3">
        <w:t xml:space="preserve">help </w:t>
      </w:r>
      <w:r w:rsidR="00873BDA">
        <w:t xml:space="preserve">answer research and policy questions. </w:t>
      </w:r>
    </w:p>
    <w:p w14:paraId="333E833A" w14:textId="0FF51C5B" w:rsidR="003A4D36" w:rsidRDefault="00A47D99" w:rsidP="00614630">
      <w:pPr>
        <w:jc w:val="both"/>
      </w:pPr>
      <w:r>
        <w:t xml:space="preserve">While our study covers considerable ground in </w:t>
      </w:r>
      <w:r w:rsidR="005D5153">
        <w:t>constructing</w:t>
      </w:r>
      <w:r>
        <w:t xml:space="preserve"> national level hedonic farmland models, the findings are ‘experimental’ and opportunities remain for further refinement. First, we take a conservative approach </w:t>
      </w:r>
      <w:r w:rsidR="005D5153">
        <w:t>to data cleaning</w:t>
      </w:r>
      <w:r>
        <w:t xml:space="preserve"> – removing about 67% of transaction recor</w:t>
      </w:r>
      <w:r w:rsidR="00A01698">
        <w:t>ds to meet our strict scope of non</w:t>
      </w:r>
      <w:r w:rsidR="00A01698">
        <w:noBreakHyphen/>
        <w:t xml:space="preserve">irrigated </w:t>
      </w:r>
      <w:r w:rsidR="0044154A">
        <w:t>broadacre</w:t>
      </w:r>
      <w:r w:rsidR="00A01698">
        <w:t xml:space="preserve"> farmland</w:t>
      </w:r>
      <w:r>
        <w:t xml:space="preserve">. This cautious approach was taken to increase our confidence </w:t>
      </w:r>
      <w:r w:rsidR="00A01698">
        <w:t>in</w:t>
      </w:r>
      <w:r>
        <w:t xml:space="preserve"> </w:t>
      </w:r>
      <w:r w:rsidR="005D5153">
        <w:t xml:space="preserve">the </w:t>
      </w:r>
      <w:r>
        <w:t xml:space="preserve">transaction records we </w:t>
      </w:r>
      <w:r w:rsidR="00762837">
        <w:t>analysed</w:t>
      </w:r>
      <w:r>
        <w:t xml:space="preserve">. It is highly possible that the sample size could be improved without adversely impacting </w:t>
      </w:r>
      <w:r w:rsidR="005D5153">
        <w:t xml:space="preserve">the </w:t>
      </w:r>
      <w:r>
        <w:t xml:space="preserve">dataset quality by carefully </w:t>
      </w:r>
      <w:r w:rsidR="00762837">
        <w:t>reviewing</w:t>
      </w:r>
      <w:r w:rsidR="00A01698">
        <w:t xml:space="preserve"> the excluded transactions</w:t>
      </w:r>
      <w:r>
        <w:t xml:space="preserve">. </w:t>
      </w:r>
      <w:r w:rsidR="007157E5">
        <w:t xml:space="preserve">For </w:t>
      </w:r>
      <w:r>
        <w:t>administrative data</w:t>
      </w:r>
      <w:r w:rsidR="007157E5">
        <w:t xml:space="preserve">, </w:t>
      </w:r>
      <w:r w:rsidR="00873BDA">
        <w:t>‘</w:t>
      </w:r>
      <w:r>
        <w:t>cleaning</w:t>
      </w:r>
      <w:r w:rsidR="00873BDA">
        <w:t>’</w:t>
      </w:r>
      <w:r w:rsidR="00762837">
        <w:t xml:space="preserve"> and ‘scoping’</w:t>
      </w:r>
      <w:r>
        <w:t xml:space="preserve"> is resource intensive</w:t>
      </w:r>
      <w:r w:rsidR="007F2D31">
        <w:t>,</w:t>
      </w:r>
      <w:r>
        <w:t xml:space="preserve"> however it is </w:t>
      </w:r>
      <w:r w:rsidR="00E714D3">
        <w:t>necessary</w:t>
      </w:r>
      <w:r>
        <w:t xml:space="preserve"> — particularly in regions with low sample size or high frequency of missing data (as appears to be the case in Western Australia). </w:t>
      </w:r>
    </w:p>
    <w:p w14:paraId="0272C34C" w14:textId="32112D93" w:rsidR="003271C3" w:rsidRDefault="00614630">
      <w:pPr>
        <w:jc w:val="both"/>
      </w:pPr>
      <w:r>
        <w:t xml:space="preserve">With this </w:t>
      </w:r>
      <w:r w:rsidR="00173BF0">
        <w:t>research report</w:t>
      </w:r>
      <w:r w:rsidR="00A47D99">
        <w:t xml:space="preserve">, we look to prompt feedback which can assist to </w:t>
      </w:r>
      <w:r w:rsidR="00E714D3">
        <w:t>enhance</w:t>
      </w:r>
      <w:r w:rsidR="009734A3">
        <w:t xml:space="preserve"> o</w:t>
      </w:r>
      <w:r w:rsidR="00D91B2B">
        <w:t xml:space="preserve">ur datasets and </w:t>
      </w:r>
      <w:r w:rsidR="009F25E2">
        <w:t xml:space="preserve">make improvements on </w:t>
      </w:r>
      <w:r w:rsidR="00D91B2B">
        <w:t>the prototype hedonic model</w:t>
      </w:r>
      <w:r w:rsidR="00762837">
        <w:t>s</w:t>
      </w:r>
      <w:r w:rsidR="00D91B2B">
        <w:t xml:space="preserve">. </w:t>
      </w:r>
      <w:r w:rsidR="009734A3">
        <w:t xml:space="preserve">After peer review and further refinement, we </w:t>
      </w:r>
      <w:r w:rsidR="009F25E2">
        <w:t xml:space="preserve">will work towards </w:t>
      </w:r>
      <w:r w:rsidR="00762837">
        <w:t xml:space="preserve">a set of </w:t>
      </w:r>
      <w:r w:rsidR="009F25E2">
        <w:t>full</w:t>
      </w:r>
      <w:r w:rsidR="00762837">
        <w:t>y</w:t>
      </w:r>
      <w:r w:rsidR="009F25E2">
        <w:t xml:space="preserve">-fledged hedonic models </w:t>
      </w:r>
      <w:r w:rsidR="00762837">
        <w:t xml:space="preserve">- </w:t>
      </w:r>
      <w:r w:rsidR="009F25E2">
        <w:t xml:space="preserve">by </w:t>
      </w:r>
      <w:r w:rsidR="009734A3">
        <w:t xml:space="preserve">exploring estimation techniques and </w:t>
      </w:r>
      <w:r w:rsidR="00A47D99">
        <w:t>calibrat</w:t>
      </w:r>
      <w:r w:rsidR="009734A3">
        <w:t xml:space="preserve">ing model specifications (such as determining functional forms, selecting </w:t>
      </w:r>
      <w:r w:rsidR="009734A3">
        <w:lastRenderedPageBreak/>
        <w:t xml:space="preserve">of </w:t>
      </w:r>
      <w:r w:rsidR="006D70F5">
        <w:t>variables</w:t>
      </w:r>
      <w:r w:rsidR="009734A3">
        <w:t xml:space="preserve"> and testing explanatory power etc.).</w:t>
      </w:r>
      <w:r w:rsidR="003271C3">
        <w:t xml:space="preserve"> After developing a good understanding of the data at hand and </w:t>
      </w:r>
      <w:r w:rsidR="006D70F5">
        <w:t xml:space="preserve">resolving major </w:t>
      </w:r>
      <w:r w:rsidR="003271C3">
        <w:t xml:space="preserve">methodological issues with the application of hedonic approach to farmland, </w:t>
      </w:r>
      <w:r w:rsidR="004331C3">
        <w:t xml:space="preserve">we will expand our testing of estimation techniques — namely, the use of machine learning. After that, </w:t>
      </w:r>
      <w:r w:rsidR="003271C3">
        <w:t xml:space="preserve">we will start using the hedonic model for estimating values of specific farms and </w:t>
      </w:r>
      <w:r w:rsidR="006D70F5">
        <w:t>analysing</w:t>
      </w:r>
      <w:r w:rsidR="003271C3">
        <w:t xml:space="preserve"> some of the empirical issues </w:t>
      </w:r>
      <w:r w:rsidR="00AB6F49">
        <w:t xml:space="preserve">that have important </w:t>
      </w:r>
      <w:r w:rsidR="003271C3">
        <w:t xml:space="preserve">economic and policy </w:t>
      </w:r>
      <w:r w:rsidR="00AB6F49">
        <w:t>implications</w:t>
      </w:r>
      <w:r w:rsidR="003271C3">
        <w:t>.</w:t>
      </w:r>
    </w:p>
    <w:p w14:paraId="678FB31A" w14:textId="77777777" w:rsidR="00A47D99" w:rsidRDefault="006E20C9" w:rsidP="00FA1D4A">
      <w:pPr>
        <w:pStyle w:val="Heading2"/>
        <w:numPr>
          <w:ilvl w:val="0"/>
          <w:numId w:val="0"/>
        </w:numPr>
        <w:ind w:left="709" w:hanging="709"/>
      </w:pPr>
      <w:bookmarkStart w:id="24" w:name="_Toc25744005"/>
      <w:r>
        <w:lastRenderedPageBreak/>
        <w:t>Appendix A: Statistical</w:t>
      </w:r>
      <w:r w:rsidR="00083400">
        <w:t xml:space="preserve"> classifications and variables</w:t>
      </w:r>
      <w:bookmarkEnd w:id="24"/>
    </w:p>
    <w:p w14:paraId="0ED6E323" w14:textId="77777777" w:rsidR="006E20C9" w:rsidRDefault="006E20C9" w:rsidP="006E20C9">
      <w:pPr>
        <w:pStyle w:val="Caption"/>
      </w:pPr>
      <w:bookmarkStart w:id="25" w:name="_Toc25744027"/>
      <w:r>
        <w:t>Box A</w:t>
      </w:r>
      <w:r>
        <w:rPr>
          <w:noProof/>
        </w:rPr>
        <w:fldChar w:fldCharType="begin"/>
      </w:r>
      <w:r>
        <w:rPr>
          <w:noProof/>
        </w:rPr>
        <w:instrText xml:space="preserve"> SEQ Box \* ARABIC </w:instrText>
      </w:r>
      <w:r>
        <w:rPr>
          <w:noProof/>
        </w:rPr>
        <w:fldChar w:fldCharType="separate"/>
      </w:r>
      <w:r w:rsidR="009F7388">
        <w:rPr>
          <w:noProof/>
        </w:rPr>
        <w:t>1</w:t>
      </w:r>
      <w:r>
        <w:rPr>
          <w:noProof/>
        </w:rPr>
        <w:fldChar w:fldCharType="end"/>
      </w:r>
      <w:r>
        <w:t xml:space="preserve"> </w:t>
      </w:r>
      <w:r w:rsidRPr="006E20C9">
        <w:t>Farming zones and regions</w:t>
      </w:r>
      <w:bookmarkEnd w:id="25"/>
    </w:p>
    <w:p w14:paraId="4CF664ED" w14:textId="7CBE9EFC" w:rsidR="006E20C9" w:rsidRDefault="001503C2" w:rsidP="006E20C9">
      <w:r>
        <w:rPr>
          <w:noProof/>
          <w:lang w:eastAsia="en-AU"/>
        </w:rPr>
        <w:drawing>
          <wp:inline distT="0" distB="0" distL="0" distR="0" wp14:anchorId="37E61C30" wp14:editId="14DAF628">
            <wp:extent cx="5399543" cy="53995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1_ag_regio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543" cy="5399543"/>
                    </a:xfrm>
                    <a:prstGeom prst="rect">
                      <a:avLst/>
                    </a:prstGeom>
                  </pic:spPr>
                </pic:pic>
              </a:graphicData>
            </a:graphic>
          </wp:inline>
        </w:drawing>
      </w:r>
    </w:p>
    <w:p w14:paraId="238AB456" w14:textId="77777777" w:rsidR="006E20C9" w:rsidRDefault="006E20C9" w:rsidP="006E20C9"/>
    <w:p w14:paraId="1B3511B9" w14:textId="77777777" w:rsidR="00A47D99" w:rsidRDefault="00A47D99"/>
    <w:p w14:paraId="5DF5AED0" w14:textId="77777777" w:rsidR="00EF1BA0" w:rsidRDefault="00EF1BA0"/>
    <w:p w14:paraId="35403BC7" w14:textId="77777777" w:rsidR="00EF1BA0" w:rsidRDefault="00EF1BA0"/>
    <w:p w14:paraId="7C420F71" w14:textId="77777777" w:rsidR="00EF1BA0" w:rsidRDefault="00EF1BA0"/>
    <w:p w14:paraId="0D574D34" w14:textId="77777777" w:rsidR="00EF1BA0" w:rsidRDefault="00EF1BA0" w:rsidP="00EF1BA0">
      <w:pPr>
        <w:pStyle w:val="Caption"/>
      </w:pPr>
      <w:bookmarkStart w:id="26" w:name="_Toc25744010"/>
      <w:r>
        <w:lastRenderedPageBreak/>
        <w:t>Table A</w:t>
      </w:r>
      <w:r>
        <w:rPr>
          <w:noProof/>
        </w:rPr>
        <w:fldChar w:fldCharType="begin"/>
      </w:r>
      <w:r>
        <w:rPr>
          <w:noProof/>
        </w:rPr>
        <w:instrText xml:space="preserve"> SEQ Table \* ARABIC </w:instrText>
      </w:r>
      <w:r>
        <w:rPr>
          <w:noProof/>
        </w:rPr>
        <w:fldChar w:fldCharType="separate"/>
      </w:r>
      <w:r w:rsidR="009F7388">
        <w:rPr>
          <w:noProof/>
        </w:rPr>
        <w:t>3</w:t>
      </w:r>
      <w:r>
        <w:rPr>
          <w:noProof/>
        </w:rPr>
        <w:fldChar w:fldCharType="end"/>
      </w:r>
      <w:r>
        <w:t xml:space="preserve"> </w:t>
      </w:r>
      <w:r w:rsidRPr="00EF1BA0">
        <w:t>CoreLogic main data variables</w:t>
      </w:r>
      <w:bookmarkEnd w:id="26"/>
    </w:p>
    <w:tbl>
      <w:tblPr>
        <w:tblStyle w:val="TableGrid"/>
        <w:tblW w:w="92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1810"/>
        <w:gridCol w:w="6946"/>
      </w:tblGrid>
      <w:tr w:rsidR="00EF1BA0" w14:paraId="6DDFE67B" w14:textId="77777777" w:rsidTr="00EF1BA0">
        <w:tc>
          <w:tcPr>
            <w:tcW w:w="453" w:type="dxa"/>
            <w:tcBorders>
              <w:top w:val="single" w:sz="4" w:space="0" w:color="auto"/>
              <w:left w:val="nil"/>
              <w:bottom w:val="nil"/>
              <w:right w:val="nil"/>
            </w:tcBorders>
            <w:hideMark/>
          </w:tcPr>
          <w:p w14:paraId="69396DC6" w14:textId="77777777" w:rsidR="00EF1BA0" w:rsidRDefault="00EF1BA0">
            <w:pPr>
              <w:spacing w:before="0"/>
              <w:rPr>
                <w:rFonts w:eastAsia="Calibri" w:cs="Times New Roman"/>
                <w:b/>
                <w:sz w:val="16"/>
                <w:szCs w:val="16"/>
              </w:rPr>
            </w:pPr>
            <w:r>
              <w:rPr>
                <w:b/>
                <w:sz w:val="16"/>
                <w:szCs w:val="16"/>
              </w:rPr>
              <w:t xml:space="preserve">No. </w:t>
            </w:r>
          </w:p>
        </w:tc>
        <w:tc>
          <w:tcPr>
            <w:tcW w:w="1810" w:type="dxa"/>
            <w:tcBorders>
              <w:top w:val="single" w:sz="4" w:space="0" w:color="auto"/>
              <w:left w:val="nil"/>
              <w:bottom w:val="nil"/>
              <w:right w:val="nil"/>
            </w:tcBorders>
            <w:hideMark/>
          </w:tcPr>
          <w:p w14:paraId="5B35335F" w14:textId="77777777" w:rsidR="00EF1BA0" w:rsidRDefault="00EF1BA0">
            <w:pPr>
              <w:spacing w:before="0"/>
              <w:rPr>
                <w:b/>
                <w:sz w:val="16"/>
                <w:szCs w:val="16"/>
              </w:rPr>
            </w:pPr>
            <w:r>
              <w:rPr>
                <w:b/>
                <w:sz w:val="16"/>
                <w:szCs w:val="16"/>
              </w:rPr>
              <w:t>Data Field</w:t>
            </w:r>
          </w:p>
        </w:tc>
        <w:tc>
          <w:tcPr>
            <w:tcW w:w="6946" w:type="dxa"/>
            <w:tcBorders>
              <w:top w:val="single" w:sz="4" w:space="0" w:color="auto"/>
              <w:left w:val="nil"/>
              <w:bottom w:val="nil"/>
              <w:right w:val="nil"/>
            </w:tcBorders>
            <w:hideMark/>
          </w:tcPr>
          <w:p w14:paraId="2300B9AD" w14:textId="77777777" w:rsidR="00EF1BA0" w:rsidRDefault="00EF1BA0">
            <w:pPr>
              <w:spacing w:before="0"/>
              <w:rPr>
                <w:b/>
                <w:sz w:val="16"/>
                <w:szCs w:val="16"/>
              </w:rPr>
            </w:pPr>
            <w:r>
              <w:rPr>
                <w:b/>
                <w:sz w:val="16"/>
                <w:szCs w:val="16"/>
              </w:rPr>
              <w:t>Definition</w:t>
            </w:r>
          </w:p>
        </w:tc>
      </w:tr>
      <w:tr w:rsidR="00EF1BA0" w14:paraId="5AECEDD9" w14:textId="77777777" w:rsidTr="00EF1BA0">
        <w:tc>
          <w:tcPr>
            <w:tcW w:w="453" w:type="dxa"/>
            <w:tcBorders>
              <w:top w:val="nil"/>
              <w:left w:val="nil"/>
              <w:bottom w:val="nil"/>
              <w:right w:val="nil"/>
            </w:tcBorders>
            <w:hideMark/>
          </w:tcPr>
          <w:p w14:paraId="4199E535" w14:textId="77777777" w:rsidR="00EF1BA0" w:rsidRDefault="00EF1BA0">
            <w:pPr>
              <w:spacing w:before="0"/>
              <w:rPr>
                <w:sz w:val="16"/>
                <w:szCs w:val="16"/>
              </w:rPr>
            </w:pPr>
            <w:r>
              <w:rPr>
                <w:sz w:val="16"/>
                <w:szCs w:val="16"/>
              </w:rPr>
              <w:t>1</w:t>
            </w:r>
          </w:p>
        </w:tc>
        <w:tc>
          <w:tcPr>
            <w:tcW w:w="1810" w:type="dxa"/>
            <w:tcBorders>
              <w:top w:val="nil"/>
              <w:left w:val="nil"/>
              <w:bottom w:val="nil"/>
              <w:right w:val="nil"/>
            </w:tcBorders>
            <w:hideMark/>
          </w:tcPr>
          <w:p w14:paraId="47FB0B14" w14:textId="77777777" w:rsidR="00EF1BA0" w:rsidRDefault="00EF1BA0">
            <w:pPr>
              <w:spacing w:before="0"/>
              <w:rPr>
                <w:sz w:val="16"/>
                <w:szCs w:val="16"/>
              </w:rPr>
            </w:pPr>
            <w:r>
              <w:rPr>
                <w:sz w:val="16"/>
                <w:szCs w:val="16"/>
              </w:rPr>
              <w:t>Property ID</w:t>
            </w:r>
          </w:p>
        </w:tc>
        <w:tc>
          <w:tcPr>
            <w:tcW w:w="6946" w:type="dxa"/>
            <w:tcBorders>
              <w:top w:val="nil"/>
              <w:left w:val="nil"/>
              <w:bottom w:val="nil"/>
              <w:right w:val="nil"/>
            </w:tcBorders>
            <w:hideMark/>
          </w:tcPr>
          <w:p w14:paraId="04E4DC88" w14:textId="77777777" w:rsidR="00EF1BA0" w:rsidRDefault="00EF1BA0">
            <w:pPr>
              <w:spacing w:before="0"/>
              <w:rPr>
                <w:sz w:val="16"/>
                <w:szCs w:val="16"/>
              </w:rPr>
            </w:pPr>
            <w:r>
              <w:rPr>
                <w:sz w:val="16"/>
                <w:szCs w:val="16"/>
              </w:rPr>
              <w:t>Unique record key within the core database for the property.</w:t>
            </w:r>
          </w:p>
        </w:tc>
      </w:tr>
      <w:tr w:rsidR="00EF1BA0" w14:paraId="60D7457B" w14:textId="77777777" w:rsidTr="00EF1BA0">
        <w:tc>
          <w:tcPr>
            <w:tcW w:w="453" w:type="dxa"/>
            <w:tcBorders>
              <w:top w:val="nil"/>
              <w:left w:val="nil"/>
              <w:bottom w:val="nil"/>
              <w:right w:val="nil"/>
            </w:tcBorders>
            <w:hideMark/>
          </w:tcPr>
          <w:p w14:paraId="4E6D909F" w14:textId="77777777" w:rsidR="00EF1BA0" w:rsidRDefault="00EF1BA0">
            <w:pPr>
              <w:spacing w:before="0"/>
              <w:rPr>
                <w:sz w:val="16"/>
                <w:szCs w:val="16"/>
              </w:rPr>
            </w:pPr>
            <w:r>
              <w:rPr>
                <w:sz w:val="16"/>
                <w:szCs w:val="16"/>
              </w:rPr>
              <w:t>2</w:t>
            </w:r>
          </w:p>
        </w:tc>
        <w:tc>
          <w:tcPr>
            <w:tcW w:w="1810" w:type="dxa"/>
            <w:tcBorders>
              <w:top w:val="nil"/>
              <w:left w:val="nil"/>
              <w:bottom w:val="nil"/>
              <w:right w:val="nil"/>
            </w:tcBorders>
            <w:hideMark/>
          </w:tcPr>
          <w:p w14:paraId="5C520817" w14:textId="77777777" w:rsidR="00EF1BA0" w:rsidRDefault="00EF1BA0">
            <w:pPr>
              <w:spacing w:before="0"/>
              <w:rPr>
                <w:sz w:val="16"/>
                <w:szCs w:val="16"/>
              </w:rPr>
            </w:pPr>
            <w:r>
              <w:rPr>
                <w:sz w:val="16"/>
                <w:szCs w:val="16"/>
              </w:rPr>
              <w:t>Real Property Description</w:t>
            </w:r>
          </w:p>
        </w:tc>
        <w:tc>
          <w:tcPr>
            <w:tcW w:w="6946" w:type="dxa"/>
            <w:tcBorders>
              <w:top w:val="nil"/>
              <w:left w:val="nil"/>
              <w:bottom w:val="nil"/>
              <w:right w:val="nil"/>
            </w:tcBorders>
            <w:hideMark/>
          </w:tcPr>
          <w:p w14:paraId="520D3C83" w14:textId="77777777" w:rsidR="00EF1BA0" w:rsidRDefault="00EF1BA0">
            <w:pPr>
              <w:spacing w:before="0"/>
              <w:rPr>
                <w:sz w:val="16"/>
                <w:szCs w:val="16"/>
              </w:rPr>
            </w:pPr>
            <w:r>
              <w:rPr>
                <w:sz w:val="16"/>
                <w:szCs w:val="16"/>
              </w:rPr>
              <w:t>The legal parcel(s) description of the property, depending on the scheme adopted for each state.</w:t>
            </w:r>
          </w:p>
        </w:tc>
      </w:tr>
      <w:tr w:rsidR="00EF1BA0" w14:paraId="163D01E9" w14:textId="77777777" w:rsidTr="00EF1BA0">
        <w:tc>
          <w:tcPr>
            <w:tcW w:w="453" w:type="dxa"/>
            <w:tcBorders>
              <w:top w:val="nil"/>
              <w:left w:val="nil"/>
              <w:bottom w:val="nil"/>
              <w:right w:val="nil"/>
            </w:tcBorders>
            <w:hideMark/>
          </w:tcPr>
          <w:p w14:paraId="3D915BFF" w14:textId="77777777" w:rsidR="00EF1BA0" w:rsidRDefault="00EF1BA0">
            <w:pPr>
              <w:spacing w:before="0"/>
              <w:rPr>
                <w:sz w:val="16"/>
                <w:szCs w:val="16"/>
              </w:rPr>
            </w:pPr>
            <w:r>
              <w:rPr>
                <w:sz w:val="16"/>
                <w:szCs w:val="16"/>
              </w:rPr>
              <w:t>3</w:t>
            </w:r>
          </w:p>
        </w:tc>
        <w:tc>
          <w:tcPr>
            <w:tcW w:w="1810" w:type="dxa"/>
            <w:tcBorders>
              <w:top w:val="nil"/>
              <w:left w:val="nil"/>
              <w:bottom w:val="nil"/>
              <w:right w:val="nil"/>
            </w:tcBorders>
            <w:hideMark/>
          </w:tcPr>
          <w:p w14:paraId="0C831716" w14:textId="77777777" w:rsidR="00EF1BA0" w:rsidRDefault="00EF1BA0">
            <w:pPr>
              <w:spacing w:before="0"/>
              <w:rPr>
                <w:sz w:val="16"/>
                <w:szCs w:val="16"/>
              </w:rPr>
            </w:pPr>
            <w:r>
              <w:rPr>
                <w:sz w:val="16"/>
                <w:szCs w:val="16"/>
              </w:rPr>
              <w:t>Lot Number</w:t>
            </w:r>
          </w:p>
        </w:tc>
        <w:tc>
          <w:tcPr>
            <w:tcW w:w="6946" w:type="dxa"/>
            <w:tcBorders>
              <w:top w:val="nil"/>
              <w:left w:val="nil"/>
              <w:bottom w:val="nil"/>
              <w:right w:val="nil"/>
            </w:tcBorders>
            <w:hideMark/>
          </w:tcPr>
          <w:p w14:paraId="1C196B7B" w14:textId="77777777" w:rsidR="00EF1BA0" w:rsidRDefault="00EF1BA0">
            <w:pPr>
              <w:spacing w:before="0"/>
              <w:rPr>
                <w:sz w:val="16"/>
                <w:szCs w:val="16"/>
              </w:rPr>
            </w:pPr>
            <w:r>
              <w:rPr>
                <w:sz w:val="16"/>
                <w:szCs w:val="16"/>
              </w:rPr>
              <w:t>Lot Number component of the parcel's description. NSW, VIC, QLD, WA, SA, TAS, NT only</w:t>
            </w:r>
          </w:p>
        </w:tc>
      </w:tr>
      <w:tr w:rsidR="00EF1BA0" w14:paraId="278229DD" w14:textId="77777777" w:rsidTr="00EF1BA0">
        <w:tc>
          <w:tcPr>
            <w:tcW w:w="453" w:type="dxa"/>
            <w:tcBorders>
              <w:top w:val="nil"/>
              <w:left w:val="nil"/>
              <w:bottom w:val="nil"/>
              <w:right w:val="nil"/>
            </w:tcBorders>
            <w:hideMark/>
          </w:tcPr>
          <w:p w14:paraId="3D7F1246" w14:textId="77777777" w:rsidR="00EF1BA0" w:rsidRDefault="00EF1BA0">
            <w:pPr>
              <w:spacing w:before="0"/>
              <w:rPr>
                <w:sz w:val="16"/>
                <w:szCs w:val="16"/>
              </w:rPr>
            </w:pPr>
            <w:r>
              <w:rPr>
                <w:sz w:val="16"/>
                <w:szCs w:val="16"/>
              </w:rPr>
              <w:t>4</w:t>
            </w:r>
          </w:p>
        </w:tc>
        <w:tc>
          <w:tcPr>
            <w:tcW w:w="1810" w:type="dxa"/>
            <w:tcBorders>
              <w:top w:val="nil"/>
              <w:left w:val="nil"/>
              <w:bottom w:val="nil"/>
              <w:right w:val="nil"/>
            </w:tcBorders>
            <w:hideMark/>
          </w:tcPr>
          <w:p w14:paraId="4EECDDF9" w14:textId="77777777" w:rsidR="00EF1BA0" w:rsidRDefault="00EF1BA0">
            <w:pPr>
              <w:spacing w:before="0"/>
              <w:rPr>
                <w:sz w:val="16"/>
                <w:szCs w:val="16"/>
              </w:rPr>
            </w:pPr>
            <w:r>
              <w:rPr>
                <w:sz w:val="16"/>
                <w:szCs w:val="16"/>
              </w:rPr>
              <w:t>Full Property Address</w:t>
            </w:r>
          </w:p>
        </w:tc>
        <w:tc>
          <w:tcPr>
            <w:tcW w:w="6946" w:type="dxa"/>
            <w:tcBorders>
              <w:top w:val="nil"/>
              <w:left w:val="nil"/>
              <w:bottom w:val="nil"/>
              <w:right w:val="nil"/>
            </w:tcBorders>
            <w:hideMark/>
          </w:tcPr>
          <w:p w14:paraId="700C6B6D" w14:textId="77777777" w:rsidR="00EF1BA0" w:rsidRDefault="00EF1BA0">
            <w:pPr>
              <w:spacing w:before="0"/>
              <w:rPr>
                <w:sz w:val="16"/>
                <w:szCs w:val="16"/>
              </w:rPr>
            </w:pPr>
            <w:r>
              <w:rPr>
                <w:sz w:val="16"/>
                <w:szCs w:val="16"/>
              </w:rPr>
              <w:t>Property Address</w:t>
            </w:r>
          </w:p>
        </w:tc>
      </w:tr>
      <w:tr w:rsidR="00EF1BA0" w14:paraId="38916177" w14:textId="77777777" w:rsidTr="00EF1BA0">
        <w:tc>
          <w:tcPr>
            <w:tcW w:w="453" w:type="dxa"/>
            <w:tcBorders>
              <w:top w:val="nil"/>
              <w:left w:val="nil"/>
              <w:bottom w:val="nil"/>
              <w:right w:val="nil"/>
            </w:tcBorders>
            <w:hideMark/>
          </w:tcPr>
          <w:p w14:paraId="478CC11A" w14:textId="77777777" w:rsidR="00EF1BA0" w:rsidRDefault="00EF1BA0">
            <w:pPr>
              <w:spacing w:before="0"/>
              <w:rPr>
                <w:sz w:val="16"/>
                <w:szCs w:val="16"/>
              </w:rPr>
            </w:pPr>
            <w:r>
              <w:rPr>
                <w:sz w:val="16"/>
                <w:szCs w:val="16"/>
              </w:rPr>
              <w:t>5</w:t>
            </w:r>
          </w:p>
        </w:tc>
        <w:tc>
          <w:tcPr>
            <w:tcW w:w="1810" w:type="dxa"/>
            <w:tcBorders>
              <w:top w:val="nil"/>
              <w:left w:val="nil"/>
              <w:bottom w:val="nil"/>
              <w:right w:val="nil"/>
            </w:tcBorders>
            <w:hideMark/>
          </w:tcPr>
          <w:p w14:paraId="7DD8D6A9" w14:textId="77777777" w:rsidR="00EF1BA0" w:rsidRDefault="00EF1BA0">
            <w:pPr>
              <w:spacing w:before="0"/>
              <w:rPr>
                <w:sz w:val="16"/>
                <w:szCs w:val="16"/>
              </w:rPr>
            </w:pPr>
            <w:r>
              <w:rPr>
                <w:sz w:val="16"/>
                <w:szCs w:val="16"/>
              </w:rPr>
              <w:t>Property Type</w:t>
            </w:r>
          </w:p>
        </w:tc>
        <w:tc>
          <w:tcPr>
            <w:tcW w:w="6946" w:type="dxa"/>
            <w:tcBorders>
              <w:top w:val="nil"/>
              <w:left w:val="nil"/>
              <w:bottom w:val="nil"/>
              <w:right w:val="nil"/>
            </w:tcBorders>
            <w:hideMark/>
          </w:tcPr>
          <w:p w14:paraId="02B017E5" w14:textId="77777777" w:rsidR="00EF1BA0" w:rsidRDefault="00EF1BA0">
            <w:pPr>
              <w:spacing w:before="0"/>
              <w:rPr>
                <w:sz w:val="16"/>
                <w:szCs w:val="16"/>
              </w:rPr>
            </w:pPr>
            <w:r>
              <w:rPr>
                <w:sz w:val="16"/>
                <w:szCs w:val="16"/>
              </w:rPr>
              <w:t>CoreLogic identified category for the property such as House, Unit, Flats, Land, Business i.e. House, Unit, Flats, Business, Commercial, Community, Farm, Land, Storage Unit</w:t>
            </w:r>
          </w:p>
        </w:tc>
      </w:tr>
      <w:tr w:rsidR="00EF1BA0" w14:paraId="7CE66397" w14:textId="77777777" w:rsidTr="00EF1BA0">
        <w:tc>
          <w:tcPr>
            <w:tcW w:w="453" w:type="dxa"/>
            <w:tcBorders>
              <w:top w:val="nil"/>
              <w:left w:val="nil"/>
              <w:bottom w:val="nil"/>
              <w:right w:val="nil"/>
            </w:tcBorders>
            <w:hideMark/>
          </w:tcPr>
          <w:p w14:paraId="3C54F1B1" w14:textId="77777777" w:rsidR="00EF1BA0" w:rsidRDefault="00EF1BA0">
            <w:pPr>
              <w:spacing w:before="0"/>
              <w:rPr>
                <w:sz w:val="16"/>
                <w:szCs w:val="16"/>
              </w:rPr>
            </w:pPr>
            <w:r>
              <w:rPr>
                <w:sz w:val="16"/>
                <w:szCs w:val="16"/>
              </w:rPr>
              <w:t>6</w:t>
            </w:r>
          </w:p>
        </w:tc>
        <w:tc>
          <w:tcPr>
            <w:tcW w:w="1810" w:type="dxa"/>
            <w:tcBorders>
              <w:top w:val="nil"/>
              <w:left w:val="nil"/>
              <w:bottom w:val="nil"/>
              <w:right w:val="nil"/>
            </w:tcBorders>
            <w:hideMark/>
          </w:tcPr>
          <w:p w14:paraId="21C8ED84" w14:textId="77777777" w:rsidR="00EF1BA0" w:rsidRDefault="00EF1BA0">
            <w:pPr>
              <w:spacing w:before="0"/>
              <w:rPr>
                <w:sz w:val="16"/>
                <w:szCs w:val="16"/>
              </w:rPr>
            </w:pPr>
            <w:r>
              <w:rPr>
                <w:sz w:val="16"/>
                <w:szCs w:val="16"/>
              </w:rPr>
              <w:t>Property Type Minor</w:t>
            </w:r>
          </w:p>
        </w:tc>
        <w:tc>
          <w:tcPr>
            <w:tcW w:w="6946" w:type="dxa"/>
            <w:tcBorders>
              <w:top w:val="nil"/>
              <w:left w:val="nil"/>
              <w:bottom w:val="nil"/>
              <w:right w:val="nil"/>
            </w:tcBorders>
            <w:hideMark/>
          </w:tcPr>
          <w:p w14:paraId="344CAF1B" w14:textId="77777777" w:rsidR="00EF1BA0" w:rsidRDefault="00EF1BA0">
            <w:pPr>
              <w:spacing w:before="0"/>
              <w:rPr>
                <w:sz w:val="16"/>
                <w:szCs w:val="16"/>
              </w:rPr>
            </w:pPr>
            <w:r>
              <w:rPr>
                <w:sz w:val="16"/>
                <w:szCs w:val="16"/>
              </w:rPr>
              <w:t>Corelogic minor category for properties such as Multi Storey, Duplex, One story/Lowset, etc.</w:t>
            </w:r>
          </w:p>
        </w:tc>
      </w:tr>
      <w:tr w:rsidR="00EF1BA0" w14:paraId="72819B6C" w14:textId="77777777" w:rsidTr="00EF1BA0">
        <w:tc>
          <w:tcPr>
            <w:tcW w:w="453" w:type="dxa"/>
            <w:tcBorders>
              <w:top w:val="nil"/>
              <w:left w:val="nil"/>
              <w:bottom w:val="nil"/>
              <w:right w:val="nil"/>
            </w:tcBorders>
            <w:hideMark/>
          </w:tcPr>
          <w:p w14:paraId="2D878E52" w14:textId="77777777" w:rsidR="00EF1BA0" w:rsidRDefault="00EF1BA0">
            <w:pPr>
              <w:spacing w:before="0"/>
              <w:rPr>
                <w:sz w:val="16"/>
                <w:szCs w:val="16"/>
              </w:rPr>
            </w:pPr>
            <w:r>
              <w:rPr>
                <w:sz w:val="16"/>
                <w:szCs w:val="16"/>
              </w:rPr>
              <w:t>7</w:t>
            </w:r>
          </w:p>
        </w:tc>
        <w:tc>
          <w:tcPr>
            <w:tcW w:w="1810" w:type="dxa"/>
            <w:tcBorders>
              <w:top w:val="nil"/>
              <w:left w:val="nil"/>
              <w:bottom w:val="nil"/>
              <w:right w:val="nil"/>
            </w:tcBorders>
            <w:hideMark/>
          </w:tcPr>
          <w:p w14:paraId="446B9A02" w14:textId="77777777" w:rsidR="00EF1BA0" w:rsidRDefault="00EF1BA0">
            <w:pPr>
              <w:spacing w:before="0"/>
              <w:rPr>
                <w:sz w:val="16"/>
                <w:szCs w:val="16"/>
              </w:rPr>
            </w:pPr>
            <w:r>
              <w:rPr>
                <w:sz w:val="16"/>
                <w:szCs w:val="16"/>
              </w:rPr>
              <w:t>Primary  Land Use</w:t>
            </w:r>
          </w:p>
        </w:tc>
        <w:tc>
          <w:tcPr>
            <w:tcW w:w="6946" w:type="dxa"/>
            <w:tcBorders>
              <w:top w:val="nil"/>
              <w:left w:val="nil"/>
              <w:bottom w:val="nil"/>
              <w:right w:val="nil"/>
            </w:tcBorders>
            <w:hideMark/>
          </w:tcPr>
          <w:p w14:paraId="6F001DBC" w14:textId="77777777" w:rsidR="00EF1BA0" w:rsidRDefault="00EF1BA0">
            <w:pPr>
              <w:spacing w:before="0"/>
              <w:rPr>
                <w:sz w:val="16"/>
                <w:szCs w:val="16"/>
              </w:rPr>
            </w:pPr>
            <w:r>
              <w:rPr>
                <w:sz w:val="16"/>
                <w:szCs w:val="16"/>
              </w:rPr>
              <w:t>The Primary Land Use of the property such as single Unit Dwelling, House etc.</w:t>
            </w:r>
          </w:p>
        </w:tc>
      </w:tr>
      <w:tr w:rsidR="00EF1BA0" w14:paraId="2B30D1C1" w14:textId="77777777" w:rsidTr="00EF1BA0">
        <w:tc>
          <w:tcPr>
            <w:tcW w:w="453" w:type="dxa"/>
            <w:tcBorders>
              <w:top w:val="nil"/>
              <w:left w:val="nil"/>
              <w:bottom w:val="nil"/>
              <w:right w:val="nil"/>
            </w:tcBorders>
            <w:hideMark/>
          </w:tcPr>
          <w:p w14:paraId="71346E40" w14:textId="77777777" w:rsidR="00EF1BA0" w:rsidRDefault="00EF1BA0">
            <w:pPr>
              <w:spacing w:before="0"/>
              <w:rPr>
                <w:sz w:val="16"/>
                <w:szCs w:val="16"/>
              </w:rPr>
            </w:pPr>
            <w:r>
              <w:rPr>
                <w:sz w:val="16"/>
                <w:szCs w:val="16"/>
              </w:rPr>
              <w:t>8</w:t>
            </w:r>
          </w:p>
        </w:tc>
        <w:tc>
          <w:tcPr>
            <w:tcW w:w="1810" w:type="dxa"/>
            <w:tcBorders>
              <w:top w:val="nil"/>
              <w:left w:val="nil"/>
              <w:bottom w:val="nil"/>
              <w:right w:val="nil"/>
            </w:tcBorders>
            <w:hideMark/>
          </w:tcPr>
          <w:p w14:paraId="03767C5F" w14:textId="77777777" w:rsidR="00EF1BA0" w:rsidRDefault="00EF1BA0">
            <w:pPr>
              <w:spacing w:before="0"/>
              <w:rPr>
                <w:sz w:val="16"/>
                <w:szCs w:val="16"/>
              </w:rPr>
            </w:pPr>
            <w:r>
              <w:rPr>
                <w:sz w:val="16"/>
                <w:szCs w:val="16"/>
              </w:rPr>
              <w:t>Latitude</w:t>
            </w:r>
          </w:p>
        </w:tc>
        <w:tc>
          <w:tcPr>
            <w:tcW w:w="6946" w:type="dxa"/>
            <w:tcBorders>
              <w:top w:val="nil"/>
              <w:left w:val="nil"/>
              <w:bottom w:val="nil"/>
              <w:right w:val="nil"/>
            </w:tcBorders>
            <w:hideMark/>
          </w:tcPr>
          <w:p w14:paraId="738E0A5F" w14:textId="77777777" w:rsidR="00EF1BA0" w:rsidRDefault="00EF1BA0">
            <w:pPr>
              <w:spacing w:before="0"/>
              <w:rPr>
                <w:sz w:val="16"/>
                <w:szCs w:val="16"/>
              </w:rPr>
            </w:pPr>
            <w:r>
              <w:rPr>
                <w:sz w:val="16"/>
                <w:szCs w:val="16"/>
              </w:rPr>
              <w:t>The geographical latitude of the property.</w:t>
            </w:r>
          </w:p>
        </w:tc>
      </w:tr>
      <w:tr w:rsidR="00EF1BA0" w14:paraId="731CD8AB" w14:textId="77777777" w:rsidTr="00EF1BA0">
        <w:tc>
          <w:tcPr>
            <w:tcW w:w="453" w:type="dxa"/>
            <w:tcBorders>
              <w:top w:val="nil"/>
              <w:left w:val="nil"/>
              <w:bottom w:val="nil"/>
              <w:right w:val="nil"/>
            </w:tcBorders>
            <w:hideMark/>
          </w:tcPr>
          <w:p w14:paraId="0AEB9AAE" w14:textId="77777777" w:rsidR="00EF1BA0" w:rsidRDefault="00EF1BA0">
            <w:pPr>
              <w:spacing w:before="0"/>
              <w:rPr>
                <w:sz w:val="16"/>
                <w:szCs w:val="16"/>
              </w:rPr>
            </w:pPr>
            <w:r>
              <w:rPr>
                <w:sz w:val="16"/>
                <w:szCs w:val="16"/>
              </w:rPr>
              <w:t>9</w:t>
            </w:r>
          </w:p>
        </w:tc>
        <w:tc>
          <w:tcPr>
            <w:tcW w:w="1810" w:type="dxa"/>
            <w:tcBorders>
              <w:top w:val="nil"/>
              <w:left w:val="nil"/>
              <w:bottom w:val="nil"/>
              <w:right w:val="nil"/>
            </w:tcBorders>
            <w:hideMark/>
          </w:tcPr>
          <w:p w14:paraId="0B99B638" w14:textId="77777777" w:rsidR="00EF1BA0" w:rsidRDefault="00EF1BA0">
            <w:pPr>
              <w:spacing w:before="0"/>
              <w:rPr>
                <w:sz w:val="16"/>
                <w:szCs w:val="16"/>
              </w:rPr>
            </w:pPr>
            <w:r>
              <w:rPr>
                <w:sz w:val="16"/>
                <w:szCs w:val="16"/>
              </w:rPr>
              <w:t>Longitude</w:t>
            </w:r>
          </w:p>
        </w:tc>
        <w:tc>
          <w:tcPr>
            <w:tcW w:w="6946" w:type="dxa"/>
            <w:tcBorders>
              <w:top w:val="nil"/>
              <w:left w:val="nil"/>
              <w:bottom w:val="nil"/>
              <w:right w:val="nil"/>
            </w:tcBorders>
            <w:hideMark/>
          </w:tcPr>
          <w:p w14:paraId="22F02DE1" w14:textId="77777777" w:rsidR="00EF1BA0" w:rsidRDefault="00EF1BA0">
            <w:pPr>
              <w:spacing w:before="0"/>
              <w:rPr>
                <w:sz w:val="16"/>
                <w:szCs w:val="16"/>
              </w:rPr>
            </w:pPr>
            <w:r>
              <w:rPr>
                <w:sz w:val="16"/>
                <w:szCs w:val="16"/>
              </w:rPr>
              <w:t>The geographical longitude of the property.</w:t>
            </w:r>
          </w:p>
        </w:tc>
      </w:tr>
      <w:tr w:rsidR="00EF1BA0" w14:paraId="77EEB639" w14:textId="77777777" w:rsidTr="00EF1BA0">
        <w:tc>
          <w:tcPr>
            <w:tcW w:w="453" w:type="dxa"/>
            <w:tcBorders>
              <w:top w:val="nil"/>
              <w:left w:val="nil"/>
              <w:bottom w:val="nil"/>
              <w:right w:val="nil"/>
            </w:tcBorders>
            <w:hideMark/>
          </w:tcPr>
          <w:p w14:paraId="34B10059" w14:textId="77777777" w:rsidR="00EF1BA0" w:rsidRDefault="00EF1BA0">
            <w:pPr>
              <w:spacing w:before="0"/>
              <w:rPr>
                <w:sz w:val="16"/>
                <w:szCs w:val="16"/>
              </w:rPr>
            </w:pPr>
            <w:r>
              <w:rPr>
                <w:sz w:val="16"/>
                <w:szCs w:val="16"/>
              </w:rPr>
              <w:t>10</w:t>
            </w:r>
          </w:p>
        </w:tc>
        <w:tc>
          <w:tcPr>
            <w:tcW w:w="1810" w:type="dxa"/>
            <w:tcBorders>
              <w:top w:val="nil"/>
              <w:left w:val="nil"/>
              <w:bottom w:val="nil"/>
              <w:right w:val="nil"/>
            </w:tcBorders>
            <w:hideMark/>
          </w:tcPr>
          <w:p w14:paraId="0567234A" w14:textId="77777777" w:rsidR="00EF1BA0" w:rsidRDefault="00EF1BA0">
            <w:pPr>
              <w:spacing w:before="0"/>
              <w:rPr>
                <w:sz w:val="16"/>
                <w:szCs w:val="16"/>
              </w:rPr>
            </w:pPr>
            <w:r>
              <w:rPr>
                <w:sz w:val="16"/>
                <w:szCs w:val="16"/>
              </w:rPr>
              <w:t>Bedrooms</w:t>
            </w:r>
          </w:p>
        </w:tc>
        <w:tc>
          <w:tcPr>
            <w:tcW w:w="6946" w:type="dxa"/>
            <w:tcBorders>
              <w:top w:val="nil"/>
              <w:left w:val="nil"/>
              <w:bottom w:val="nil"/>
              <w:right w:val="nil"/>
            </w:tcBorders>
            <w:hideMark/>
          </w:tcPr>
          <w:p w14:paraId="60C16FE6" w14:textId="77777777" w:rsidR="00EF1BA0" w:rsidRDefault="00EF1BA0">
            <w:pPr>
              <w:spacing w:before="0"/>
              <w:rPr>
                <w:sz w:val="16"/>
                <w:szCs w:val="16"/>
              </w:rPr>
            </w:pPr>
            <w:r>
              <w:rPr>
                <w:sz w:val="16"/>
                <w:szCs w:val="16"/>
              </w:rPr>
              <w:t>The most recently recorded bedrooms count.</w:t>
            </w:r>
          </w:p>
        </w:tc>
      </w:tr>
      <w:tr w:rsidR="00EF1BA0" w14:paraId="6EF561F9" w14:textId="77777777" w:rsidTr="00EF1BA0">
        <w:tc>
          <w:tcPr>
            <w:tcW w:w="453" w:type="dxa"/>
            <w:tcBorders>
              <w:top w:val="nil"/>
              <w:left w:val="nil"/>
              <w:bottom w:val="nil"/>
              <w:right w:val="nil"/>
            </w:tcBorders>
            <w:hideMark/>
          </w:tcPr>
          <w:p w14:paraId="1BD1A996" w14:textId="77777777" w:rsidR="00EF1BA0" w:rsidRDefault="00EF1BA0">
            <w:pPr>
              <w:spacing w:before="0"/>
              <w:rPr>
                <w:sz w:val="16"/>
                <w:szCs w:val="16"/>
              </w:rPr>
            </w:pPr>
            <w:r>
              <w:rPr>
                <w:sz w:val="16"/>
                <w:szCs w:val="16"/>
              </w:rPr>
              <w:t>11</w:t>
            </w:r>
          </w:p>
        </w:tc>
        <w:tc>
          <w:tcPr>
            <w:tcW w:w="1810" w:type="dxa"/>
            <w:tcBorders>
              <w:top w:val="nil"/>
              <w:left w:val="nil"/>
              <w:bottom w:val="nil"/>
              <w:right w:val="nil"/>
            </w:tcBorders>
            <w:hideMark/>
          </w:tcPr>
          <w:p w14:paraId="5563A327" w14:textId="77777777" w:rsidR="00EF1BA0" w:rsidRDefault="00EF1BA0">
            <w:pPr>
              <w:spacing w:before="0"/>
              <w:rPr>
                <w:sz w:val="16"/>
                <w:szCs w:val="16"/>
              </w:rPr>
            </w:pPr>
            <w:r>
              <w:rPr>
                <w:sz w:val="16"/>
                <w:szCs w:val="16"/>
              </w:rPr>
              <w:t>Bathrooms</w:t>
            </w:r>
          </w:p>
        </w:tc>
        <w:tc>
          <w:tcPr>
            <w:tcW w:w="6946" w:type="dxa"/>
            <w:tcBorders>
              <w:top w:val="nil"/>
              <w:left w:val="nil"/>
              <w:bottom w:val="nil"/>
              <w:right w:val="nil"/>
            </w:tcBorders>
            <w:hideMark/>
          </w:tcPr>
          <w:p w14:paraId="6A76E9D4" w14:textId="77777777" w:rsidR="00EF1BA0" w:rsidRDefault="00EF1BA0">
            <w:pPr>
              <w:spacing w:before="0"/>
              <w:rPr>
                <w:sz w:val="16"/>
                <w:szCs w:val="16"/>
              </w:rPr>
            </w:pPr>
            <w:r>
              <w:rPr>
                <w:sz w:val="16"/>
                <w:szCs w:val="16"/>
              </w:rPr>
              <w:t>The most recently recorded count of bathrooms for the property (inclusive of ensuites).</w:t>
            </w:r>
          </w:p>
        </w:tc>
      </w:tr>
      <w:tr w:rsidR="00EF1BA0" w14:paraId="3E5003D4" w14:textId="77777777" w:rsidTr="00EF1BA0">
        <w:tc>
          <w:tcPr>
            <w:tcW w:w="453" w:type="dxa"/>
            <w:tcBorders>
              <w:top w:val="nil"/>
              <w:left w:val="nil"/>
              <w:bottom w:val="nil"/>
              <w:right w:val="nil"/>
            </w:tcBorders>
            <w:hideMark/>
          </w:tcPr>
          <w:p w14:paraId="56BC863E" w14:textId="77777777" w:rsidR="00EF1BA0" w:rsidRDefault="00EF1BA0">
            <w:pPr>
              <w:spacing w:before="0"/>
              <w:rPr>
                <w:sz w:val="16"/>
                <w:szCs w:val="16"/>
              </w:rPr>
            </w:pPr>
            <w:r>
              <w:rPr>
                <w:sz w:val="16"/>
                <w:szCs w:val="16"/>
              </w:rPr>
              <w:t>12</w:t>
            </w:r>
          </w:p>
        </w:tc>
        <w:tc>
          <w:tcPr>
            <w:tcW w:w="1810" w:type="dxa"/>
            <w:tcBorders>
              <w:top w:val="nil"/>
              <w:left w:val="nil"/>
              <w:bottom w:val="nil"/>
              <w:right w:val="nil"/>
            </w:tcBorders>
            <w:hideMark/>
          </w:tcPr>
          <w:p w14:paraId="1976CADF" w14:textId="77777777" w:rsidR="00EF1BA0" w:rsidRDefault="00EF1BA0">
            <w:pPr>
              <w:spacing w:before="0"/>
              <w:rPr>
                <w:sz w:val="16"/>
                <w:szCs w:val="16"/>
              </w:rPr>
            </w:pPr>
            <w:r>
              <w:rPr>
                <w:sz w:val="16"/>
                <w:szCs w:val="16"/>
              </w:rPr>
              <w:t>Land Area</w:t>
            </w:r>
          </w:p>
        </w:tc>
        <w:tc>
          <w:tcPr>
            <w:tcW w:w="6946" w:type="dxa"/>
            <w:tcBorders>
              <w:top w:val="nil"/>
              <w:left w:val="nil"/>
              <w:bottom w:val="nil"/>
              <w:right w:val="nil"/>
            </w:tcBorders>
            <w:hideMark/>
          </w:tcPr>
          <w:p w14:paraId="7D519863" w14:textId="77777777" w:rsidR="00EF1BA0" w:rsidRDefault="00EF1BA0">
            <w:pPr>
              <w:spacing w:before="0"/>
              <w:rPr>
                <w:sz w:val="16"/>
                <w:szCs w:val="16"/>
              </w:rPr>
            </w:pPr>
            <w:r>
              <w:rPr>
                <w:sz w:val="16"/>
                <w:szCs w:val="16"/>
              </w:rPr>
              <w:t>Total size of the parcel/s in square metres.</w:t>
            </w:r>
          </w:p>
        </w:tc>
      </w:tr>
      <w:tr w:rsidR="00EF1BA0" w14:paraId="08DB6417" w14:textId="77777777" w:rsidTr="00EF1BA0">
        <w:tc>
          <w:tcPr>
            <w:tcW w:w="453" w:type="dxa"/>
            <w:tcBorders>
              <w:top w:val="nil"/>
              <w:left w:val="nil"/>
              <w:bottom w:val="nil"/>
              <w:right w:val="nil"/>
            </w:tcBorders>
            <w:hideMark/>
          </w:tcPr>
          <w:p w14:paraId="1EAFAB38" w14:textId="77777777" w:rsidR="00EF1BA0" w:rsidRDefault="00EF1BA0">
            <w:pPr>
              <w:spacing w:before="0"/>
              <w:rPr>
                <w:sz w:val="16"/>
                <w:szCs w:val="16"/>
              </w:rPr>
            </w:pPr>
            <w:r>
              <w:rPr>
                <w:sz w:val="16"/>
                <w:szCs w:val="16"/>
              </w:rPr>
              <w:t>13</w:t>
            </w:r>
          </w:p>
        </w:tc>
        <w:tc>
          <w:tcPr>
            <w:tcW w:w="1810" w:type="dxa"/>
            <w:tcBorders>
              <w:top w:val="nil"/>
              <w:left w:val="nil"/>
              <w:bottom w:val="nil"/>
              <w:right w:val="nil"/>
            </w:tcBorders>
            <w:hideMark/>
          </w:tcPr>
          <w:p w14:paraId="54483698" w14:textId="77777777" w:rsidR="00EF1BA0" w:rsidRDefault="00EF1BA0">
            <w:pPr>
              <w:spacing w:before="0"/>
              <w:rPr>
                <w:sz w:val="16"/>
                <w:szCs w:val="16"/>
              </w:rPr>
            </w:pPr>
            <w:r>
              <w:rPr>
                <w:sz w:val="16"/>
                <w:szCs w:val="16"/>
              </w:rPr>
              <w:t>Transfer ID</w:t>
            </w:r>
          </w:p>
        </w:tc>
        <w:tc>
          <w:tcPr>
            <w:tcW w:w="6946" w:type="dxa"/>
            <w:tcBorders>
              <w:top w:val="nil"/>
              <w:left w:val="nil"/>
              <w:bottom w:val="nil"/>
              <w:right w:val="nil"/>
            </w:tcBorders>
            <w:hideMark/>
          </w:tcPr>
          <w:p w14:paraId="71634859" w14:textId="77777777" w:rsidR="00EF1BA0" w:rsidRDefault="00EF1BA0">
            <w:pPr>
              <w:spacing w:before="0"/>
              <w:rPr>
                <w:sz w:val="16"/>
                <w:szCs w:val="16"/>
              </w:rPr>
            </w:pPr>
            <w:r>
              <w:rPr>
                <w:sz w:val="16"/>
                <w:szCs w:val="16"/>
              </w:rPr>
              <w:t>Unique record key within the core database for the transfer</w:t>
            </w:r>
          </w:p>
        </w:tc>
      </w:tr>
      <w:tr w:rsidR="00EF1BA0" w14:paraId="43DA229A" w14:textId="77777777" w:rsidTr="00EF1BA0">
        <w:tc>
          <w:tcPr>
            <w:tcW w:w="453" w:type="dxa"/>
            <w:tcBorders>
              <w:top w:val="nil"/>
              <w:left w:val="nil"/>
              <w:bottom w:val="nil"/>
              <w:right w:val="nil"/>
            </w:tcBorders>
            <w:hideMark/>
          </w:tcPr>
          <w:p w14:paraId="639B6D3E" w14:textId="77777777" w:rsidR="00EF1BA0" w:rsidRDefault="00EF1BA0">
            <w:pPr>
              <w:spacing w:before="0"/>
              <w:rPr>
                <w:sz w:val="16"/>
                <w:szCs w:val="16"/>
              </w:rPr>
            </w:pPr>
            <w:r>
              <w:rPr>
                <w:sz w:val="16"/>
                <w:szCs w:val="16"/>
              </w:rPr>
              <w:t>14</w:t>
            </w:r>
          </w:p>
        </w:tc>
        <w:tc>
          <w:tcPr>
            <w:tcW w:w="1810" w:type="dxa"/>
            <w:tcBorders>
              <w:top w:val="nil"/>
              <w:left w:val="nil"/>
              <w:bottom w:val="nil"/>
              <w:right w:val="nil"/>
            </w:tcBorders>
            <w:hideMark/>
          </w:tcPr>
          <w:p w14:paraId="5CBAC7C7" w14:textId="77777777" w:rsidR="00EF1BA0" w:rsidRDefault="00EF1BA0">
            <w:pPr>
              <w:spacing w:before="0"/>
              <w:rPr>
                <w:sz w:val="16"/>
                <w:szCs w:val="16"/>
              </w:rPr>
            </w:pPr>
            <w:r>
              <w:rPr>
                <w:sz w:val="16"/>
                <w:szCs w:val="16"/>
              </w:rPr>
              <w:t>Contract Date</w:t>
            </w:r>
          </w:p>
        </w:tc>
        <w:tc>
          <w:tcPr>
            <w:tcW w:w="6946" w:type="dxa"/>
            <w:tcBorders>
              <w:top w:val="nil"/>
              <w:left w:val="nil"/>
              <w:bottom w:val="nil"/>
              <w:right w:val="nil"/>
            </w:tcBorders>
            <w:hideMark/>
          </w:tcPr>
          <w:p w14:paraId="048EF87C" w14:textId="77777777" w:rsidR="00EF1BA0" w:rsidRDefault="00EF1BA0">
            <w:pPr>
              <w:spacing w:before="0"/>
              <w:rPr>
                <w:sz w:val="16"/>
                <w:szCs w:val="16"/>
              </w:rPr>
            </w:pPr>
            <w:r>
              <w:rPr>
                <w:sz w:val="16"/>
                <w:szCs w:val="16"/>
              </w:rPr>
              <w:t xml:space="preserve">Contract date of transfer which indicates the date on which the sale price was contractually committed between a vendor and a purchaser. </w:t>
            </w:r>
          </w:p>
          <w:p w14:paraId="7BDF62B1" w14:textId="77777777" w:rsidR="00EF1BA0" w:rsidRDefault="00EF1BA0">
            <w:pPr>
              <w:spacing w:before="0"/>
              <w:rPr>
                <w:sz w:val="16"/>
                <w:szCs w:val="16"/>
              </w:rPr>
            </w:pPr>
            <w:r>
              <w:rPr>
                <w:sz w:val="16"/>
                <w:szCs w:val="16"/>
              </w:rPr>
              <w:t>Contract Date for states were VG Contract Date is provided include NSW, VIC, QLD, WA, TAS, ACT only</w:t>
            </w:r>
          </w:p>
        </w:tc>
      </w:tr>
      <w:tr w:rsidR="00EF1BA0" w14:paraId="6E009D9F" w14:textId="77777777" w:rsidTr="00EF1BA0">
        <w:tc>
          <w:tcPr>
            <w:tcW w:w="453" w:type="dxa"/>
            <w:tcBorders>
              <w:top w:val="nil"/>
              <w:left w:val="nil"/>
              <w:bottom w:val="nil"/>
              <w:right w:val="nil"/>
            </w:tcBorders>
            <w:hideMark/>
          </w:tcPr>
          <w:p w14:paraId="226E42FE" w14:textId="77777777" w:rsidR="00EF1BA0" w:rsidRDefault="00EF1BA0">
            <w:pPr>
              <w:spacing w:before="0"/>
              <w:rPr>
                <w:sz w:val="16"/>
                <w:szCs w:val="16"/>
              </w:rPr>
            </w:pPr>
            <w:r>
              <w:rPr>
                <w:sz w:val="16"/>
                <w:szCs w:val="16"/>
              </w:rPr>
              <w:t>15</w:t>
            </w:r>
          </w:p>
        </w:tc>
        <w:tc>
          <w:tcPr>
            <w:tcW w:w="1810" w:type="dxa"/>
            <w:tcBorders>
              <w:top w:val="nil"/>
              <w:left w:val="nil"/>
              <w:bottom w:val="nil"/>
              <w:right w:val="nil"/>
            </w:tcBorders>
            <w:hideMark/>
          </w:tcPr>
          <w:p w14:paraId="7B0CC3F7" w14:textId="77777777" w:rsidR="00EF1BA0" w:rsidRDefault="00EF1BA0">
            <w:pPr>
              <w:spacing w:before="0"/>
              <w:rPr>
                <w:sz w:val="16"/>
                <w:szCs w:val="16"/>
              </w:rPr>
            </w:pPr>
            <w:r>
              <w:rPr>
                <w:sz w:val="16"/>
                <w:szCs w:val="16"/>
              </w:rPr>
              <w:t>Transaction Date</w:t>
            </w:r>
          </w:p>
        </w:tc>
        <w:tc>
          <w:tcPr>
            <w:tcW w:w="6946" w:type="dxa"/>
            <w:tcBorders>
              <w:top w:val="nil"/>
              <w:left w:val="nil"/>
              <w:bottom w:val="nil"/>
              <w:right w:val="nil"/>
            </w:tcBorders>
            <w:hideMark/>
          </w:tcPr>
          <w:p w14:paraId="33C6D5B0" w14:textId="77777777" w:rsidR="00EF1BA0" w:rsidRDefault="00EF1BA0">
            <w:pPr>
              <w:spacing w:before="0"/>
              <w:rPr>
                <w:sz w:val="16"/>
                <w:szCs w:val="16"/>
              </w:rPr>
            </w:pPr>
            <w:r>
              <w:rPr>
                <w:sz w:val="16"/>
                <w:szCs w:val="16"/>
              </w:rPr>
              <w:t>A proxy Contract Date with Settlement Date substituted for states where no VG Contract Date is provided. Allows for ordering transfers by the time that the transfer occurred.</w:t>
            </w:r>
          </w:p>
        </w:tc>
      </w:tr>
      <w:tr w:rsidR="00EF1BA0" w14:paraId="0D58B430" w14:textId="77777777" w:rsidTr="00EF1BA0">
        <w:tc>
          <w:tcPr>
            <w:tcW w:w="453" w:type="dxa"/>
            <w:tcBorders>
              <w:top w:val="nil"/>
              <w:left w:val="nil"/>
              <w:bottom w:val="nil"/>
              <w:right w:val="nil"/>
            </w:tcBorders>
            <w:hideMark/>
          </w:tcPr>
          <w:p w14:paraId="28ABD10D" w14:textId="77777777" w:rsidR="00EF1BA0" w:rsidRDefault="00EF1BA0">
            <w:pPr>
              <w:spacing w:before="0"/>
              <w:rPr>
                <w:sz w:val="16"/>
                <w:szCs w:val="16"/>
              </w:rPr>
            </w:pPr>
            <w:r>
              <w:rPr>
                <w:sz w:val="16"/>
                <w:szCs w:val="16"/>
              </w:rPr>
              <w:t>16</w:t>
            </w:r>
          </w:p>
        </w:tc>
        <w:tc>
          <w:tcPr>
            <w:tcW w:w="1810" w:type="dxa"/>
            <w:tcBorders>
              <w:top w:val="nil"/>
              <w:left w:val="nil"/>
              <w:bottom w:val="nil"/>
              <w:right w:val="nil"/>
            </w:tcBorders>
            <w:hideMark/>
          </w:tcPr>
          <w:p w14:paraId="627FB5F7" w14:textId="77777777" w:rsidR="00EF1BA0" w:rsidRDefault="00EF1BA0">
            <w:pPr>
              <w:spacing w:before="0"/>
              <w:rPr>
                <w:sz w:val="16"/>
                <w:szCs w:val="16"/>
              </w:rPr>
            </w:pPr>
            <w:r>
              <w:rPr>
                <w:sz w:val="16"/>
                <w:szCs w:val="16"/>
              </w:rPr>
              <w:t>Contract Price</w:t>
            </w:r>
          </w:p>
        </w:tc>
        <w:tc>
          <w:tcPr>
            <w:tcW w:w="6946" w:type="dxa"/>
            <w:tcBorders>
              <w:top w:val="nil"/>
              <w:left w:val="nil"/>
              <w:bottom w:val="nil"/>
              <w:right w:val="nil"/>
            </w:tcBorders>
            <w:hideMark/>
          </w:tcPr>
          <w:p w14:paraId="5874A131" w14:textId="77777777" w:rsidR="00EF1BA0" w:rsidRDefault="00EF1BA0">
            <w:pPr>
              <w:spacing w:before="0"/>
              <w:rPr>
                <w:sz w:val="16"/>
                <w:szCs w:val="16"/>
              </w:rPr>
            </w:pPr>
            <w:r>
              <w:rPr>
                <w:sz w:val="16"/>
                <w:szCs w:val="16"/>
              </w:rPr>
              <w:t>Sale price of transfer indicating the consideration for the property changing ownership (if available)</w:t>
            </w:r>
          </w:p>
        </w:tc>
      </w:tr>
      <w:tr w:rsidR="00EF1BA0" w14:paraId="24FD1FE5" w14:textId="77777777" w:rsidTr="00EF1BA0">
        <w:tc>
          <w:tcPr>
            <w:tcW w:w="453" w:type="dxa"/>
            <w:tcBorders>
              <w:top w:val="nil"/>
              <w:left w:val="nil"/>
              <w:bottom w:val="single" w:sz="4" w:space="0" w:color="auto"/>
              <w:right w:val="nil"/>
            </w:tcBorders>
            <w:hideMark/>
          </w:tcPr>
          <w:p w14:paraId="1F0551AF" w14:textId="77777777" w:rsidR="00EF1BA0" w:rsidRDefault="00EF1BA0">
            <w:pPr>
              <w:spacing w:before="0"/>
              <w:rPr>
                <w:sz w:val="16"/>
                <w:szCs w:val="16"/>
              </w:rPr>
            </w:pPr>
            <w:r>
              <w:rPr>
                <w:sz w:val="16"/>
                <w:szCs w:val="16"/>
              </w:rPr>
              <w:t>17</w:t>
            </w:r>
          </w:p>
        </w:tc>
        <w:tc>
          <w:tcPr>
            <w:tcW w:w="1810" w:type="dxa"/>
            <w:tcBorders>
              <w:top w:val="nil"/>
              <w:left w:val="nil"/>
              <w:bottom w:val="single" w:sz="4" w:space="0" w:color="auto"/>
              <w:right w:val="nil"/>
            </w:tcBorders>
            <w:hideMark/>
          </w:tcPr>
          <w:p w14:paraId="2A1B5B8D" w14:textId="77777777" w:rsidR="00EF1BA0" w:rsidRDefault="00EF1BA0">
            <w:pPr>
              <w:spacing w:before="0"/>
              <w:rPr>
                <w:sz w:val="16"/>
                <w:szCs w:val="16"/>
              </w:rPr>
            </w:pPr>
            <w:r>
              <w:rPr>
                <w:sz w:val="16"/>
                <w:szCs w:val="16"/>
              </w:rPr>
              <w:t>Multi Sale</w:t>
            </w:r>
          </w:p>
        </w:tc>
        <w:tc>
          <w:tcPr>
            <w:tcW w:w="6946" w:type="dxa"/>
            <w:tcBorders>
              <w:top w:val="nil"/>
              <w:left w:val="nil"/>
              <w:bottom w:val="single" w:sz="4" w:space="0" w:color="auto"/>
              <w:right w:val="nil"/>
            </w:tcBorders>
            <w:hideMark/>
          </w:tcPr>
          <w:p w14:paraId="7693F3CE" w14:textId="77777777" w:rsidR="00EF1BA0" w:rsidRDefault="00EF1BA0">
            <w:pPr>
              <w:spacing w:before="0"/>
              <w:rPr>
                <w:sz w:val="16"/>
                <w:szCs w:val="16"/>
              </w:rPr>
            </w:pPr>
            <w:r>
              <w:rPr>
                <w:sz w:val="16"/>
                <w:szCs w:val="16"/>
              </w:rPr>
              <w:t>A ‘stapled’ transfer with multiple properties in the transfer. The contract price is the total for all properties in the transfer.</w:t>
            </w:r>
          </w:p>
        </w:tc>
      </w:tr>
    </w:tbl>
    <w:p w14:paraId="1DBD69FD" w14:textId="77777777" w:rsidR="00EF1BA0" w:rsidRDefault="00EF1BA0"/>
    <w:p w14:paraId="0697C191" w14:textId="77777777" w:rsidR="00EF1BA0" w:rsidRDefault="00EF1BA0"/>
    <w:p w14:paraId="06E98310" w14:textId="77777777" w:rsidR="00EF1BA0" w:rsidRDefault="00EF1BA0"/>
    <w:p w14:paraId="4755B6CF" w14:textId="77777777" w:rsidR="00EF1BA0" w:rsidRDefault="00EF1BA0"/>
    <w:p w14:paraId="3E52ED4E" w14:textId="77777777" w:rsidR="00EF1BA0" w:rsidRDefault="00EF1BA0"/>
    <w:p w14:paraId="0E669577" w14:textId="77777777" w:rsidR="00532DFC" w:rsidRDefault="00532DFC"/>
    <w:p w14:paraId="1080BEB0" w14:textId="77777777" w:rsidR="00EF1BA0" w:rsidRDefault="00EF1BA0"/>
    <w:p w14:paraId="36203237" w14:textId="77777777" w:rsidR="00EF1BA0" w:rsidRDefault="00EF1BA0" w:rsidP="00EF1BA0">
      <w:pPr>
        <w:pStyle w:val="Caption"/>
      </w:pPr>
      <w:bookmarkStart w:id="27" w:name="_Toc25744011"/>
      <w:r>
        <w:lastRenderedPageBreak/>
        <w:t xml:space="preserve">Table </w:t>
      </w:r>
      <w:r w:rsidR="00FA1D4A">
        <w:t>A</w:t>
      </w:r>
      <w:r w:rsidR="00FA1D4A">
        <w:rPr>
          <w:noProof/>
        </w:rPr>
        <w:fldChar w:fldCharType="begin"/>
      </w:r>
      <w:r w:rsidR="00FA1D4A">
        <w:rPr>
          <w:noProof/>
        </w:rPr>
        <w:instrText xml:space="preserve"> SEQ Table \* ARABIC </w:instrText>
      </w:r>
      <w:r w:rsidR="00FA1D4A">
        <w:rPr>
          <w:noProof/>
        </w:rPr>
        <w:fldChar w:fldCharType="separate"/>
      </w:r>
      <w:r w:rsidR="009F7388">
        <w:rPr>
          <w:noProof/>
        </w:rPr>
        <w:t>4</w:t>
      </w:r>
      <w:r w:rsidR="00FA1D4A">
        <w:rPr>
          <w:noProof/>
        </w:rPr>
        <w:fldChar w:fldCharType="end"/>
      </w:r>
      <w:r w:rsidR="00FA1D4A">
        <w:t xml:space="preserve"> </w:t>
      </w:r>
      <w:r w:rsidRPr="00EF1BA0">
        <w:t>CoreLogic additional linking variables</w:t>
      </w:r>
      <w:bookmarkEnd w:id="27"/>
    </w:p>
    <w:tbl>
      <w:tblPr>
        <w:tblStyle w:val="TableGrid"/>
        <w:tblW w:w="92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18"/>
        <w:gridCol w:w="7229"/>
      </w:tblGrid>
      <w:tr w:rsidR="00EF1BA0" w14:paraId="1EF92B60" w14:textId="77777777" w:rsidTr="00EF1BA0">
        <w:tc>
          <w:tcPr>
            <w:tcW w:w="562" w:type="dxa"/>
            <w:tcBorders>
              <w:top w:val="single" w:sz="4" w:space="0" w:color="auto"/>
              <w:left w:val="nil"/>
              <w:bottom w:val="nil"/>
              <w:right w:val="nil"/>
            </w:tcBorders>
            <w:hideMark/>
          </w:tcPr>
          <w:p w14:paraId="0C333E60" w14:textId="77777777" w:rsidR="00EF1BA0" w:rsidRDefault="00EF1BA0">
            <w:pPr>
              <w:spacing w:before="0"/>
              <w:rPr>
                <w:rFonts w:eastAsia="Calibri" w:cs="Times New Roman"/>
                <w:b/>
                <w:sz w:val="16"/>
                <w:szCs w:val="16"/>
              </w:rPr>
            </w:pPr>
            <w:r>
              <w:rPr>
                <w:b/>
                <w:sz w:val="16"/>
                <w:szCs w:val="16"/>
              </w:rPr>
              <w:t xml:space="preserve">No. </w:t>
            </w:r>
          </w:p>
        </w:tc>
        <w:tc>
          <w:tcPr>
            <w:tcW w:w="1418" w:type="dxa"/>
            <w:tcBorders>
              <w:top w:val="single" w:sz="4" w:space="0" w:color="auto"/>
              <w:left w:val="nil"/>
              <w:bottom w:val="nil"/>
              <w:right w:val="nil"/>
            </w:tcBorders>
            <w:hideMark/>
          </w:tcPr>
          <w:p w14:paraId="24ECACE9" w14:textId="77777777" w:rsidR="00EF1BA0" w:rsidRDefault="00EF1BA0">
            <w:pPr>
              <w:spacing w:before="0"/>
              <w:rPr>
                <w:b/>
                <w:sz w:val="16"/>
                <w:szCs w:val="16"/>
              </w:rPr>
            </w:pPr>
            <w:r>
              <w:rPr>
                <w:b/>
                <w:sz w:val="16"/>
                <w:szCs w:val="16"/>
              </w:rPr>
              <w:t>Data Field</w:t>
            </w:r>
          </w:p>
        </w:tc>
        <w:tc>
          <w:tcPr>
            <w:tcW w:w="7229" w:type="dxa"/>
            <w:tcBorders>
              <w:top w:val="single" w:sz="4" w:space="0" w:color="auto"/>
              <w:left w:val="nil"/>
              <w:bottom w:val="nil"/>
              <w:right w:val="nil"/>
            </w:tcBorders>
            <w:hideMark/>
          </w:tcPr>
          <w:p w14:paraId="26B23DCA" w14:textId="77777777" w:rsidR="00EF1BA0" w:rsidRDefault="00EF1BA0">
            <w:pPr>
              <w:spacing w:before="0"/>
              <w:rPr>
                <w:b/>
                <w:sz w:val="16"/>
                <w:szCs w:val="16"/>
              </w:rPr>
            </w:pPr>
            <w:r>
              <w:rPr>
                <w:b/>
                <w:sz w:val="16"/>
                <w:szCs w:val="16"/>
              </w:rPr>
              <w:t>Definition</w:t>
            </w:r>
          </w:p>
        </w:tc>
      </w:tr>
      <w:tr w:rsidR="00EF1BA0" w14:paraId="39A34F2C" w14:textId="77777777" w:rsidTr="00EF1BA0">
        <w:tc>
          <w:tcPr>
            <w:tcW w:w="562" w:type="dxa"/>
            <w:tcBorders>
              <w:top w:val="nil"/>
              <w:left w:val="nil"/>
              <w:bottom w:val="nil"/>
              <w:right w:val="nil"/>
            </w:tcBorders>
            <w:hideMark/>
          </w:tcPr>
          <w:p w14:paraId="5801D62B" w14:textId="77777777" w:rsidR="00EF1BA0" w:rsidRDefault="00EF1BA0">
            <w:pPr>
              <w:spacing w:before="0"/>
              <w:rPr>
                <w:sz w:val="16"/>
                <w:szCs w:val="16"/>
              </w:rPr>
            </w:pPr>
            <w:r>
              <w:rPr>
                <w:sz w:val="16"/>
                <w:szCs w:val="16"/>
              </w:rPr>
              <w:t>1</w:t>
            </w:r>
          </w:p>
        </w:tc>
        <w:tc>
          <w:tcPr>
            <w:tcW w:w="1418" w:type="dxa"/>
            <w:tcBorders>
              <w:top w:val="nil"/>
              <w:left w:val="nil"/>
              <w:bottom w:val="nil"/>
              <w:right w:val="nil"/>
            </w:tcBorders>
            <w:hideMark/>
          </w:tcPr>
          <w:p w14:paraId="598216B9" w14:textId="77777777" w:rsidR="00EF1BA0" w:rsidRDefault="00EF1BA0">
            <w:pPr>
              <w:spacing w:before="0"/>
              <w:rPr>
                <w:sz w:val="16"/>
                <w:szCs w:val="16"/>
              </w:rPr>
            </w:pPr>
            <w:r>
              <w:rPr>
                <w:sz w:val="16"/>
                <w:szCs w:val="16"/>
              </w:rPr>
              <w:t>Lot Type</w:t>
            </w:r>
          </w:p>
        </w:tc>
        <w:tc>
          <w:tcPr>
            <w:tcW w:w="7229" w:type="dxa"/>
            <w:tcBorders>
              <w:top w:val="nil"/>
              <w:left w:val="nil"/>
              <w:bottom w:val="nil"/>
              <w:right w:val="nil"/>
            </w:tcBorders>
            <w:hideMark/>
          </w:tcPr>
          <w:p w14:paraId="6EAE8EA5" w14:textId="77777777" w:rsidR="00EF1BA0" w:rsidRDefault="00EF1BA0">
            <w:pPr>
              <w:spacing w:before="0"/>
              <w:rPr>
                <w:sz w:val="16"/>
                <w:szCs w:val="16"/>
              </w:rPr>
            </w:pPr>
            <w:r>
              <w:rPr>
                <w:sz w:val="16"/>
                <w:szCs w:val="16"/>
              </w:rPr>
              <w:t>Lot Type component of the parcel's description. SA only.</w:t>
            </w:r>
          </w:p>
        </w:tc>
      </w:tr>
      <w:tr w:rsidR="00EF1BA0" w14:paraId="23755084" w14:textId="77777777" w:rsidTr="00EF1BA0">
        <w:tc>
          <w:tcPr>
            <w:tcW w:w="562" w:type="dxa"/>
            <w:tcBorders>
              <w:top w:val="nil"/>
              <w:left w:val="nil"/>
              <w:bottom w:val="nil"/>
              <w:right w:val="nil"/>
            </w:tcBorders>
            <w:hideMark/>
          </w:tcPr>
          <w:p w14:paraId="49210EF2" w14:textId="77777777" w:rsidR="00EF1BA0" w:rsidRDefault="00EF1BA0">
            <w:pPr>
              <w:spacing w:before="0"/>
              <w:rPr>
                <w:sz w:val="16"/>
                <w:szCs w:val="16"/>
              </w:rPr>
            </w:pPr>
            <w:r>
              <w:rPr>
                <w:sz w:val="16"/>
                <w:szCs w:val="16"/>
              </w:rPr>
              <w:t>2</w:t>
            </w:r>
          </w:p>
        </w:tc>
        <w:tc>
          <w:tcPr>
            <w:tcW w:w="1418" w:type="dxa"/>
            <w:tcBorders>
              <w:top w:val="nil"/>
              <w:left w:val="nil"/>
              <w:bottom w:val="nil"/>
              <w:right w:val="nil"/>
            </w:tcBorders>
            <w:hideMark/>
          </w:tcPr>
          <w:p w14:paraId="14472A17" w14:textId="77777777" w:rsidR="00EF1BA0" w:rsidRDefault="00EF1BA0">
            <w:pPr>
              <w:spacing w:before="0"/>
              <w:rPr>
                <w:sz w:val="16"/>
                <w:szCs w:val="16"/>
              </w:rPr>
            </w:pPr>
            <w:r>
              <w:rPr>
                <w:sz w:val="16"/>
                <w:szCs w:val="16"/>
              </w:rPr>
              <w:t>Lot Part</w:t>
            </w:r>
          </w:p>
        </w:tc>
        <w:tc>
          <w:tcPr>
            <w:tcW w:w="7229" w:type="dxa"/>
            <w:tcBorders>
              <w:top w:val="nil"/>
              <w:left w:val="nil"/>
              <w:bottom w:val="nil"/>
              <w:right w:val="nil"/>
            </w:tcBorders>
            <w:hideMark/>
          </w:tcPr>
          <w:p w14:paraId="09267579" w14:textId="77777777" w:rsidR="00EF1BA0" w:rsidRDefault="00EF1BA0">
            <w:pPr>
              <w:spacing w:before="0"/>
              <w:rPr>
                <w:sz w:val="16"/>
                <w:szCs w:val="16"/>
              </w:rPr>
            </w:pPr>
            <w:r>
              <w:rPr>
                <w:sz w:val="16"/>
                <w:szCs w:val="16"/>
              </w:rPr>
              <w:t>Lot Part component of the parcel's description. QLD only</w:t>
            </w:r>
          </w:p>
        </w:tc>
      </w:tr>
      <w:tr w:rsidR="00EF1BA0" w14:paraId="2AA4123F" w14:textId="77777777" w:rsidTr="00EF1BA0">
        <w:tc>
          <w:tcPr>
            <w:tcW w:w="562" w:type="dxa"/>
            <w:tcBorders>
              <w:top w:val="nil"/>
              <w:left w:val="nil"/>
              <w:bottom w:val="nil"/>
              <w:right w:val="nil"/>
            </w:tcBorders>
            <w:hideMark/>
          </w:tcPr>
          <w:p w14:paraId="669E9C36" w14:textId="77777777" w:rsidR="00EF1BA0" w:rsidRDefault="00EF1BA0">
            <w:pPr>
              <w:spacing w:before="0"/>
              <w:rPr>
                <w:sz w:val="16"/>
                <w:szCs w:val="16"/>
              </w:rPr>
            </w:pPr>
            <w:r>
              <w:rPr>
                <w:sz w:val="16"/>
                <w:szCs w:val="16"/>
              </w:rPr>
              <w:t>3</w:t>
            </w:r>
          </w:p>
        </w:tc>
        <w:tc>
          <w:tcPr>
            <w:tcW w:w="1418" w:type="dxa"/>
            <w:tcBorders>
              <w:top w:val="nil"/>
              <w:left w:val="nil"/>
              <w:bottom w:val="nil"/>
              <w:right w:val="nil"/>
            </w:tcBorders>
            <w:hideMark/>
          </w:tcPr>
          <w:p w14:paraId="6DDBAFA9" w14:textId="77777777" w:rsidR="00EF1BA0" w:rsidRDefault="00EF1BA0">
            <w:pPr>
              <w:spacing w:before="0"/>
              <w:rPr>
                <w:sz w:val="16"/>
                <w:szCs w:val="16"/>
              </w:rPr>
            </w:pPr>
            <w:r>
              <w:rPr>
                <w:sz w:val="16"/>
                <w:szCs w:val="16"/>
              </w:rPr>
              <w:t>Plan Prefix</w:t>
            </w:r>
          </w:p>
        </w:tc>
        <w:tc>
          <w:tcPr>
            <w:tcW w:w="7229" w:type="dxa"/>
            <w:tcBorders>
              <w:top w:val="nil"/>
              <w:left w:val="nil"/>
              <w:bottom w:val="nil"/>
              <w:right w:val="nil"/>
            </w:tcBorders>
            <w:hideMark/>
          </w:tcPr>
          <w:p w14:paraId="1FEEE3C0" w14:textId="77777777" w:rsidR="00EF1BA0" w:rsidRDefault="00EF1BA0">
            <w:pPr>
              <w:spacing w:before="0"/>
              <w:rPr>
                <w:sz w:val="16"/>
                <w:szCs w:val="16"/>
              </w:rPr>
            </w:pPr>
            <w:r>
              <w:rPr>
                <w:sz w:val="16"/>
                <w:szCs w:val="16"/>
              </w:rPr>
              <w:t>Plan Prefix component of the parcel's description. WA, VIC, SA, QLD, NSW only</w:t>
            </w:r>
          </w:p>
        </w:tc>
      </w:tr>
      <w:tr w:rsidR="00EF1BA0" w14:paraId="3B539572" w14:textId="77777777" w:rsidTr="00EF1BA0">
        <w:tc>
          <w:tcPr>
            <w:tcW w:w="562" w:type="dxa"/>
            <w:tcBorders>
              <w:top w:val="nil"/>
              <w:left w:val="nil"/>
              <w:bottom w:val="nil"/>
              <w:right w:val="nil"/>
            </w:tcBorders>
            <w:hideMark/>
          </w:tcPr>
          <w:p w14:paraId="735CB807" w14:textId="77777777" w:rsidR="00EF1BA0" w:rsidRDefault="00EF1BA0">
            <w:pPr>
              <w:spacing w:before="0"/>
              <w:rPr>
                <w:sz w:val="16"/>
                <w:szCs w:val="16"/>
              </w:rPr>
            </w:pPr>
            <w:r>
              <w:rPr>
                <w:sz w:val="16"/>
                <w:szCs w:val="16"/>
              </w:rPr>
              <w:t>4</w:t>
            </w:r>
          </w:p>
        </w:tc>
        <w:tc>
          <w:tcPr>
            <w:tcW w:w="1418" w:type="dxa"/>
            <w:tcBorders>
              <w:top w:val="nil"/>
              <w:left w:val="nil"/>
              <w:bottom w:val="nil"/>
              <w:right w:val="nil"/>
            </w:tcBorders>
            <w:hideMark/>
          </w:tcPr>
          <w:p w14:paraId="470CC6C6" w14:textId="77777777" w:rsidR="00EF1BA0" w:rsidRDefault="00EF1BA0">
            <w:pPr>
              <w:spacing w:before="0"/>
              <w:rPr>
                <w:sz w:val="16"/>
                <w:szCs w:val="16"/>
              </w:rPr>
            </w:pPr>
            <w:r>
              <w:rPr>
                <w:sz w:val="16"/>
                <w:szCs w:val="16"/>
              </w:rPr>
              <w:t>Sub Division</w:t>
            </w:r>
          </w:p>
        </w:tc>
        <w:tc>
          <w:tcPr>
            <w:tcW w:w="7229" w:type="dxa"/>
            <w:tcBorders>
              <w:top w:val="nil"/>
              <w:left w:val="nil"/>
              <w:bottom w:val="nil"/>
              <w:right w:val="nil"/>
            </w:tcBorders>
            <w:hideMark/>
          </w:tcPr>
          <w:p w14:paraId="503278DD" w14:textId="77777777" w:rsidR="00EF1BA0" w:rsidRDefault="00EF1BA0">
            <w:pPr>
              <w:spacing w:before="0"/>
              <w:rPr>
                <w:sz w:val="16"/>
                <w:szCs w:val="16"/>
              </w:rPr>
            </w:pPr>
            <w:r>
              <w:rPr>
                <w:sz w:val="16"/>
                <w:szCs w:val="16"/>
              </w:rPr>
              <w:t>The sub division of the parcel, QLD only.</w:t>
            </w:r>
          </w:p>
        </w:tc>
      </w:tr>
      <w:tr w:rsidR="00EF1BA0" w14:paraId="19259406" w14:textId="77777777" w:rsidTr="00EF1BA0">
        <w:tc>
          <w:tcPr>
            <w:tcW w:w="562" w:type="dxa"/>
            <w:tcBorders>
              <w:top w:val="nil"/>
              <w:left w:val="nil"/>
              <w:bottom w:val="nil"/>
              <w:right w:val="nil"/>
            </w:tcBorders>
            <w:hideMark/>
          </w:tcPr>
          <w:p w14:paraId="1099041E" w14:textId="77777777" w:rsidR="00EF1BA0" w:rsidRDefault="00EF1BA0">
            <w:pPr>
              <w:spacing w:before="0"/>
              <w:rPr>
                <w:sz w:val="16"/>
                <w:szCs w:val="16"/>
              </w:rPr>
            </w:pPr>
            <w:r>
              <w:rPr>
                <w:sz w:val="16"/>
                <w:szCs w:val="16"/>
              </w:rPr>
              <w:t>5</w:t>
            </w:r>
          </w:p>
        </w:tc>
        <w:tc>
          <w:tcPr>
            <w:tcW w:w="1418" w:type="dxa"/>
            <w:tcBorders>
              <w:top w:val="nil"/>
              <w:left w:val="nil"/>
              <w:bottom w:val="nil"/>
              <w:right w:val="nil"/>
            </w:tcBorders>
            <w:hideMark/>
          </w:tcPr>
          <w:p w14:paraId="593FB43C" w14:textId="77777777" w:rsidR="00EF1BA0" w:rsidRDefault="00EF1BA0">
            <w:pPr>
              <w:spacing w:before="0"/>
              <w:rPr>
                <w:sz w:val="16"/>
                <w:szCs w:val="16"/>
              </w:rPr>
            </w:pPr>
            <w:r>
              <w:rPr>
                <w:sz w:val="16"/>
                <w:szCs w:val="16"/>
              </w:rPr>
              <w:t>Survey Plan</w:t>
            </w:r>
          </w:p>
        </w:tc>
        <w:tc>
          <w:tcPr>
            <w:tcW w:w="7229" w:type="dxa"/>
            <w:tcBorders>
              <w:top w:val="nil"/>
              <w:left w:val="nil"/>
              <w:bottom w:val="nil"/>
              <w:right w:val="nil"/>
            </w:tcBorders>
            <w:hideMark/>
          </w:tcPr>
          <w:p w14:paraId="7BF24A9E" w14:textId="77777777" w:rsidR="00EF1BA0" w:rsidRDefault="00EF1BA0">
            <w:pPr>
              <w:spacing w:before="0"/>
              <w:rPr>
                <w:sz w:val="16"/>
                <w:szCs w:val="16"/>
              </w:rPr>
            </w:pPr>
            <w:r>
              <w:rPr>
                <w:sz w:val="16"/>
                <w:szCs w:val="16"/>
              </w:rPr>
              <w:t>The Survey Plan. This is not the same as Plan - Plan, lot and location are per parcel while survey plan is per property. NT only.</w:t>
            </w:r>
          </w:p>
        </w:tc>
      </w:tr>
      <w:tr w:rsidR="00EF1BA0" w14:paraId="02AFC49B" w14:textId="77777777" w:rsidTr="00EF1BA0">
        <w:tc>
          <w:tcPr>
            <w:tcW w:w="562" w:type="dxa"/>
            <w:tcBorders>
              <w:top w:val="nil"/>
              <w:left w:val="nil"/>
              <w:bottom w:val="nil"/>
              <w:right w:val="nil"/>
            </w:tcBorders>
            <w:hideMark/>
          </w:tcPr>
          <w:p w14:paraId="51AC7123" w14:textId="77777777" w:rsidR="00EF1BA0" w:rsidRDefault="00EF1BA0">
            <w:pPr>
              <w:spacing w:before="0"/>
              <w:rPr>
                <w:sz w:val="16"/>
                <w:szCs w:val="16"/>
              </w:rPr>
            </w:pPr>
            <w:r>
              <w:rPr>
                <w:sz w:val="16"/>
                <w:szCs w:val="16"/>
              </w:rPr>
              <w:t>6</w:t>
            </w:r>
          </w:p>
        </w:tc>
        <w:tc>
          <w:tcPr>
            <w:tcW w:w="1418" w:type="dxa"/>
            <w:tcBorders>
              <w:top w:val="nil"/>
              <w:left w:val="nil"/>
              <w:bottom w:val="nil"/>
              <w:right w:val="nil"/>
            </w:tcBorders>
            <w:hideMark/>
          </w:tcPr>
          <w:p w14:paraId="5F7D2614" w14:textId="77777777" w:rsidR="00EF1BA0" w:rsidRDefault="00EF1BA0">
            <w:pPr>
              <w:spacing w:before="0"/>
              <w:rPr>
                <w:sz w:val="16"/>
                <w:szCs w:val="16"/>
              </w:rPr>
            </w:pPr>
            <w:r>
              <w:rPr>
                <w:sz w:val="16"/>
                <w:szCs w:val="16"/>
              </w:rPr>
              <w:t>Unit</w:t>
            </w:r>
          </w:p>
        </w:tc>
        <w:tc>
          <w:tcPr>
            <w:tcW w:w="7229" w:type="dxa"/>
            <w:tcBorders>
              <w:top w:val="nil"/>
              <w:left w:val="nil"/>
              <w:bottom w:val="nil"/>
              <w:right w:val="nil"/>
            </w:tcBorders>
            <w:hideMark/>
          </w:tcPr>
          <w:p w14:paraId="5F2AA95A" w14:textId="77777777" w:rsidR="00EF1BA0" w:rsidRDefault="00EF1BA0">
            <w:pPr>
              <w:spacing w:before="0"/>
              <w:rPr>
                <w:sz w:val="16"/>
                <w:szCs w:val="16"/>
              </w:rPr>
            </w:pPr>
            <w:r>
              <w:rPr>
                <w:sz w:val="16"/>
                <w:szCs w:val="16"/>
              </w:rPr>
              <w:t>Unit component of the parcel's description. ACT only</w:t>
            </w:r>
          </w:p>
        </w:tc>
      </w:tr>
      <w:tr w:rsidR="00EF1BA0" w14:paraId="3958CC7E" w14:textId="77777777" w:rsidTr="00EF1BA0">
        <w:tc>
          <w:tcPr>
            <w:tcW w:w="562" w:type="dxa"/>
            <w:tcBorders>
              <w:top w:val="nil"/>
              <w:left w:val="nil"/>
              <w:bottom w:val="nil"/>
              <w:right w:val="nil"/>
            </w:tcBorders>
            <w:hideMark/>
          </w:tcPr>
          <w:p w14:paraId="2C1618CB" w14:textId="77777777" w:rsidR="00EF1BA0" w:rsidRDefault="00EF1BA0">
            <w:pPr>
              <w:spacing w:before="0"/>
              <w:rPr>
                <w:sz w:val="16"/>
                <w:szCs w:val="16"/>
              </w:rPr>
            </w:pPr>
            <w:r>
              <w:rPr>
                <w:sz w:val="16"/>
                <w:szCs w:val="16"/>
              </w:rPr>
              <w:t>7</w:t>
            </w:r>
          </w:p>
        </w:tc>
        <w:tc>
          <w:tcPr>
            <w:tcW w:w="1418" w:type="dxa"/>
            <w:tcBorders>
              <w:top w:val="nil"/>
              <w:left w:val="nil"/>
              <w:bottom w:val="nil"/>
              <w:right w:val="nil"/>
            </w:tcBorders>
            <w:hideMark/>
          </w:tcPr>
          <w:p w14:paraId="66C1FD36" w14:textId="77777777" w:rsidR="00EF1BA0" w:rsidRDefault="00EF1BA0">
            <w:pPr>
              <w:spacing w:before="0"/>
              <w:rPr>
                <w:sz w:val="16"/>
                <w:szCs w:val="16"/>
              </w:rPr>
            </w:pPr>
            <w:r>
              <w:rPr>
                <w:sz w:val="16"/>
                <w:szCs w:val="16"/>
              </w:rPr>
              <w:t>Hundred</w:t>
            </w:r>
          </w:p>
        </w:tc>
        <w:tc>
          <w:tcPr>
            <w:tcW w:w="7229" w:type="dxa"/>
            <w:tcBorders>
              <w:top w:val="nil"/>
              <w:left w:val="nil"/>
              <w:bottom w:val="nil"/>
              <w:right w:val="nil"/>
            </w:tcBorders>
            <w:hideMark/>
          </w:tcPr>
          <w:p w14:paraId="3B1BECD0" w14:textId="77777777" w:rsidR="00EF1BA0" w:rsidRDefault="00EF1BA0">
            <w:pPr>
              <w:spacing w:before="0"/>
              <w:rPr>
                <w:sz w:val="16"/>
                <w:szCs w:val="16"/>
              </w:rPr>
            </w:pPr>
            <w:r>
              <w:rPr>
                <w:sz w:val="16"/>
                <w:szCs w:val="16"/>
              </w:rPr>
              <w:t>Hundred component of the parcel's description. SA only</w:t>
            </w:r>
          </w:p>
        </w:tc>
      </w:tr>
      <w:tr w:rsidR="00EF1BA0" w14:paraId="04F72767" w14:textId="77777777" w:rsidTr="00EF1BA0">
        <w:tc>
          <w:tcPr>
            <w:tcW w:w="562" w:type="dxa"/>
            <w:tcBorders>
              <w:top w:val="nil"/>
              <w:left w:val="nil"/>
              <w:bottom w:val="nil"/>
              <w:right w:val="nil"/>
            </w:tcBorders>
            <w:hideMark/>
          </w:tcPr>
          <w:p w14:paraId="1EA9CAF4" w14:textId="77777777" w:rsidR="00EF1BA0" w:rsidRDefault="00EF1BA0">
            <w:pPr>
              <w:spacing w:before="0"/>
              <w:rPr>
                <w:sz w:val="16"/>
                <w:szCs w:val="16"/>
              </w:rPr>
            </w:pPr>
            <w:r>
              <w:rPr>
                <w:sz w:val="16"/>
                <w:szCs w:val="16"/>
              </w:rPr>
              <w:t>8</w:t>
            </w:r>
          </w:p>
        </w:tc>
        <w:tc>
          <w:tcPr>
            <w:tcW w:w="1418" w:type="dxa"/>
            <w:tcBorders>
              <w:top w:val="nil"/>
              <w:left w:val="nil"/>
              <w:bottom w:val="nil"/>
              <w:right w:val="nil"/>
            </w:tcBorders>
            <w:hideMark/>
          </w:tcPr>
          <w:p w14:paraId="72DBA98F" w14:textId="77777777" w:rsidR="00EF1BA0" w:rsidRDefault="00EF1BA0">
            <w:pPr>
              <w:spacing w:before="0"/>
              <w:rPr>
                <w:sz w:val="16"/>
                <w:szCs w:val="16"/>
              </w:rPr>
            </w:pPr>
            <w:r>
              <w:rPr>
                <w:sz w:val="16"/>
                <w:szCs w:val="16"/>
              </w:rPr>
              <w:t>District</w:t>
            </w:r>
          </w:p>
        </w:tc>
        <w:tc>
          <w:tcPr>
            <w:tcW w:w="7229" w:type="dxa"/>
            <w:tcBorders>
              <w:top w:val="nil"/>
              <w:left w:val="nil"/>
              <w:bottom w:val="nil"/>
              <w:right w:val="nil"/>
            </w:tcBorders>
            <w:hideMark/>
          </w:tcPr>
          <w:p w14:paraId="7004D89E" w14:textId="77777777" w:rsidR="00EF1BA0" w:rsidRDefault="00EF1BA0">
            <w:pPr>
              <w:spacing w:before="0"/>
              <w:rPr>
                <w:sz w:val="16"/>
                <w:szCs w:val="16"/>
              </w:rPr>
            </w:pPr>
            <w:r>
              <w:rPr>
                <w:sz w:val="16"/>
                <w:szCs w:val="16"/>
              </w:rPr>
              <w:t>District component of the parcel's description. ACT only</w:t>
            </w:r>
          </w:p>
        </w:tc>
      </w:tr>
      <w:tr w:rsidR="00EF1BA0" w14:paraId="30DB787C" w14:textId="77777777" w:rsidTr="00EF1BA0">
        <w:tc>
          <w:tcPr>
            <w:tcW w:w="562" w:type="dxa"/>
            <w:tcBorders>
              <w:top w:val="nil"/>
              <w:left w:val="nil"/>
              <w:bottom w:val="nil"/>
              <w:right w:val="nil"/>
            </w:tcBorders>
            <w:hideMark/>
          </w:tcPr>
          <w:p w14:paraId="18AF5397" w14:textId="77777777" w:rsidR="00EF1BA0" w:rsidRDefault="00EF1BA0">
            <w:pPr>
              <w:spacing w:before="0"/>
              <w:rPr>
                <w:sz w:val="16"/>
                <w:szCs w:val="16"/>
              </w:rPr>
            </w:pPr>
            <w:r>
              <w:rPr>
                <w:sz w:val="16"/>
                <w:szCs w:val="16"/>
              </w:rPr>
              <w:t>9</w:t>
            </w:r>
          </w:p>
        </w:tc>
        <w:tc>
          <w:tcPr>
            <w:tcW w:w="1418" w:type="dxa"/>
            <w:tcBorders>
              <w:top w:val="nil"/>
              <w:left w:val="nil"/>
              <w:bottom w:val="nil"/>
              <w:right w:val="nil"/>
            </w:tcBorders>
            <w:hideMark/>
          </w:tcPr>
          <w:p w14:paraId="1926920A" w14:textId="77777777" w:rsidR="00EF1BA0" w:rsidRDefault="00EF1BA0">
            <w:pPr>
              <w:spacing w:before="0"/>
              <w:rPr>
                <w:sz w:val="16"/>
                <w:szCs w:val="16"/>
              </w:rPr>
            </w:pPr>
            <w:r>
              <w:rPr>
                <w:sz w:val="16"/>
                <w:szCs w:val="16"/>
              </w:rPr>
              <w:t>Division</w:t>
            </w:r>
          </w:p>
        </w:tc>
        <w:tc>
          <w:tcPr>
            <w:tcW w:w="7229" w:type="dxa"/>
            <w:tcBorders>
              <w:top w:val="nil"/>
              <w:left w:val="nil"/>
              <w:bottom w:val="nil"/>
              <w:right w:val="nil"/>
            </w:tcBorders>
            <w:hideMark/>
          </w:tcPr>
          <w:p w14:paraId="77BD365D" w14:textId="77777777" w:rsidR="00EF1BA0" w:rsidRDefault="00EF1BA0">
            <w:pPr>
              <w:spacing w:before="0"/>
              <w:rPr>
                <w:sz w:val="16"/>
                <w:szCs w:val="16"/>
              </w:rPr>
            </w:pPr>
            <w:r>
              <w:rPr>
                <w:sz w:val="16"/>
                <w:szCs w:val="16"/>
              </w:rPr>
              <w:t>Division component of the parcel's description. ACT only</w:t>
            </w:r>
          </w:p>
        </w:tc>
      </w:tr>
      <w:tr w:rsidR="00EF1BA0" w14:paraId="61885216" w14:textId="77777777" w:rsidTr="00EF1BA0">
        <w:tc>
          <w:tcPr>
            <w:tcW w:w="562" w:type="dxa"/>
            <w:tcBorders>
              <w:top w:val="nil"/>
              <w:left w:val="nil"/>
              <w:bottom w:val="nil"/>
              <w:right w:val="nil"/>
            </w:tcBorders>
            <w:hideMark/>
          </w:tcPr>
          <w:p w14:paraId="6EA9F9B2" w14:textId="77777777" w:rsidR="00EF1BA0" w:rsidRDefault="00EF1BA0">
            <w:pPr>
              <w:spacing w:before="0"/>
              <w:rPr>
                <w:sz w:val="16"/>
                <w:szCs w:val="16"/>
              </w:rPr>
            </w:pPr>
            <w:r>
              <w:rPr>
                <w:sz w:val="16"/>
                <w:szCs w:val="16"/>
              </w:rPr>
              <w:t>10</w:t>
            </w:r>
          </w:p>
        </w:tc>
        <w:tc>
          <w:tcPr>
            <w:tcW w:w="1418" w:type="dxa"/>
            <w:tcBorders>
              <w:top w:val="nil"/>
              <w:left w:val="nil"/>
              <w:bottom w:val="nil"/>
              <w:right w:val="nil"/>
            </w:tcBorders>
            <w:hideMark/>
          </w:tcPr>
          <w:p w14:paraId="09DD1AE7" w14:textId="77777777" w:rsidR="00EF1BA0" w:rsidRDefault="00EF1BA0">
            <w:pPr>
              <w:spacing w:before="0"/>
              <w:rPr>
                <w:sz w:val="16"/>
                <w:szCs w:val="16"/>
              </w:rPr>
            </w:pPr>
            <w:r>
              <w:rPr>
                <w:sz w:val="16"/>
                <w:szCs w:val="16"/>
              </w:rPr>
              <w:t>Location Code</w:t>
            </w:r>
          </w:p>
        </w:tc>
        <w:tc>
          <w:tcPr>
            <w:tcW w:w="7229" w:type="dxa"/>
            <w:tcBorders>
              <w:top w:val="nil"/>
              <w:left w:val="nil"/>
              <w:bottom w:val="nil"/>
              <w:right w:val="nil"/>
            </w:tcBorders>
            <w:hideMark/>
          </w:tcPr>
          <w:p w14:paraId="025DBF80" w14:textId="77777777" w:rsidR="00EF1BA0" w:rsidRDefault="00EF1BA0">
            <w:pPr>
              <w:spacing w:before="0"/>
              <w:rPr>
                <w:sz w:val="16"/>
                <w:szCs w:val="16"/>
              </w:rPr>
            </w:pPr>
            <w:r>
              <w:rPr>
                <w:sz w:val="16"/>
                <w:szCs w:val="16"/>
              </w:rPr>
              <w:t>The code of the location as supplied in the source data. NT only</w:t>
            </w:r>
          </w:p>
        </w:tc>
      </w:tr>
      <w:tr w:rsidR="00EF1BA0" w14:paraId="66F96ACE" w14:textId="77777777" w:rsidTr="00EF1BA0">
        <w:tc>
          <w:tcPr>
            <w:tcW w:w="562" w:type="dxa"/>
            <w:tcBorders>
              <w:top w:val="nil"/>
              <w:left w:val="nil"/>
              <w:bottom w:val="nil"/>
              <w:right w:val="nil"/>
            </w:tcBorders>
            <w:hideMark/>
          </w:tcPr>
          <w:p w14:paraId="45C205DD" w14:textId="77777777" w:rsidR="00EF1BA0" w:rsidRDefault="00EF1BA0">
            <w:pPr>
              <w:spacing w:before="0"/>
              <w:rPr>
                <w:sz w:val="16"/>
                <w:szCs w:val="16"/>
              </w:rPr>
            </w:pPr>
            <w:r>
              <w:rPr>
                <w:sz w:val="16"/>
                <w:szCs w:val="16"/>
              </w:rPr>
              <w:t>11</w:t>
            </w:r>
          </w:p>
        </w:tc>
        <w:tc>
          <w:tcPr>
            <w:tcW w:w="1418" w:type="dxa"/>
            <w:tcBorders>
              <w:top w:val="nil"/>
              <w:left w:val="nil"/>
              <w:bottom w:val="nil"/>
              <w:right w:val="nil"/>
            </w:tcBorders>
            <w:hideMark/>
          </w:tcPr>
          <w:p w14:paraId="3F67C108" w14:textId="77777777" w:rsidR="00EF1BA0" w:rsidRDefault="00EF1BA0">
            <w:pPr>
              <w:spacing w:before="0"/>
              <w:rPr>
                <w:sz w:val="16"/>
                <w:szCs w:val="16"/>
              </w:rPr>
            </w:pPr>
            <w:r>
              <w:rPr>
                <w:sz w:val="16"/>
                <w:szCs w:val="16"/>
              </w:rPr>
              <w:t>Location</w:t>
            </w:r>
          </w:p>
        </w:tc>
        <w:tc>
          <w:tcPr>
            <w:tcW w:w="7229" w:type="dxa"/>
            <w:tcBorders>
              <w:top w:val="nil"/>
              <w:left w:val="nil"/>
              <w:bottom w:val="nil"/>
              <w:right w:val="nil"/>
            </w:tcBorders>
            <w:hideMark/>
          </w:tcPr>
          <w:p w14:paraId="0A653045" w14:textId="77777777" w:rsidR="00EF1BA0" w:rsidRDefault="00EF1BA0">
            <w:pPr>
              <w:spacing w:before="0"/>
              <w:rPr>
                <w:sz w:val="16"/>
                <w:szCs w:val="16"/>
              </w:rPr>
            </w:pPr>
            <w:r>
              <w:rPr>
                <w:sz w:val="16"/>
                <w:szCs w:val="16"/>
              </w:rPr>
              <w:t>Location component of the parcel's description. Number describing the planning area - NT only</w:t>
            </w:r>
          </w:p>
        </w:tc>
      </w:tr>
      <w:tr w:rsidR="00EF1BA0" w14:paraId="413E9BB0" w14:textId="77777777" w:rsidTr="00EF1BA0">
        <w:tc>
          <w:tcPr>
            <w:tcW w:w="562" w:type="dxa"/>
            <w:tcBorders>
              <w:top w:val="nil"/>
              <w:left w:val="nil"/>
              <w:bottom w:val="nil"/>
              <w:right w:val="nil"/>
            </w:tcBorders>
            <w:hideMark/>
          </w:tcPr>
          <w:p w14:paraId="09835354" w14:textId="77777777" w:rsidR="00EF1BA0" w:rsidRDefault="00EF1BA0">
            <w:pPr>
              <w:spacing w:before="0"/>
              <w:rPr>
                <w:sz w:val="16"/>
                <w:szCs w:val="16"/>
              </w:rPr>
            </w:pPr>
            <w:r>
              <w:rPr>
                <w:sz w:val="16"/>
                <w:szCs w:val="16"/>
              </w:rPr>
              <w:t>12</w:t>
            </w:r>
          </w:p>
        </w:tc>
        <w:tc>
          <w:tcPr>
            <w:tcW w:w="1418" w:type="dxa"/>
            <w:tcBorders>
              <w:top w:val="nil"/>
              <w:left w:val="nil"/>
              <w:bottom w:val="nil"/>
              <w:right w:val="nil"/>
            </w:tcBorders>
            <w:hideMark/>
          </w:tcPr>
          <w:p w14:paraId="0E2085FA" w14:textId="77777777" w:rsidR="00EF1BA0" w:rsidRDefault="00EF1BA0">
            <w:pPr>
              <w:spacing w:before="0"/>
              <w:rPr>
                <w:sz w:val="16"/>
                <w:szCs w:val="16"/>
              </w:rPr>
            </w:pPr>
            <w:r>
              <w:rPr>
                <w:sz w:val="16"/>
                <w:szCs w:val="16"/>
              </w:rPr>
              <w:t>Parish Code</w:t>
            </w:r>
          </w:p>
        </w:tc>
        <w:tc>
          <w:tcPr>
            <w:tcW w:w="7229" w:type="dxa"/>
            <w:tcBorders>
              <w:top w:val="nil"/>
              <w:left w:val="nil"/>
              <w:bottom w:val="nil"/>
              <w:right w:val="nil"/>
            </w:tcBorders>
            <w:hideMark/>
          </w:tcPr>
          <w:p w14:paraId="10C06DBD" w14:textId="77777777" w:rsidR="00EF1BA0" w:rsidRDefault="00EF1BA0">
            <w:pPr>
              <w:spacing w:before="0"/>
              <w:rPr>
                <w:sz w:val="16"/>
                <w:szCs w:val="16"/>
              </w:rPr>
            </w:pPr>
            <w:r>
              <w:rPr>
                <w:sz w:val="16"/>
                <w:szCs w:val="16"/>
              </w:rPr>
              <w:t>The code of the parish as supplied in the source data. VIC only.</w:t>
            </w:r>
          </w:p>
        </w:tc>
      </w:tr>
      <w:tr w:rsidR="00EF1BA0" w14:paraId="23749C4D" w14:textId="77777777" w:rsidTr="00EF1BA0">
        <w:tc>
          <w:tcPr>
            <w:tcW w:w="562" w:type="dxa"/>
            <w:tcBorders>
              <w:top w:val="nil"/>
              <w:left w:val="nil"/>
              <w:bottom w:val="nil"/>
              <w:right w:val="nil"/>
            </w:tcBorders>
            <w:hideMark/>
          </w:tcPr>
          <w:p w14:paraId="19E79957" w14:textId="77777777" w:rsidR="00EF1BA0" w:rsidRDefault="00EF1BA0">
            <w:pPr>
              <w:spacing w:before="0"/>
              <w:rPr>
                <w:sz w:val="16"/>
                <w:szCs w:val="16"/>
              </w:rPr>
            </w:pPr>
            <w:r>
              <w:rPr>
                <w:sz w:val="16"/>
                <w:szCs w:val="16"/>
              </w:rPr>
              <w:t>13</w:t>
            </w:r>
          </w:p>
        </w:tc>
        <w:tc>
          <w:tcPr>
            <w:tcW w:w="1418" w:type="dxa"/>
            <w:tcBorders>
              <w:top w:val="nil"/>
              <w:left w:val="nil"/>
              <w:bottom w:val="nil"/>
              <w:right w:val="nil"/>
            </w:tcBorders>
            <w:hideMark/>
          </w:tcPr>
          <w:p w14:paraId="64F24F62" w14:textId="77777777" w:rsidR="00EF1BA0" w:rsidRDefault="00EF1BA0">
            <w:pPr>
              <w:spacing w:before="0"/>
              <w:rPr>
                <w:sz w:val="16"/>
                <w:szCs w:val="16"/>
              </w:rPr>
            </w:pPr>
            <w:r>
              <w:rPr>
                <w:sz w:val="16"/>
                <w:szCs w:val="16"/>
              </w:rPr>
              <w:t>Parish</w:t>
            </w:r>
          </w:p>
        </w:tc>
        <w:tc>
          <w:tcPr>
            <w:tcW w:w="7229" w:type="dxa"/>
            <w:tcBorders>
              <w:top w:val="nil"/>
              <w:left w:val="nil"/>
              <w:bottom w:val="nil"/>
              <w:right w:val="nil"/>
            </w:tcBorders>
            <w:hideMark/>
          </w:tcPr>
          <w:p w14:paraId="3EDC45F5" w14:textId="77777777" w:rsidR="00EF1BA0" w:rsidRDefault="00EF1BA0">
            <w:pPr>
              <w:spacing w:before="0"/>
              <w:rPr>
                <w:sz w:val="16"/>
                <w:szCs w:val="16"/>
              </w:rPr>
            </w:pPr>
            <w:r>
              <w:rPr>
                <w:sz w:val="16"/>
                <w:szCs w:val="16"/>
              </w:rPr>
              <w:t>Parish component of the parcel's description. VIC and QLD only</w:t>
            </w:r>
          </w:p>
        </w:tc>
      </w:tr>
      <w:tr w:rsidR="00EF1BA0" w14:paraId="427112E6" w14:textId="77777777" w:rsidTr="00EF1BA0">
        <w:tc>
          <w:tcPr>
            <w:tcW w:w="562" w:type="dxa"/>
            <w:tcBorders>
              <w:top w:val="nil"/>
              <w:left w:val="nil"/>
              <w:bottom w:val="nil"/>
              <w:right w:val="nil"/>
            </w:tcBorders>
            <w:hideMark/>
          </w:tcPr>
          <w:p w14:paraId="4B9CF6B6" w14:textId="77777777" w:rsidR="00EF1BA0" w:rsidRDefault="00EF1BA0">
            <w:pPr>
              <w:spacing w:before="0"/>
              <w:rPr>
                <w:sz w:val="16"/>
                <w:szCs w:val="16"/>
              </w:rPr>
            </w:pPr>
            <w:r>
              <w:rPr>
                <w:sz w:val="16"/>
                <w:szCs w:val="16"/>
              </w:rPr>
              <w:t>14</w:t>
            </w:r>
          </w:p>
        </w:tc>
        <w:tc>
          <w:tcPr>
            <w:tcW w:w="1418" w:type="dxa"/>
            <w:tcBorders>
              <w:top w:val="nil"/>
              <w:left w:val="nil"/>
              <w:bottom w:val="nil"/>
              <w:right w:val="nil"/>
            </w:tcBorders>
            <w:hideMark/>
          </w:tcPr>
          <w:p w14:paraId="5FB17B8F" w14:textId="77777777" w:rsidR="00EF1BA0" w:rsidRDefault="00EF1BA0">
            <w:pPr>
              <w:spacing w:before="0"/>
              <w:rPr>
                <w:sz w:val="16"/>
                <w:szCs w:val="16"/>
              </w:rPr>
            </w:pPr>
            <w:r>
              <w:rPr>
                <w:sz w:val="16"/>
                <w:szCs w:val="16"/>
              </w:rPr>
              <w:t>Parcel Display Name</w:t>
            </w:r>
          </w:p>
        </w:tc>
        <w:tc>
          <w:tcPr>
            <w:tcW w:w="7229" w:type="dxa"/>
            <w:tcBorders>
              <w:top w:val="nil"/>
              <w:left w:val="nil"/>
              <w:bottom w:val="nil"/>
              <w:right w:val="nil"/>
            </w:tcBorders>
            <w:hideMark/>
          </w:tcPr>
          <w:p w14:paraId="36DDF5D1" w14:textId="77777777" w:rsidR="00EF1BA0" w:rsidRDefault="00EF1BA0">
            <w:pPr>
              <w:spacing w:before="0"/>
              <w:rPr>
                <w:sz w:val="16"/>
                <w:szCs w:val="16"/>
              </w:rPr>
            </w:pPr>
            <w:r>
              <w:rPr>
                <w:sz w:val="16"/>
                <w:szCs w:val="16"/>
              </w:rPr>
              <w:t>Displays the name of the parcel type. This will vary per state as follows: ACT: Section/Block</w:t>
            </w:r>
          </w:p>
          <w:p w14:paraId="7C2C16BC" w14:textId="77777777" w:rsidR="00EF1BA0" w:rsidRDefault="00EF1BA0">
            <w:pPr>
              <w:spacing w:before="0"/>
              <w:rPr>
                <w:sz w:val="16"/>
                <w:szCs w:val="16"/>
              </w:rPr>
            </w:pPr>
            <w:r>
              <w:rPr>
                <w:sz w:val="16"/>
                <w:szCs w:val="16"/>
              </w:rPr>
              <w:t>NSW, NT, QLD, SA, TAS, VIC, WA: Lot/Plan</w:t>
            </w:r>
          </w:p>
        </w:tc>
      </w:tr>
      <w:tr w:rsidR="00EF1BA0" w14:paraId="4EE87FF7" w14:textId="77777777" w:rsidTr="00EF1BA0">
        <w:tc>
          <w:tcPr>
            <w:tcW w:w="562" w:type="dxa"/>
            <w:tcBorders>
              <w:top w:val="nil"/>
              <w:left w:val="nil"/>
              <w:bottom w:val="nil"/>
              <w:right w:val="nil"/>
            </w:tcBorders>
            <w:hideMark/>
          </w:tcPr>
          <w:p w14:paraId="06EECAEA" w14:textId="77777777" w:rsidR="00EF1BA0" w:rsidRDefault="00EF1BA0">
            <w:pPr>
              <w:spacing w:before="0"/>
              <w:rPr>
                <w:sz w:val="16"/>
                <w:szCs w:val="16"/>
              </w:rPr>
            </w:pPr>
            <w:r>
              <w:rPr>
                <w:sz w:val="16"/>
                <w:szCs w:val="16"/>
              </w:rPr>
              <w:t>15</w:t>
            </w:r>
          </w:p>
        </w:tc>
        <w:tc>
          <w:tcPr>
            <w:tcW w:w="1418" w:type="dxa"/>
            <w:tcBorders>
              <w:top w:val="nil"/>
              <w:left w:val="nil"/>
              <w:bottom w:val="nil"/>
              <w:right w:val="nil"/>
            </w:tcBorders>
            <w:hideMark/>
          </w:tcPr>
          <w:p w14:paraId="11EB1FD1" w14:textId="77777777" w:rsidR="00EF1BA0" w:rsidRDefault="00EF1BA0">
            <w:pPr>
              <w:spacing w:before="0"/>
              <w:rPr>
                <w:sz w:val="16"/>
                <w:szCs w:val="16"/>
              </w:rPr>
            </w:pPr>
            <w:r>
              <w:rPr>
                <w:sz w:val="16"/>
                <w:szCs w:val="16"/>
              </w:rPr>
              <w:t>Parcel Display Value</w:t>
            </w:r>
          </w:p>
        </w:tc>
        <w:tc>
          <w:tcPr>
            <w:tcW w:w="7229" w:type="dxa"/>
            <w:tcBorders>
              <w:top w:val="nil"/>
              <w:left w:val="nil"/>
              <w:bottom w:val="nil"/>
              <w:right w:val="nil"/>
            </w:tcBorders>
            <w:hideMark/>
          </w:tcPr>
          <w:p w14:paraId="0430603C" w14:textId="77777777" w:rsidR="00EF1BA0" w:rsidRDefault="00EF1BA0">
            <w:pPr>
              <w:spacing w:before="0"/>
              <w:rPr>
                <w:sz w:val="16"/>
                <w:szCs w:val="16"/>
              </w:rPr>
            </w:pPr>
            <w:r>
              <w:rPr>
                <w:sz w:val="16"/>
                <w:szCs w:val="16"/>
              </w:rPr>
              <w:t>Displays the parcel value as a single line string and is used within the RPP platform. Rules for Parcel display per State can be found here</w:t>
            </w:r>
          </w:p>
        </w:tc>
      </w:tr>
      <w:tr w:rsidR="00EF1BA0" w14:paraId="7F43BC9B" w14:textId="77777777" w:rsidTr="00EF1BA0">
        <w:tc>
          <w:tcPr>
            <w:tcW w:w="562" w:type="dxa"/>
            <w:tcBorders>
              <w:top w:val="nil"/>
              <w:left w:val="nil"/>
              <w:bottom w:val="nil"/>
              <w:right w:val="nil"/>
            </w:tcBorders>
            <w:hideMark/>
          </w:tcPr>
          <w:p w14:paraId="4881F9FA" w14:textId="77777777" w:rsidR="00EF1BA0" w:rsidRDefault="00EF1BA0">
            <w:pPr>
              <w:spacing w:before="0"/>
              <w:rPr>
                <w:sz w:val="16"/>
                <w:szCs w:val="16"/>
              </w:rPr>
            </w:pPr>
            <w:r>
              <w:rPr>
                <w:sz w:val="16"/>
                <w:szCs w:val="16"/>
              </w:rPr>
              <w:t>16</w:t>
            </w:r>
          </w:p>
        </w:tc>
        <w:tc>
          <w:tcPr>
            <w:tcW w:w="1418" w:type="dxa"/>
            <w:tcBorders>
              <w:top w:val="nil"/>
              <w:left w:val="nil"/>
              <w:bottom w:val="nil"/>
              <w:right w:val="nil"/>
            </w:tcBorders>
            <w:hideMark/>
          </w:tcPr>
          <w:p w14:paraId="3D5FBE18" w14:textId="77777777" w:rsidR="00EF1BA0" w:rsidRDefault="00EF1BA0">
            <w:pPr>
              <w:spacing w:before="0"/>
              <w:rPr>
                <w:sz w:val="16"/>
                <w:szCs w:val="16"/>
              </w:rPr>
            </w:pPr>
            <w:r>
              <w:rPr>
                <w:sz w:val="16"/>
                <w:szCs w:val="16"/>
              </w:rPr>
              <w:t>Parcel Status</w:t>
            </w:r>
          </w:p>
        </w:tc>
        <w:tc>
          <w:tcPr>
            <w:tcW w:w="7229" w:type="dxa"/>
            <w:tcBorders>
              <w:top w:val="nil"/>
              <w:left w:val="nil"/>
              <w:bottom w:val="nil"/>
              <w:right w:val="nil"/>
            </w:tcBorders>
            <w:hideMark/>
          </w:tcPr>
          <w:p w14:paraId="1D0C6321" w14:textId="77777777" w:rsidR="00EF1BA0" w:rsidRDefault="00EF1BA0">
            <w:pPr>
              <w:spacing w:before="0"/>
              <w:rPr>
                <w:sz w:val="16"/>
                <w:szCs w:val="16"/>
              </w:rPr>
            </w:pPr>
            <w:r>
              <w:rPr>
                <w:sz w:val="16"/>
                <w:szCs w:val="16"/>
              </w:rPr>
              <w:t>An alphanumeric value to describe the status of the parcel, e.g. 'Approved', 'Proposed', 'Cancelled'</w:t>
            </w:r>
          </w:p>
        </w:tc>
      </w:tr>
      <w:tr w:rsidR="00EF1BA0" w14:paraId="36AA400A" w14:textId="77777777" w:rsidTr="00EF1BA0">
        <w:tc>
          <w:tcPr>
            <w:tcW w:w="562" w:type="dxa"/>
            <w:tcBorders>
              <w:top w:val="nil"/>
              <w:left w:val="nil"/>
              <w:bottom w:val="nil"/>
              <w:right w:val="nil"/>
            </w:tcBorders>
            <w:hideMark/>
          </w:tcPr>
          <w:p w14:paraId="64A77B6B" w14:textId="77777777" w:rsidR="00EF1BA0" w:rsidRDefault="00EF1BA0">
            <w:pPr>
              <w:spacing w:before="0"/>
              <w:rPr>
                <w:sz w:val="16"/>
                <w:szCs w:val="16"/>
              </w:rPr>
            </w:pPr>
            <w:r>
              <w:rPr>
                <w:sz w:val="16"/>
                <w:szCs w:val="16"/>
              </w:rPr>
              <w:t>17</w:t>
            </w:r>
          </w:p>
        </w:tc>
        <w:tc>
          <w:tcPr>
            <w:tcW w:w="1418" w:type="dxa"/>
            <w:tcBorders>
              <w:top w:val="nil"/>
              <w:left w:val="nil"/>
              <w:bottom w:val="nil"/>
              <w:right w:val="nil"/>
            </w:tcBorders>
            <w:hideMark/>
          </w:tcPr>
          <w:p w14:paraId="0836B47B" w14:textId="77777777" w:rsidR="00EF1BA0" w:rsidRDefault="00EF1BA0">
            <w:pPr>
              <w:spacing w:before="0"/>
              <w:rPr>
                <w:sz w:val="16"/>
                <w:szCs w:val="16"/>
              </w:rPr>
            </w:pPr>
            <w:r>
              <w:rPr>
                <w:sz w:val="16"/>
                <w:szCs w:val="16"/>
              </w:rPr>
              <w:t>Primary Plan</w:t>
            </w:r>
          </w:p>
        </w:tc>
        <w:tc>
          <w:tcPr>
            <w:tcW w:w="7229" w:type="dxa"/>
            <w:tcBorders>
              <w:top w:val="nil"/>
              <w:left w:val="nil"/>
              <w:bottom w:val="nil"/>
              <w:right w:val="nil"/>
            </w:tcBorders>
            <w:hideMark/>
          </w:tcPr>
          <w:p w14:paraId="35B688C8" w14:textId="77777777" w:rsidR="00EF1BA0" w:rsidRDefault="00EF1BA0">
            <w:pPr>
              <w:spacing w:before="0"/>
              <w:rPr>
                <w:sz w:val="16"/>
                <w:szCs w:val="16"/>
              </w:rPr>
            </w:pPr>
            <w:r>
              <w:rPr>
                <w:sz w:val="16"/>
                <w:szCs w:val="16"/>
              </w:rPr>
              <w:t>Primary Plan component of the parcel's description. ACT only. Contains Section and Block.</w:t>
            </w:r>
          </w:p>
        </w:tc>
      </w:tr>
      <w:tr w:rsidR="00EF1BA0" w14:paraId="20B56AD7" w14:textId="77777777" w:rsidTr="00EF1BA0">
        <w:tc>
          <w:tcPr>
            <w:tcW w:w="562" w:type="dxa"/>
            <w:tcBorders>
              <w:top w:val="nil"/>
              <w:left w:val="nil"/>
              <w:bottom w:val="nil"/>
              <w:right w:val="nil"/>
            </w:tcBorders>
            <w:hideMark/>
          </w:tcPr>
          <w:p w14:paraId="3C67A23D" w14:textId="77777777" w:rsidR="00EF1BA0" w:rsidRDefault="00EF1BA0">
            <w:pPr>
              <w:spacing w:before="0"/>
              <w:rPr>
                <w:sz w:val="16"/>
                <w:szCs w:val="16"/>
              </w:rPr>
            </w:pPr>
            <w:r>
              <w:rPr>
                <w:sz w:val="16"/>
                <w:szCs w:val="16"/>
              </w:rPr>
              <w:t>18</w:t>
            </w:r>
          </w:p>
        </w:tc>
        <w:tc>
          <w:tcPr>
            <w:tcW w:w="1418" w:type="dxa"/>
            <w:tcBorders>
              <w:top w:val="nil"/>
              <w:left w:val="nil"/>
              <w:bottom w:val="nil"/>
              <w:right w:val="nil"/>
            </w:tcBorders>
            <w:hideMark/>
          </w:tcPr>
          <w:p w14:paraId="6EC7D97F" w14:textId="77777777" w:rsidR="00EF1BA0" w:rsidRDefault="00EF1BA0">
            <w:pPr>
              <w:spacing w:before="0"/>
              <w:rPr>
                <w:sz w:val="16"/>
                <w:szCs w:val="16"/>
              </w:rPr>
            </w:pPr>
            <w:r>
              <w:rPr>
                <w:sz w:val="16"/>
                <w:szCs w:val="16"/>
              </w:rPr>
              <w:t>Plan Number</w:t>
            </w:r>
          </w:p>
        </w:tc>
        <w:tc>
          <w:tcPr>
            <w:tcW w:w="7229" w:type="dxa"/>
            <w:tcBorders>
              <w:top w:val="nil"/>
              <w:left w:val="nil"/>
              <w:bottom w:val="nil"/>
              <w:right w:val="nil"/>
            </w:tcBorders>
            <w:hideMark/>
          </w:tcPr>
          <w:p w14:paraId="03EFC717" w14:textId="77777777" w:rsidR="00EF1BA0" w:rsidRDefault="00EF1BA0">
            <w:pPr>
              <w:spacing w:before="0"/>
              <w:rPr>
                <w:sz w:val="16"/>
                <w:szCs w:val="16"/>
              </w:rPr>
            </w:pPr>
            <w:r>
              <w:rPr>
                <w:sz w:val="16"/>
                <w:szCs w:val="16"/>
              </w:rPr>
              <w:t>Plan Number component of the parcel's description. NSW, VIC, QLD, WA, SA, TAS, NT only. Eg. SP1231</w:t>
            </w:r>
          </w:p>
        </w:tc>
      </w:tr>
      <w:tr w:rsidR="00EF1BA0" w14:paraId="3FBAB1F2" w14:textId="77777777" w:rsidTr="00EF1BA0">
        <w:tc>
          <w:tcPr>
            <w:tcW w:w="562" w:type="dxa"/>
            <w:tcBorders>
              <w:top w:val="nil"/>
              <w:left w:val="nil"/>
              <w:bottom w:val="nil"/>
              <w:right w:val="nil"/>
            </w:tcBorders>
            <w:hideMark/>
          </w:tcPr>
          <w:p w14:paraId="6AD07765" w14:textId="77777777" w:rsidR="00EF1BA0" w:rsidRDefault="00EF1BA0">
            <w:pPr>
              <w:spacing w:before="0"/>
              <w:rPr>
                <w:sz w:val="16"/>
                <w:szCs w:val="16"/>
              </w:rPr>
            </w:pPr>
            <w:r>
              <w:rPr>
                <w:sz w:val="16"/>
                <w:szCs w:val="16"/>
              </w:rPr>
              <w:t>19</w:t>
            </w:r>
          </w:p>
        </w:tc>
        <w:tc>
          <w:tcPr>
            <w:tcW w:w="1418" w:type="dxa"/>
            <w:tcBorders>
              <w:top w:val="nil"/>
              <w:left w:val="nil"/>
              <w:bottom w:val="nil"/>
              <w:right w:val="nil"/>
            </w:tcBorders>
            <w:hideMark/>
          </w:tcPr>
          <w:p w14:paraId="5A814DDC" w14:textId="77777777" w:rsidR="00EF1BA0" w:rsidRDefault="00EF1BA0">
            <w:pPr>
              <w:spacing w:before="0"/>
              <w:rPr>
                <w:sz w:val="16"/>
                <w:szCs w:val="16"/>
              </w:rPr>
            </w:pPr>
            <w:r>
              <w:rPr>
                <w:sz w:val="16"/>
                <w:szCs w:val="16"/>
              </w:rPr>
              <w:t>Parcel ID</w:t>
            </w:r>
          </w:p>
        </w:tc>
        <w:tc>
          <w:tcPr>
            <w:tcW w:w="7229" w:type="dxa"/>
            <w:tcBorders>
              <w:top w:val="nil"/>
              <w:left w:val="nil"/>
              <w:bottom w:val="nil"/>
              <w:right w:val="nil"/>
            </w:tcBorders>
            <w:hideMark/>
          </w:tcPr>
          <w:p w14:paraId="2D94C79E" w14:textId="77777777" w:rsidR="00EF1BA0" w:rsidRDefault="00EF1BA0">
            <w:pPr>
              <w:spacing w:before="0"/>
              <w:rPr>
                <w:sz w:val="16"/>
                <w:szCs w:val="16"/>
              </w:rPr>
            </w:pPr>
            <w:r>
              <w:rPr>
                <w:sz w:val="16"/>
                <w:szCs w:val="16"/>
              </w:rPr>
              <w:t>Unique record key within the core database for the parcel of the property</w:t>
            </w:r>
          </w:p>
        </w:tc>
      </w:tr>
      <w:tr w:rsidR="00EF1BA0" w14:paraId="47CBA534" w14:textId="77777777" w:rsidTr="00EF1BA0">
        <w:tc>
          <w:tcPr>
            <w:tcW w:w="562" w:type="dxa"/>
            <w:tcBorders>
              <w:top w:val="nil"/>
              <w:left w:val="nil"/>
              <w:bottom w:val="nil"/>
              <w:right w:val="nil"/>
            </w:tcBorders>
            <w:hideMark/>
          </w:tcPr>
          <w:p w14:paraId="78495791" w14:textId="77777777" w:rsidR="00EF1BA0" w:rsidRDefault="00EF1BA0">
            <w:pPr>
              <w:spacing w:before="0"/>
              <w:rPr>
                <w:sz w:val="16"/>
                <w:szCs w:val="16"/>
              </w:rPr>
            </w:pPr>
            <w:r>
              <w:rPr>
                <w:sz w:val="16"/>
                <w:szCs w:val="16"/>
              </w:rPr>
              <w:t>20</w:t>
            </w:r>
          </w:p>
        </w:tc>
        <w:tc>
          <w:tcPr>
            <w:tcW w:w="1418" w:type="dxa"/>
            <w:tcBorders>
              <w:top w:val="nil"/>
              <w:left w:val="nil"/>
              <w:bottom w:val="nil"/>
              <w:right w:val="nil"/>
            </w:tcBorders>
            <w:hideMark/>
          </w:tcPr>
          <w:p w14:paraId="30B160E5" w14:textId="77777777" w:rsidR="00EF1BA0" w:rsidRDefault="00EF1BA0">
            <w:pPr>
              <w:spacing w:before="0"/>
              <w:rPr>
                <w:sz w:val="16"/>
                <w:szCs w:val="16"/>
              </w:rPr>
            </w:pPr>
            <w:r>
              <w:rPr>
                <w:sz w:val="16"/>
                <w:szCs w:val="16"/>
              </w:rPr>
              <w:t>Standard Parcel Identifier</w:t>
            </w:r>
          </w:p>
        </w:tc>
        <w:tc>
          <w:tcPr>
            <w:tcW w:w="7229" w:type="dxa"/>
            <w:tcBorders>
              <w:top w:val="nil"/>
              <w:left w:val="nil"/>
              <w:bottom w:val="nil"/>
              <w:right w:val="nil"/>
            </w:tcBorders>
            <w:hideMark/>
          </w:tcPr>
          <w:p w14:paraId="1FDEF78D" w14:textId="77777777" w:rsidR="00EF1BA0" w:rsidRDefault="00EF1BA0">
            <w:pPr>
              <w:spacing w:before="0"/>
              <w:rPr>
                <w:sz w:val="16"/>
                <w:szCs w:val="16"/>
              </w:rPr>
            </w:pPr>
            <w:r>
              <w:rPr>
                <w:sz w:val="16"/>
                <w:szCs w:val="16"/>
              </w:rPr>
              <w:t>The standard parcel description as supplied by the source</w:t>
            </w:r>
          </w:p>
        </w:tc>
      </w:tr>
      <w:tr w:rsidR="00EF1BA0" w14:paraId="2A8717BD" w14:textId="77777777" w:rsidTr="00EF1BA0">
        <w:tc>
          <w:tcPr>
            <w:tcW w:w="562" w:type="dxa"/>
            <w:tcBorders>
              <w:top w:val="nil"/>
              <w:left w:val="nil"/>
              <w:bottom w:val="nil"/>
              <w:right w:val="nil"/>
            </w:tcBorders>
            <w:hideMark/>
          </w:tcPr>
          <w:p w14:paraId="6A8D9295" w14:textId="77777777" w:rsidR="00EF1BA0" w:rsidRDefault="00EF1BA0">
            <w:pPr>
              <w:spacing w:before="0"/>
              <w:rPr>
                <w:sz w:val="16"/>
                <w:szCs w:val="16"/>
              </w:rPr>
            </w:pPr>
            <w:r>
              <w:rPr>
                <w:sz w:val="16"/>
                <w:szCs w:val="16"/>
              </w:rPr>
              <w:t>21</w:t>
            </w:r>
          </w:p>
        </w:tc>
        <w:tc>
          <w:tcPr>
            <w:tcW w:w="1418" w:type="dxa"/>
            <w:tcBorders>
              <w:top w:val="nil"/>
              <w:left w:val="nil"/>
              <w:bottom w:val="nil"/>
              <w:right w:val="nil"/>
            </w:tcBorders>
            <w:hideMark/>
          </w:tcPr>
          <w:p w14:paraId="543D3E09" w14:textId="77777777" w:rsidR="00EF1BA0" w:rsidRDefault="00EF1BA0">
            <w:pPr>
              <w:spacing w:before="0"/>
              <w:rPr>
                <w:sz w:val="16"/>
                <w:szCs w:val="16"/>
              </w:rPr>
            </w:pPr>
            <w:r>
              <w:rPr>
                <w:sz w:val="16"/>
                <w:szCs w:val="16"/>
              </w:rPr>
              <w:t>Jurisdiction ID</w:t>
            </w:r>
          </w:p>
        </w:tc>
        <w:tc>
          <w:tcPr>
            <w:tcW w:w="7229" w:type="dxa"/>
            <w:tcBorders>
              <w:top w:val="nil"/>
              <w:left w:val="nil"/>
              <w:bottom w:val="nil"/>
              <w:right w:val="nil"/>
            </w:tcBorders>
            <w:hideMark/>
          </w:tcPr>
          <w:p w14:paraId="4C81CC4A" w14:textId="77777777" w:rsidR="00EF1BA0" w:rsidRDefault="00EF1BA0">
            <w:pPr>
              <w:spacing w:before="0"/>
              <w:rPr>
                <w:sz w:val="16"/>
                <w:szCs w:val="16"/>
              </w:rPr>
            </w:pPr>
            <w:r>
              <w:rPr>
                <w:sz w:val="16"/>
                <w:szCs w:val="16"/>
              </w:rPr>
              <w:t>Link to external CadLite data source</w:t>
            </w:r>
          </w:p>
        </w:tc>
      </w:tr>
      <w:tr w:rsidR="00EF1BA0" w14:paraId="48AFCBFA" w14:textId="77777777" w:rsidTr="00EF1BA0">
        <w:tc>
          <w:tcPr>
            <w:tcW w:w="562" w:type="dxa"/>
            <w:tcBorders>
              <w:top w:val="nil"/>
              <w:left w:val="nil"/>
              <w:bottom w:val="nil"/>
              <w:right w:val="nil"/>
            </w:tcBorders>
            <w:hideMark/>
          </w:tcPr>
          <w:p w14:paraId="1BA673DF" w14:textId="77777777" w:rsidR="00EF1BA0" w:rsidRDefault="00EF1BA0">
            <w:pPr>
              <w:spacing w:before="0"/>
              <w:rPr>
                <w:sz w:val="16"/>
                <w:szCs w:val="16"/>
              </w:rPr>
            </w:pPr>
            <w:r>
              <w:rPr>
                <w:sz w:val="16"/>
                <w:szCs w:val="16"/>
              </w:rPr>
              <w:t>22</w:t>
            </w:r>
          </w:p>
        </w:tc>
        <w:tc>
          <w:tcPr>
            <w:tcW w:w="1418" w:type="dxa"/>
            <w:tcBorders>
              <w:top w:val="nil"/>
              <w:left w:val="nil"/>
              <w:bottom w:val="nil"/>
              <w:right w:val="nil"/>
            </w:tcBorders>
            <w:hideMark/>
          </w:tcPr>
          <w:p w14:paraId="5BB7ED0E" w14:textId="77777777" w:rsidR="00EF1BA0" w:rsidRDefault="00EF1BA0">
            <w:pPr>
              <w:spacing w:before="0"/>
              <w:rPr>
                <w:sz w:val="16"/>
                <w:szCs w:val="16"/>
              </w:rPr>
            </w:pPr>
            <w:r>
              <w:rPr>
                <w:sz w:val="16"/>
                <w:szCs w:val="16"/>
              </w:rPr>
              <w:t>Block</w:t>
            </w:r>
          </w:p>
        </w:tc>
        <w:tc>
          <w:tcPr>
            <w:tcW w:w="7229" w:type="dxa"/>
            <w:tcBorders>
              <w:top w:val="nil"/>
              <w:left w:val="nil"/>
              <w:bottom w:val="nil"/>
              <w:right w:val="nil"/>
            </w:tcBorders>
            <w:hideMark/>
          </w:tcPr>
          <w:p w14:paraId="3A0E1105" w14:textId="77777777" w:rsidR="00EF1BA0" w:rsidRDefault="00EF1BA0">
            <w:pPr>
              <w:spacing w:before="0"/>
              <w:rPr>
                <w:sz w:val="16"/>
                <w:szCs w:val="16"/>
              </w:rPr>
            </w:pPr>
            <w:r>
              <w:rPr>
                <w:sz w:val="16"/>
                <w:szCs w:val="16"/>
              </w:rPr>
              <w:t>Block component of the parcel's description. VIC, ACT, SA only</w:t>
            </w:r>
          </w:p>
        </w:tc>
      </w:tr>
      <w:tr w:rsidR="00EF1BA0" w14:paraId="705ED10D" w14:textId="77777777" w:rsidTr="00EF1BA0">
        <w:tc>
          <w:tcPr>
            <w:tcW w:w="562" w:type="dxa"/>
            <w:tcBorders>
              <w:top w:val="nil"/>
              <w:left w:val="nil"/>
              <w:bottom w:val="nil"/>
              <w:right w:val="nil"/>
            </w:tcBorders>
            <w:hideMark/>
          </w:tcPr>
          <w:p w14:paraId="1B310386" w14:textId="77777777" w:rsidR="00EF1BA0" w:rsidRDefault="00EF1BA0">
            <w:pPr>
              <w:spacing w:before="0"/>
              <w:rPr>
                <w:sz w:val="16"/>
                <w:szCs w:val="16"/>
              </w:rPr>
            </w:pPr>
            <w:r>
              <w:rPr>
                <w:sz w:val="16"/>
                <w:szCs w:val="16"/>
              </w:rPr>
              <w:t>23</w:t>
            </w:r>
          </w:p>
        </w:tc>
        <w:tc>
          <w:tcPr>
            <w:tcW w:w="1418" w:type="dxa"/>
            <w:tcBorders>
              <w:top w:val="nil"/>
              <w:left w:val="nil"/>
              <w:bottom w:val="nil"/>
              <w:right w:val="nil"/>
            </w:tcBorders>
            <w:hideMark/>
          </w:tcPr>
          <w:p w14:paraId="4260ED04" w14:textId="77777777" w:rsidR="00EF1BA0" w:rsidRDefault="00EF1BA0">
            <w:pPr>
              <w:spacing w:before="0"/>
              <w:rPr>
                <w:sz w:val="16"/>
                <w:szCs w:val="16"/>
              </w:rPr>
            </w:pPr>
            <w:r>
              <w:rPr>
                <w:sz w:val="16"/>
                <w:szCs w:val="16"/>
              </w:rPr>
              <w:t>Section</w:t>
            </w:r>
          </w:p>
        </w:tc>
        <w:tc>
          <w:tcPr>
            <w:tcW w:w="7229" w:type="dxa"/>
            <w:tcBorders>
              <w:top w:val="nil"/>
              <w:left w:val="nil"/>
              <w:bottom w:val="nil"/>
              <w:right w:val="nil"/>
            </w:tcBorders>
            <w:hideMark/>
          </w:tcPr>
          <w:p w14:paraId="1B719B48" w14:textId="77777777" w:rsidR="00EF1BA0" w:rsidRDefault="00EF1BA0">
            <w:pPr>
              <w:spacing w:before="0"/>
              <w:rPr>
                <w:sz w:val="16"/>
                <w:szCs w:val="16"/>
              </w:rPr>
            </w:pPr>
            <w:r>
              <w:rPr>
                <w:sz w:val="16"/>
                <w:szCs w:val="16"/>
              </w:rPr>
              <w:t>Section component of the parcel's description. VIC, SA, NSW, ACT only</w:t>
            </w:r>
          </w:p>
        </w:tc>
      </w:tr>
      <w:tr w:rsidR="00EF1BA0" w14:paraId="0CA6A516" w14:textId="77777777" w:rsidTr="00EF1BA0">
        <w:tc>
          <w:tcPr>
            <w:tcW w:w="562" w:type="dxa"/>
            <w:tcBorders>
              <w:top w:val="nil"/>
              <w:left w:val="nil"/>
              <w:bottom w:val="nil"/>
              <w:right w:val="nil"/>
            </w:tcBorders>
            <w:hideMark/>
          </w:tcPr>
          <w:p w14:paraId="0086CCE6" w14:textId="77777777" w:rsidR="00EF1BA0" w:rsidRDefault="00EF1BA0">
            <w:pPr>
              <w:spacing w:before="0"/>
              <w:rPr>
                <w:sz w:val="16"/>
                <w:szCs w:val="16"/>
              </w:rPr>
            </w:pPr>
            <w:r>
              <w:rPr>
                <w:sz w:val="16"/>
                <w:szCs w:val="16"/>
              </w:rPr>
              <w:t>24</w:t>
            </w:r>
          </w:p>
        </w:tc>
        <w:tc>
          <w:tcPr>
            <w:tcW w:w="1418" w:type="dxa"/>
            <w:tcBorders>
              <w:top w:val="nil"/>
              <w:left w:val="nil"/>
              <w:bottom w:val="nil"/>
              <w:right w:val="nil"/>
            </w:tcBorders>
            <w:hideMark/>
          </w:tcPr>
          <w:p w14:paraId="4E6F39B1" w14:textId="77777777" w:rsidR="00EF1BA0" w:rsidRDefault="00EF1BA0">
            <w:pPr>
              <w:spacing w:before="0"/>
              <w:rPr>
                <w:sz w:val="16"/>
                <w:szCs w:val="16"/>
              </w:rPr>
            </w:pPr>
            <w:r>
              <w:rPr>
                <w:sz w:val="16"/>
                <w:szCs w:val="16"/>
              </w:rPr>
              <w:t>Section Reference</w:t>
            </w:r>
          </w:p>
        </w:tc>
        <w:tc>
          <w:tcPr>
            <w:tcW w:w="7229" w:type="dxa"/>
            <w:tcBorders>
              <w:top w:val="nil"/>
              <w:left w:val="nil"/>
              <w:bottom w:val="nil"/>
              <w:right w:val="nil"/>
            </w:tcBorders>
            <w:hideMark/>
          </w:tcPr>
          <w:p w14:paraId="1C05269A" w14:textId="77777777" w:rsidR="00EF1BA0" w:rsidRDefault="00EF1BA0">
            <w:pPr>
              <w:spacing w:before="0"/>
              <w:rPr>
                <w:sz w:val="16"/>
                <w:szCs w:val="16"/>
              </w:rPr>
            </w:pPr>
            <w:r>
              <w:rPr>
                <w:sz w:val="16"/>
                <w:szCs w:val="16"/>
              </w:rPr>
              <w:t>Section Reference component of the parcel's description. SA only</w:t>
            </w:r>
          </w:p>
        </w:tc>
      </w:tr>
      <w:tr w:rsidR="00EF1BA0" w14:paraId="674853BB" w14:textId="77777777" w:rsidTr="00EF1BA0">
        <w:tc>
          <w:tcPr>
            <w:tcW w:w="562" w:type="dxa"/>
            <w:tcBorders>
              <w:top w:val="nil"/>
              <w:left w:val="nil"/>
              <w:bottom w:val="nil"/>
              <w:right w:val="nil"/>
            </w:tcBorders>
            <w:hideMark/>
          </w:tcPr>
          <w:p w14:paraId="7017E6E0" w14:textId="77777777" w:rsidR="00EF1BA0" w:rsidRDefault="00EF1BA0">
            <w:pPr>
              <w:spacing w:before="0"/>
              <w:rPr>
                <w:sz w:val="16"/>
                <w:szCs w:val="16"/>
              </w:rPr>
            </w:pPr>
            <w:r>
              <w:rPr>
                <w:sz w:val="16"/>
                <w:szCs w:val="16"/>
              </w:rPr>
              <w:t>25</w:t>
            </w:r>
          </w:p>
        </w:tc>
        <w:tc>
          <w:tcPr>
            <w:tcW w:w="1418" w:type="dxa"/>
            <w:tcBorders>
              <w:top w:val="nil"/>
              <w:left w:val="nil"/>
              <w:bottom w:val="nil"/>
              <w:right w:val="nil"/>
            </w:tcBorders>
            <w:hideMark/>
          </w:tcPr>
          <w:p w14:paraId="60010DD1" w14:textId="77777777" w:rsidR="00EF1BA0" w:rsidRDefault="00EF1BA0">
            <w:pPr>
              <w:spacing w:before="0"/>
              <w:rPr>
                <w:sz w:val="16"/>
                <w:szCs w:val="16"/>
              </w:rPr>
            </w:pPr>
            <w:r>
              <w:rPr>
                <w:sz w:val="16"/>
                <w:szCs w:val="16"/>
              </w:rPr>
              <w:t>Portion</w:t>
            </w:r>
          </w:p>
        </w:tc>
        <w:tc>
          <w:tcPr>
            <w:tcW w:w="7229" w:type="dxa"/>
            <w:tcBorders>
              <w:top w:val="nil"/>
              <w:left w:val="nil"/>
              <w:bottom w:val="nil"/>
              <w:right w:val="nil"/>
            </w:tcBorders>
            <w:hideMark/>
          </w:tcPr>
          <w:p w14:paraId="237C013D" w14:textId="77777777" w:rsidR="00EF1BA0" w:rsidRDefault="00EF1BA0">
            <w:pPr>
              <w:spacing w:before="0"/>
              <w:rPr>
                <w:sz w:val="16"/>
                <w:szCs w:val="16"/>
              </w:rPr>
            </w:pPr>
            <w:r>
              <w:rPr>
                <w:sz w:val="16"/>
                <w:szCs w:val="16"/>
              </w:rPr>
              <w:t>Portion component of the parcel's description. VIC only</w:t>
            </w:r>
          </w:p>
        </w:tc>
      </w:tr>
      <w:tr w:rsidR="00EF1BA0" w14:paraId="6C11FEFA" w14:textId="77777777" w:rsidTr="00EF1BA0">
        <w:tc>
          <w:tcPr>
            <w:tcW w:w="562" w:type="dxa"/>
            <w:tcBorders>
              <w:top w:val="nil"/>
              <w:left w:val="nil"/>
              <w:bottom w:val="nil"/>
              <w:right w:val="nil"/>
            </w:tcBorders>
            <w:hideMark/>
          </w:tcPr>
          <w:p w14:paraId="5CC10D37" w14:textId="77777777" w:rsidR="00EF1BA0" w:rsidRDefault="00EF1BA0">
            <w:pPr>
              <w:spacing w:before="0"/>
              <w:rPr>
                <w:sz w:val="16"/>
                <w:szCs w:val="16"/>
              </w:rPr>
            </w:pPr>
            <w:r>
              <w:rPr>
                <w:sz w:val="16"/>
                <w:szCs w:val="16"/>
              </w:rPr>
              <w:t>26</w:t>
            </w:r>
          </w:p>
        </w:tc>
        <w:tc>
          <w:tcPr>
            <w:tcW w:w="1418" w:type="dxa"/>
            <w:tcBorders>
              <w:top w:val="nil"/>
              <w:left w:val="nil"/>
              <w:bottom w:val="nil"/>
              <w:right w:val="nil"/>
            </w:tcBorders>
            <w:hideMark/>
          </w:tcPr>
          <w:p w14:paraId="7524E07A" w14:textId="77777777" w:rsidR="00EF1BA0" w:rsidRDefault="00EF1BA0">
            <w:pPr>
              <w:spacing w:before="0"/>
              <w:rPr>
                <w:sz w:val="16"/>
                <w:szCs w:val="16"/>
              </w:rPr>
            </w:pPr>
            <w:r>
              <w:rPr>
                <w:sz w:val="16"/>
                <w:szCs w:val="16"/>
              </w:rPr>
              <w:t>Accessory Lot Flag</w:t>
            </w:r>
          </w:p>
        </w:tc>
        <w:tc>
          <w:tcPr>
            <w:tcW w:w="7229" w:type="dxa"/>
            <w:tcBorders>
              <w:top w:val="nil"/>
              <w:left w:val="nil"/>
              <w:bottom w:val="nil"/>
              <w:right w:val="nil"/>
            </w:tcBorders>
            <w:hideMark/>
          </w:tcPr>
          <w:p w14:paraId="22C49EEF" w14:textId="77777777" w:rsidR="00EF1BA0" w:rsidRDefault="00EF1BA0">
            <w:pPr>
              <w:spacing w:before="0"/>
              <w:rPr>
                <w:sz w:val="16"/>
                <w:szCs w:val="16"/>
              </w:rPr>
            </w:pPr>
            <w:r>
              <w:rPr>
                <w:sz w:val="16"/>
                <w:szCs w:val="16"/>
              </w:rPr>
              <w:t>Has its own title – Garage spot belongs to unit. Can’t be dwelling place. Must be sold together as one.</w:t>
            </w:r>
          </w:p>
        </w:tc>
      </w:tr>
      <w:tr w:rsidR="00EF1BA0" w14:paraId="3A4E9830" w14:textId="77777777" w:rsidTr="00EF1BA0">
        <w:tc>
          <w:tcPr>
            <w:tcW w:w="562" w:type="dxa"/>
            <w:tcBorders>
              <w:top w:val="nil"/>
              <w:left w:val="nil"/>
              <w:bottom w:val="nil"/>
              <w:right w:val="nil"/>
            </w:tcBorders>
            <w:hideMark/>
          </w:tcPr>
          <w:p w14:paraId="096FB9F4" w14:textId="77777777" w:rsidR="00EF1BA0" w:rsidRDefault="00EF1BA0">
            <w:pPr>
              <w:spacing w:before="0"/>
              <w:rPr>
                <w:sz w:val="16"/>
                <w:szCs w:val="16"/>
              </w:rPr>
            </w:pPr>
            <w:r>
              <w:rPr>
                <w:sz w:val="16"/>
                <w:szCs w:val="16"/>
              </w:rPr>
              <w:t>27</w:t>
            </w:r>
          </w:p>
        </w:tc>
        <w:tc>
          <w:tcPr>
            <w:tcW w:w="1418" w:type="dxa"/>
            <w:tcBorders>
              <w:top w:val="nil"/>
              <w:left w:val="nil"/>
              <w:bottom w:val="nil"/>
              <w:right w:val="nil"/>
            </w:tcBorders>
            <w:hideMark/>
          </w:tcPr>
          <w:p w14:paraId="1E3D864E" w14:textId="77777777" w:rsidR="00EF1BA0" w:rsidRDefault="00EF1BA0">
            <w:pPr>
              <w:spacing w:before="0"/>
              <w:rPr>
                <w:sz w:val="16"/>
                <w:szCs w:val="16"/>
              </w:rPr>
            </w:pPr>
            <w:r>
              <w:rPr>
                <w:sz w:val="16"/>
                <w:szCs w:val="16"/>
              </w:rPr>
              <w:t>Crown Allotment Number</w:t>
            </w:r>
          </w:p>
        </w:tc>
        <w:tc>
          <w:tcPr>
            <w:tcW w:w="7229" w:type="dxa"/>
            <w:tcBorders>
              <w:top w:val="nil"/>
              <w:left w:val="nil"/>
              <w:bottom w:val="nil"/>
              <w:right w:val="nil"/>
            </w:tcBorders>
            <w:hideMark/>
          </w:tcPr>
          <w:p w14:paraId="39562ECF" w14:textId="77777777" w:rsidR="00EF1BA0" w:rsidRDefault="00EF1BA0">
            <w:pPr>
              <w:spacing w:before="0"/>
              <w:rPr>
                <w:sz w:val="16"/>
                <w:szCs w:val="16"/>
              </w:rPr>
            </w:pPr>
            <w:r>
              <w:rPr>
                <w:sz w:val="16"/>
                <w:szCs w:val="16"/>
              </w:rPr>
              <w:t>Crown Lot component of the parcel's description. NSW, VIC, WA only. A blank value indicates a CROWN lot.</w:t>
            </w:r>
          </w:p>
        </w:tc>
      </w:tr>
      <w:tr w:rsidR="00EF1BA0" w14:paraId="0519373C" w14:textId="77777777" w:rsidTr="00EF1BA0">
        <w:tc>
          <w:tcPr>
            <w:tcW w:w="562" w:type="dxa"/>
            <w:tcBorders>
              <w:top w:val="nil"/>
              <w:left w:val="nil"/>
              <w:bottom w:val="single" w:sz="4" w:space="0" w:color="auto"/>
              <w:right w:val="nil"/>
            </w:tcBorders>
            <w:hideMark/>
          </w:tcPr>
          <w:p w14:paraId="74312CDF" w14:textId="77777777" w:rsidR="00EF1BA0" w:rsidRDefault="00EF1BA0">
            <w:pPr>
              <w:spacing w:before="0"/>
              <w:rPr>
                <w:sz w:val="16"/>
                <w:szCs w:val="16"/>
              </w:rPr>
            </w:pPr>
            <w:r>
              <w:rPr>
                <w:sz w:val="16"/>
                <w:szCs w:val="16"/>
              </w:rPr>
              <w:lastRenderedPageBreak/>
              <w:t>28</w:t>
            </w:r>
          </w:p>
        </w:tc>
        <w:tc>
          <w:tcPr>
            <w:tcW w:w="1418" w:type="dxa"/>
            <w:tcBorders>
              <w:top w:val="nil"/>
              <w:left w:val="nil"/>
              <w:bottom w:val="single" w:sz="4" w:space="0" w:color="auto"/>
              <w:right w:val="nil"/>
            </w:tcBorders>
            <w:hideMark/>
          </w:tcPr>
          <w:p w14:paraId="1D935323" w14:textId="77777777" w:rsidR="00EF1BA0" w:rsidRDefault="00EF1BA0">
            <w:pPr>
              <w:spacing w:before="0"/>
              <w:rPr>
                <w:sz w:val="16"/>
                <w:szCs w:val="16"/>
              </w:rPr>
            </w:pPr>
            <w:r>
              <w:rPr>
                <w:sz w:val="16"/>
                <w:szCs w:val="16"/>
              </w:rPr>
              <w:t>Crown Status</w:t>
            </w:r>
          </w:p>
        </w:tc>
        <w:tc>
          <w:tcPr>
            <w:tcW w:w="7229" w:type="dxa"/>
            <w:tcBorders>
              <w:top w:val="nil"/>
              <w:left w:val="nil"/>
              <w:bottom w:val="single" w:sz="4" w:space="0" w:color="auto"/>
              <w:right w:val="nil"/>
            </w:tcBorders>
            <w:hideMark/>
          </w:tcPr>
          <w:p w14:paraId="37E91D63" w14:textId="77777777" w:rsidR="00EF1BA0" w:rsidRDefault="00EF1BA0">
            <w:pPr>
              <w:spacing w:before="0"/>
              <w:rPr>
                <w:sz w:val="16"/>
                <w:szCs w:val="16"/>
              </w:rPr>
            </w:pPr>
            <w:r>
              <w:rPr>
                <w:sz w:val="16"/>
                <w:szCs w:val="16"/>
              </w:rPr>
              <w:t>A code that identifies a characteristic of the crown description. Valid codes are CROWN LAND, PRE-EMPTIVE RIGHT, CROWN SPECIAL SURVEY, M-Parcels identified by further DESCRIPTION ONLY and VESTED LAND. Further detail may be available if the FURTHER DESCRIPTION field is populated on the Source data. Only VIC</w:t>
            </w:r>
          </w:p>
        </w:tc>
      </w:tr>
    </w:tbl>
    <w:p w14:paraId="3368AB3A" w14:textId="77777777" w:rsidR="00EF1BA0" w:rsidRDefault="00EF1BA0"/>
    <w:p w14:paraId="517D8CE9" w14:textId="77777777" w:rsidR="00EF1BA0" w:rsidRDefault="00EF1BA0"/>
    <w:p w14:paraId="5893B35D" w14:textId="77777777" w:rsidR="00EF1BA0" w:rsidRDefault="00EF1BA0" w:rsidP="00EF1BA0">
      <w:pPr>
        <w:pStyle w:val="Caption"/>
      </w:pPr>
      <w:bookmarkStart w:id="28" w:name="_Toc25744012"/>
      <w:r>
        <w:t xml:space="preserve">Table </w:t>
      </w:r>
      <w:r w:rsidR="00FA1D4A">
        <w:t>A</w:t>
      </w:r>
      <w:r w:rsidR="00FA1D4A">
        <w:rPr>
          <w:noProof/>
        </w:rPr>
        <w:fldChar w:fldCharType="begin"/>
      </w:r>
      <w:r w:rsidR="00FA1D4A">
        <w:rPr>
          <w:noProof/>
        </w:rPr>
        <w:instrText xml:space="preserve"> SEQ Table \* ARABIC </w:instrText>
      </w:r>
      <w:r w:rsidR="00FA1D4A">
        <w:rPr>
          <w:noProof/>
        </w:rPr>
        <w:fldChar w:fldCharType="separate"/>
      </w:r>
      <w:r w:rsidR="009F7388">
        <w:rPr>
          <w:noProof/>
        </w:rPr>
        <w:t>5</w:t>
      </w:r>
      <w:r w:rsidR="00FA1D4A">
        <w:rPr>
          <w:noProof/>
        </w:rPr>
        <w:fldChar w:fldCharType="end"/>
      </w:r>
      <w:r>
        <w:t xml:space="preserve"> </w:t>
      </w:r>
      <w:r w:rsidRPr="00EF1BA0">
        <w:t>Categorical property type variables</w:t>
      </w:r>
      <w:bookmarkEnd w:id="28"/>
    </w:p>
    <w:tbl>
      <w:tblPr>
        <w:tblW w:w="9072" w:type="dxa"/>
        <w:tblInd w:w="-10" w:type="dxa"/>
        <w:tblLook w:val="04A0" w:firstRow="1" w:lastRow="0" w:firstColumn="1" w:lastColumn="0" w:noHBand="0" w:noVBand="1"/>
      </w:tblPr>
      <w:tblGrid>
        <w:gridCol w:w="1543"/>
        <w:gridCol w:w="2166"/>
        <w:gridCol w:w="5363"/>
      </w:tblGrid>
      <w:tr w:rsidR="00EF1BA0" w14:paraId="4A4038EB" w14:textId="77777777" w:rsidTr="00EF1BA0">
        <w:trPr>
          <w:trHeight w:val="20"/>
        </w:trPr>
        <w:tc>
          <w:tcPr>
            <w:tcW w:w="1543" w:type="dxa"/>
            <w:tcBorders>
              <w:top w:val="single" w:sz="8" w:space="0" w:color="auto"/>
              <w:left w:val="nil"/>
              <w:bottom w:val="single" w:sz="4" w:space="0" w:color="auto"/>
              <w:right w:val="nil"/>
            </w:tcBorders>
            <w:shd w:val="clear" w:color="auto" w:fill="FFFFFF"/>
            <w:vAlign w:val="center"/>
            <w:hideMark/>
          </w:tcPr>
          <w:p w14:paraId="3554E621" w14:textId="77777777" w:rsidR="00EF1BA0" w:rsidRDefault="00EF1BA0">
            <w:pPr>
              <w:rPr>
                <w:rFonts w:eastAsia="Times New Roman" w:cs="Times New Roman"/>
                <w:b/>
                <w:bCs/>
                <w:color w:val="000000"/>
                <w:sz w:val="12"/>
                <w:szCs w:val="16"/>
                <w:lang w:eastAsia="en-AU"/>
              </w:rPr>
            </w:pPr>
            <w:r>
              <w:rPr>
                <w:rFonts w:eastAsia="Times New Roman"/>
                <w:b/>
                <w:bCs/>
                <w:color w:val="000000"/>
                <w:sz w:val="12"/>
                <w:szCs w:val="16"/>
                <w:lang w:eastAsia="en-AU"/>
              </w:rPr>
              <w:t>CL_Property_Type</w:t>
            </w:r>
          </w:p>
        </w:tc>
        <w:tc>
          <w:tcPr>
            <w:tcW w:w="2166" w:type="dxa"/>
            <w:tcBorders>
              <w:top w:val="single" w:sz="8" w:space="0" w:color="auto"/>
              <w:left w:val="nil"/>
              <w:bottom w:val="single" w:sz="4" w:space="0" w:color="auto"/>
              <w:right w:val="nil"/>
            </w:tcBorders>
            <w:shd w:val="clear" w:color="auto" w:fill="FFFFFF"/>
            <w:vAlign w:val="center"/>
            <w:hideMark/>
          </w:tcPr>
          <w:p w14:paraId="150D56AF" w14:textId="77777777" w:rsidR="00EF1BA0" w:rsidRDefault="00EF1BA0">
            <w:pPr>
              <w:rPr>
                <w:rFonts w:eastAsia="Times New Roman"/>
                <w:b/>
                <w:bCs/>
                <w:color w:val="000000"/>
                <w:sz w:val="12"/>
                <w:szCs w:val="16"/>
                <w:lang w:eastAsia="en-AU"/>
              </w:rPr>
            </w:pPr>
            <w:r>
              <w:rPr>
                <w:rFonts w:eastAsia="Times New Roman"/>
                <w:b/>
                <w:bCs/>
                <w:color w:val="000000"/>
                <w:sz w:val="12"/>
                <w:szCs w:val="16"/>
                <w:lang w:eastAsia="en-AU"/>
              </w:rPr>
              <w:t>CL_Property_Type_Minor</w:t>
            </w:r>
          </w:p>
        </w:tc>
        <w:tc>
          <w:tcPr>
            <w:tcW w:w="5363" w:type="dxa"/>
            <w:tcBorders>
              <w:top w:val="single" w:sz="8" w:space="0" w:color="auto"/>
              <w:left w:val="nil"/>
              <w:bottom w:val="single" w:sz="4" w:space="0" w:color="auto"/>
              <w:right w:val="nil"/>
            </w:tcBorders>
            <w:shd w:val="clear" w:color="auto" w:fill="FFFFFF"/>
            <w:vAlign w:val="center"/>
            <w:hideMark/>
          </w:tcPr>
          <w:p w14:paraId="3BC3311F" w14:textId="77777777" w:rsidR="00EF1BA0" w:rsidRDefault="00EF1BA0">
            <w:pPr>
              <w:rPr>
                <w:rFonts w:eastAsia="Times New Roman"/>
                <w:b/>
                <w:bCs/>
                <w:color w:val="000000"/>
                <w:sz w:val="12"/>
                <w:szCs w:val="16"/>
                <w:lang w:eastAsia="en-AU"/>
              </w:rPr>
            </w:pPr>
            <w:r>
              <w:rPr>
                <w:rFonts w:eastAsia="Times New Roman"/>
                <w:b/>
                <w:bCs/>
                <w:color w:val="000000"/>
                <w:sz w:val="12"/>
                <w:szCs w:val="16"/>
                <w:lang w:eastAsia="en-AU"/>
              </w:rPr>
              <w:t>CL_Primary_Land_Use</w:t>
            </w:r>
          </w:p>
        </w:tc>
      </w:tr>
      <w:tr w:rsidR="00EF1BA0" w:rsidRPr="00EF1BA0" w14:paraId="700B44F7" w14:textId="77777777" w:rsidTr="00EF1BA0">
        <w:trPr>
          <w:trHeight w:val="20"/>
        </w:trPr>
        <w:tc>
          <w:tcPr>
            <w:tcW w:w="1543" w:type="dxa"/>
            <w:vMerge w:val="restart"/>
            <w:tcBorders>
              <w:top w:val="single" w:sz="4" w:space="0" w:color="auto"/>
              <w:left w:val="nil"/>
              <w:bottom w:val="single" w:sz="4" w:space="0" w:color="auto"/>
              <w:right w:val="nil"/>
            </w:tcBorders>
            <w:noWrap/>
            <w:vAlign w:val="center"/>
            <w:hideMark/>
          </w:tcPr>
          <w:p w14:paraId="1CD4743A"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Business</w:t>
            </w:r>
          </w:p>
        </w:tc>
        <w:tc>
          <w:tcPr>
            <w:tcW w:w="2166" w:type="dxa"/>
            <w:tcBorders>
              <w:top w:val="single" w:sz="4" w:space="0" w:color="auto"/>
              <w:left w:val="nil"/>
              <w:bottom w:val="single" w:sz="4" w:space="0" w:color="auto"/>
              <w:right w:val="nil"/>
            </w:tcBorders>
            <w:noWrap/>
            <w:vAlign w:val="center"/>
            <w:hideMark/>
          </w:tcPr>
          <w:p w14:paraId="1D7B9B48"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Accommodation/Restaurant</w:t>
            </w:r>
          </w:p>
        </w:tc>
        <w:tc>
          <w:tcPr>
            <w:tcW w:w="5363" w:type="dxa"/>
            <w:vMerge w:val="restart"/>
            <w:tcBorders>
              <w:top w:val="single" w:sz="4" w:space="0" w:color="auto"/>
              <w:left w:val="nil"/>
              <w:bottom w:val="single" w:sz="8" w:space="0" w:color="auto"/>
              <w:right w:val="nil"/>
            </w:tcBorders>
            <w:noWrap/>
            <w:vAlign w:val="bottom"/>
          </w:tcPr>
          <w:p w14:paraId="2A00D434" w14:textId="77777777" w:rsidR="00EF1BA0" w:rsidRDefault="00EF1BA0" w:rsidP="00EF1BA0">
            <w:pPr>
              <w:rPr>
                <w:rFonts w:eastAsia="Times New Roman"/>
                <w:color w:val="000000"/>
                <w:sz w:val="12"/>
                <w:szCs w:val="16"/>
                <w:lang w:eastAsia="en-AU"/>
              </w:rPr>
            </w:pPr>
          </w:p>
          <w:p w14:paraId="7CD98775" w14:textId="77777777" w:rsidR="00EF1BA0" w:rsidRDefault="00EF1BA0" w:rsidP="00EF1BA0">
            <w:pPr>
              <w:rPr>
                <w:rFonts w:eastAsia="Times New Roman"/>
                <w:color w:val="000000"/>
                <w:sz w:val="12"/>
                <w:szCs w:val="16"/>
                <w:lang w:eastAsia="en-AU"/>
              </w:rPr>
            </w:pPr>
          </w:p>
          <w:p w14:paraId="402E9907" w14:textId="77777777" w:rsidR="00EF1BA0" w:rsidRDefault="00EF1BA0" w:rsidP="00EF1BA0">
            <w:pPr>
              <w:rPr>
                <w:rFonts w:eastAsia="Times New Roman"/>
                <w:color w:val="000000"/>
                <w:sz w:val="12"/>
                <w:szCs w:val="16"/>
                <w:lang w:eastAsia="en-AU"/>
              </w:rPr>
            </w:pPr>
          </w:p>
          <w:p w14:paraId="56B16F64" w14:textId="77777777" w:rsidR="00EF1BA0" w:rsidRPr="00EF1BA0" w:rsidRDefault="00EF1BA0" w:rsidP="00EF1BA0">
            <w:pPr>
              <w:rPr>
                <w:rFonts w:eastAsia="Times New Roman"/>
                <w:color w:val="000000"/>
                <w:sz w:val="12"/>
                <w:szCs w:val="16"/>
                <w:lang w:eastAsia="en-AU"/>
              </w:rPr>
            </w:pPr>
            <w:r w:rsidRPr="00EF1BA0">
              <w:rPr>
                <w:rFonts w:eastAsia="Times New Roman"/>
                <w:color w:val="000000"/>
                <w:sz w:val="12"/>
                <w:szCs w:val="16"/>
                <w:lang w:eastAsia="en-AU"/>
              </w:rPr>
              <w:t>1-Unknown ABATTOIR Abattoirs Agriculture Agriculture (Extensive) Agriculture N.E.C. Agriculture N.E.C. - Irrigated Agriculture-Intensive Almonds Almonds - Irrigated Animals-Special Aquaculture Aquaculture-Fish Farm Aquaculture-Licenced Beds Aquaculture-Research Facility ART GALLERY BAKERY, RESIDENCE Bank Banks Base Metals - Mines Beekeeping Berry Fruits Berry Fruits - Irrigated Building Units (Primary Use Only) Business and Residence Business Services N.E.C. BUSINESS, RESIDENCE Cafe CAMEL FARM Caretkr Qtrs Cattle Breeding &amp; Fattening Cattle Fattening Cattle Feed Lot Cattle Grazing &amp; Breeding Cattle-Beef Cattle-Beef - Irrigated Pasture Cattle-Beef - Stock Paddocks Cattle-Beef - Stock Watering Cattle-Beef - Stud Cattle-Dairy Cattle-Dairy - Irrigated Pasture Cattle-Dairy - Stock Paddocks Cattle-Dairy - Stock Watering Cattle-Dairy - Stud CEMENT WORKS Cemeteries Cereals Cereals - Irrigated Cereals and Cattle Cereals and Cattle - Irrigated Cereals and Cattle - Stock Watering Cereals and Fodder Cereals and Fodder - Irrigated Cereals and Pigs Cereals and Pigs - Irrigated Cereals and Sheep Cereals and Sheep - Irrigated Cereals and Sheep - Stock Watering Cereals, Stock, Horticulture Cereals, Stock, Horticulture - Irrigated Citrus Citrus - Irrigated Citrus and Others Citrus and Others - Irrigated Closed Roads Com Dev Site COMMERCIAL Commercial Flower and Plant Growing – (outdoor) COMMON - (RESIDENTIAL) Composting Coolstore/Coldstore Cotton Cream Crop Production Fodder Crops Crop Production Mixed/Other Crop Production Other Grains/Oil Seeds Crop Production Wheat Cultural Activities and Nature Exhibitions N.E.C. DAIRY Dairying and Pigs - Irrigated Dairying and Potatoes Dairying and Potatoes - Irrigated DEPOT Detached Dwelling Detached Dwelling (existing) Detached Dwelling (new) Domestic Livestock Grazing Dwelling - Large Housesite Engineering Extractive Fabricated Metal Products, Except Machinery and Equipment N.E.C. Factory FARM Farm - Residence Farm Products, Warehousing Storage and Silos (Excl. Stockyards) FARM, RESIDENCE FARMING Farming Speciality Animals Farming-Cropping Farming-Cropping-All Irrigate Farming-Cropping-Irrig.Scheme Farming-Cropping-Not Irrigated Farming-Cropping-Part Irrigate Farming-Dairy-All Irrigated Farming-Dairying Farming-Dairy-Irrigat.Scheme Farming-Dairy-Not Irrigated Farming-Dairy-Part Irrigated Farming-Grazing/Pastoral Farming-Horses Farming-Horses Open,Run,Bush Farming-Horses-Not Irrigated Farming-Horses-Part Irrigated Farming-Mixed Farming-Mixed-All Irrigated Farming-Mixed-Irrigat.Scheme Farming-Mixed-Not Irrigated Farming-Mixed-Part Irrigated Farming-Mutton Bird-Crown Farming-Mutton Bird-Private Farming-Pigs Farming-Poultry Farming-Speciality FIRE SERVICE Fishing Flats Flowers Flowers - Irrigated Fodder Crops Fodder Crops - Irrigated Forestry Forestry &amp; Logs Forestry N.E.C. - Private Forestry-Artificial Plantation Forestry-Artificial-Authority Forestry-Artificial-Private Forestry-Natural Bush Forestry-Natural Bush-Authorit Forestry-Natural Bush-Private Forestry-Nursery Forestry-Nursery-Private Fuel Outlet/Garage/Service Station Garage/Outbuilding Gas Production General Cropping General Industry General Purpose Factory General Purpose Warehouse G'House/Nurse/Flower-All Irrig G'House/Nurse/Flower-Irr.Scheme G'House/Nurse/Flower-No Retail G'House/Nurse/Flower-Not Irrig G'House/Nurse/Flower-Pt. Irrig Glasshouse Glasshouse - Irrigated Glasshouse Plant/Vegetable Prod Goats Grains Gravel/Stone Grazing/Pastoral-All Irrigated Grazing/Pastoral-Irrig.Scheme Grazing/Pastoral-Not Irrigated Grazing/Pastoral-Open,Run,Bush Grazing/Pastoral-Part Irrigate Grocer Group Title (Primary Use Only) Guest House/Private Hotel Guest Lodge Guest Lodge/Back Packers/Bunkhouse/Hostel Halls and Service Clubrooms Harbour Industries Hardwood Plantation Health Clinic HOL/UNITS Holiday Home / Shack Holiday Home / Shack Private Land Hops Hops-All Irrigated Hops-Not Irrigated Hops-Part Irrigated Horse Stud Horse Stud/Training Facilities/Stables Horses Horses - Irrigated Pasture Horses - Stock Paddocks Horses - Stud Horses and Riding School Horticulture N.E.C. Horticulture N.E.C. - Irrigated Horticulture N.E.C. - Nursery Horticulture/Market Gardening Hotel Hotel/Tavern House House - Business House - Farm House - Kennel House - Land House - Orchard House - Shed House - Stable House - Vineyard House &amp; Flat/S House and Agriculture (Non-Viable) House and Forestry (Non-Viable) House and Horticulture (Non-Viable) House and Livestock (Non-Viable) House and Market Garden (Non-Viable) House and Mixed Farming (Non-Viable) House and Plant Nursery (Non-Viable) House and Poultry (Non-Viable) House Or Cottage House With Unestablished Grounds/Gardens HOUSE, COTTAGE HOUSE, FARM HOUSE, FLAT HOUSE, NURSERY HOUSE, ORCHARD HOUSE, VINEYARD Houses Individual Car Park Site Indoor Sports Centre INDUSTRIAL Industrial Dev Site Kennel/Cattery LA STANDPIPE Light Industry Livestock Livestock N.E.C. Livestock N.E.C. - Irrigated Pasture Livestock N.E.C. - Stock Paddocks Livestock N.E.C. - Stock Watering Livestock Production Beef Cattle Livestock Production Dairy Cattle Livestock Production Sheep Maisonette Major Water Conduits Manufacturing Factory Market Garden Market Garden – Vegetables MARKET GARDEN, RESIDENCE Market Garden-All Irrigate Market Gardening Market Gardening and Orchard Market Gardening and Orchard - Irrigated Market Gardening N.E.C. Market Gardening N.E.C. - Irrigated Market Garden-Irrigat. Scheme Market Garden-Not Irrigated Market Garden-Part Irrigated Median Strips, Plantations, Road Reserves, Standpipes and Undefined Land Wh Medical and Health Services Inc. Veterinary N.E.C. Medical Centre/Surgery Milk-No Quota Milk-</w:t>
            </w:r>
            <w:r w:rsidRPr="00EF1BA0">
              <w:rPr>
                <w:rFonts w:eastAsia="Times New Roman"/>
                <w:color w:val="000000"/>
                <w:sz w:val="12"/>
                <w:szCs w:val="16"/>
                <w:lang w:eastAsia="en-AU"/>
              </w:rPr>
              <w:lastRenderedPageBreak/>
              <w:t>Quota MILL MISCELLANEOUS Miscellaneous Improvements on Residential Land Miscellaneous Improvements on Residential Rural Land Miscellaneous Primary Production Mixed Farming Mixed farming and grazing Mixed farming and grazing with infrastructure Mixed farming and grazing without infrastructure Mixed Farming N.E.C. Mixed Farming N.E.C. - Irrigated Mixed Farming N.E.C. - Stock Watering Mixed Use Occupation Motel Motor Vehicle Sales Multi Unit Dwelling (Flats) Multi-Level Office Building Native Animals Native Hardwood (standing timber) Non-Native Animals Noxious/Offensive Industry (Including Abbatoir) Nurseries (Plants) Nursery (Plants) OBSERVATORY Office OFFICE, WORKSHOP Oil Depot &amp; Refinery Oil Seeds Oilseed Old Folks' Homes Onions ORCHARD Orchard - Residence ORCHARD, RESIDENCE Orchard-All Irrigated Orchard-Irrigation Scheme Orchard-Not Irrigated Orchard-Part Irrigated Orchards Orchards, Groves and Plantations Outbuildings OYO Subdivided Dwelling PADDOCK PADDOCKS Parks and Gardens Including Picnicking Peanuts Piggery Pigs Pigs - Irrigated Pasture Pineapples Place of Worship Plant/Tree Nursery Playhouse/Traditional Theatre Pome Fruits Pome Fruits - Irrigated Pome Fruits - Stock Watering Post Office Potatoes Potatoes - Irrigated Poultry Poultry - Broiler Poultry - Eggs Poultry - Hatchery Poultry - Open Range Poultry (broiler production) Poultry (egg production) POULTRY FARM Poultry N.E.C. Primary Production Primary School Professional Offices Pub/Tavern/Restaurant/Nightclub Public Conveniences R10-Unknown Railway Line Railways (Incl. Rapid Rail Transit and Street Car Transport) Res Dev Site Res Investment Flats Res Rural / Rural Lifestyle Reserve for Drainage or Sewerage Purposes Reservoir, Dams, Bores Residential Retail Plant Nursery Retail Premises (multiple occupancies) Retail Premises (single occupancy) Retail Store/Showroom Retirement Village Unit RIFLE RANGE Rural Living Rural Residential Rural Residential House (House Without Primary Production) Sand and Gravel - Mines SCHOOL FARM Semi-Detached/Terrace Home/Row House Separate Dwelling and Curtilage Service Station Serviced Apart/Holiday Units  Shack Shack Site (Not In Conformity With Requirements Under the Planning Act) Shed - Land SHED LAND Sheep and Cattle Sheep and Cattle - Irrigated Pasture Sheep and Cattle - Stock Paddocks Sheep and Cattle - Stock Watering Sheep and Cattle - Stud Sheep Breeding Sheep Grazing-Dry Sheep-Mutton Sheep-Mutton - Stock Watering Sheep-Wool Sheep-Wool - Irrigated Pasture Sheep-Wool - Stock Paddocks Sheep-Wool - Stud Shop Shop &amp; Dwelling (single occupancy) Shopping Group (2 to 6 Shops) SHOPS Shop-Single SHOWGROUND, RACECOURSE, AIRFIELD Showroom/Store Silo - Concrete Cells Silo - Steel Cells Single Res Dwelling Single Strata Unit/Villa Unit/Townhouse Single Unit Dwelling Slaughtering, Preparation, Preserving of Meat, Abattoirs Small Crops &amp; Fodder - Irrigated Small Crops &amp; Fodder - Non Irrigated Small Seeds Small Seeds - Irrigated Social Service and Welfare Provision Soft Fruit &amp; Nut Soft Fruit &amp; Nut-All Irrigated Soft Fruit &amp; Nut-Not Irrigated Soft Fruit &amp; Nut-Part Irrigate Softwood Plantation Solid Waste Disposal Special Tourist Attraction Specialised Cropping Sportsclubs/Facilities STANDPIPE State(Secondary Land Use Only) Steep Or Rocky Land Stock and Poultry Stockyard Stockyard Services - Stables Stone and Pome Fruits Stone and Pome Fruits - Irrigated Stone and Pome Fruits - Stock Watering Stone Fruits Stone Fruits - Irrigated Stone Fruits and Others Stone Fruits and Others - Irrigated Strata Unit or Flat  (Unspecified) Strata/Subdivided Office Sub-div Land (Multi Lot) SUBDIVIDED LAND - DISCOUNTED BY LG Subdivisional Land (In globo/Potential) Sugar Cane SURGERY Swamp Or Land Subject to Flooding Telecommunications N.E.C. Terrace Tomatoes - Irrigated Tourist Park/Caravan Park/Camping Ground Townhouse Townhouse - Defined As Home Unit With Both Ground and First Floor Areas Training Facilities TRIPLEX UNIT Tropical Fruits Truck Freight Garaging and Equipment Maintenance Truck Freight Terminal Turf Farms Undetermined Land Use Undeveloped Reserve Utility Services-Sewer/Water Vacant - Large Housesite Vacant Allotment Conservation Or Recreation Vacant Gov Admin Dev Site Vacant In globo Residential Subdivisional Land Vacant Land Vacant Land - Native Veg/Bushland with Covenant Vacant Land - Native Vegetation/Bushland VACANT LAND - NON-RESIDENTIAL VACANT LAND - RESIDENTIAL Vacant Land - Rural Residential (No Primary Production) Vacant Land With Minor Improvements (Rural Living) Vacant Land With Minor Improvements (Urban) Vacant Land-Urban Vacant Res Rural / Rural Lifestyle Vacant Residential Dwelling Site/Surveyed Lot Vacant Rural Land (Excl 01 &amp; 04) Vacant Urban Land Vacant-Englobo/Broad Hectares Vacant-Residential Vacant-Rur Resid.With Rural Cl Vacant-Rural Residential Vegetables Vegetables - Irrigated Vegetables - Stock Watering Vines Vines - Irrigated Vines - Stock Watering Vines (Non-Viable) Vines and Others Vines and Others - Irrigated Vines and Others - Nursery Vines and Others - Stock Watering Vines and Stock Vines and Stock - Irrigated Vineyard VINEYARD, RESIDENCE Vineyard-All Irrigated Vineyard-Irrigation Scheme Vineyard-Not Irrigated Vineyard-Part Irrigated Vineyards Warehouse Warehouse &amp; Bulk Stores Warehouse/Showroom Water Catchment Area Water Storage Water Store Dam (Non-Catchment) Water, Sewage Disposal Wind Farm Electricity Generation Wooded Area WORKSHOP YARD (blank)</w:t>
            </w:r>
          </w:p>
        </w:tc>
      </w:tr>
      <w:tr w:rsidR="00EF1BA0" w:rsidRPr="00EF1BA0" w14:paraId="63429F76"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B61984F"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6A1D1425"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Agricultural Services</w:t>
            </w:r>
          </w:p>
        </w:tc>
        <w:tc>
          <w:tcPr>
            <w:tcW w:w="0" w:type="auto"/>
            <w:vMerge/>
            <w:tcBorders>
              <w:top w:val="single" w:sz="4" w:space="0" w:color="auto"/>
              <w:left w:val="nil"/>
              <w:bottom w:val="single" w:sz="8" w:space="0" w:color="auto"/>
              <w:right w:val="nil"/>
            </w:tcBorders>
            <w:vAlign w:val="bottom"/>
            <w:hideMark/>
          </w:tcPr>
          <w:p w14:paraId="789ABC9C" w14:textId="77777777" w:rsidR="00EF1BA0" w:rsidRPr="00EF1BA0" w:rsidRDefault="00EF1BA0" w:rsidP="00EF1BA0">
            <w:pPr>
              <w:rPr>
                <w:rFonts w:eastAsia="Times New Roman"/>
                <w:color w:val="000000"/>
                <w:sz w:val="12"/>
                <w:szCs w:val="16"/>
                <w:lang w:eastAsia="en-AU"/>
              </w:rPr>
            </w:pPr>
          </w:p>
        </w:tc>
      </w:tr>
      <w:tr w:rsidR="00EF1BA0" w:rsidRPr="00EF1BA0" w14:paraId="66DAFA85"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0DEC5633"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3EB39E52"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Automotive</w:t>
            </w:r>
          </w:p>
        </w:tc>
        <w:tc>
          <w:tcPr>
            <w:tcW w:w="0" w:type="auto"/>
            <w:vMerge/>
            <w:tcBorders>
              <w:top w:val="single" w:sz="4" w:space="0" w:color="auto"/>
              <w:left w:val="nil"/>
              <w:bottom w:val="single" w:sz="8" w:space="0" w:color="auto"/>
              <w:right w:val="nil"/>
            </w:tcBorders>
            <w:vAlign w:val="bottom"/>
            <w:hideMark/>
          </w:tcPr>
          <w:p w14:paraId="0BCD87AF" w14:textId="77777777" w:rsidR="00EF1BA0" w:rsidRPr="00EF1BA0" w:rsidRDefault="00EF1BA0" w:rsidP="00EF1BA0">
            <w:pPr>
              <w:rPr>
                <w:rFonts w:eastAsia="Times New Roman"/>
                <w:color w:val="000000"/>
                <w:sz w:val="12"/>
                <w:szCs w:val="16"/>
                <w:lang w:eastAsia="en-AU"/>
              </w:rPr>
            </w:pPr>
          </w:p>
        </w:tc>
      </w:tr>
      <w:tr w:rsidR="00EF1BA0" w:rsidRPr="00EF1BA0" w14:paraId="4DC78F3B"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9C9B820"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4AA98E79"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Business/Office Services</w:t>
            </w:r>
          </w:p>
        </w:tc>
        <w:tc>
          <w:tcPr>
            <w:tcW w:w="0" w:type="auto"/>
            <w:vMerge/>
            <w:tcBorders>
              <w:top w:val="single" w:sz="4" w:space="0" w:color="auto"/>
              <w:left w:val="nil"/>
              <w:bottom w:val="single" w:sz="8" w:space="0" w:color="auto"/>
              <w:right w:val="nil"/>
            </w:tcBorders>
            <w:vAlign w:val="bottom"/>
            <w:hideMark/>
          </w:tcPr>
          <w:p w14:paraId="65CB92B1" w14:textId="77777777" w:rsidR="00EF1BA0" w:rsidRPr="00EF1BA0" w:rsidRDefault="00EF1BA0" w:rsidP="00EF1BA0">
            <w:pPr>
              <w:rPr>
                <w:rFonts w:eastAsia="Times New Roman"/>
                <w:color w:val="000000"/>
                <w:sz w:val="12"/>
                <w:szCs w:val="16"/>
                <w:lang w:eastAsia="en-AU"/>
              </w:rPr>
            </w:pPr>
          </w:p>
        </w:tc>
      </w:tr>
      <w:tr w:rsidR="00EF1BA0" w:rsidRPr="00EF1BA0" w14:paraId="6356E1BD"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BCE98BB"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3FC63705"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Fishing &amp; Forestry</w:t>
            </w:r>
          </w:p>
        </w:tc>
        <w:tc>
          <w:tcPr>
            <w:tcW w:w="0" w:type="auto"/>
            <w:vMerge/>
            <w:tcBorders>
              <w:top w:val="single" w:sz="4" w:space="0" w:color="auto"/>
              <w:left w:val="nil"/>
              <w:bottom w:val="single" w:sz="8" w:space="0" w:color="auto"/>
              <w:right w:val="nil"/>
            </w:tcBorders>
            <w:vAlign w:val="bottom"/>
            <w:hideMark/>
          </w:tcPr>
          <w:p w14:paraId="323982AC" w14:textId="77777777" w:rsidR="00EF1BA0" w:rsidRPr="00EF1BA0" w:rsidRDefault="00EF1BA0" w:rsidP="00EF1BA0">
            <w:pPr>
              <w:rPr>
                <w:rFonts w:eastAsia="Times New Roman"/>
                <w:color w:val="000000"/>
                <w:sz w:val="12"/>
                <w:szCs w:val="16"/>
                <w:lang w:eastAsia="en-AU"/>
              </w:rPr>
            </w:pPr>
          </w:p>
        </w:tc>
      </w:tr>
      <w:tr w:rsidR="00EF1BA0" w:rsidRPr="00EF1BA0" w14:paraId="78273AFD"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71F0706"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1C5D3238"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Health &amp; Education</w:t>
            </w:r>
          </w:p>
        </w:tc>
        <w:tc>
          <w:tcPr>
            <w:tcW w:w="0" w:type="auto"/>
            <w:vMerge/>
            <w:tcBorders>
              <w:top w:val="single" w:sz="4" w:space="0" w:color="auto"/>
              <w:left w:val="nil"/>
              <w:bottom w:val="single" w:sz="8" w:space="0" w:color="auto"/>
              <w:right w:val="nil"/>
            </w:tcBorders>
            <w:vAlign w:val="bottom"/>
            <w:hideMark/>
          </w:tcPr>
          <w:p w14:paraId="3E5C5B4C" w14:textId="77777777" w:rsidR="00EF1BA0" w:rsidRPr="00EF1BA0" w:rsidRDefault="00EF1BA0" w:rsidP="00EF1BA0">
            <w:pPr>
              <w:rPr>
                <w:rFonts w:eastAsia="Times New Roman"/>
                <w:color w:val="000000"/>
                <w:sz w:val="12"/>
                <w:szCs w:val="16"/>
                <w:lang w:eastAsia="en-AU"/>
              </w:rPr>
            </w:pPr>
          </w:p>
        </w:tc>
      </w:tr>
      <w:tr w:rsidR="00EF1BA0" w:rsidRPr="00EF1BA0" w14:paraId="7DEE627F"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40EE796"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1AD719B8"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Manufacturing</w:t>
            </w:r>
          </w:p>
        </w:tc>
        <w:tc>
          <w:tcPr>
            <w:tcW w:w="0" w:type="auto"/>
            <w:vMerge/>
            <w:tcBorders>
              <w:top w:val="single" w:sz="4" w:space="0" w:color="auto"/>
              <w:left w:val="nil"/>
              <w:bottom w:val="single" w:sz="8" w:space="0" w:color="auto"/>
              <w:right w:val="nil"/>
            </w:tcBorders>
            <w:vAlign w:val="bottom"/>
            <w:hideMark/>
          </w:tcPr>
          <w:p w14:paraId="49027279" w14:textId="77777777" w:rsidR="00EF1BA0" w:rsidRPr="00EF1BA0" w:rsidRDefault="00EF1BA0" w:rsidP="00EF1BA0">
            <w:pPr>
              <w:rPr>
                <w:rFonts w:eastAsia="Times New Roman"/>
                <w:color w:val="000000"/>
                <w:sz w:val="12"/>
                <w:szCs w:val="16"/>
                <w:lang w:eastAsia="en-AU"/>
              </w:rPr>
            </w:pPr>
          </w:p>
        </w:tc>
      </w:tr>
      <w:tr w:rsidR="00EF1BA0" w:rsidRPr="00EF1BA0" w14:paraId="53524DCA"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3D459A79"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3243E302"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Mining</w:t>
            </w:r>
          </w:p>
        </w:tc>
        <w:tc>
          <w:tcPr>
            <w:tcW w:w="0" w:type="auto"/>
            <w:vMerge/>
            <w:tcBorders>
              <w:top w:val="single" w:sz="4" w:space="0" w:color="auto"/>
              <w:left w:val="nil"/>
              <w:bottom w:val="single" w:sz="8" w:space="0" w:color="auto"/>
              <w:right w:val="nil"/>
            </w:tcBorders>
            <w:vAlign w:val="bottom"/>
            <w:hideMark/>
          </w:tcPr>
          <w:p w14:paraId="71688F67" w14:textId="77777777" w:rsidR="00EF1BA0" w:rsidRPr="00EF1BA0" w:rsidRDefault="00EF1BA0" w:rsidP="00EF1BA0">
            <w:pPr>
              <w:rPr>
                <w:rFonts w:eastAsia="Times New Roman"/>
                <w:color w:val="000000"/>
                <w:sz w:val="12"/>
                <w:szCs w:val="16"/>
                <w:lang w:eastAsia="en-AU"/>
              </w:rPr>
            </w:pPr>
          </w:p>
        </w:tc>
      </w:tr>
      <w:tr w:rsidR="00EF1BA0" w:rsidRPr="00EF1BA0" w14:paraId="28473B21"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77F2377"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38040FC"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Personal/Other Services</w:t>
            </w:r>
          </w:p>
        </w:tc>
        <w:tc>
          <w:tcPr>
            <w:tcW w:w="0" w:type="auto"/>
            <w:vMerge/>
            <w:tcBorders>
              <w:top w:val="single" w:sz="4" w:space="0" w:color="auto"/>
              <w:left w:val="nil"/>
              <w:bottom w:val="single" w:sz="8" w:space="0" w:color="auto"/>
              <w:right w:val="nil"/>
            </w:tcBorders>
            <w:vAlign w:val="bottom"/>
            <w:hideMark/>
          </w:tcPr>
          <w:p w14:paraId="6A49B23A" w14:textId="77777777" w:rsidR="00EF1BA0" w:rsidRPr="00EF1BA0" w:rsidRDefault="00EF1BA0" w:rsidP="00EF1BA0">
            <w:pPr>
              <w:rPr>
                <w:rFonts w:eastAsia="Times New Roman"/>
                <w:color w:val="000000"/>
                <w:sz w:val="12"/>
                <w:szCs w:val="16"/>
                <w:lang w:eastAsia="en-AU"/>
              </w:rPr>
            </w:pPr>
          </w:p>
        </w:tc>
      </w:tr>
      <w:tr w:rsidR="00EF1BA0" w:rsidRPr="00EF1BA0" w14:paraId="3886138C"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4FB43595"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4F7871B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Retail Food</w:t>
            </w:r>
          </w:p>
        </w:tc>
        <w:tc>
          <w:tcPr>
            <w:tcW w:w="0" w:type="auto"/>
            <w:vMerge/>
            <w:tcBorders>
              <w:top w:val="single" w:sz="4" w:space="0" w:color="auto"/>
              <w:left w:val="nil"/>
              <w:bottom w:val="single" w:sz="8" w:space="0" w:color="auto"/>
              <w:right w:val="nil"/>
            </w:tcBorders>
            <w:vAlign w:val="bottom"/>
            <w:hideMark/>
          </w:tcPr>
          <w:p w14:paraId="5AB04CFB" w14:textId="77777777" w:rsidR="00EF1BA0" w:rsidRPr="00EF1BA0" w:rsidRDefault="00EF1BA0" w:rsidP="00EF1BA0">
            <w:pPr>
              <w:rPr>
                <w:rFonts w:eastAsia="Times New Roman"/>
                <w:color w:val="000000"/>
                <w:sz w:val="12"/>
                <w:szCs w:val="16"/>
                <w:lang w:eastAsia="en-AU"/>
              </w:rPr>
            </w:pPr>
          </w:p>
        </w:tc>
      </w:tr>
      <w:tr w:rsidR="00EF1BA0" w:rsidRPr="00EF1BA0" w14:paraId="5997242E"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0AA8BDF3"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68BCFD3"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Retail Trade</w:t>
            </w:r>
          </w:p>
        </w:tc>
        <w:tc>
          <w:tcPr>
            <w:tcW w:w="0" w:type="auto"/>
            <w:vMerge/>
            <w:tcBorders>
              <w:top w:val="single" w:sz="4" w:space="0" w:color="auto"/>
              <w:left w:val="nil"/>
              <w:bottom w:val="single" w:sz="8" w:space="0" w:color="auto"/>
              <w:right w:val="nil"/>
            </w:tcBorders>
            <w:vAlign w:val="bottom"/>
            <w:hideMark/>
          </w:tcPr>
          <w:p w14:paraId="3CB07C23" w14:textId="77777777" w:rsidR="00EF1BA0" w:rsidRPr="00EF1BA0" w:rsidRDefault="00EF1BA0" w:rsidP="00EF1BA0">
            <w:pPr>
              <w:rPr>
                <w:rFonts w:eastAsia="Times New Roman"/>
                <w:color w:val="000000"/>
                <w:sz w:val="12"/>
                <w:szCs w:val="16"/>
                <w:lang w:eastAsia="en-AU"/>
              </w:rPr>
            </w:pPr>
          </w:p>
        </w:tc>
      </w:tr>
      <w:tr w:rsidR="00EF1BA0" w:rsidRPr="00EF1BA0" w14:paraId="1C0A13C9"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653CDE8"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280F04EA"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Tourist &amp; Leisure Services</w:t>
            </w:r>
          </w:p>
        </w:tc>
        <w:tc>
          <w:tcPr>
            <w:tcW w:w="0" w:type="auto"/>
            <w:vMerge/>
            <w:tcBorders>
              <w:top w:val="single" w:sz="4" w:space="0" w:color="auto"/>
              <w:left w:val="nil"/>
              <w:bottom w:val="single" w:sz="8" w:space="0" w:color="auto"/>
              <w:right w:val="nil"/>
            </w:tcBorders>
            <w:vAlign w:val="bottom"/>
            <w:hideMark/>
          </w:tcPr>
          <w:p w14:paraId="633C515C" w14:textId="77777777" w:rsidR="00EF1BA0" w:rsidRPr="00EF1BA0" w:rsidRDefault="00EF1BA0" w:rsidP="00EF1BA0">
            <w:pPr>
              <w:rPr>
                <w:rFonts w:eastAsia="Times New Roman"/>
                <w:color w:val="000000"/>
                <w:sz w:val="12"/>
                <w:szCs w:val="16"/>
                <w:lang w:eastAsia="en-AU"/>
              </w:rPr>
            </w:pPr>
          </w:p>
        </w:tc>
      </w:tr>
      <w:tr w:rsidR="00EF1BA0" w:rsidRPr="00EF1BA0" w14:paraId="3A7E14D1"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49A5C5EF"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77A73956"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Transport &amp; Storage</w:t>
            </w:r>
          </w:p>
        </w:tc>
        <w:tc>
          <w:tcPr>
            <w:tcW w:w="0" w:type="auto"/>
            <w:vMerge/>
            <w:tcBorders>
              <w:top w:val="single" w:sz="4" w:space="0" w:color="auto"/>
              <w:left w:val="nil"/>
              <w:bottom w:val="single" w:sz="8" w:space="0" w:color="auto"/>
              <w:right w:val="nil"/>
            </w:tcBorders>
            <w:vAlign w:val="bottom"/>
            <w:hideMark/>
          </w:tcPr>
          <w:p w14:paraId="654F9E70" w14:textId="77777777" w:rsidR="00EF1BA0" w:rsidRPr="00EF1BA0" w:rsidRDefault="00EF1BA0" w:rsidP="00EF1BA0">
            <w:pPr>
              <w:rPr>
                <w:rFonts w:eastAsia="Times New Roman"/>
                <w:color w:val="000000"/>
                <w:sz w:val="12"/>
                <w:szCs w:val="16"/>
                <w:lang w:eastAsia="en-AU"/>
              </w:rPr>
            </w:pPr>
          </w:p>
        </w:tc>
      </w:tr>
      <w:tr w:rsidR="00EF1BA0" w:rsidRPr="00EF1BA0" w14:paraId="52118E6D"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1F15F82"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73E9BFF0"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Wholesale Trade</w:t>
            </w:r>
          </w:p>
        </w:tc>
        <w:tc>
          <w:tcPr>
            <w:tcW w:w="0" w:type="auto"/>
            <w:vMerge/>
            <w:tcBorders>
              <w:top w:val="single" w:sz="4" w:space="0" w:color="auto"/>
              <w:left w:val="nil"/>
              <w:bottom w:val="single" w:sz="8" w:space="0" w:color="auto"/>
              <w:right w:val="nil"/>
            </w:tcBorders>
            <w:vAlign w:val="bottom"/>
            <w:hideMark/>
          </w:tcPr>
          <w:p w14:paraId="69753F7D" w14:textId="77777777" w:rsidR="00EF1BA0" w:rsidRPr="00EF1BA0" w:rsidRDefault="00EF1BA0" w:rsidP="00EF1BA0">
            <w:pPr>
              <w:rPr>
                <w:rFonts w:eastAsia="Times New Roman"/>
                <w:color w:val="000000"/>
                <w:sz w:val="12"/>
                <w:szCs w:val="16"/>
                <w:lang w:eastAsia="en-AU"/>
              </w:rPr>
            </w:pPr>
          </w:p>
        </w:tc>
      </w:tr>
      <w:tr w:rsidR="00EF1BA0" w:rsidRPr="00EF1BA0" w14:paraId="79F2402B" w14:textId="77777777" w:rsidTr="00EF1BA0">
        <w:trPr>
          <w:trHeight w:val="20"/>
        </w:trPr>
        <w:tc>
          <w:tcPr>
            <w:tcW w:w="1543" w:type="dxa"/>
            <w:vMerge w:val="restart"/>
            <w:tcBorders>
              <w:top w:val="single" w:sz="4" w:space="0" w:color="auto"/>
              <w:left w:val="nil"/>
              <w:bottom w:val="single" w:sz="4" w:space="0" w:color="auto"/>
              <w:right w:val="nil"/>
            </w:tcBorders>
            <w:noWrap/>
            <w:vAlign w:val="center"/>
            <w:hideMark/>
          </w:tcPr>
          <w:p w14:paraId="0691DAA5"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Commercial</w:t>
            </w:r>
          </w:p>
        </w:tc>
        <w:tc>
          <w:tcPr>
            <w:tcW w:w="2166" w:type="dxa"/>
            <w:tcBorders>
              <w:top w:val="single" w:sz="4" w:space="0" w:color="auto"/>
              <w:left w:val="nil"/>
              <w:bottom w:val="single" w:sz="4" w:space="0" w:color="auto"/>
              <w:right w:val="nil"/>
            </w:tcBorders>
            <w:noWrap/>
            <w:vAlign w:val="center"/>
            <w:hideMark/>
          </w:tcPr>
          <w:p w14:paraId="247DA6C3"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Industrial Building</w:t>
            </w:r>
          </w:p>
        </w:tc>
        <w:tc>
          <w:tcPr>
            <w:tcW w:w="0" w:type="auto"/>
            <w:vMerge/>
            <w:tcBorders>
              <w:top w:val="single" w:sz="4" w:space="0" w:color="auto"/>
              <w:left w:val="nil"/>
              <w:bottom w:val="single" w:sz="8" w:space="0" w:color="auto"/>
              <w:right w:val="nil"/>
            </w:tcBorders>
            <w:vAlign w:val="bottom"/>
            <w:hideMark/>
          </w:tcPr>
          <w:p w14:paraId="037350DF" w14:textId="77777777" w:rsidR="00EF1BA0" w:rsidRPr="00EF1BA0" w:rsidRDefault="00EF1BA0" w:rsidP="00EF1BA0">
            <w:pPr>
              <w:rPr>
                <w:rFonts w:eastAsia="Times New Roman"/>
                <w:color w:val="000000"/>
                <w:sz w:val="12"/>
                <w:szCs w:val="16"/>
                <w:lang w:eastAsia="en-AU"/>
              </w:rPr>
            </w:pPr>
          </w:p>
        </w:tc>
      </w:tr>
      <w:tr w:rsidR="00EF1BA0" w:rsidRPr="00EF1BA0" w14:paraId="5EB3EC9D"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5D94A48F"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2A79F45E"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Office Building</w:t>
            </w:r>
          </w:p>
        </w:tc>
        <w:tc>
          <w:tcPr>
            <w:tcW w:w="0" w:type="auto"/>
            <w:vMerge/>
            <w:tcBorders>
              <w:top w:val="single" w:sz="4" w:space="0" w:color="auto"/>
              <w:left w:val="nil"/>
              <w:bottom w:val="single" w:sz="8" w:space="0" w:color="auto"/>
              <w:right w:val="nil"/>
            </w:tcBorders>
            <w:vAlign w:val="bottom"/>
            <w:hideMark/>
          </w:tcPr>
          <w:p w14:paraId="23A07BA3" w14:textId="77777777" w:rsidR="00EF1BA0" w:rsidRPr="00EF1BA0" w:rsidRDefault="00EF1BA0" w:rsidP="00EF1BA0">
            <w:pPr>
              <w:rPr>
                <w:rFonts w:eastAsia="Times New Roman"/>
                <w:color w:val="000000"/>
                <w:sz w:val="12"/>
                <w:szCs w:val="16"/>
                <w:lang w:eastAsia="en-AU"/>
              </w:rPr>
            </w:pPr>
          </w:p>
        </w:tc>
      </w:tr>
      <w:tr w:rsidR="00EF1BA0" w:rsidRPr="00EF1BA0" w14:paraId="2ED5D1A3"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3789190E"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2192F5A5"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Retail Building</w:t>
            </w:r>
          </w:p>
        </w:tc>
        <w:tc>
          <w:tcPr>
            <w:tcW w:w="0" w:type="auto"/>
            <w:vMerge/>
            <w:tcBorders>
              <w:top w:val="single" w:sz="4" w:space="0" w:color="auto"/>
              <w:left w:val="nil"/>
              <w:bottom w:val="single" w:sz="8" w:space="0" w:color="auto"/>
              <w:right w:val="nil"/>
            </w:tcBorders>
            <w:vAlign w:val="bottom"/>
            <w:hideMark/>
          </w:tcPr>
          <w:p w14:paraId="1DE68054" w14:textId="77777777" w:rsidR="00EF1BA0" w:rsidRPr="00EF1BA0" w:rsidRDefault="00EF1BA0" w:rsidP="00EF1BA0">
            <w:pPr>
              <w:rPr>
                <w:rFonts w:eastAsia="Times New Roman"/>
                <w:color w:val="000000"/>
                <w:sz w:val="12"/>
                <w:szCs w:val="16"/>
                <w:lang w:eastAsia="en-AU"/>
              </w:rPr>
            </w:pPr>
          </w:p>
        </w:tc>
      </w:tr>
      <w:tr w:rsidR="00EF1BA0" w:rsidRPr="00EF1BA0" w14:paraId="13F938B5" w14:textId="77777777" w:rsidTr="00EF1BA0">
        <w:trPr>
          <w:trHeight w:val="20"/>
        </w:trPr>
        <w:tc>
          <w:tcPr>
            <w:tcW w:w="1543" w:type="dxa"/>
            <w:vMerge w:val="restart"/>
            <w:tcBorders>
              <w:top w:val="single" w:sz="4" w:space="0" w:color="auto"/>
              <w:left w:val="nil"/>
              <w:bottom w:val="single" w:sz="4" w:space="0" w:color="auto"/>
              <w:right w:val="nil"/>
            </w:tcBorders>
            <w:noWrap/>
            <w:vAlign w:val="center"/>
            <w:hideMark/>
          </w:tcPr>
          <w:p w14:paraId="5BD819C1"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Community</w:t>
            </w:r>
          </w:p>
        </w:tc>
        <w:tc>
          <w:tcPr>
            <w:tcW w:w="2166" w:type="dxa"/>
            <w:tcBorders>
              <w:top w:val="single" w:sz="4" w:space="0" w:color="auto"/>
              <w:left w:val="nil"/>
              <w:bottom w:val="single" w:sz="4" w:space="0" w:color="auto"/>
              <w:right w:val="nil"/>
            </w:tcBorders>
            <w:noWrap/>
            <w:vAlign w:val="center"/>
            <w:hideMark/>
          </w:tcPr>
          <w:p w14:paraId="0C60DC28"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Centres</w:t>
            </w:r>
          </w:p>
        </w:tc>
        <w:tc>
          <w:tcPr>
            <w:tcW w:w="0" w:type="auto"/>
            <w:vMerge/>
            <w:tcBorders>
              <w:top w:val="single" w:sz="4" w:space="0" w:color="auto"/>
              <w:left w:val="nil"/>
              <w:bottom w:val="single" w:sz="8" w:space="0" w:color="auto"/>
              <w:right w:val="nil"/>
            </w:tcBorders>
            <w:vAlign w:val="bottom"/>
            <w:hideMark/>
          </w:tcPr>
          <w:p w14:paraId="7AEA923D" w14:textId="77777777" w:rsidR="00EF1BA0" w:rsidRPr="00EF1BA0" w:rsidRDefault="00EF1BA0" w:rsidP="00EF1BA0">
            <w:pPr>
              <w:rPr>
                <w:rFonts w:eastAsia="Times New Roman"/>
                <w:color w:val="000000"/>
                <w:sz w:val="12"/>
                <w:szCs w:val="16"/>
                <w:lang w:eastAsia="en-AU"/>
              </w:rPr>
            </w:pPr>
          </w:p>
        </w:tc>
      </w:tr>
      <w:tr w:rsidR="00EF1BA0" w:rsidRPr="00EF1BA0" w14:paraId="788AFCBF"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5B0125AF"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560F91A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Education</w:t>
            </w:r>
          </w:p>
        </w:tc>
        <w:tc>
          <w:tcPr>
            <w:tcW w:w="0" w:type="auto"/>
            <w:vMerge/>
            <w:tcBorders>
              <w:top w:val="single" w:sz="4" w:space="0" w:color="auto"/>
              <w:left w:val="nil"/>
              <w:bottom w:val="single" w:sz="8" w:space="0" w:color="auto"/>
              <w:right w:val="nil"/>
            </w:tcBorders>
            <w:vAlign w:val="bottom"/>
            <w:hideMark/>
          </w:tcPr>
          <w:p w14:paraId="2E54714A" w14:textId="77777777" w:rsidR="00EF1BA0" w:rsidRPr="00EF1BA0" w:rsidRDefault="00EF1BA0" w:rsidP="00EF1BA0">
            <w:pPr>
              <w:rPr>
                <w:rFonts w:eastAsia="Times New Roman"/>
                <w:color w:val="000000"/>
                <w:sz w:val="12"/>
                <w:szCs w:val="16"/>
                <w:lang w:eastAsia="en-AU"/>
              </w:rPr>
            </w:pPr>
          </w:p>
        </w:tc>
      </w:tr>
      <w:tr w:rsidR="00EF1BA0" w:rsidRPr="00EF1BA0" w14:paraId="799E5BD3"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070F1590"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68BAF79F"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Government</w:t>
            </w:r>
          </w:p>
        </w:tc>
        <w:tc>
          <w:tcPr>
            <w:tcW w:w="0" w:type="auto"/>
            <w:vMerge/>
            <w:tcBorders>
              <w:top w:val="single" w:sz="4" w:space="0" w:color="auto"/>
              <w:left w:val="nil"/>
              <w:bottom w:val="single" w:sz="8" w:space="0" w:color="auto"/>
              <w:right w:val="nil"/>
            </w:tcBorders>
            <w:vAlign w:val="bottom"/>
            <w:hideMark/>
          </w:tcPr>
          <w:p w14:paraId="67BA8572" w14:textId="77777777" w:rsidR="00EF1BA0" w:rsidRPr="00EF1BA0" w:rsidRDefault="00EF1BA0" w:rsidP="00EF1BA0">
            <w:pPr>
              <w:rPr>
                <w:rFonts w:eastAsia="Times New Roman"/>
                <w:color w:val="000000"/>
                <w:sz w:val="12"/>
                <w:szCs w:val="16"/>
                <w:lang w:eastAsia="en-AU"/>
              </w:rPr>
            </w:pPr>
          </w:p>
        </w:tc>
      </w:tr>
      <w:tr w:rsidR="00EF1BA0" w:rsidRPr="00EF1BA0" w14:paraId="3AC35656"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4B359FB1"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633C34D2"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Religious</w:t>
            </w:r>
          </w:p>
        </w:tc>
        <w:tc>
          <w:tcPr>
            <w:tcW w:w="0" w:type="auto"/>
            <w:vMerge/>
            <w:tcBorders>
              <w:top w:val="single" w:sz="4" w:space="0" w:color="auto"/>
              <w:left w:val="nil"/>
              <w:bottom w:val="single" w:sz="8" w:space="0" w:color="auto"/>
              <w:right w:val="nil"/>
            </w:tcBorders>
            <w:vAlign w:val="bottom"/>
            <w:hideMark/>
          </w:tcPr>
          <w:p w14:paraId="17C34F3B" w14:textId="77777777" w:rsidR="00EF1BA0" w:rsidRPr="00EF1BA0" w:rsidRDefault="00EF1BA0" w:rsidP="00EF1BA0">
            <w:pPr>
              <w:rPr>
                <w:rFonts w:eastAsia="Times New Roman"/>
                <w:color w:val="000000"/>
                <w:sz w:val="12"/>
                <w:szCs w:val="16"/>
                <w:lang w:eastAsia="en-AU"/>
              </w:rPr>
            </w:pPr>
          </w:p>
        </w:tc>
      </w:tr>
      <w:tr w:rsidR="00EF1BA0" w:rsidRPr="00EF1BA0" w14:paraId="2217BB16" w14:textId="77777777" w:rsidTr="007728BB">
        <w:trPr>
          <w:trHeight w:val="20"/>
        </w:trPr>
        <w:tc>
          <w:tcPr>
            <w:tcW w:w="1543" w:type="dxa"/>
            <w:vMerge w:val="restart"/>
            <w:tcBorders>
              <w:top w:val="single" w:sz="4" w:space="0" w:color="auto"/>
              <w:left w:val="nil"/>
              <w:bottom w:val="single" w:sz="4" w:space="0" w:color="auto"/>
              <w:right w:val="nil"/>
            </w:tcBorders>
            <w:shd w:val="clear" w:color="auto" w:fill="EE7300"/>
            <w:noWrap/>
            <w:vAlign w:val="center"/>
            <w:hideMark/>
          </w:tcPr>
          <w:p w14:paraId="72D3FB27"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Farm</w:t>
            </w:r>
          </w:p>
        </w:tc>
        <w:tc>
          <w:tcPr>
            <w:tcW w:w="2166" w:type="dxa"/>
            <w:tcBorders>
              <w:top w:val="single" w:sz="4" w:space="0" w:color="auto"/>
              <w:left w:val="nil"/>
              <w:bottom w:val="single" w:sz="4" w:space="0" w:color="auto"/>
              <w:right w:val="nil"/>
            </w:tcBorders>
            <w:shd w:val="clear" w:color="auto" w:fill="EE7300"/>
            <w:noWrap/>
            <w:vAlign w:val="center"/>
            <w:hideMark/>
          </w:tcPr>
          <w:p w14:paraId="4957062C"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Cattle Beef</w:t>
            </w:r>
          </w:p>
        </w:tc>
        <w:tc>
          <w:tcPr>
            <w:tcW w:w="0" w:type="auto"/>
            <w:vMerge/>
            <w:tcBorders>
              <w:top w:val="single" w:sz="4" w:space="0" w:color="auto"/>
              <w:left w:val="nil"/>
              <w:bottom w:val="single" w:sz="8" w:space="0" w:color="auto"/>
              <w:right w:val="nil"/>
            </w:tcBorders>
            <w:vAlign w:val="bottom"/>
            <w:hideMark/>
          </w:tcPr>
          <w:p w14:paraId="2A949B54" w14:textId="77777777" w:rsidR="00EF1BA0" w:rsidRPr="00EF1BA0" w:rsidRDefault="00EF1BA0" w:rsidP="00EF1BA0">
            <w:pPr>
              <w:rPr>
                <w:rFonts w:eastAsia="Times New Roman"/>
                <w:color w:val="000000"/>
                <w:sz w:val="12"/>
                <w:szCs w:val="16"/>
                <w:lang w:eastAsia="en-AU"/>
              </w:rPr>
            </w:pPr>
          </w:p>
        </w:tc>
      </w:tr>
      <w:tr w:rsidR="00EF1BA0" w:rsidRPr="00EF1BA0" w14:paraId="2AC530F6"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0370FF1B"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EE7300"/>
            <w:noWrap/>
            <w:vAlign w:val="center"/>
            <w:hideMark/>
          </w:tcPr>
          <w:p w14:paraId="20F7668F"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Cattle Dairy</w:t>
            </w:r>
          </w:p>
        </w:tc>
        <w:tc>
          <w:tcPr>
            <w:tcW w:w="0" w:type="auto"/>
            <w:vMerge/>
            <w:tcBorders>
              <w:top w:val="single" w:sz="4" w:space="0" w:color="auto"/>
              <w:left w:val="nil"/>
              <w:bottom w:val="single" w:sz="8" w:space="0" w:color="auto"/>
              <w:right w:val="nil"/>
            </w:tcBorders>
            <w:vAlign w:val="bottom"/>
            <w:hideMark/>
          </w:tcPr>
          <w:p w14:paraId="4E2634D2" w14:textId="77777777" w:rsidR="00EF1BA0" w:rsidRPr="00EF1BA0" w:rsidRDefault="00EF1BA0" w:rsidP="00EF1BA0">
            <w:pPr>
              <w:rPr>
                <w:rFonts w:eastAsia="Times New Roman"/>
                <w:color w:val="000000"/>
                <w:sz w:val="12"/>
                <w:szCs w:val="16"/>
                <w:lang w:eastAsia="en-AU"/>
              </w:rPr>
            </w:pPr>
          </w:p>
        </w:tc>
      </w:tr>
      <w:tr w:rsidR="00EF1BA0" w:rsidRPr="00EF1BA0" w14:paraId="0762BA2F"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69F40A95"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EE7300"/>
            <w:noWrap/>
            <w:vAlign w:val="center"/>
            <w:hideMark/>
          </w:tcPr>
          <w:p w14:paraId="5246DF54"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General</w:t>
            </w:r>
          </w:p>
        </w:tc>
        <w:tc>
          <w:tcPr>
            <w:tcW w:w="0" w:type="auto"/>
            <w:vMerge/>
            <w:tcBorders>
              <w:top w:val="single" w:sz="4" w:space="0" w:color="auto"/>
              <w:left w:val="nil"/>
              <w:bottom w:val="single" w:sz="8" w:space="0" w:color="auto"/>
              <w:right w:val="nil"/>
            </w:tcBorders>
            <w:vAlign w:val="bottom"/>
            <w:hideMark/>
          </w:tcPr>
          <w:p w14:paraId="03F27442" w14:textId="77777777" w:rsidR="00EF1BA0" w:rsidRPr="00EF1BA0" w:rsidRDefault="00EF1BA0" w:rsidP="00EF1BA0">
            <w:pPr>
              <w:rPr>
                <w:rFonts w:eastAsia="Times New Roman"/>
                <w:color w:val="000000"/>
                <w:sz w:val="12"/>
                <w:szCs w:val="16"/>
                <w:lang w:eastAsia="en-AU"/>
              </w:rPr>
            </w:pPr>
          </w:p>
        </w:tc>
      </w:tr>
      <w:tr w:rsidR="00EF1BA0" w:rsidRPr="00EF1BA0" w14:paraId="792CB720"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718D4502"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EE7300"/>
            <w:noWrap/>
            <w:vAlign w:val="center"/>
            <w:hideMark/>
          </w:tcPr>
          <w:p w14:paraId="539D56CF"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Grain &amp; Other Crops</w:t>
            </w:r>
          </w:p>
        </w:tc>
        <w:tc>
          <w:tcPr>
            <w:tcW w:w="0" w:type="auto"/>
            <w:vMerge/>
            <w:tcBorders>
              <w:top w:val="single" w:sz="4" w:space="0" w:color="auto"/>
              <w:left w:val="nil"/>
              <w:bottom w:val="single" w:sz="8" w:space="0" w:color="auto"/>
              <w:right w:val="nil"/>
            </w:tcBorders>
            <w:vAlign w:val="bottom"/>
            <w:hideMark/>
          </w:tcPr>
          <w:p w14:paraId="5618316B" w14:textId="77777777" w:rsidR="00EF1BA0" w:rsidRPr="00EF1BA0" w:rsidRDefault="00EF1BA0" w:rsidP="00EF1BA0">
            <w:pPr>
              <w:rPr>
                <w:rFonts w:eastAsia="Times New Roman"/>
                <w:color w:val="000000"/>
                <w:sz w:val="12"/>
                <w:szCs w:val="16"/>
                <w:lang w:eastAsia="en-AU"/>
              </w:rPr>
            </w:pPr>
          </w:p>
        </w:tc>
      </w:tr>
      <w:tr w:rsidR="00EF1BA0" w:rsidRPr="00EF1BA0" w14:paraId="68BBAFB4"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437A3DFC"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auto"/>
            <w:noWrap/>
            <w:vAlign w:val="center"/>
            <w:hideMark/>
          </w:tcPr>
          <w:p w14:paraId="43A8D406"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Hobby</w:t>
            </w:r>
          </w:p>
        </w:tc>
        <w:tc>
          <w:tcPr>
            <w:tcW w:w="0" w:type="auto"/>
            <w:vMerge/>
            <w:tcBorders>
              <w:top w:val="single" w:sz="4" w:space="0" w:color="auto"/>
              <w:left w:val="nil"/>
              <w:bottom w:val="single" w:sz="8" w:space="0" w:color="auto"/>
              <w:right w:val="nil"/>
            </w:tcBorders>
            <w:vAlign w:val="bottom"/>
            <w:hideMark/>
          </w:tcPr>
          <w:p w14:paraId="3EDABE1A" w14:textId="77777777" w:rsidR="00EF1BA0" w:rsidRPr="00EF1BA0" w:rsidRDefault="00EF1BA0" w:rsidP="00EF1BA0">
            <w:pPr>
              <w:rPr>
                <w:rFonts w:eastAsia="Times New Roman"/>
                <w:color w:val="000000"/>
                <w:sz w:val="12"/>
                <w:szCs w:val="16"/>
                <w:lang w:eastAsia="en-AU"/>
              </w:rPr>
            </w:pPr>
          </w:p>
        </w:tc>
      </w:tr>
      <w:tr w:rsidR="00EF1BA0" w:rsidRPr="00EF1BA0" w14:paraId="5EAE8B07"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03507871"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EE7300"/>
            <w:noWrap/>
            <w:vAlign w:val="center"/>
            <w:hideMark/>
          </w:tcPr>
          <w:p w14:paraId="412937AE"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Horticulture/Fruit Growing</w:t>
            </w:r>
          </w:p>
        </w:tc>
        <w:tc>
          <w:tcPr>
            <w:tcW w:w="0" w:type="auto"/>
            <w:vMerge/>
            <w:tcBorders>
              <w:top w:val="single" w:sz="4" w:space="0" w:color="auto"/>
              <w:left w:val="nil"/>
              <w:bottom w:val="single" w:sz="8" w:space="0" w:color="auto"/>
              <w:right w:val="nil"/>
            </w:tcBorders>
            <w:vAlign w:val="bottom"/>
            <w:hideMark/>
          </w:tcPr>
          <w:p w14:paraId="6549E3A1" w14:textId="77777777" w:rsidR="00EF1BA0" w:rsidRPr="00EF1BA0" w:rsidRDefault="00EF1BA0" w:rsidP="00EF1BA0">
            <w:pPr>
              <w:rPr>
                <w:rFonts w:eastAsia="Times New Roman"/>
                <w:color w:val="000000"/>
                <w:sz w:val="12"/>
                <w:szCs w:val="16"/>
                <w:lang w:eastAsia="en-AU"/>
              </w:rPr>
            </w:pPr>
          </w:p>
        </w:tc>
      </w:tr>
      <w:tr w:rsidR="00EF1BA0" w:rsidRPr="00EF1BA0" w14:paraId="32582FD8"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691868D4"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EE7300"/>
            <w:noWrap/>
            <w:vAlign w:val="center"/>
            <w:hideMark/>
          </w:tcPr>
          <w:p w14:paraId="687A6C53"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Other Livestock</w:t>
            </w:r>
          </w:p>
        </w:tc>
        <w:tc>
          <w:tcPr>
            <w:tcW w:w="0" w:type="auto"/>
            <w:vMerge/>
            <w:tcBorders>
              <w:top w:val="single" w:sz="4" w:space="0" w:color="auto"/>
              <w:left w:val="nil"/>
              <w:bottom w:val="single" w:sz="8" w:space="0" w:color="auto"/>
              <w:right w:val="nil"/>
            </w:tcBorders>
            <w:vAlign w:val="bottom"/>
            <w:hideMark/>
          </w:tcPr>
          <w:p w14:paraId="3B9A87CA" w14:textId="77777777" w:rsidR="00EF1BA0" w:rsidRPr="00EF1BA0" w:rsidRDefault="00EF1BA0" w:rsidP="00EF1BA0">
            <w:pPr>
              <w:rPr>
                <w:rFonts w:eastAsia="Times New Roman"/>
                <w:color w:val="000000"/>
                <w:sz w:val="12"/>
                <w:szCs w:val="16"/>
                <w:lang w:eastAsia="en-AU"/>
              </w:rPr>
            </w:pPr>
          </w:p>
        </w:tc>
      </w:tr>
      <w:tr w:rsidR="00EF1BA0" w:rsidRPr="00EF1BA0" w14:paraId="600ACEE8"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7C3034AD"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EE7300"/>
            <w:noWrap/>
            <w:vAlign w:val="center"/>
            <w:hideMark/>
          </w:tcPr>
          <w:p w14:paraId="6061CE6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Poultry</w:t>
            </w:r>
          </w:p>
        </w:tc>
        <w:tc>
          <w:tcPr>
            <w:tcW w:w="0" w:type="auto"/>
            <w:vMerge/>
            <w:tcBorders>
              <w:top w:val="single" w:sz="4" w:space="0" w:color="auto"/>
              <w:left w:val="nil"/>
              <w:bottom w:val="single" w:sz="8" w:space="0" w:color="auto"/>
              <w:right w:val="nil"/>
            </w:tcBorders>
            <w:vAlign w:val="bottom"/>
            <w:hideMark/>
          </w:tcPr>
          <w:p w14:paraId="233915EC" w14:textId="77777777" w:rsidR="00EF1BA0" w:rsidRPr="00EF1BA0" w:rsidRDefault="00EF1BA0" w:rsidP="00EF1BA0">
            <w:pPr>
              <w:rPr>
                <w:rFonts w:eastAsia="Times New Roman"/>
                <w:color w:val="000000"/>
                <w:sz w:val="12"/>
                <w:szCs w:val="16"/>
                <w:lang w:eastAsia="en-AU"/>
              </w:rPr>
            </w:pPr>
          </w:p>
        </w:tc>
      </w:tr>
      <w:tr w:rsidR="00EF1BA0" w:rsidRPr="00EF1BA0" w14:paraId="3325BD1C" w14:textId="77777777" w:rsidTr="007728BB">
        <w:trPr>
          <w:trHeight w:val="20"/>
        </w:trPr>
        <w:tc>
          <w:tcPr>
            <w:tcW w:w="0" w:type="auto"/>
            <w:vMerge/>
            <w:tcBorders>
              <w:top w:val="single" w:sz="4" w:space="0" w:color="auto"/>
              <w:left w:val="nil"/>
              <w:bottom w:val="single" w:sz="4" w:space="0" w:color="auto"/>
              <w:right w:val="nil"/>
            </w:tcBorders>
            <w:shd w:val="clear" w:color="auto" w:fill="EE7300"/>
            <w:vAlign w:val="center"/>
            <w:hideMark/>
          </w:tcPr>
          <w:p w14:paraId="19B081C3"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shd w:val="clear" w:color="auto" w:fill="EE7300"/>
            <w:noWrap/>
            <w:vAlign w:val="center"/>
            <w:hideMark/>
          </w:tcPr>
          <w:p w14:paraId="236EC366"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Sheep</w:t>
            </w:r>
          </w:p>
        </w:tc>
        <w:tc>
          <w:tcPr>
            <w:tcW w:w="0" w:type="auto"/>
            <w:vMerge/>
            <w:tcBorders>
              <w:top w:val="single" w:sz="4" w:space="0" w:color="auto"/>
              <w:left w:val="nil"/>
              <w:bottom w:val="single" w:sz="8" w:space="0" w:color="auto"/>
              <w:right w:val="nil"/>
            </w:tcBorders>
            <w:vAlign w:val="bottom"/>
            <w:hideMark/>
          </w:tcPr>
          <w:p w14:paraId="6B4AE450" w14:textId="77777777" w:rsidR="00EF1BA0" w:rsidRPr="00EF1BA0" w:rsidRDefault="00EF1BA0" w:rsidP="00EF1BA0">
            <w:pPr>
              <w:rPr>
                <w:rFonts w:eastAsia="Times New Roman"/>
                <w:color w:val="000000"/>
                <w:sz w:val="12"/>
                <w:szCs w:val="16"/>
                <w:lang w:eastAsia="en-AU"/>
              </w:rPr>
            </w:pPr>
          </w:p>
        </w:tc>
      </w:tr>
      <w:tr w:rsidR="00EF1BA0" w:rsidRPr="00EF1BA0" w14:paraId="537CD56F" w14:textId="77777777" w:rsidTr="00EF1BA0">
        <w:trPr>
          <w:trHeight w:val="20"/>
        </w:trPr>
        <w:tc>
          <w:tcPr>
            <w:tcW w:w="1543" w:type="dxa"/>
            <w:vMerge w:val="restart"/>
            <w:tcBorders>
              <w:top w:val="single" w:sz="4" w:space="0" w:color="auto"/>
              <w:left w:val="nil"/>
              <w:bottom w:val="single" w:sz="4" w:space="0" w:color="auto"/>
              <w:right w:val="nil"/>
            </w:tcBorders>
            <w:noWrap/>
            <w:vAlign w:val="center"/>
            <w:hideMark/>
          </w:tcPr>
          <w:p w14:paraId="49D4B250"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Flats</w:t>
            </w:r>
          </w:p>
        </w:tc>
        <w:tc>
          <w:tcPr>
            <w:tcW w:w="2166" w:type="dxa"/>
            <w:tcBorders>
              <w:top w:val="single" w:sz="4" w:space="0" w:color="auto"/>
              <w:left w:val="nil"/>
              <w:bottom w:val="single" w:sz="4" w:space="0" w:color="auto"/>
              <w:right w:val="nil"/>
            </w:tcBorders>
            <w:noWrap/>
            <w:vAlign w:val="center"/>
            <w:hideMark/>
          </w:tcPr>
          <w:p w14:paraId="7FC98A6A"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Boarding House</w:t>
            </w:r>
          </w:p>
        </w:tc>
        <w:tc>
          <w:tcPr>
            <w:tcW w:w="0" w:type="auto"/>
            <w:vMerge/>
            <w:tcBorders>
              <w:top w:val="single" w:sz="4" w:space="0" w:color="auto"/>
              <w:left w:val="nil"/>
              <w:bottom w:val="single" w:sz="8" w:space="0" w:color="auto"/>
              <w:right w:val="nil"/>
            </w:tcBorders>
            <w:vAlign w:val="bottom"/>
            <w:hideMark/>
          </w:tcPr>
          <w:p w14:paraId="71CFFF2A" w14:textId="77777777" w:rsidR="00EF1BA0" w:rsidRPr="00EF1BA0" w:rsidRDefault="00EF1BA0" w:rsidP="00EF1BA0">
            <w:pPr>
              <w:rPr>
                <w:rFonts w:eastAsia="Times New Roman"/>
                <w:color w:val="000000"/>
                <w:sz w:val="12"/>
                <w:szCs w:val="16"/>
                <w:lang w:eastAsia="en-AU"/>
              </w:rPr>
            </w:pPr>
          </w:p>
        </w:tc>
      </w:tr>
      <w:tr w:rsidR="00EF1BA0" w:rsidRPr="00EF1BA0" w14:paraId="0477CA12"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714E1CE"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77279DE9"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Self Contained</w:t>
            </w:r>
          </w:p>
        </w:tc>
        <w:tc>
          <w:tcPr>
            <w:tcW w:w="0" w:type="auto"/>
            <w:vMerge/>
            <w:tcBorders>
              <w:top w:val="single" w:sz="4" w:space="0" w:color="auto"/>
              <w:left w:val="nil"/>
              <w:bottom w:val="single" w:sz="8" w:space="0" w:color="auto"/>
              <w:right w:val="nil"/>
            </w:tcBorders>
            <w:vAlign w:val="bottom"/>
            <w:hideMark/>
          </w:tcPr>
          <w:p w14:paraId="45E1DA12" w14:textId="77777777" w:rsidR="00EF1BA0" w:rsidRPr="00EF1BA0" w:rsidRDefault="00EF1BA0" w:rsidP="00EF1BA0">
            <w:pPr>
              <w:rPr>
                <w:rFonts w:eastAsia="Times New Roman"/>
                <w:color w:val="000000"/>
                <w:sz w:val="12"/>
                <w:szCs w:val="16"/>
                <w:lang w:eastAsia="en-AU"/>
              </w:rPr>
            </w:pPr>
          </w:p>
        </w:tc>
      </w:tr>
      <w:tr w:rsidR="00EF1BA0" w:rsidRPr="00EF1BA0" w14:paraId="12531775" w14:textId="77777777" w:rsidTr="00EF1BA0">
        <w:trPr>
          <w:trHeight w:val="20"/>
        </w:trPr>
        <w:tc>
          <w:tcPr>
            <w:tcW w:w="1543" w:type="dxa"/>
            <w:vMerge w:val="restart"/>
            <w:tcBorders>
              <w:top w:val="single" w:sz="4" w:space="0" w:color="auto"/>
              <w:left w:val="nil"/>
              <w:bottom w:val="single" w:sz="4" w:space="0" w:color="auto"/>
              <w:right w:val="nil"/>
            </w:tcBorders>
            <w:noWrap/>
            <w:vAlign w:val="center"/>
            <w:hideMark/>
          </w:tcPr>
          <w:p w14:paraId="028FCCB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House</w:t>
            </w:r>
          </w:p>
        </w:tc>
        <w:tc>
          <w:tcPr>
            <w:tcW w:w="2166" w:type="dxa"/>
            <w:tcBorders>
              <w:top w:val="single" w:sz="4" w:space="0" w:color="auto"/>
              <w:left w:val="nil"/>
              <w:bottom w:val="single" w:sz="4" w:space="0" w:color="auto"/>
              <w:right w:val="nil"/>
            </w:tcBorders>
            <w:noWrap/>
            <w:vAlign w:val="center"/>
            <w:hideMark/>
          </w:tcPr>
          <w:p w14:paraId="61AE2AFA"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Acreage</w:t>
            </w:r>
          </w:p>
        </w:tc>
        <w:tc>
          <w:tcPr>
            <w:tcW w:w="0" w:type="auto"/>
            <w:vMerge/>
            <w:tcBorders>
              <w:top w:val="single" w:sz="4" w:space="0" w:color="auto"/>
              <w:left w:val="nil"/>
              <w:bottom w:val="single" w:sz="8" w:space="0" w:color="auto"/>
              <w:right w:val="nil"/>
            </w:tcBorders>
            <w:vAlign w:val="bottom"/>
            <w:hideMark/>
          </w:tcPr>
          <w:p w14:paraId="71B39B20" w14:textId="77777777" w:rsidR="00EF1BA0" w:rsidRPr="00EF1BA0" w:rsidRDefault="00EF1BA0" w:rsidP="00EF1BA0">
            <w:pPr>
              <w:rPr>
                <w:rFonts w:eastAsia="Times New Roman"/>
                <w:color w:val="000000"/>
                <w:sz w:val="12"/>
                <w:szCs w:val="16"/>
                <w:lang w:eastAsia="en-AU"/>
              </w:rPr>
            </w:pPr>
          </w:p>
        </w:tc>
      </w:tr>
      <w:tr w:rsidR="00EF1BA0" w:rsidRPr="00EF1BA0" w14:paraId="06CB4695"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8B7AEA9"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59B443F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Dual Occupancy</w:t>
            </w:r>
          </w:p>
        </w:tc>
        <w:tc>
          <w:tcPr>
            <w:tcW w:w="0" w:type="auto"/>
            <w:vMerge/>
            <w:tcBorders>
              <w:top w:val="single" w:sz="4" w:space="0" w:color="auto"/>
              <w:left w:val="nil"/>
              <w:bottom w:val="single" w:sz="8" w:space="0" w:color="auto"/>
              <w:right w:val="nil"/>
            </w:tcBorders>
            <w:vAlign w:val="bottom"/>
            <w:hideMark/>
          </w:tcPr>
          <w:p w14:paraId="73A11C65" w14:textId="77777777" w:rsidR="00EF1BA0" w:rsidRPr="00EF1BA0" w:rsidRDefault="00EF1BA0" w:rsidP="00EF1BA0">
            <w:pPr>
              <w:rPr>
                <w:rFonts w:eastAsia="Times New Roman"/>
                <w:color w:val="000000"/>
                <w:sz w:val="12"/>
                <w:szCs w:val="16"/>
                <w:lang w:eastAsia="en-AU"/>
              </w:rPr>
            </w:pPr>
          </w:p>
        </w:tc>
      </w:tr>
      <w:tr w:rsidR="00EF1BA0" w:rsidRPr="00EF1BA0" w14:paraId="607078B2"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3F5F6738"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4A07A5D0"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Duplex</w:t>
            </w:r>
          </w:p>
        </w:tc>
        <w:tc>
          <w:tcPr>
            <w:tcW w:w="0" w:type="auto"/>
            <w:vMerge/>
            <w:tcBorders>
              <w:top w:val="single" w:sz="4" w:space="0" w:color="auto"/>
              <w:left w:val="nil"/>
              <w:bottom w:val="single" w:sz="8" w:space="0" w:color="auto"/>
              <w:right w:val="nil"/>
            </w:tcBorders>
            <w:vAlign w:val="bottom"/>
            <w:hideMark/>
          </w:tcPr>
          <w:p w14:paraId="2270E791" w14:textId="77777777" w:rsidR="00EF1BA0" w:rsidRPr="00EF1BA0" w:rsidRDefault="00EF1BA0" w:rsidP="00EF1BA0">
            <w:pPr>
              <w:rPr>
                <w:rFonts w:eastAsia="Times New Roman"/>
                <w:color w:val="000000"/>
                <w:sz w:val="12"/>
                <w:szCs w:val="16"/>
                <w:lang w:eastAsia="en-AU"/>
              </w:rPr>
            </w:pPr>
          </w:p>
        </w:tc>
      </w:tr>
      <w:tr w:rsidR="00EF1BA0" w:rsidRPr="00EF1BA0" w14:paraId="56CDF6E2"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55D32865"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20C17B77"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Multi Storey</w:t>
            </w:r>
          </w:p>
        </w:tc>
        <w:tc>
          <w:tcPr>
            <w:tcW w:w="0" w:type="auto"/>
            <w:vMerge/>
            <w:tcBorders>
              <w:top w:val="single" w:sz="4" w:space="0" w:color="auto"/>
              <w:left w:val="nil"/>
              <w:bottom w:val="single" w:sz="8" w:space="0" w:color="auto"/>
              <w:right w:val="nil"/>
            </w:tcBorders>
            <w:vAlign w:val="bottom"/>
            <w:hideMark/>
          </w:tcPr>
          <w:p w14:paraId="39AA56BA" w14:textId="77777777" w:rsidR="00EF1BA0" w:rsidRPr="00EF1BA0" w:rsidRDefault="00EF1BA0" w:rsidP="00EF1BA0">
            <w:pPr>
              <w:rPr>
                <w:rFonts w:eastAsia="Times New Roman"/>
                <w:color w:val="000000"/>
                <w:sz w:val="12"/>
                <w:szCs w:val="16"/>
                <w:lang w:eastAsia="en-AU"/>
              </w:rPr>
            </w:pPr>
          </w:p>
        </w:tc>
      </w:tr>
      <w:tr w:rsidR="00EF1BA0" w:rsidRPr="00EF1BA0" w14:paraId="2840A6D7"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368529B9"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2D9E6E15"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One Storey / Lowset</w:t>
            </w:r>
          </w:p>
        </w:tc>
        <w:tc>
          <w:tcPr>
            <w:tcW w:w="0" w:type="auto"/>
            <w:vMerge/>
            <w:tcBorders>
              <w:top w:val="single" w:sz="4" w:space="0" w:color="auto"/>
              <w:left w:val="nil"/>
              <w:bottom w:val="single" w:sz="8" w:space="0" w:color="auto"/>
              <w:right w:val="nil"/>
            </w:tcBorders>
            <w:vAlign w:val="bottom"/>
            <w:hideMark/>
          </w:tcPr>
          <w:p w14:paraId="31F1E73C" w14:textId="77777777" w:rsidR="00EF1BA0" w:rsidRPr="00EF1BA0" w:rsidRDefault="00EF1BA0" w:rsidP="00EF1BA0">
            <w:pPr>
              <w:rPr>
                <w:rFonts w:eastAsia="Times New Roman"/>
                <w:color w:val="000000"/>
                <w:sz w:val="12"/>
                <w:szCs w:val="16"/>
                <w:lang w:eastAsia="en-AU"/>
              </w:rPr>
            </w:pPr>
          </w:p>
        </w:tc>
      </w:tr>
      <w:tr w:rsidR="00EF1BA0" w:rsidRPr="00EF1BA0" w14:paraId="5E4AACE0"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534D48DE"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56F1406B"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Semi Detached</w:t>
            </w:r>
          </w:p>
        </w:tc>
        <w:tc>
          <w:tcPr>
            <w:tcW w:w="0" w:type="auto"/>
            <w:vMerge/>
            <w:tcBorders>
              <w:top w:val="single" w:sz="4" w:space="0" w:color="auto"/>
              <w:left w:val="nil"/>
              <w:bottom w:val="single" w:sz="8" w:space="0" w:color="auto"/>
              <w:right w:val="nil"/>
            </w:tcBorders>
            <w:vAlign w:val="bottom"/>
            <w:hideMark/>
          </w:tcPr>
          <w:p w14:paraId="00412590" w14:textId="77777777" w:rsidR="00EF1BA0" w:rsidRPr="00EF1BA0" w:rsidRDefault="00EF1BA0" w:rsidP="00EF1BA0">
            <w:pPr>
              <w:rPr>
                <w:rFonts w:eastAsia="Times New Roman"/>
                <w:color w:val="000000"/>
                <w:sz w:val="12"/>
                <w:szCs w:val="16"/>
                <w:lang w:eastAsia="en-AU"/>
              </w:rPr>
            </w:pPr>
          </w:p>
        </w:tc>
      </w:tr>
      <w:tr w:rsidR="00EF1BA0" w:rsidRPr="00EF1BA0" w14:paraId="30DDD8B1"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1D6E39E"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5BE70F3F"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Standard</w:t>
            </w:r>
          </w:p>
        </w:tc>
        <w:tc>
          <w:tcPr>
            <w:tcW w:w="0" w:type="auto"/>
            <w:vMerge/>
            <w:tcBorders>
              <w:top w:val="single" w:sz="4" w:space="0" w:color="auto"/>
              <w:left w:val="nil"/>
              <w:bottom w:val="single" w:sz="8" w:space="0" w:color="auto"/>
              <w:right w:val="nil"/>
            </w:tcBorders>
            <w:vAlign w:val="bottom"/>
            <w:hideMark/>
          </w:tcPr>
          <w:p w14:paraId="4A40BEA0" w14:textId="77777777" w:rsidR="00EF1BA0" w:rsidRPr="00EF1BA0" w:rsidRDefault="00EF1BA0" w:rsidP="00EF1BA0">
            <w:pPr>
              <w:rPr>
                <w:rFonts w:eastAsia="Times New Roman"/>
                <w:color w:val="000000"/>
                <w:sz w:val="12"/>
                <w:szCs w:val="16"/>
                <w:lang w:eastAsia="en-AU"/>
              </w:rPr>
            </w:pPr>
          </w:p>
        </w:tc>
      </w:tr>
      <w:tr w:rsidR="00EF1BA0" w:rsidRPr="00EF1BA0" w14:paraId="39D75514"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49CECC9A"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1D8C02AB"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Terrace</w:t>
            </w:r>
          </w:p>
        </w:tc>
        <w:tc>
          <w:tcPr>
            <w:tcW w:w="0" w:type="auto"/>
            <w:vMerge/>
            <w:tcBorders>
              <w:top w:val="single" w:sz="4" w:space="0" w:color="auto"/>
              <w:left w:val="nil"/>
              <w:bottom w:val="single" w:sz="8" w:space="0" w:color="auto"/>
              <w:right w:val="nil"/>
            </w:tcBorders>
            <w:vAlign w:val="bottom"/>
            <w:hideMark/>
          </w:tcPr>
          <w:p w14:paraId="1F4F21FB" w14:textId="77777777" w:rsidR="00EF1BA0" w:rsidRPr="00EF1BA0" w:rsidRDefault="00EF1BA0" w:rsidP="00EF1BA0">
            <w:pPr>
              <w:rPr>
                <w:rFonts w:eastAsia="Times New Roman"/>
                <w:color w:val="000000"/>
                <w:sz w:val="12"/>
                <w:szCs w:val="16"/>
                <w:lang w:eastAsia="en-AU"/>
              </w:rPr>
            </w:pPr>
          </w:p>
        </w:tc>
      </w:tr>
      <w:tr w:rsidR="00EF1BA0" w:rsidRPr="00EF1BA0" w14:paraId="6B2CFE33"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4E7B144"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17883EBE"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Two Storey / Highset</w:t>
            </w:r>
          </w:p>
        </w:tc>
        <w:tc>
          <w:tcPr>
            <w:tcW w:w="0" w:type="auto"/>
            <w:vMerge/>
            <w:tcBorders>
              <w:top w:val="single" w:sz="4" w:space="0" w:color="auto"/>
              <w:left w:val="nil"/>
              <w:bottom w:val="single" w:sz="8" w:space="0" w:color="auto"/>
              <w:right w:val="nil"/>
            </w:tcBorders>
            <w:vAlign w:val="bottom"/>
            <w:hideMark/>
          </w:tcPr>
          <w:p w14:paraId="60DBCBF9" w14:textId="77777777" w:rsidR="00EF1BA0" w:rsidRPr="00EF1BA0" w:rsidRDefault="00EF1BA0" w:rsidP="00EF1BA0">
            <w:pPr>
              <w:rPr>
                <w:rFonts w:eastAsia="Times New Roman"/>
                <w:color w:val="000000"/>
                <w:sz w:val="12"/>
                <w:szCs w:val="16"/>
                <w:lang w:eastAsia="en-AU"/>
              </w:rPr>
            </w:pPr>
          </w:p>
        </w:tc>
      </w:tr>
      <w:tr w:rsidR="00EF1BA0" w:rsidRPr="00EF1BA0" w14:paraId="48ED7B96" w14:textId="77777777" w:rsidTr="00EF1BA0">
        <w:trPr>
          <w:trHeight w:val="20"/>
        </w:trPr>
        <w:tc>
          <w:tcPr>
            <w:tcW w:w="1543" w:type="dxa"/>
            <w:vMerge w:val="restart"/>
            <w:tcBorders>
              <w:top w:val="single" w:sz="4" w:space="0" w:color="auto"/>
              <w:left w:val="nil"/>
              <w:bottom w:val="single" w:sz="4" w:space="0" w:color="auto"/>
              <w:right w:val="nil"/>
            </w:tcBorders>
            <w:noWrap/>
            <w:vAlign w:val="center"/>
            <w:hideMark/>
          </w:tcPr>
          <w:p w14:paraId="3820D633"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Land</w:t>
            </w:r>
          </w:p>
        </w:tc>
        <w:tc>
          <w:tcPr>
            <w:tcW w:w="2166" w:type="dxa"/>
            <w:tcBorders>
              <w:top w:val="single" w:sz="4" w:space="0" w:color="auto"/>
              <w:left w:val="nil"/>
              <w:bottom w:val="single" w:sz="4" w:space="0" w:color="auto"/>
              <w:right w:val="nil"/>
            </w:tcBorders>
            <w:noWrap/>
            <w:vAlign w:val="center"/>
            <w:hideMark/>
          </w:tcPr>
          <w:p w14:paraId="5EC63D1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General</w:t>
            </w:r>
          </w:p>
        </w:tc>
        <w:tc>
          <w:tcPr>
            <w:tcW w:w="0" w:type="auto"/>
            <w:vMerge/>
            <w:tcBorders>
              <w:top w:val="single" w:sz="4" w:space="0" w:color="auto"/>
              <w:left w:val="nil"/>
              <w:bottom w:val="single" w:sz="8" w:space="0" w:color="auto"/>
              <w:right w:val="nil"/>
            </w:tcBorders>
            <w:vAlign w:val="bottom"/>
            <w:hideMark/>
          </w:tcPr>
          <w:p w14:paraId="76237286" w14:textId="77777777" w:rsidR="00EF1BA0" w:rsidRPr="00EF1BA0" w:rsidRDefault="00EF1BA0" w:rsidP="00EF1BA0">
            <w:pPr>
              <w:rPr>
                <w:rFonts w:eastAsia="Times New Roman"/>
                <w:color w:val="000000"/>
                <w:sz w:val="12"/>
                <w:szCs w:val="16"/>
                <w:lang w:eastAsia="en-AU"/>
              </w:rPr>
            </w:pPr>
          </w:p>
        </w:tc>
      </w:tr>
      <w:tr w:rsidR="00EF1BA0" w:rsidRPr="00EF1BA0" w14:paraId="152D1F2D"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59AAFB8A"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F80B301"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Government</w:t>
            </w:r>
          </w:p>
        </w:tc>
        <w:tc>
          <w:tcPr>
            <w:tcW w:w="0" w:type="auto"/>
            <w:vMerge/>
            <w:tcBorders>
              <w:top w:val="single" w:sz="4" w:space="0" w:color="auto"/>
              <w:left w:val="nil"/>
              <w:bottom w:val="single" w:sz="8" w:space="0" w:color="auto"/>
              <w:right w:val="nil"/>
            </w:tcBorders>
            <w:vAlign w:val="bottom"/>
            <w:hideMark/>
          </w:tcPr>
          <w:p w14:paraId="575FE6FB" w14:textId="77777777" w:rsidR="00EF1BA0" w:rsidRPr="00EF1BA0" w:rsidRDefault="00EF1BA0" w:rsidP="00EF1BA0">
            <w:pPr>
              <w:rPr>
                <w:rFonts w:eastAsia="Times New Roman"/>
                <w:color w:val="000000"/>
                <w:sz w:val="12"/>
                <w:szCs w:val="16"/>
                <w:lang w:eastAsia="en-AU"/>
              </w:rPr>
            </w:pPr>
          </w:p>
        </w:tc>
      </w:tr>
      <w:tr w:rsidR="00EF1BA0" w:rsidRPr="00EF1BA0" w14:paraId="44262E1E"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F11BBB7"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665B486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Industrial</w:t>
            </w:r>
          </w:p>
        </w:tc>
        <w:tc>
          <w:tcPr>
            <w:tcW w:w="0" w:type="auto"/>
            <w:vMerge/>
            <w:tcBorders>
              <w:top w:val="single" w:sz="4" w:space="0" w:color="auto"/>
              <w:left w:val="nil"/>
              <w:bottom w:val="single" w:sz="8" w:space="0" w:color="auto"/>
              <w:right w:val="nil"/>
            </w:tcBorders>
            <w:vAlign w:val="bottom"/>
            <w:hideMark/>
          </w:tcPr>
          <w:p w14:paraId="56F65BA2" w14:textId="77777777" w:rsidR="00EF1BA0" w:rsidRPr="00EF1BA0" w:rsidRDefault="00EF1BA0" w:rsidP="00EF1BA0">
            <w:pPr>
              <w:rPr>
                <w:rFonts w:eastAsia="Times New Roman"/>
                <w:color w:val="000000"/>
                <w:sz w:val="12"/>
                <w:szCs w:val="16"/>
                <w:lang w:eastAsia="en-AU"/>
              </w:rPr>
            </w:pPr>
          </w:p>
        </w:tc>
      </w:tr>
      <w:tr w:rsidR="00EF1BA0" w:rsidRPr="00EF1BA0" w14:paraId="7C1FCA73"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07C40DB1"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74DFC25"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Office/Retail</w:t>
            </w:r>
          </w:p>
        </w:tc>
        <w:tc>
          <w:tcPr>
            <w:tcW w:w="0" w:type="auto"/>
            <w:vMerge/>
            <w:tcBorders>
              <w:top w:val="single" w:sz="4" w:space="0" w:color="auto"/>
              <w:left w:val="nil"/>
              <w:bottom w:val="single" w:sz="8" w:space="0" w:color="auto"/>
              <w:right w:val="nil"/>
            </w:tcBorders>
            <w:vAlign w:val="bottom"/>
            <w:hideMark/>
          </w:tcPr>
          <w:p w14:paraId="55CEDDCC" w14:textId="77777777" w:rsidR="00EF1BA0" w:rsidRPr="00EF1BA0" w:rsidRDefault="00EF1BA0" w:rsidP="00EF1BA0">
            <w:pPr>
              <w:rPr>
                <w:rFonts w:eastAsia="Times New Roman"/>
                <w:color w:val="000000"/>
                <w:sz w:val="12"/>
                <w:szCs w:val="16"/>
                <w:lang w:eastAsia="en-AU"/>
              </w:rPr>
            </w:pPr>
          </w:p>
        </w:tc>
      </w:tr>
      <w:tr w:rsidR="00EF1BA0" w:rsidRPr="00EF1BA0" w14:paraId="747CAAE0"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6AA69AD5"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148EBD5D"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Parks / Reserves</w:t>
            </w:r>
          </w:p>
        </w:tc>
        <w:tc>
          <w:tcPr>
            <w:tcW w:w="0" w:type="auto"/>
            <w:vMerge/>
            <w:tcBorders>
              <w:top w:val="single" w:sz="4" w:space="0" w:color="auto"/>
              <w:left w:val="nil"/>
              <w:bottom w:val="single" w:sz="8" w:space="0" w:color="auto"/>
              <w:right w:val="nil"/>
            </w:tcBorders>
            <w:vAlign w:val="bottom"/>
            <w:hideMark/>
          </w:tcPr>
          <w:p w14:paraId="43036669" w14:textId="77777777" w:rsidR="00EF1BA0" w:rsidRPr="00EF1BA0" w:rsidRDefault="00EF1BA0" w:rsidP="00EF1BA0">
            <w:pPr>
              <w:rPr>
                <w:rFonts w:eastAsia="Times New Roman"/>
                <w:color w:val="000000"/>
                <w:sz w:val="12"/>
                <w:szCs w:val="16"/>
                <w:lang w:eastAsia="en-AU"/>
              </w:rPr>
            </w:pPr>
          </w:p>
        </w:tc>
      </w:tr>
      <w:tr w:rsidR="00EF1BA0" w:rsidRPr="00EF1BA0" w14:paraId="3BEDAD08"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6DB44051"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371467D3"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Res Acreage</w:t>
            </w:r>
          </w:p>
        </w:tc>
        <w:tc>
          <w:tcPr>
            <w:tcW w:w="0" w:type="auto"/>
            <w:vMerge/>
            <w:tcBorders>
              <w:top w:val="single" w:sz="4" w:space="0" w:color="auto"/>
              <w:left w:val="nil"/>
              <w:bottom w:val="single" w:sz="8" w:space="0" w:color="auto"/>
              <w:right w:val="nil"/>
            </w:tcBorders>
            <w:vAlign w:val="bottom"/>
            <w:hideMark/>
          </w:tcPr>
          <w:p w14:paraId="24DFE1FF" w14:textId="77777777" w:rsidR="00EF1BA0" w:rsidRPr="00EF1BA0" w:rsidRDefault="00EF1BA0" w:rsidP="00EF1BA0">
            <w:pPr>
              <w:rPr>
                <w:rFonts w:eastAsia="Times New Roman"/>
                <w:color w:val="000000"/>
                <w:sz w:val="12"/>
                <w:szCs w:val="16"/>
                <w:lang w:eastAsia="en-AU"/>
              </w:rPr>
            </w:pPr>
          </w:p>
        </w:tc>
      </w:tr>
      <w:tr w:rsidR="00EF1BA0" w:rsidRPr="00EF1BA0" w14:paraId="6158DE86"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2813EAFE"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1F2AD902"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Res Development</w:t>
            </w:r>
          </w:p>
        </w:tc>
        <w:tc>
          <w:tcPr>
            <w:tcW w:w="0" w:type="auto"/>
            <w:vMerge/>
            <w:tcBorders>
              <w:top w:val="single" w:sz="4" w:space="0" w:color="auto"/>
              <w:left w:val="nil"/>
              <w:bottom w:val="single" w:sz="8" w:space="0" w:color="auto"/>
              <w:right w:val="nil"/>
            </w:tcBorders>
            <w:vAlign w:val="bottom"/>
            <w:hideMark/>
          </w:tcPr>
          <w:p w14:paraId="49D3E72F" w14:textId="77777777" w:rsidR="00EF1BA0" w:rsidRPr="00EF1BA0" w:rsidRDefault="00EF1BA0" w:rsidP="00EF1BA0">
            <w:pPr>
              <w:rPr>
                <w:rFonts w:eastAsia="Times New Roman"/>
                <w:color w:val="000000"/>
                <w:sz w:val="12"/>
                <w:szCs w:val="16"/>
                <w:lang w:eastAsia="en-AU"/>
              </w:rPr>
            </w:pPr>
          </w:p>
        </w:tc>
      </w:tr>
      <w:tr w:rsidR="00EF1BA0" w:rsidRPr="00EF1BA0" w14:paraId="44413FB1"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295D9C76"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7483649"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Res House</w:t>
            </w:r>
          </w:p>
        </w:tc>
        <w:tc>
          <w:tcPr>
            <w:tcW w:w="0" w:type="auto"/>
            <w:vMerge/>
            <w:tcBorders>
              <w:top w:val="single" w:sz="4" w:space="0" w:color="auto"/>
              <w:left w:val="nil"/>
              <w:bottom w:val="single" w:sz="8" w:space="0" w:color="auto"/>
              <w:right w:val="nil"/>
            </w:tcBorders>
            <w:vAlign w:val="bottom"/>
            <w:hideMark/>
          </w:tcPr>
          <w:p w14:paraId="785732B5" w14:textId="77777777" w:rsidR="00EF1BA0" w:rsidRPr="00EF1BA0" w:rsidRDefault="00EF1BA0" w:rsidP="00EF1BA0">
            <w:pPr>
              <w:rPr>
                <w:rFonts w:eastAsia="Times New Roman"/>
                <w:color w:val="000000"/>
                <w:sz w:val="12"/>
                <w:szCs w:val="16"/>
                <w:lang w:eastAsia="en-AU"/>
              </w:rPr>
            </w:pPr>
          </w:p>
        </w:tc>
      </w:tr>
      <w:tr w:rsidR="00EF1BA0" w:rsidRPr="00EF1BA0" w14:paraId="4A08A192"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6353F8C"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13D393F6"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Rural Acreage</w:t>
            </w:r>
          </w:p>
        </w:tc>
        <w:tc>
          <w:tcPr>
            <w:tcW w:w="0" w:type="auto"/>
            <w:vMerge/>
            <w:tcBorders>
              <w:top w:val="single" w:sz="4" w:space="0" w:color="auto"/>
              <w:left w:val="nil"/>
              <w:bottom w:val="single" w:sz="8" w:space="0" w:color="auto"/>
              <w:right w:val="nil"/>
            </w:tcBorders>
            <w:vAlign w:val="bottom"/>
            <w:hideMark/>
          </w:tcPr>
          <w:p w14:paraId="36DFFD63" w14:textId="77777777" w:rsidR="00EF1BA0" w:rsidRPr="00EF1BA0" w:rsidRDefault="00EF1BA0" w:rsidP="00EF1BA0">
            <w:pPr>
              <w:rPr>
                <w:rFonts w:eastAsia="Times New Roman"/>
                <w:color w:val="000000"/>
                <w:sz w:val="12"/>
                <w:szCs w:val="16"/>
                <w:lang w:eastAsia="en-AU"/>
              </w:rPr>
            </w:pPr>
          </w:p>
        </w:tc>
      </w:tr>
      <w:tr w:rsidR="00EF1BA0" w:rsidRPr="00EF1BA0" w14:paraId="5F165F0C" w14:textId="77777777" w:rsidTr="00EF1BA0">
        <w:trPr>
          <w:trHeight w:val="20"/>
        </w:trPr>
        <w:tc>
          <w:tcPr>
            <w:tcW w:w="1543" w:type="dxa"/>
            <w:tcBorders>
              <w:top w:val="single" w:sz="4" w:space="0" w:color="auto"/>
              <w:left w:val="nil"/>
              <w:bottom w:val="single" w:sz="4" w:space="0" w:color="auto"/>
              <w:right w:val="nil"/>
            </w:tcBorders>
            <w:noWrap/>
            <w:vAlign w:val="center"/>
            <w:hideMark/>
          </w:tcPr>
          <w:p w14:paraId="482B3960"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Storage Unit</w:t>
            </w:r>
          </w:p>
        </w:tc>
        <w:tc>
          <w:tcPr>
            <w:tcW w:w="2166" w:type="dxa"/>
            <w:tcBorders>
              <w:top w:val="single" w:sz="4" w:space="0" w:color="auto"/>
              <w:left w:val="nil"/>
              <w:bottom w:val="single" w:sz="4" w:space="0" w:color="auto"/>
              <w:right w:val="nil"/>
            </w:tcBorders>
            <w:noWrap/>
            <w:vAlign w:val="center"/>
            <w:hideMark/>
          </w:tcPr>
          <w:p w14:paraId="3D4501D3"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Car Space</w:t>
            </w:r>
          </w:p>
        </w:tc>
        <w:tc>
          <w:tcPr>
            <w:tcW w:w="0" w:type="auto"/>
            <w:vMerge/>
            <w:tcBorders>
              <w:top w:val="single" w:sz="4" w:space="0" w:color="auto"/>
              <w:left w:val="nil"/>
              <w:bottom w:val="single" w:sz="8" w:space="0" w:color="auto"/>
              <w:right w:val="nil"/>
            </w:tcBorders>
            <w:vAlign w:val="bottom"/>
            <w:hideMark/>
          </w:tcPr>
          <w:p w14:paraId="1B63CF5A" w14:textId="77777777" w:rsidR="00EF1BA0" w:rsidRPr="00EF1BA0" w:rsidRDefault="00EF1BA0" w:rsidP="00EF1BA0">
            <w:pPr>
              <w:rPr>
                <w:rFonts w:eastAsia="Times New Roman"/>
                <w:color w:val="000000"/>
                <w:sz w:val="12"/>
                <w:szCs w:val="16"/>
                <w:lang w:eastAsia="en-AU"/>
              </w:rPr>
            </w:pPr>
          </w:p>
        </w:tc>
      </w:tr>
      <w:tr w:rsidR="00EF1BA0" w14:paraId="72797410" w14:textId="77777777" w:rsidTr="00EF1BA0">
        <w:trPr>
          <w:trHeight w:val="20"/>
        </w:trPr>
        <w:tc>
          <w:tcPr>
            <w:tcW w:w="1543" w:type="dxa"/>
            <w:vMerge w:val="restart"/>
            <w:tcBorders>
              <w:top w:val="single" w:sz="4" w:space="0" w:color="auto"/>
              <w:left w:val="nil"/>
              <w:bottom w:val="single" w:sz="4" w:space="0" w:color="auto"/>
              <w:right w:val="nil"/>
            </w:tcBorders>
            <w:noWrap/>
            <w:vAlign w:val="center"/>
            <w:hideMark/>
          </w:tcPr>
          <w:p w14:paraId="784947C4"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Unit</w:t>
            </w:r>
          </w:p>
        </w:tc>
        <w:tc>
          <w:tcPr>
            <w:tcW w:w="2166" w:type="dxa"/>
            <w:tcBorders>
              <w:top w:val="single" w:sz="4" w:space="0" w:color="auto"/>
              <w:left w:val="nil"/>
              <w:bottom w:val="single" w:sz="4" w:space="0" w:color="auto"/>
              <w:right w:val="nil"/>
            </w:tcBorders>
            <w:noWrap/>
            <w:vAlign w:val="center"/>
            <w:hideMark/>
          </w:tcPr>
          <w:p w14:paraId="2E532670"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Highrise</w:t>
            </w:r>
          </w:p>
        </w:tc>
        <w:tc>
          <w:tcPr>
            <w:tcW w:w="0" w:type="auto"/>
            <w:vMerge/>
            <w:tcBorders>
              <w:top w:val="single" w:sz="4" w:space="0" w:color="auto"/>
              <w:left w:val="nil"/>
              <w:bottom w:val="single" w:sz="8" w:space="0" w:color="auto"/>
              <w:right w:val="nil"/>
            </w:tcBorders>
            <w:vAlign w:val="bottom"/>
            <w:hideMark/>
          </w:tcPr>
          <w:p w14:paraId="46F65075" w14:textId="77777777" w:rsidR="00EF1BA0" w:rsidRDefault="00EF1BA0" w:rsidP="00EF1BA0">
            <w:pPr>
              <w:rPr>
                <w:rFonts w:eastAsia="Times New Roman"/>
                <w:color w:val="000000"/>
                <w:sz w:val="12"/>
                <w:szCs w:val="16"/>
                <w:lang w:eastAsia="en-AU"/>
              </w:rPr>
            </w:pPr>
          </w:p>
        </w:tc>
      </w:tr>
      <w:tr w:rsidR="00EF1BA0" w14:paraId="3035D3EC"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386688AB"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5095CF87"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Lowrise</w:t>
            </w:r>
          </w:p>
        </w:tc>
        <w:tc>
          <w:tcPr>
            <w:tcW w:w="0" w:type="auto"/>
            <w:vMerge/>
            <w:tcBorders>
              <w:top w:val="single" w:sz="4" w:space="0" w:color="auto"/>
              <w:left w:val="nil"/>
              <w:bottom w:val="single" w:sz="8" w:space="0" w:color="auto"/>
              <w:right w:val="nil"/>
            </w:tcBorders>
            <w:vAlign w:val="center"/>
            <w:hideMark/>
          </w:tcPr>
          <w:p w14:paraId="1E474BDB" w14:textId="77777777" w:rsidR="00EF1BA0" w:rsidRDefault="00EF1BA0">
            <w:pPr>
              <w:rPr>
                <w:rFonts w:eastAsia="Times New Roman"/>
                <w:color w:val="000000"/>
                <w:sz w:val="12"/>
                <w:szCs w:val="16"/>
                <w:lang w:eastAsia="en-AU"/>
              </w:rPr>
            </w:pPr>
          </w:p>
        </w:tc>
      </w:tr>
      <w:tr w:rsidR="00EF1BA0" w14:paraId="78EB5345"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1C0FC387"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23CCCDC3"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Penthouse</w:t>
            </w:r>
          </w:p>
        </w:tc>
        <w:tc>
          <w:tcPr>
            <w:tcW w:w="0" w:type="auto"/>
            <w:vMerge/>
            <w:tcBorders>
              <w:top w:val="single" w:sz="4" w:space="0" w:color="auto"/>
              <w:left w:val="nil"/>
              <w:bottom w:val="single" w:sz="8" w:space="0" w:color="auto"/>
              <w:right w:val="nil"/>
            </w:tcBorders>
            <w:vAlign w:val="center"/>
            <w:hideMark/>
          </w:tcPr>
          <w:p w14:paraId="02FE82C4" w14:textId="77777777" w:rsidR="00EF1BA0" w:rsidRDefault="00EF1BA0">
            <w:pPr>
              <w:rPr>
                <w:rFonts w:eastAsia="Times New Roman"/>
                <w:color w:val="000000"/>
                <w:sz w:val="12"/>
                <w:szCs w:val="16"/>
                <w:lang w:eastAsia="en-AU"/>
              </w:rPr>
            </w:pPr>
          </w:p>
        </w:tc>
      </w:tr>
      <w:tr w:rsidR="00EF1BA0" w14:paraId="350C396C"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6E67580"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236B4F4"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Quadraplex</w:t>
            </w:r>
          </w:p>
        </w:tc>
        <w:tc>
          <w:tcPr>
            <w:tcW w:w="0" w:type="auto"/>
            <w:vMerge/>
            <w:tcBorders>
              <w:top w:val="single" w:sz="4" w:space="0" w:color="auto"/>
              <w:left w:val="nil"/>
              <w:bottom w:val="single" w:sz="8" w:space="0" w:color="auto"/>
              <w:right w:val="nil"/>
            </w:tcBorders>
            <w:vAlign w:val="center"/>
            <w:hideMark/>
          </w:tcPr>
          <w:p w14:paraId="07C89517" w14:textId="77777777" w:rsidR="00EF1BA0" w:rsidRDefault="00EF1BA0">
            <w:pPr>
              <w:rPr>
                <w:rFonts w:eastAsia="Times New Roman"/>
                <w:color w:val="000000"/>
                <w:sz w:val="12"/>
                <w:szCs w:val="16"/>
                <w:lang w:eastAsia="en-AU"/>
              </w:rPr>
            </w:pPr>
          </w:p>
        </w:tc>
      </w:tr>
      <w:tr w:rsidR="00EF1BA0" w14:paraId="2C66B01E"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3103B932"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76E47D01"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Standard</w:t>
            </w:r>
          </w:p>
        </w:tc>
        <w:tc>
          <w:tcPr>
            <w:tcW w:w="0" w:type="auto"/>
            <w:vMerge/>
            <w:tcBorders>
              <w:top w:val="single" w:sz="4" w:space="0" w:color="auto"/>
              <w:left w:val="nil"/>
              <w:bottom w:val="single" w:sz="8" w:space="0" w:color="auto"/>
              <w:right w:val="nil"/>
            </w:tcBorders>
            <w:vAlign w:val="center"/>
            <w:hideMark/>
          </w:tcPr>
          <w:p w14:paraId="369C7CA6" w14:textId="77777777" w:rsidR="00EF1BA0" w:rsidRDefault="00EF1BA0">
            <w:pPr>
              <w:rPr>
                <w:rFonts w:eastAsia="Times New Roman"/>
                <w:color w:val="000000"/>
                <w:sz w:val="12"/>
                <w:szCs w:val="16"/>
                <w:lang w:eastAsia="en-AU"/>
              </w:rPr>
            </w:pPr>
          </w:p>
        </w:tc>
      </w:tr>
      <w:tr w:rsidR="00EF1BA0" w14:paraId="6C607F5D"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7A7F3122"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7C8CD511"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Studio</w:t>
            </w:r>
          </w:p>
        </w:tc>
        <w:tc>
          <w:tcPr>
            <w:tcW w:w="0" w:type="auto"/>
            <w:vMerge/>
            <w:tcBorders>
              <w:top w:val="single" w:sz="4" w:space="0" w:color="auto"/>
              <w:left w:val="nil"/>
              <w:bottom w:val="single" w:sz="8" w:space="0" w:color="auto"/>
              <w:right w:val="nil"/>
            </w:tcBorders>
            <w:vAlign w:val="center"/>
            <w:hideMark/>
          </w:tcPr>
          <w:p w14:paraId="41D6E6C9" w14:textId="77777777" w:rsidR="00EF1BA0" w:rsidRDefault="00EF1BA0">
            <w:pPr>
              <w:rPr>
                <w:rFonts w:eastAsia="Times New Roman"/>
                <w:color w:val="000000"/>
                <w:sz w:val="12"/>
                <w:szCs w:val="16"/>
                <w:lang w:eastAsia="en-AU"/>
              </w:rPr>
            </w:pPr>
          </w:p>
        </w:tc>
      </w:tr>
      <w:tr w:rsidR="00EF1BA0" w14:paraId="209D9F31"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4D030487"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7D17EB2"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Townhouse/Villa</w:t>
            </w:r>
          </w:p>
        </w:tc>
        <w:tc>
          <w:tcPr>
            <w:tcW w:w="0" w:type="auto"/>
            <w:vMerge/>
            <w:tcBorders>
              <w:top w:val="single" w:sz="4" w:space="0" w:color="auto"/>
              <w:left w:val="nil"/>
              <w:bottom w:val="single" w:sz="8" w:space="0" w:color="auto"/>
              <w:right w:val="nil"/>
            </w:tcBorders>
            <w:vAlign w:val="center"/>
            <w:hideMark/>
          </w:tcPr>
          <w:p w14:paraId="0AF6295E" w14:textId="77777777" w:rsidR="00EF1BA0" w:rsidRDefault="00EF1BA0">
            <w:pPr>
              <w:rPr>
                <w:rFonts w:eastAsia="Times New Roman"/>
                <w:color w:val="000000"/>
                <w:sz w:val="12"/>
                <w:szCs w:val="16"/>
                <w:lang w:eastAsia="en-AU"/>
              </w:rPr>
            </w:pPr>
          </w:p>
        </w:tc>
      </w:tr>
      <w:tr w:rsidR="00EF1BA0" w14:paraId="00E4F150" w14:textId="77777777" w:rsidTr="00EF1BA0">
        <w:trPr>
          <w:trHeight w:val="20"/>
        </w:trPr>
        <w:tc>
          <w:tcPr>
            <w:tcW w:w="0" w:type="auto"/>
            <w:vMerge/>
            <w:tcBorders>
              <w:top w:val="single" w:sz="4" w:space="0" w:color="auto"/>
              <w:left w:val="nil"/>
              <w:bottom w:val="single" w:sz="4" w:space="0" w:color="auto"/>
              <w:right w:val="nil"/>
            </w:tcBorders>
            <w:vAlign w:val="center"/>
            <w:hideMark/>
          </w:tcPr>
          <w:p w14:paraId="59F0DC70" w14:textId="77777777" w:rsidR="00EF1BA0" w:rsidRDefault="00EF1BA0">
            <w:pPr>
              <w:rPr>
                <w:rFonts w:eastAsia="Times New Roman"/>
                <w:color w:val="000000"/>
                <w:sz w:val="12"/>
                <w:szCs w:val="16"/>
                <w:lang w:eastAsia="en-AU"/>
              </w:rPr>
            </w:pPr>
          </w:p>
        </w:tc>
        <w:tc>
          <w:tcPr>
            <w:tcW w:w="2166" w:type="dxa"/>
            <w:tcBorders>
              <w:top w:val="single" w:sz="4" w:space="0" w:color="auto"/>
              <w:left w:val="nil"/>
              <w:bottom w:val="single" w:sz="4" w:space="0" w:color="auto"/>
              <w:right w:val="nil"/>
            </w:tcBorders>
            <w:noWrap/>
            <w:vAlign w:val="center"/>
            <w:hideMark/>
          </w:tcPr>
          <w:p w14:paraId="08459307"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Triplex</w:t>
            </w:r>
          </w:p>
        </w:tc>
        <w:tc>
          <w:tcPr>
            <w:tcW w:w="0" w:type="auto"/>
            <w:vMerge/>
            <w:tcBorders>
              <w:top w:val="single" w:sz="4" w:space="0" w:color="auto"/>
              <w:left w:val="nil"/>
              <w:bottom w:val="single" w:sz="8" w:space="0" w:color="auto"/>
              <w:right w:val="nil"/>
            </w:tcBorders>
            <w:vAlign w:val="center"/>
            <w:hideMark/>
          </w:tcPr>
          <w:p w14:paraId="70261AF4" w14:textId="77777777" w:rsidR="00EF1BA0" w:rsidRDefault="00EF1BA0">
            <w:pPr>
              <w:rPr>
                <w:rFonts w:eastAsia="Times New Roman"/>
                <w:color w:val="000000"/>
                <w:sz w:val="12"/>
                <w:szCs w:val="16"/>
                <w:lang w:eastAsia="en-AU"/>
              </w:rPr>
            </w:pPr>
          </w:p>
        </w:tc>
      </w:tr>
      <w:tr w:rsidR="00EF1BA0" w14:paraId="7C6FC91C" w14:textId="77777777" w:rsidTr="00EF1BA0">
        <w:trPr>
          <w:trHeight w:val="20"/>
        </w:trPr>
        <w:tc>
          <w:tcPr>
            <w:tcW w:w="1543" w:type="dxa"/>
            <w:tcBorders>
              <w:top w:val="single" w:sz="4" w:space="0" w:color="auto"/>
              <w:left w:val="nil"/>
              <w:bottom w:val="single" w:sz="8" w:space="0" w:color="000000"/>
              <w:right w:val="nil"/>
            </w:tcBorders>
            <w:vAlign w:val="center"/>
            <w:hideMark/>
          </w:tcPr>
          <w:p w14:paraId="6A0A487A" w14:textId="77777777" w:rsidR="00EF1BA0" w:rsidRDefault="00EF1BA0">
            <w:pPr>
              <w:rPr>
                <w:rFonts w:eastAsia="Times New Roman"/>
                <w:color w:val="000000"/>
                <w:sz w:val="12"/>
                <w:szCs w:val="16"/>
                <w:lang w:eastAsia="en-AU"/>
              </w:rPr>
            </w:pPr>
            <w:r>
              <w:rPr>
                <w:rFonts w:eastAsia="Times New Roman"/>
                <w:color w:val="000000"/>
                <w:sz w:val="12"/>
                <w:szCs w:val="16"/>
                <w:lang w:eastAsia="en-AU"/>
              </w:rPr>
              <w:t>Blank</w:t>
            </w:r>
          </w:p>
        </w:tc>
        <w:tc>
          <w:tcPr>
            <w:tcW w:w="2166" w:type="dxa"/>
            <w:tcBorders>
              <w:top w:val="single" w:sz="4" w:space="0" w:color="auto"/>
              <w:left w:val="nil"/>
              <w:bottom w:val="single" w:sz="8" w:space="0" w:color="auto"/>
              <w:right w:val="nil"/>
            </w:tcBorders>
            <w:noWrap/>
            <w:vAlign w:val="center"/>
          </w:tcPr>
          <w:p w14:paraId="278B55ED" w14:textId="77777777" w:rsidR="00EF1BA0" w:rsidRDefault="00EF1BA0">
            <w:pPr>
              <w:rPr>
                <w:rFonts w:eastAsia="Times New Roman"/>
                <w:color w:val="000000"/>
                <w:sz w:val="12"/>
                <w:szCs w:val="16"/>
                <w:lang w:eastAsia="en-AU"/>
              </w:rPr>
            </w:pPr>
          </w:p>
        </w:tc>
        <w:tc>
          <w:tcPr>
            <w:tcW w:w="0" w:type="auto"/>
            <w:vMerge/>
            <w:tcBorders>
              <w:top w:val="single" w:sz="4" w:space="0" w:color="auto"/>
              <w:left w:val="nil"/>
              <w:bottom w:val="single" w:sz="8" w:space="0" w:color="auto"/>
              <w:right w:val="nil"/>
            </w:tcBorders>
            <w:vAlign w:val="center"/>
            <w:hideMark/>
          </w:tcPr>
          <w:p w14:paraId="276C2FBA" w14:textId="77777777" w:rsidR="00EF1BA0" w:rsidRDefault="00EF1BA0">
            <w:pPr>
              <w:rPr>
                <w:rFonts w:eastAsia="Times New Roman"/>
                <w:color w:val="000000"/>
                <w:sz w:val="12"/>
                <w:szCs w:val="16"/>
                <w:lang w:eastAsia="en-AU"/>
              </w:rPr>
            </w:pPr>
          </w:p>
        </w:tc>
      </w:tr>
    </w:tbl>
    <w:p w14:paraId="67832F81" w14:textId="77777777" w:rsidR="00EF1BA0" w:rsidRDefault="00EF1BA0"/>
    <w:p w14:paraId="2EC25D47" w14:textId="77777777" w:rsidR="00EF1BA0" w:rsidRDefault="00EF1BA0"/>
    <w:p w14:paraId="71813878" w14:textId="77777777" w:rsidR="00EF1BA0" w:rsidRDefault="00EF1BA0"/>
    <w:p w14:paraId="05603EF8" w14:textId="77777777" w:rsidR="00EF1BA0" w:rsidRDefault="00EF1BA0"/>
    <w:p w14:paraId="585C6ECF" w14:textId="77777777" w:rsidR="00EF1BA0" w:rsidRDefault="00EF1BA0" w:rsidP="00EF1BA0">
      <w:pPr>
        <w:pStyle w:val="Caption"/>
      </w:pPr>
      <w:bookmarkStart w:id="29" w:name="_Toc25744013"/>
      <w:r>
        <w:lastRenderedPageBreak/>
        <w:t xml:space="preserve">Table </w:t>
      </w:r>
      <w:r w:rsidR="00FA1D4A">
        <w:t>A</w:t>
      </w:r>
      <w:r w:rsidR="00FA1D4A">
        <w:rPr>
          <w:noProof/>
        </w:rPr>
        <w:fldChar w:fldCharType="begin"/>
      </w:r>
      <w:r w:rsidR="00FA1D4A">
        <w:rPr>
          <w:noProof/>
        </w:rPr>
        <w:instrText xml:space="preserve"> SEQ Table \* ARABIC </w:instrText>
      </w:r>
      <w:r w:rsidR="00FA1D4A">
        <w:rPr>
          <w:noProof/>
        </w:rPr>
        <w:fldChar w:fldCharType="separate"/>
      </w:r>
      <w:r w:rsidR="009F7388">
        <w:rPr>
          <w:noProof/>
        </w:rPr>
        <w:t>6</w:t>
      </w:r>
      <w:r w:rsidR="00FA1D4A">
        <w:rPr>
          <w:noProof/>
        </w:rPr>
        <w:fldChar w:fldCharType="end"/>
      </w:r>
      <w:r>
        <w:t xml:space="preserve"> </w:t>
      </w:r>
      <w:r w:rsidRPr="00EF1BA0">
        <w:t>Constructed identifiers using CL_PRIMARY_LAND_USE</w:t>
      </w:r>
      <w:bookmarkEnd w:id="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F1BA0" w14:paraId="15D23BF2" w14:textId="77777777" w:rsidTr="00EF1BA0">
        <w:tc>
          <w:tcPr>
            <w:tcW w:w="4508" w:type="dxa"/>
            <w:tcBorders>
              <w:top w:val="single" w:sz="4" w:space="0" w:color="auto"/>
              <w:left w:val="nil"/>
              <w:bottom w:val="nil"/>
              <w:right w:val="nil"/>
            </w:tcBorders>
            <w:hideMark/>
          </w:tcPr>
          <w:p w14:paraId="6D13D64F" w14:textId="77777777" w:rsidR="00EF1BA0" w:rsidRDefault="00EF1BA0">
            <w:pPr>
              <w:rPr>
                <w:rFonts w:eastAsia="Calibri" w:cs="Times New Roman"/>
                <w:b/>
                <w:sz w:val="18"/>
              </w:rPr>
            </w:pPr>
            <w:r>
              <w:rPr>
                <w:b/>
                <w:sz w:val="18"/>
              </w:rPr>
              <w:t>Constructed Identifier</w:t>
            </w:r>
          </w:p>
        </w:tc>
        <w:tc>
          <w:tcPr>
            <w:tcW w:w="4508" w:type="dxa"/>
            <w:tcBorders>
              <w:top w:val="single" w:sz="4" w:space="0" w:color="auto"/>
              <w:left w:val="nil"/>
              <w:bottom w:val="nil"/>
              <w:right w:val="nil"/>
            </w:tcBorders>
            <w:hideMark/>
          </w:tcPr>
          <w:p w14:paraId="2D11901C" w14:textId="77777777" w:rsidR="00EF1BA0" w:rsidRDefault="00EF1BA0">
            <w:pPr>
              <w:rPr>
                <w:b/>
                <w:sz w:val="18"/>
              </w:rPr>
            </w:pPr>
            <w:r>
              <w:rPr>
                <w:b/>
                <w:sz w:val="18"/>
              </w:rPr>
              <w:t xml:space="preserve">Cl_primary land use contains: </w:t>
            </w:r>
          </w:p>
        </w:tc>
      </w:tr>
      <w:tr w:rsidR="00EF1BA0" w14:paraId="120E48E1" w14:textId="77777777" w:rsidTr="00EF1BA0">
        <w:tc>
          <w:tcPr>
            <w:tcW w:w="4508" w:type="dxa"/>
            <w:tcBorders>
              <w:top w:val="nil"/>
              <w:left w:val="nil"/>
              <w:bottom w:val="nil"/>
              <w:right w:val="nil"/>
            </w:tcBorders>
            <w:hideMark/>
          </w:tcPr>
          <w:p w14:paraId="3D52681D" w14:textId="77777777" w:rsidR="00EF1BA0" w:rsidRDefault="00EF1BA0">
            <w:pPr>
              <w:rPr>
                <w:sz w:val="18"/>
              </w:rPr>
            </w:pPr>
            <w:r>
              <w:rPr>
                <w:sz w:val="18"/>
              </w:rPr>
              <w:t>Cropping</w:t>
            </w:r>
          </w:p>
        </w:tc>
        <w:tc>
          <w:tcPr>
            <w:tcW w:w="4508" w:type="dxa"/>
            <w:tcBorders>
              <w:top w:val="nil"/>
              <w:left w:val="nil"/>
              <w:bottom w:val="nil"/>
              <w:right w:val="nil"/>
            </w:tcBorders>
            <w:hideMark/>
          </w:tcPr>
          <w:p w14:paraId="1D70F907" w14:textId="77777777" w:rsidR="00EF1BA0" w:rsidRDefault="00EF1BA0">
            <w:pPr>
              <w:rPr>
                <w:sz w:val="18"/>
              </w:rPr>
            </w:pPr>
            <w:r>
              <w:rPr>
                <w:sz w:val="18"/>
              </w:rPr>
              <w:t>“Crop”, “Cropping”, "Crops", "Grain", "Grains", "Cereals"</w:t>
            </w:r>
          </w:p>
        </w:tc>
      </w:tr>
      <w:tr w:rsidR="00EF1BA0" w14:paraId="22FE326F" w14:textId="77777777" w:rsidTr="00EF1BA0">
        <w:tc>
          <w:tcPr>
            <w:tcW w:w="4508" w:type="dxa"/>
            <w:tcBorders>
              <w:top w:val="nil"/>
              <w:left w:val="nil"/>
              <w:bottom w:val="nil"/>
              <w:right w:val="nil"/>
            </w:tcBorders>
            <w:hideMark/>
          </w:tcPr>
          <w:p w14:paraId="490E9037" w14:textId="77777777" w:rsidR="00EF1BA0" w:rsidRDefault="00EF1BA0">
            <w:pPr>
              <w:rPr>
                <w:sz w:val="18"/>
              </w:rPr>
            </w:pPr>
            <w:r>
              <w:rPr>
                <w:sz w:val="18"/>
              </w:rPr>
              <w:t xml:space="preserve">Livestock </w:t>
            </w:r>
          </w:p>
        </w:tc>
        <w:tc>
          <w:tcPr>
            <w:tcW w:w="4508" w:type="dxa"/>
            <w:tcBorders>
              <w:top w:val="nil"/>
              <w:left w:val="nil"/>
              <w:bottom w:val="nil"/>
              <w:right w:val="nil"/>
            </w:tcBorders>
            <w:hideMark/>
          </w:tcPr>
          <w:p w14:paraId="4EBF7BD3" w14:textId="77777777" w:rsidR="00EF1BA0" w:rsidRDefault="00EF1BA0">
            <w:pPr>
              <w:rPr>
                <w:sz w:val="18"/>
              </w:rPr>
            </w:pPr>
            <w:r>
              <w:rPr>
                <w:sz w:val="18"/>
              </w:rPr>
              <w:t>"Cattle", "Pastoral", "Sheep", "Beef", "Livestock", "Grazing", "Wool", "Pigs", "Poultry", "CAMEL", "Mutton", "Goats"</w:t>
            </w:r>
          </w:p>
        </w:tc>
      </w:tr>
      <w:tr w:rsidR="00EF1BA0" w14:paraId="6A5E2EAA" w14:textId="77777777" w:rsidTr="00EF1BA0">
        <w:tc>
          <w:tcPr>
            <w:tcW w:w="4508" w:type="dxa"/>
            <w:tcBorders>
              <w:top w:val="nil"/>
              <w:left w:val="nil"/>
              <w:bottom w:val="nil"/>
              <w:right w:val="nil"/>
            </w:tcBorders>
            <w:hideMark/>
          </w:tcPr>
          <w:p w14:paraId="0CE18B91" w14:textId="77777777" w:rsidR="00EF1BA0" w:rsidRDefault="00EF1BA0">
            <w:pPr>
              <w:rPr>
                <w:sz w:val="18"/>
              </w:rPr>
            </w:pPr>
            <w:r>
              <w:rPr>
                <w:sz w:val="18"/>
              </w:rPr>
              <w:t>Mix</w:t>
            </w:r>
          </w:p>
        </w:tc>
        <w:tc>
          <w:tcPr>
            <w:tcW w:w="4508" w:type="dxa"/>
            <w:tcBorders>
              <w:top w:val="nil"/>
              <w:left w:val="nil"/>
              <w:bottom w:val="nil"/>
              <w:right w:val="nil"/>
            </w:tcBorders>
            <w:hideMark/>
          </w:tcPr>
          <w:p w14:paraId="43B3F8D7" w14:textId="77777777" w:rsidR="00EF1BA0" w:rsidRDefault="00EF1BA0">
            <w:pPr>
              <w:rPr>
                <w:sz w:val="18"/>
              </w:rPr>
            </w:pPr>
            <w:r>
              <w:rPr>
                <w:sz w:val="18"/>
              </w:rPr>
              <w:t>"Mix", "Mixed", "Cereals and Sheep", "Cereals and Cattle"</w:t>
            </w:r>
          </w:p>
        </w:tc>
      </w:tr>
      <w:tr w:rsidR="00EF1BA0" w14:paraId="3506DA1A" w14:textId="77777777" w:rsidTr="00EF1BA0">
        <w:tc>
          <w:tcPr>
            <w:tcW w:w="4508" w:type="dxa"/>
            <w:tcBorders>
              <w:top w:val="nil"/>
              <w:left w:val="nil"/>
              <w:bottom w:val="nil"/>
              <w:right w:val="nil"/>
            </w:tcBorders>
            <w:hideMark/>
          </w:tcPr>
          <w:p w14:paraId="3A311270" w14:textId="77777777" w:rsidR="00EF1BA0" w:rsidRDefault="00EF1BA0">
            <w:pPr>
              <w:rPr>
                <w:sz w:val="18"/>
              </w:rPr>
            </w:pPr>
            <w:r>
              <w:rPr>
                <w:sz w:val="18"/>
              </w:rPr>
              <w:t>Dairy</w:t>
            </w:r>
          </w:p>
        </w:tc>
        <w:tc>
          <w:tcPr>
            <w:tcW w:w="4508" w:type="dxa"/>
            <w:tcBorders>
              <w:top w:val="nil"/>
              <w:left w:val="nil"/>
              <w:bottom w:val="nil"/>
              <w:right w:val="nil"/>
            </w:tcBorders>
            <w:hideMark/>
          </w:tcPr>
          <w:p w14:paraId="079D34FF" w14:textId="77777777" w:rsidR="00EF1BA0" w:rsidRDefault="00EF1BA0">
            <w:pPr>
              <w:rPr>
                <w:sz w:val="18"/>
              </w:rPr>
            </w:pPr>
            <w:r>
              <w:rPr>
                <w:sz w:val="18"/>
              </w:rPr>
              <w:t>"Dairy", "Milk", "Cream"</w:t>
            </w:r>
          </w:p>
        </w:tc>
      </w:tr>
      <w:tr w:rsidR="00EF1BA0" w14:paraId="7DEF0A9B" w14:textId="77777777" w:rsidTr="00EF1BA0">
        <w:tc>
          <w:tcPr>
            <w:tcW w:w="4508" w:type="dxa"/>
            <w:tcBorders>
              <w:top w:val="nil"/>
              <w:left w:val="nil"/>
              <w:bottom w:val="nil"/>
              <w:right w:val="nil"/>
            </w:tcBorders>
            <w:hideMark/>
          </w:tcPr>
          <w:p w14:paraId="62E9EB83" w14:textId="77777777" w:rsidR="00EF1BA0" w:rsidRDefault="00EF1BA0">
            <w:pPr>
              <w:rPr>
                <w:sz w:val="18"/>
              </w:rPr>
            </w:pPr>
            <w:r>
              <w:rPr>
                <w:sz w:val="18"/>
              </w:rPr>
              <w:t>Vineyard</w:t>
            </w:r>
          </w:p>
        </w:tc>
        <w:tc>
          <w:tcPr>
            <w:tcW w:w="4508" w:type="dxa"/>
            <w:tcBorders>
              <w:top w:val="nil"/>
              <w:left w:val="nil"/>
              <w:bottom w:val="nil"/>
              <w:right w:val="nil"/>
            </w:tcBorders>
            <w:hideMark/>
          </w:tcPr>
          <w:p w14:paraId="42FCF926" w14:textId="77777777" w:rsidR="00EF1BA0" w:rsidRDefault="00EF1BA0">
            <w:pPr>
              <w:rPr>
                <w:sz w:val="18"/>
              </w:rPr>
            </w:pPr>
            <w:r>
              <w:rPr>
                <w:sz w:val="18"/>
              </w:rPr>
              <w:t>"Vines", "Vineyard", "Vineyards", "Vinyard", "Vinyards"</w:t>
            </w:r>
          </w:p>
        </w:tc>
      </w:tr>
      <w:tr w:rsidR="00EF1BA0" w14:paraId="7F00B1A8" w14:textId="77777777" w:rsidTr="00EF1BA0">
        <w:tc>
          <w:tcPr>
            <w:tcW w:w="4508" w:type="dxa"/>
            <w:tcBorders>
              <w:top w:val="nil"/>
              <w:left w:val="nil"/>
              <w:bottom w:val="nil"/>
              <w:right w:val="nil"/>
            </w:tcBorders>
            <w:hideMark/>
          </w:tcPr>
          <w:p w14:paraId="5676DA69" w14:textId="77777777" w:rsidR="00EF1BA0" w:rsidRDefault="00EF1BA0">
            <w:pPr>
              <w:rPr>
                <w:sz w:val="18"/>
              </w:rPr>
            </w:pPr>
            <w:r>
              <w:rPr>
                <w:sz w:val="18"/>
              </w:rPr>
              <w:t>Sugar</w:t>
            </w:r>
          </w:p>
        </w:tc>
        <w:tc>
          <w:tcPr>
            <w:tcW w:w="4508" w:type="dxa"/>
            <w:tcBorders>
              <w:top w:val="nil"/>
              <w:left w:val="nil"/>
              <w:bottom w:val="nil"/>
              <w:right w:val="nil"/>
            </w:tcBorders>
            <w:hideMark/>
          </w:tcPr>
          <w:p w14:paraId="28A5E2F6" w14:textId="77777777" w:rsidR="00EF1BA0" w:rsidRDefault="00EF1BA0">
            <w:pPr>
              <w:rPr>
                <w:sz w:val="18"/>
              </w:rPr>
            </w:pPr>
            <w:r>
              <w:rPr>
                <w:sz w:val="18"/>
              </w:rPr>
              <w:t>"Sugar"</w:t>
            </w:r>
          </w:p>
        </w:tc>
      </w:tr>
      <w:tr w:rsidR="00EF1BA0" w14:paraId="72D4B423" w14:textId="77777777" w:rsidTr="00EF1BA0">
        <w:tc>
          <w:tcPr>
            <w:tcW w:w="4508" w:type="dxa"/>
            <w:tcBorders>
              <w:top w:val="nil"/>
              <w:left w:val="nil"/>
              <w:bottom w:val="nil"/>
              <w:right w:val="nil"/>
            </w:tcBorders>
            <w:hideMark/>
          </w:tcPr>
          <w:p w14:paraId="58AC865F" w14:textId="77777777" w:rsidR="00EF1BA0" w:rsidRDefault="00EF1BA0">
            <w:pPr>
              <w:rPr>
                <w:sz w:val="18"/>
              </w:rPr>
            </w:pPr>
            <w:r>
              <w:rPr>
                <w:sz w:val="18"/>
              </w:rPr>
              <w:t>Lifestyle</w:t>
            </w:r>
          </w:p>
        </w:tc>
        <w:tc>
          <w:tcPr>
            <w:tcW w:w="4508" w:type="dxa"/>
            <w:tcBorders>
              <w:top w:val="nil"/>
              <w:left w:val="nil"/>
              <w:bottom w:val="nil"/>
              <w:right w:val="nil"/>
            </w:tcBorders>
            <w:hideMark/>
          </w:tcPr>
          <w:p w14:paraId="6DABCC97" w14:textId="77777777" w:rsidR="00EF1BA0" w:rsidRDefault="00EF1BA0">
            <w:pPr>
              <w:rPr>
                <w:sz w:val="18"/>
              </w:rPr>
            </w:pPr>
            <w:r>
              <w:rPr>
                <w:sz w:val="18"/>
              </w:rPr>
              <w:t>"Lifestyle", "House", "Housesite", "Dwelling", "Residential"</w:t>
            </w:r>
          </w:p>
        </w:tc>
      </w:tr>
      <w:tr w:rsidR="00EF1BA0" w14:paraId="46EF3CA2" w14:textId="77777777" w:rsidTr="00EF1BA0">
        <w:tc>
          <w:tcPr>
            <w:tcW w:w="4508" w:type="dxa"/>
            <w:tcBorders>
              <w:top w:val="nil"/>
              <w:left w:val="nil"/>
              <w:bottom w:val="nil"/>
              <w:right w:val="nil"/>
            </w:tcBorders>
            <w:hideMark/>
          </w:tcPr>
          <w:p w14:paraId="650FA982" w14:textId="77777777" w:rsidR="00EF1BA0" w:rsidRDefault="00EF1BA0">
            <w:pPr>
              <w:rPr>
                <w:sz w:val="18"/>
              </w:rPr>
            </w:pPr>
            <w:r>
              <w:rPr>
                <w:sz w:val="18"/>
              </w:rPr>
              <w:t>Horticulture</w:t>
            </w:r>
          </w:p>
        </w:tc>
        <w:tc>
          <w:tcPr>
            <w:tcW w:w="4508" w:type="dxa"/>
            <w:tcBorders>
              <w:top w:val="nil"/>
              <w:left w:val="nil"/>
              <w:bottom w:val="nil"/>
              <w:right w:val="nil"/>
            </w:tcBorders>
            <w:hideMark/>
          </w:tcPr>
          <w:p w14:paraId="24E6D7BD" w14:textId="77777777" w:rsidR="00EF1BA0" w:rsidRDefault="00EF1BA0">
            <w:pPr>
              <w:rPr>
                <w:sz w:val="18"/>
              </w:rPr>
            </w:pPr>
            <w:r>
              <w:rPr>
                <w:sz w:val="18"/>
              </w:rPr>
              <w:t>"Orchards", "Vegetables", "Citrus", "Pineapples", "Fruits”, "Groves", "Cotton", "Peanuts", "Pineapples", "Pome", "Almonds" "Berry"</w:t>
            </w:r>
          </w:p>
        </w:tc>
      </w:tr>
      <w:tr w:rsidR="00EF1BA0" w14:paraId="38FC33B3" w14:textId="77777777" w:rsidTr="00EF1BA0">
        <w:tc>
          <w:tcPr>
            <w:tcW w:w="4508" w:type="dxa"/>
            <w:tcBorders>
              <w:top w:val="nil"/>
              <w:left w:val="nil"/>
              <w:bottom w:val="nil"/>
              <w:right w:val="nil"/>
            </w:tcBorders>
          </w:tcPr>
          <w:p w14:paraId="62F5FDEC" w14:textId="77777777" w:rsidR="00EF1BA0" w:rsidRDefault="00EF1BA0">
            <w:pPr>
              <w:rPr>
                <w:b/>
                <w:sz w:val="18"/>
              </w:rPr>
            </w:pPr>
          </w:p>
        </w:tc>
        <w:tc>
          <w:tcPr>
            <w:tcW w:w="4508" w:type="dxa"/>
            <w:tcBorders>
              <w:top w:val="nil"/>
              <w:left w:val="nil"/>
              <w:bottom w:val="nil"/>
              <w:right w:val="nil"/>
            </w:tcBorders>
            <w:hideMark/>
          </w:tcPr>
          <w:p w14:paraId="121B363B" w14:textId="77777777" w:rsidR="00EF1BA0" w:rsidRDefault="00EF1BA0">
            <w:pPr>
              <w:rPr>
                <w:b/>
                <w:sz w:val="18"/>
              </w:rPr>
            </w:pPr>
            <w:r>
              <w:rPr>
                <w:b/>
                <w:sz w:val="18"/>
              </w:rPr>
              <w:t>Cl_primary land use equals:</w:t>
            </w:r>
          </w:p>
        </w:tc>
      </w:tr>
      <w:tr w:rsidR="00EF1BA0" w14:paraId="72082D59" w14:textId="77777777" w:rsidTr="00EF1BA0">
        <w:tc>
          <w:tcPr>
            <w:tcW w:w="4508" w:type="dxa"/>
            <w:tcBorders>
              <w:top w:val="nil"/>
              <w:left w:val="nil"/>
              <w:bottom w:val="single" w:sz="4" w:space="0" w:color="auto"/>
              <w:right w:val="nil"/>
            </w:tcBorders>
            <w:hideMark/>
          </w:tcPr>
          <w:p w14:paraId="3E5831B2" w14:textId="77777777" w:rsidR="00EF1BA0" w:rsidRDefault="00EF1BA0">
            <w:pPr>
              <w:rPr>
                <w:sz w:val="18"/>
              </w:rPr>
            </w:pPr>
            <w:r>
              <w:rPr>
                <w:sz w:val="18"/>
              </w:rPr>
              <w:t>Irrigated</w:t>
            </w:r>
          </w:p>
        </w:tc>
        <w:tc>
          <w:tcPr>
            <w:tcW w:w="4508" w:type="dxa"/>
            <w:tcBorders>
              <w:top w:val="nil"/>
              <w:left w:val="nil"/>
              <w:bottom w:val="single" w:sz="4" w:space="0" w:color="auto"/>
              <w:right w:val="nil"/>
            </w:tcBorders>
            <w:hideMark/>
          </w:tcPr>
          <w:p w14:paraId="58774112" w14:textId="77777777" w:rsidR="00EF1BA0" w:rsidRDefault="00EF1BA0">
            <w:pPr>
              <w:rPr>
                <w:sz w:val="18"/>
              </w:rPr>
            </w:pPr>
            <w:r>
              <w:rPr>
                <w:sz w:val="18"/>
              </w:rPr>
              <w:t>"Small Crops &amp; Fodder - Irrigated", "Vines - Irrigated", "Farming-Mixed-Part Irrigated", "Vines - Irrigated", "Vines and Others - Irrigated", "Farming-Dairy-Part Irrigated", "Cattle-Dairy - Irrigated Pasture", "Farming-Dairy-Part Irrigated", "Grazing/Pastoral-Part Irrigate", "Citrus and Others - Irrigated", "Vegetables - Irrigated", "Citrus - Irrigated", "Stone Fruits - Irrigated", "Stone and Pome Fruits - Irrigated", "Cotton", "Peanuts", "Pineapples", "Vegetables - Irrigated", "Almonds - Irrigated"</w:t>
            </w:r>
          </w:p>
        </w:tc>
      </w:tr>
    </w:tbl>
    <w:p w14:paraId="3EC0990E" w14:textId="77777777" w:rsidR="00EF1BA0" w:rsidRDefault="00EF1BA0"/>
    <w:p w14:paraId="7DBC9350" w14:textId="77777777" w:rsidR="00EF1BA0" w:rsidRDefault="00EF1BA0"/>
    <w:p w14:paraId="466C4D1D" w14:textId="77777777" w:rsidR="00EF1BA0" w:rsidRDefault="00EF1BA0"/>
    <w:p w14:paraId="43D71E7D" w14:textId="77777777" w:rsidR="00EF1BA0" w:rsidRDefault="00EF1BA0"/>
    <w:p w14:paraId="2EB969CB" w14:textId="77777777" w:rsidR="00EF1BA0" w:rsidRDefault="00EF1BA0"/>
    <w:p w14:paraId="1A1C560F" w14:textId="77777777" w:rsidR="00EF1BA0" w:rsidRDefault="00EF1BA0"/>
    <w:p w14:paraId="4C1E3199" w14:textId="77777777" w:rsidR="00EF1BA0" w:rsidRDefault="00EF1BA0"/>
    <w:p w14:paraId="3D61A49B" w14:textId="77777777" w:rsidR="00DA4354" w:rsidRDefault="000F722C" w:rsidP="00083400">
      <w:pPr>
        <w:pStyle w:val="Heading2"/>
        <w:numPr>
          <w:ilvl w:val="0"/>
          <w:numId w:val="0"/>
        </w:numPr>
        <w:ind w:left="709" w:hanging="709"/>
      </w:pPr>
      <w:bookmarkStart w:id="30" w:name="_Toc25744006"/>
      <w:r>
        <w:lastRenderedPageBreak/>
        <w:t>Appendix B</w:t>
      </w:r>
      <w:r w:rsidR="00083400">
        <w:t>: Geospatial statistical summaries</w:t>
      </w:r>
      <w:bookmarkEnd w:id="30"/>
    </w:p>
    <w:p w14:paraId="65F4A8F8" w14:textId="77777777" w:rsidR="00DA4354" w:rsidRDefault="00DA4354" w:rsidP="00DA4354">
      <w:pPr>
        <w:pStyle w:val="Caption"/>
      </w:pPr>
      <w:bookmarkStart w:id="31" w:name="_Toc25744022"/>
      <w:r>
        <w:t>Map A</w:t>
      </w:r>
      <w:r>
        <w:rPr>
          <w:noProof/>
        </w:rPr>
        <w:fldChar w:fldCharType="begin"/>
      </w:r>
      <w:r>
        <w:rPr>
          <w:noProof/>
        </w:rPr>
        <w:instrText xml:space="preserve"> SEQ Map \* ARABIC </w:instrText>
      </w:r>
      <w:r>
        <w:rPr>
          <w:noProof/>
        </w:rPr>
        <w:fldChar w:fldCharType="separate"/>
      </w:r>
      <w:r w:rsidR="009F7388">
        <w:rPr>
          <w:noProof/>
        </w:rPr>
        <w:t>2</w:t>
      </w:r>
      <w:r>
        <w:rPr>
          <w:noProof/>
        </w:rPr>
        <w:fldChar w:fldCharType="end"/>
      </w:r>
      <w:r>
        <w:t xml:space="preserve"> Farm size in clean dataset 1975</w:t>
      </w:r>
      <w:r w:rsidRPr="006606A8">
        <w:t>-2018</w:t>
      </w:r>
      <w:bookmarkEnd w:id="31"/>
    </w:p>
    <w:p w14:paraId="76032A0D" w14:textId="77777777" w:rsidR="00A263ED" w:rsidRDefault="00DA4354" w:rsidP="00A263ED">
      <w:r>
        <w:rPr>
          <w:noProof/>
          <w:lang w:eastAsia="en-AU"/>
        </w:rPr>
        <w:drawing>
          <wp:inline distT="0" distB="0" distL="0" distR="0" wp14:anchorId="2BDF4D1B" wp14:editId="5B32786C">
            <wp:extent cx="5773631" cy="61055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08426" cy="6142320"/>
                    </a:xfrm>
                    <a:prstGeom prst="rect">
                      <a:avLst/>
                    </a:prstGeom>
                  </pic:spPr>
                </pic:pic>
              </a:graphicData>
            </a:graphic>
          </wp:inline>
        </w:drawing>
      </w:r>
    </w:p>
    <w:p w14:paraId="72712D81" w14:textId="77777777" w:rsidR="00DA4354" w:rsidRPr="00614630" w:rsidRDefault="00A263ED">
      <w:pPr>
        <w:rPr>
          <w:i/>
        </w:rPr>
      </w:pPr>
      <w:r w:rsidRPr="00614630">
        <w:rPr>
          <w:i/>
          <w:sz w:val="16"/>
        </w:rPr>
        <w:t>Source: Authors estimates</w:t>
      </w:r>
    </w:p>
    <w:p w14:paraId="7AEBA692" w14:textId="77777777" w:rsidR="00DA4354" w:rsidRDefault="00DA4354" w:rsidP="00DA4354">
      <w:pPr>
        <w:pStyle w:val="Caption"/>
      </w:pPr>
      <w:bookmarkStart w:id="32" w:name="_Toc25744023"/>
      <w:r>
        <w:lastRenderedPageBreak/>
        <w:t>Map A</w:t>
      </w:r>
      <w:r>
        <w:rPr>
          <w:noProof/>
        </w:rPr>
        <w:fldChar w:fldCharType="begin"/>
      </w:r>
      <w:r>
        <w:rPr>
          <w:noProof/>
        </w:rPr>
        <w:instrText xml:space="preserve"> SEQ Map \* ARABIC </w:instrText>
      </w:r>
      <w:r>
        <w:rPr>
          <w:noProof/>
        </w:rPr>
        <w:fldChar w:fldCharType="separate"/>
      </w:r>
      <w:r w:rsidR="009F7388">
        <w:rPr>
          <w:noProof/>
        </w:rPr>
        <w:t>3</w:t>
      </w:r>
      <w:r>
        <w:rPr>
          <w:noProof/>
        </w:rPr>
        <w:fldChar w:fldCharType="end"/>
      </w:r>
      <w:r>
        <w:t xml:space="preserve"> Count of sales 1975-2018</w:t>
      </w:r>
      <w:bookmarkEnd w:id="32"/>
    </w:p>
    <w:p w14:paraId="3D6220DB" w14:textId="77777777" w:rsidR="00A263ED" w:rsidRDefault="00DA4354" w:rsidP="00A263ED">
      <w:r>
        <w:rPr>
          <w:noProof/>
          <w:lang w:eastAsia="en-AU"/>
        </w:rPr>
        <w:drawing>
          <wp:inline distT="0" distB="0" distL="0" distR="0" wp14:anchorId="337357FA" wp14:editId="1A28751A">
            <wp:extent cx="5620509" cy="594360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0031" cy="5964245"/>
                    </a:xfrm>
                    <a:prstGeom prst="rect">
                      <a:avLst/>
                    </a:prstGeom>
                  </pic:spPr>
                </pic:pic>
              </a:graphicData>
            </a:graphic>
          </wp:inline>
        </w:drawing>
      </w:r>
    </w:p>
    <w:p w14:paraId="78934819" w14:textId="77777777" w:rsidR="00DA4354" w:rsidRPr="00614630" w:rsidRDefault="00A263ED">
      <w:pPr>
        <w:rPr>
          <w:i/>
        </w:rPr>
      </w:pPr>
      <w:r w:rsidRPr="00614630">
        <w:rPr>
          <w:i/>
          <w:sz w:val="16"/>
        </w:rPr>
        <w:t>Source: Authors estimates</w:t>
      </w:r>
    </w:p>
    <w:p w14:paraId="4541DF6B" w14:textId="77777777" w:rsidR="00DA4354" w:rsidRDefault="00DA4354" w:rsidP="00DA4354">
      <w:pPr>
        <w:pStyle w:val="Caption"/>
      </w:pPr>
      <w:bookmarkStart w:id="33" w:name="_Toc25744024"/>
      <w:r>
        <w:lastRenderedPageBreak/>
        <w:t>Map A</w:t>
      </w:r>
      <w:r>
        <w:rPr>
          <w:noProof/>
        </w:rPr>
        <w:fldChar w:fldCharType="begin"/>
      </w:r>
      <w:r>
        <w:rPr>
          <w:noProof/>
        </w:rPr>
        <w:instrText xml:space="preserve"> SEQ Map \* ARABIC </w:instrText>
      </w:r>
      <w:r>
        <w:rPr>
          <w:noProof/>
        </w:rPr>
        <w:fldChar w:fldCharType="separate"/>
      </w:r>
      <w:r w:rsidR="009F7388">
        <w:rPr>
          <w:noProof/>
        </w:rPr>
        <w:t>4</w:t>
      </w:r>
      <w:r>
        <w:rPr>
          <w:noProof/>
        </w:rPr>
        <w:fldChar w:fldCharType="end"/>
      </w:r>
      <w:r>
        <w:t xml:space="preserve"> </w:t>
      </w:r>
      <w:r w:rsidR="000F722C">
        <w:t>Latest year of sale</w:t>
      </w:r>
      <w:r>
        <w:t xml:space="preserve"> 1975-2018</w:t>
      </w:r>
      <w:bookmarkEnd w:id="33"/>
    </w:p>
    <w:p w14:paraId="0B24DAED" w14:textId="77777777" w:rsidR="00A263ED" w:rsidRDefault="00DA4354" w:rsidP="00A263ED">
      <w:r>
        <w:rPr>
          <w:noProof/>
          <w:lang w:eastAsia="en-AU"/>
        </w:rPr>
        <w:drawing>
          <wp:inline distT="0" distB="0" distL="0" distR="0" wp14:anchorId="6A0644D7" wp14:editId="67B03353">
            <wp:extent cx="5782639" cy="6115050"/>
            <wp:effectExtent l="0" t="0" r="889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06362" cy="6140137"/>
                    </a:xfrm>
                    <a:prstGeom prst="rect">
                      <a:avLst/>
                    </a:prstGeom>
                  </pic:spPr>
                </pic:pic>
              </a:graphicData>
            </a:graphic>
          </wp:inline>
        </w:drawing>
      </w:r>
    </w:p>
    <w:p w14:paraId="1FEF5B6A" w14:textId="77777777" w:rsidR="00DA4354" w:rsidRPr="00614630" w:rsidRDefault="00A263ED">
      <w:pPr>
        <w:rPr>
          <w:i/>
        </w:rPr>
      </w:pPr>
      <w:r w:rsidRPr="00614630">
        <w:rPr>
          <w:i/>
          <w:sz w:val="16"/>
        </w:rPr>
        <w:t>Source: Authors estimates</w:t>
      </w:r>
    </w:p>
    <w:p w14:paraId="3C92B684" w14:textId="77777777" w:rsidR="00DA4354" w:rsidRDefault="00DA4354" w:rsidP="00DA4354">
      <w:pPr>
        <w:pStyle w:val="Caption"/>
      </w:pPr>
      <w:bookmarkStart w:id="34" w:name="_Toc25744025"/>
      <w:r>
        <w:lastRenderedPageBreak/>
        <w:t>Map A</w:t>
      </w:r>
      <w:r>
        <w:rPr>
          <w:noProof/>
        </w:rPr>
        <w:fldChar w:fldCharType="begin"/>
      </w:r>
      <w:r>
        <w:rPr>
          <w:noProof/>
        </w:rPr>
        <w:instrText xml:space="preserve"> SEQ Map \* ARABIC </w:instrText>
      </w:r>
      <w:r>
        <w:rPr>
          <w:noProof/>
        </w:rPr>
        <w:fldChar w:fldCharType="separate"/>
      </w:r>
      <w:r w:rsidR="009F7388">
        <w:rPr>
          <w:noProof/>
        </w:rPr>
        <w:t>5</w:t>
      </w:r>
      <w:r>
        <w:rPr>
          <w:noProof/>
        </w:rPr>
        <w:fldChar w:fldCharType="end"/>
      </w:r>
      <w:r>
        <w:t xml:space="preserve"> </w:t>
      </w:r>
      <w:r w:rsidRPr="006606A8">
        <w:t>Price per hectare (maximum)</w:t>
      </w:r>
      <w:r>
        <w:t xml:space="preserve"> by parcel in clean dataset 1975</w:t>
      </w:r>
      <w:r w:rsidRPr="006606A8">
        <w:t>-2018</w:t>
      </w:r>
      <w:r>
        <w:t xml:space="preserve"> (as hexbins)</w:t>
      </w:r>
      <w:bookmarkEnd w:id="34"/>
    </w:p>
    <w:p w14:paraId="6370CAF4" w14:textId="77777777" w:rsidR="00DA4354" w:rsidRDefault="00DA4354">
      <w:r>
        <w:rPr>
          <w:noProof/>
          <w:lang w:eastAsia="en-AU"/>
        </w:rPr>
        <w:drawing>
          <wp:inline distT="0" distB="0" distL="0" distR="0" wp14:anchorId="49D8FCAF" wp14:editId="7200FCC3">
            <wp:extent cx="5791200" cy="6124104"/>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1088" cy="6145136"/>
                    </a:xfrm>
                    <a:prstGeom prst="rect">
                      <a:avLst/>
                    </a:prstGeom>
                  </pic:spPr>
                </pic:pic>
              </a:graphicData>
            </a:graphic>
          </wp:inline>
        </w:drawing>
      </w:r>
    </w:p>
    <w:p w14:paraId="7926ED25" w14:textId="77777777" w:rsidR="00A263ED" w:rsidRPr="00614630" w:rsidRDefault="00A263ED" w:rsidP="00A263ED">
      <w:pPr>
        <w:spacing w:after="0"/>
        <w:rPr>
          <w:i/>
          <w:sz w:val="16"/>
        </w:rPr>
      </w:pPr>
      <w:r w:rsidRPr="00614630">
        <w:rPr>
          <w:i/>
          <w:sz w:val="16"/>
        </w:rPr>
        <w:t>Source: Authors estimates</w:t>
      </w:r>
    </w:p>
    <w:p w14:paraId="6564A3F8" w14:textId="77777777" w:rsidR="00DA4354" w:rsidRDefault="00DA4354"/>
    <w:p w14:paraId="60F340ED" w14:textId="77777777" w:rsidR="00DA4354" w:rsidRPr="00DA4354" w:rsidRDefault="00DA4354" w:rsidP="00DA4354">
      <w:pPr>
        <w:pStyle w:val="Caption"/>
      </w:pPr>
      <w:bookmarkStart w:id="35" w:name="_Toc25744026"/>
      <w:r>
        <w:lastRenderedPageBreak/>
        <w:t>Map A</w:t>
      </w:r>
      <w:r>
        <w:rPr>
          <w:noProof/>
        </w:rPr>
        <w:fldChar w:fldCharType="begin"/>
      </w:r>
      <w:r>
        <w:rPr>
          <w:noProof/>
        </w:rPr>
        <w:instrText xml:space="preserve"> SEQ Map \* ARABIC </w:instrText>
      </w:r>
      <w:r>
        <w:rPr>
          <w:noProof/>
        </w:rPr>
        <w:fldChar w:fldCharType="separate"/>
      </w:r>
      <w:r w:rsidR="009F7388">
        <w:rPr>
          <w:noProof/>
        </w:rPr>
        <w:t>6</w:t>
      </w:r>
      <w:r>
        <w:rPr>
          <w:noProof/>
        </w:rPr>
        <w:fldChar w:fldCharType="end"/>
      </w:r>
      <w:r>
        <w:t xml:space="preserve"> </w:t>
      </w:r>
      <w:r w:rsidRPr="00EF1BA0">
        <w:t>Experimental example of land value modelling using MCAS-S</w:t>
      </w:r>
      <w:bookmarkEnd w:id="35"/>
    </w:p>
    <w:p w14:paraId="6F0EAA26" w14:textId="77777777" w:rsidR="00DA4354" w:rsidRDefault="00DA4354" w:rsidP="00DA4354">
      <w:r>
        <w:rPr>
          <w:noProof/>
          <w:lang w:eastAsia="en-AU"/>
        </w:rPr>
        <w:drawing>
          <wp:inline distT="0" distB="0" distL="0" distR="0" wp14:anchorId="7CEF8086" wp14:editId="0B2288EF">
            <wp:extent cx="5731510" cy="3740785"/>
            <wp:effectExtent l="0" t="0" r="2540" b="0"/>
            <wp:docPr id="12" name="Picture 9"/>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rotWithShape="1">
                    <a:blip r:embed="rId33"/>
                    <a:srcRect l="22577" t="13148" r="3158" b="2627"/>
                    <a:stretch/>
                  </pic:blipFill>
                  <pic:spPr>
                    <a:xfrm>
                      <a:off x="0" y="0"/>
                      <a:ext cx="5731510" cy="3740785"/>
                    </a:xfrm>
                    <a:prstGeom prst="rect">
                      <a:avLst/>
                    </a:prstGeom>
                  </pic:spPr>
                </pic:pic>
              </a:graphicData>
            </a:graphic>
          </wp:inline>
        </w:drawing>
      </w:r>
    </w:p>
    <w:p w14:paraId="20A25CC8" w14:textId="77777777" w:rsidR="00A263ED" w:rsidRPr="00DE3CC4" w:rsidRDefault="00A263ED" w:rsidP="00A263ED">
      <w:pPr>
        <w:spacing w:after="0"/>
        <w:rPr>
          <w:i/>
          <w:sz w:val="16"/>
        </w:rPr>
      </w:pPr>
      <w:r w:rsidRPr="00DE3CC4">
        <w:rPr>
          <w:i/>
          <w:sz w:val="16"/>
        </w:rPr>
        <w:t>Source: Authors estimates</w:t>
      </w:r>
    </w:p>
    <w:p w14:paraId="0FCE2A91" w14:textId="77777777" w:rsidR="00DA4354" w:rsidRDefault="00DA4354" w:rsidP="00DA4354">
      <w:pPr>
        <w:pStyle w:val="FigureTableNoteSource"/>
        <w:rPr>
          <w:rFonts w:eastAsia="Calibri" w:cs="Times New Roman"/>
        </w:rPr>
      </w:pPr>
      <w:r>
        <w:t xml:space="preserve">Note: Once the direction and magnitude of the explanatory variables in relation to the dependent variable is known; the spatial datasets for these explanatory variables can be weighted and overlaid. This allows us to identify ‘optimal areas’ based on the explanatory variables (see red areas in the central map). It may be possible to compare these modelled values to actual values (in the CoreLogic dataset) to identify farmland that is either undervalued or overvalued. </w:t>
      </w:r>
      <w:r>
        <w:rPr>
          <w:b/>
        </w:rPr>
        <w:t>The modelling results in Figure A10 are for demonstrative purposes only and do not reflect the results in this paper.</w:t>
      </w:r>
      <w:r>
        <w:t xml:space="preserve"> </w:t>
      </w:r>
    </w:p>
    <w:p w14:paraId="7343C235" w14:textId="77777777" w:rsidR="00DA4354" w:rsidRDefault="00DA4354"/>
    <w:p w14:paraId="097E5AAD" w14:textId="77777777" w:rsidR="009C2B20" w:rsidRDefault="00BF6A7E">
      <w:pPr>
        <w:pStyle w:val="Heading2"/>
        <w:numPr>
          <w:ilvl w:val="0"/>
          <w:numId w:val="0"/>
        </w:numPr>
        <w:ind w:left="709" w:hanging="709"/>
      </w:pPr>
      <w:bookmarkStart w:id="36" w:name="_Toc430782162"/>
      <w:bookmarkStart w:id="37" w:name="_Toc25744007"/>
      <w:r>
        <w:lastRenderedPageBreak/>
        <w:t>References</w:t>
      </w:r>
      <w:bookmarkEnd w:id="36"/>
      <w:bookmarkEnd w:id="37"/>
    </w:p>
    <w:p w14:paraId="4F695638" w14:textId="77777777" w:rsidR="006E20C9" w:rsidRDefault="006E20C9" w:rsidP="006E20C9">
      <w:pPr>
        <w:rPr>
          <w:rFonts w:eastAsia="Calibri" w:cs="Times New Roman"/>
        </w:rPr>
      </w:pPr>
      <w:r>
        <w:t xml:space="preserve">Australian Bureau of Statistics (ABS) 2017, </w:t>
      </w:r>
      <w:r>
        <w:rPr>
          <w:lang w:val="en"/>
        </w:rPr>
        <w:t>Australian Statistical Geography Standard (ASGS): Volume 4 - Significant Urban Areas, Urban Centres and Localities, Section of State, July 2016</w:t>
      </w:r>
      <w:r w:rsidR="006C0E1A">
        <w:rPr>
          <w:lang w:val="en"/>
        </w:rPr>
        <w:t xml:space="preserve"> (ABS Cat no. 1270.0.55.004) </w:t>
      </w:r>
      <w:r>
        <w:rPr>
          <w:lang w:val="en"/>
        </w:rPr>
        <w:t> </w:t>
      </w:r>
      <w:r>
        <w:rPr>
          <w:sz w:val="16"/>
          <w:szCs w:val="16"/>
          <w:lang w:val="en"/>
        </w:rPr>
        <w:t> </w:t>
      </w:r>
    </w:p>
    <w:p w14:paraId="171D851A" w14:textId="77777777" w:rsidR="006E20C9" w:rsidRPr="00973D01" w:rsidRDefault="006E20C9" w:rsidP="006E20C9">
      <w:pPr>
        <w:jc w:val="both"/>
        <w:rPr>
          <w:lang w:val="en"/>
        </w:rPr>
      </w:pPr>
      <w:r>
        <w:t>Australian Bureau of Statistics (ABS) 2019,</w:t>
      </w:r>
      <w:r>
        <w:rPr>
          <w:lang w:val="en"/>
        </w:rPr>
        <w:t>- Australian National Accounts: National Income, Expenditure and Product, Dec 2018</w:t>
      </w:r>
      <w:r>
        <w:t>, Table 37. Industry Gross Value Added, Chain volume measures, Annual </w:t>
      </w:r>
      <w:hyperlink r:id="rId34" w:history="1">
        <w:r>
          <w:rPr>
            <w:rStyle w:val="Hyperlink"/>
          </w:rPr>
          <w:t>https://www.abs.gov.au/AUSSTATS/abs@.nsf/DetailsPage/5206.0Dec%202018?OpenDocument</w:t>
        </w:r>
      </w:hyperlink>
      <w:r>
        <w:t xml:space="preserve"> Annual 1975 to 2018</w:t>
      </w:r>
      <w:r w:rsidR="006C0E1A">
        <w:t xml:space="preserve"> (ABS Cat no. </w:t>
      </w:r>
      <w:r w:rsidR="006C0E1A">
        <w:rPr>
          <w:lang w:val="en"/>
        </w:rPr>
        <w:t>5206.0)</w:t>
      </w:r>
    </w:p>
    <w:p w14:paraId="6287F95B" w14:textId="77777777" w:rsidR="006E20C9" w:rsidRDefault="006E20C9" w:rsidP="006E20C9">
      <w:pPr>
        <w:rPr>
          <w:rStyle w:val="Hyperlink"/>
        </w:rPr>
      </w:pPr>
      <w:r>
        <w:t xml:space="preserve">Australian Bureau of Agricultural and Resource Economics and Sciences (ABARES) 2019, Catchment scale land use of Australia – Update December 2018, retrieved on 20/06/2019 from </w:t>
      </w:r>
      <w:hyperlink r:id="rId35" w:history="1">
        <w:r>
          <w:rPr>
            <w:rStyle w:val="Hyperlink"/>
          </w:rPr>
          <w:t>http://www.agriculture.gov.au/abares/aclump/Pages/land-use/Catchment-scale-land-use-of-Australia-2018.aspx</w:t>
        </w:r>
      </w:hyperlink>
    </w:p>
    <w:p w14:paraId="1575F9C5" w14:textId="77777777" w:rsidR="006E20C9" w:rsidRDefault="006E20C9" w:rsidP="006E20C9">
      <w:pPr>
        <w:rPr>
          <w:lang w:val="en"/>
        </w:rPr>
      </w:pPr>
      <w:r>
        <w:rPr>
          <w:lang w:val="en"/>
        </w:rPr>
        <w:t xml:space="preserve">Beaton, A. E., and Tukey J. W. 1974, The fitting of power series, meaning polynomials, illustrated on band-spectroscopic data. </w:t>
      </w:r>
      <w:r w:rsidRPr="00973D01">
        <w:rPr>
          <w:i/>
          <w:lang w:val="en"/>
        </w:rPr>
        <w:t xml:space="preserve">Technometrics </w:t>
      </w:r>
      <w:r>
        <w:rPr>
          <w:lang w:val="en"/>
        </w:rPr>
        <w:t>16: 147–185.</w:t>
      </w:r>
    </w:p>
    <w:p w14:paraId="69FBA8A5" w14:textId="77777777" w:rsidR="006E20C9" w:rsidRDefault="006E20C9" w:rsidP="006E20C9">
      <w:r>
        <w:t xml:space="preserve">Bureau of Meteorology (BoM) 2019a, Gridded Daily Rainfall Metadata, retrieved on 20/06/2019 from </w:t>
      </w:r>
      <w:hyperlink r:id="rId36" w:history="1">
        <w:r>
          <w:rPr>
            <w:rStyle w:val="Hyperlink"/>
          </w:rPr>
          <w:t>http://www.bom.gov.au/climate/austmaps/metadata-daily-rainfall.shtml</w:t>
        </w:r>
      </w:hyperlink>
    </w:p>
    <w:p w14:paraId="7681B6FA" w14:textId="77777777" w:rsidR="006E20C9" w:rsidRDefault="006E20C9" w:rsidP="006E20C9">
      <w:pPr>
        <w:rPr>
          <w:rStyle w:val="Hyperlink"/>
          <w:lang w:val="en"/>
        </w:rPr>
      </w:pPr>
      <w:r>
        <w:t>Bureau of Meteorology (BoM) 2019b</w:t>
      </w:r>
      <w:r>
        <w:rPr>
          <w:lang w:val="en"/>
        </w:rPr>
        <w:t xml:space="preserve"> Daily maximum temperature for Australia, retrieved on 20/06/2019 from </w:t>
      </w:r>
      <w:hyperlink r:id="rId37" w:history="1">
        <w:r>
          <w:rPr>
            <w:rStyle w:val="Hyperlink"/>
            <w:lang w:val="en"/>
          </w:rPr>
          <w:t>www.bom.gov.au/jsp/awap/temp/index.jsp</w:t>
        </w:r>
      </w:hyperlink>
    </w:p>
    <w:p w14:paraId="69558A61" w14:textId="77777777" w:rsidR="006E20C9" w:rsidRDefault="006E20C9" w:rsidP="006E20C9">
      <w:pPr>
        <w:rPr>
          <w:rStyle w:val="Hyperlink"/>
        </w:rPr>
      </w:pPr>
      <w:r>
        <w:t xml:space="preserve">Chicoine, D. 1981, Farmland </w:t>
      </w:r>
      <w:r w:rsidR="0027525E">
        <w:t>v</w:t>
      </w:r>
      <w:r>
        <w:t xml:space="preserve">alues at the </w:t>
      </w:r>
      <w:r w:rsidR="0027525E">
        <w:t>u</w:t>
      </w:r>
      <w:r>
        <w:t xml:space="preserve">rban </w:t>
      </w:r>
      <w:r w:rsidR="0027525E">
        <w:t>f</w:t>
      </w:r>
      <w:r>
        <w:t xml:space="preserve">ringe: An </w:t>
      </w:r>
      <w:r w:rsidR="0027525E">
        <w:t>a</w:t>
      </w:r>
      <w:r>
        <w:t xml:space="preserve">nalysis of </w:t>
      </w:r>
      <w:r w:rsidR="0027525E">
        <w:t>s</w:t>
      </w:r>
      <w:r>
        <w:t xml:space="preserve">ale </w:t>
      </w:r>
      <w:r w:rsidR="0027525E">
        <w:t>p</w:t>
      </w:r>
      <w:r>
        <w:t xml:space="preserve">rices. </w:t>
      </w:r>
      <w:r w:rsidR="0027525E">
        <w:t>l</w:t>
      </w:r>
      <w:r>
        <w:t xml:space="preserve">and </w:t>
      </w:r>
      <w:r w:rsidRPr="00973D01">
        <w:rPr>
          <w:i/>
        </w:rPr>
        <w:t>Economics</w:t>
      </w:r>
      <w:r>
        <w:t>, 57(3), 353-362. doi:10.2307/3146016</w:t>
      </w:r>
    </w:p>
    <w:p w14:paraId="62DAC52F" w14:textId="3A599E37" w:rsidR="006822C9" w:rsidRPr="001A2991" w:rsidRDefault="006822C9" w:rsidP="006822C9">
      <w:r w:rsidRPr="001A2991">
        <w:t>Cho, M. 1996</w:t>
      </w:r>
      <w:r w:rsidR="00607FB5" w:rsidRPr="001A2991">
        <w:t xml:space="preserve">, </w:t>
      </w:r>
      <w:r w:rsidRPr="001A2991">
        <w:t xml:space="preserve">House price dynamics: a survey of theoretical and empirical </w:t>
      </w:r>
      <w:r w:rsidR="00607FB5" w:rsidRPr="001A2991">
        <w:t>issues</w:t>
      </w:r>
      <w:r w:rsidRPr="001A2991">
        <w:t xml:space="preserve">, </w:t>
      </w:r>
      <w:r w:rsidRPr="001A2991">
        <w:rPr>
          <w:i/>
        </w:rPr>
        <w:t>Journal of Housing Research</w:t>
      </w:r>
      <w:r w:rsidRPr="001A2991">
        <w:t>, 7(2), pp 145–172.</w:t>
      </w:r>
    </w:p>
    <w:p w14:paraId="3EA88A9F" w14:textId="6D35B813" w:rsidR="006822C9" w:rsidRPr="001A2991" w:rsidRDefault="006822C9" w:rsidP="006E20C9">
      <w:r w:rsidRPr="001A2991">
        <w:t xml:space="preserve">Conniffe D. and D. Duffy 1999, Irish house price indices – methodological </w:t>
      </w:r>
      <w:r w:rsidR="00607FB5" w:rsidRPr="001A2991">
        <w:t>issues</w:t>
      </w:r>
      <w:r w:rsidRPr="001A2991">
        <w:t xml:space="preserve">, </w:t>
      </w:r>
      <w:r w:rsidRPr="001A2991">
        <w:rPr>
          <w:i/>
        </w:rPr>
        <w:t>Economic and Social Review</w:t>
      </w:r>
      <w:r w:rsidRPr="001A2991">
        <w:t>, 30(4), pp 403–423</w:t>
      </w:r>
    </w:p>
    <w:p w14:paraId="11AAAB4B" w14:textId="77777777" w:rsidR="006E20C9" w:rsidRDefault="006E20C9" w:rsidP="006E20C9">
      <w:r>
        <w:t xml:space="preserve">De Haan, J. and Diewert, W. E., 2013, </w:t>
      </w:r>
      <w:r w:rsidRPr="00973D01">
        <w:rPr>
          <w:i/>
        </w:rPr>
        <w:t>Handbook on Residential Property Prices Indices (RPPIs)</w:t>
      </w:r>
      <w:r w:rsidR="0021668E">
        <w:t>,</w:t>
      </w:r>
      <w:r>
        <w:t xml:space="preserve"> Methodologies and working papers. Eurostat, Luxembourg</w:t>
      </w:r>
    </w:p>
    <w:p w14:paraId="5B7A1FFB" w14:textId="77777777" w:rsidR="006E20C9" w:rsidRDefault="006E20C9" w:rsidP="006E20C9">
      <w:pPr>
        <w:rPr>
          <w:lang w:val="en"/>
        </w:rPr>
      </w:pPr>
      <w:r>
        <w:rPr>
          <w:lang w:val="en"/>
        </w:rPr>
        <w:t xml:space="preserve">Dent, J. and Ward, M. B. 2014, Food </w:t>
      </w:r>
      <w:r w:rsidR="0027525E">
        <w:rPr>
          <w:lang w:val="en"/>
        </w:rPr>
        <w:t>b</w:t>
      </w:r>
      <w:r>
        <w:rPr>
          <w:lang w:val="en"/>
        </w:rPr>
        <w:t xml:space="preserve">owl or </w:t>
      </w:r>
      <w:r w:rsidR="0027525E">
        <w:rPr>
          <w:lang w:val="en"/>
        </w:rPr>
        <w:t>f</w:t>
      </w:r>
      <w:r>
        <w:rPr>
          <w:lang w:val="en"/>
        </w:rPr>
        <w:t>olly? The economics of irrigating Northern Australia, Monash Business School, Department of Economics</w:t>
      </w:r>
    </w:p>
    <w:p w14:paraId="7729C1D0" w14:textId="77777777" w:rsidR="006E20C9" w:rsidRDefault="006E20C9" w:rsidP="006E20C9">
      <w:pPr>
        <w:rPr>
          <w:rStyle w:val="Hyperlink"/>
        </w:rPr>
      </w:pPr>
      <w:r>
        <w:rPr>
          <w:lang w:val="en"/>
        </w:rPr>
        <w:t xml:space="preserve">Department of Environment and Energy 2018, National Forest and Sparse Woody Vegetation Data (Version 3, 2018 Release), retrieved on 20/06/2019 from </w:t>
      </w:r>
      <w:hyperlink r:id="rId38" w:history="1">
        <w:r>
          <w:rPr>
            <w:rStyle w:val="Hyperlink"/>
            <w:lang w:val="en"/>
          </w:rPr>
          <w:t>https://data.gov.au/data/dataset/national-forest-and-sparse-woody-vegetation-data-version-3-2018-release</w:t>
        </w:r>
      </w:hyperlink>
    </w:p>
    <w:p w14:paraId="17FD3C68" w14:textId="77777777" w:rsidR="006E20C9" w:rsidRDefault="006E20C9" w:rsidP="006E20C9">
      <w:pPr>
        <w:rPr>
          <w:rStyle w:val="Hyperlink"/>
          <w:rFonts w:cs="Helvetica"/>
          <w:lang w:val="en"/>
        </w:rPr>
      </w:pPr>
      <w:r>
        <w:t xml:space="preserve">Department of Environment and Energy 2019, </w:t>
      </w:r>
      <w:r>
        <w:rPr>
          <w:rFonts w:cs="Helvetica"/>
          <w:color w:val="444444"/>
          <w:lang w:val="en"/>
        </w:rPr>
        <w:t xml:space="preserve">National Forest and Sparse Woody Vegetation Data (Version 3, 2018 Release), available via </w:t>
      </w:r>
      <w:hyperlink r:id="rId39" w:history="1">
        <w:r>
          <w:rPr>
            <w:rStyle w:val="Hyperlink"/>
            <w:rFonts w:cs="Helvetica"/>
            <w:lang w:val="en"/>
          </w:rPr>
          <w:t>https://data.gov.au/data/dataset/national-forest-and-sparse-woody-vegetation-data-version-3-2018-release</w:t>
        </w:r>
      </w:hyperlink>
    </w:p>
    <w:p w14:paraId="69030E5D" w14:textId="77777777" w:rsidR="006E20C9" w:rsidRDefault="006E20C9" w:rsidP="006E20C9">
      <w:pPr>
        <w:rPr>
          <w:rFonts w:cs="Times New Roman"/>
        </w:rPr>
      </w:pPr>
      <w:r>
        <w:lastRenderedPageBreak/>
        <w:t>Drescher, K., Henderson, J. and McNamara, K. 2001, Farmland prices determinants</w:t>
      </w:r>
      <w:r w:rsidR="00EF26A3">
        <w:t>,</w:t>
      </w:r>
      <w:r>
        <w:t xml:space="preserve"> In </w:t>
      </w:r>
      <w:r w:rsidRPr="00973D01">
        <w:rPr>
          <w:i/>
        </w:rPr>
        <w:t>American Agricultural Economics Association Annual Meeting</w:t>
      </w:r>
      <w:r>
        <w:t>, Chicago, IL</w:t>
      </w:r>
      <w:r w:rsidR="00EF26A3">
        <w:t>, August 2001</w:t>
      </w:r>
    </w:p>
    <w:p w14:paraId="354AE28C" w14:textId="77777777" w:rsidR="006E20C9" w:rsidRDefault="006E20C9" w:rsidP="006E20C9">
      <w:r>
        <w:t xml:space="preserve">Eves, C. 2016, The </w:t>
      </w:r>
      <w:r w:rsidR="00EF26A3">
        <w:t>a</w:t>
      </w:r>
      <w:r>
        <w:t xml:space="preserve">nalysis of NSW </w:t>
      </w:r>
      <w:r w:rsidR="00EF26A3">
        <w:t>r</w:t>
      </w:r>
      <w:r>
        <w:t xml:space="preserve">ural </w:t>
      </w:r>
      <w:r w:rsidR="00EF26A3">
        <w:t>p</w:t>
      </w:r>
      <w:r>
        <w:t>roperty: 1990-2014, 22nd Annual Pacific-Rim Real Estate Society Conference, Sunshine Coast, Australia, 17</w:t>
      </w:r>
      <w:r>
        <w:noBreakHyphen/>
        <w:t>20 January 2016</w:t>
      </w:r>
    </w:p>
    <w:p w14:paraId="14E1E9C2" w14:textId="77777777" w:rsidR="006E20C9" w:rsidRDefault="006E20C9" w:rsidP="006E20C9">
      <w:pPr>
        <w:rPr>
          <w:lang w:val="en"/>
        </w:rPr>
      </w:pPr>
      <w:r>
        <w:rPr>
          <w:lang w:val="en"/>
        </w:rPr>
        <w:t xml:space="preserve">Geoscience Australia 2011, Digital Elevation Data, retrieved on 20/06/2019 from </w:t>
      </w:r>
      <w:hyperlink r:id="rId40" w:history="1">
        <w:r>
          <w:rPr>
            <w:rStyle w:val="Hyperlink"/>
            <w:lang w:val="en"/>
          </w:rPr>
          <w:t>http://www.ga.gov.au/scientific-topics/national-location-information/digital-elevation-data</w:t>
        </w:r>
      </w:hyperlink>
    </w:p>
    <w:p w14:paraId="39D1633C" w14:textId="77777777" w:rsidR="006E20C9" w:rsidRDefault="006E20C9" w:rsidP="006E20C9">
      <w:pPr>
        <w:rPr>
          <w:lang w:val="en"/>
        </w:rPr>
      </w:pPr>
      <w:r>
        <w:rPr>
          <w:lang w:val="en"/>
        </w:rPr>
        <w:t xml:space="preserve">Geoscience Australia 2019, Water Observations from Space, retrieved on 20/06/2019 from </w:t>
      </w:r>
      <w:hyperlink r:id="rId41" w:history="1">
        <w:r>
          <w:rPr>
            <w:rStyle w:val="Hyperlink"/>
            <w:lang w:val="en"/>
          </w:rPr>
          <w:t>https://www.ga.gov.au/scientific-topics/community-safety/flood/wofs</w:t>
        </w:r>
      </w:hyperlink>
    </w:p>
    <w:p w14:paraId="30D8D1A2" w14:textId="77777777" w:rsidR="006E20C9" w:rsidRDefault="006E20C9" w:rsidP="006E20C9">
      <w:pPr>
        <w:rPr>
          <w:color w:val="165788"/>
          <w:u w:val="single"/>
          <w:lang w:val="en"/>
        </w:rPr>
      </w:pPr>
      <w:r>
        <w:rPr>
          <w:lang w:val="en"/>
        </w:rPr>
        <w:t xml:space="preserve">GEODATA 2006, GEODATA TOPO 250K Series 3 (Shape file format). Commonwealth of Australia (Geoscience Australia).dataset. </w:t>
      </w:r>
      <w:r>
        <w:rPr>
          <w:lang w:val="en"/>
        </w:rPr>
        <w:br/>
      </w:r>
      <w:hyperlink r:id="rId42" w:history="1">
        <w:r>
          <w:rPr>
            <w:rStyle w:val="Hyperlink"/>
            <w:lang w:val="en"/>
          </w:rPr>
          <w:t>http://pid.geoscience.gov.au/dataset/ga/64058</w:t>
        </w:r>
      </w:hyperlink>
    </w:p>
    <w:p w14:paraId="08EF0FB8" w14:textId="77777777" w:rsidR="006E20C9" w:rsidRDefault="006E20C9" w:rsidP="006E20C9">
      <w:r>
        <w:t xml:space="preserve">Grains Research &amp; Development Corporation (GRDC) 2019, Growing Regions, retrieved on 24/07/2019 from </w:t>
      </w:r>
      <w:hyperlink r:id="rId43" w:history="1">
        <w:r>
          <w:rPr>
            <w:rStyle w:val="Hyperlink"/>
          </w:rPr>
          <w:t>https://grdc.com.au/about/our-industry/growing-regions</w:t>
        </w:r>
      </w:hyperlink>
    </w:p>
    <w:p w14:paraId="563AAD7B" w14:textId="77777777" w:rsidR="006E20C9" w:rsidRDefault="006E20C9" w:rsidP="006E20C9">
      <w:pPr>
        <w:rPr>
          <w:color w:val="222222"/>
        </w:rPr>
      </w:pPr>
      <w:r>
        <w:rPr>
          <w:color w:val="222222"/>
        </w:rPr>
        <w:t xml:space="preserve">Hamilton, L.C. 2012, </w:t>
      </w:r>
      <w:r w:rsidRPr="00973D01">
        <w:rPr>
          <w:i/>
          <w:iCs/>
          <w:color w:val="222222"/>
        </w:rPr>
        <w:t>Statistics with Stata</w:t>
      </w:r>
      <w:r>
        <w:rPr>
          <w:iCs/>
          <w:color w:val="222222"/>
        </w:rPr>
        <w:t>: version 12</w:t>
      </w:r>
      <w:r w:rsidR="00EF26A3">
        <w:rPr>
          <w:color w:val="222222"/>
        </w:rPr>
        <w:t>,</w:t>
      </w:r>
      <w:r>
        <w:rPr>
          <w:color w:val="222222"/>
        </w:rPr>
        <w:t xml:space="preserve"> Cengage Learning.</w:t>
      </w:r>
    </w:p>
    <w:p w14:paraId="3AA4BE78" w14:textId="4F1B8138" w:rsidR="00365778" w:rsidRDefault="00AE4979" w:rsidP="00365778">
      <w:r>
        <w:t xml:space="preserve">Hansen J (2006), </w:t>
      </w:r>
      <w:r w:rsidR="00365778">
        <w:t>Australian house prices: a comparison of hedonic and</w:t>
      </w:r>
      <w:r w:rsidR="00D200BE">
        <w:t xml:space="preserve"> </w:t>
      </w:r>
      <w:r>
        <w:t>repeat-sales measures</w:t>
      </w:r>
      <w:r w:rsidR="00365778">
        <w:t>, Reserve Bank of Australia Research Discussion Paper No 2006-03.</w:t>
      </w:r>
    </w:p>
    <w:p w14:paraId="241E24E5" w14:textId="77777777" w:rsidR="006E20C9" w:rsidRDefault="006E20C9" w:rsidP="006E20C9">
      <w:r>
        <w:t xml:space="preserve">Hill, R.J., Melser, D. and Reid, B. 2010, Hedonic </w:t>
      </w:r>
      <w:r w:rsidR="00EF26A3">
        <w:t>i</w:t>
      </w:r>
      <w:r>
        <w:t xml:space="preserve">mputation with </w:t>
      </w:r>
      <w:r w:rsidR="00EF26A3">
        <w:t>g</w:t>
      </w:r>
      <w:r>
        <w:t xml:space="preserve">eospatial </w:t>
      </w:r>
      <w:r w:rsidR="00EF26A3">
        <w:t>d</w:t>
      </w:r>
      <w:r>
        <w:t xml:space="preserve">ata: An </w:t>
      </w:r>
      <w:r w:rsidR="00EF26A3">
        <w:t>a</w:t>
      </w:r>
      <w:r>
        <w:t xml:space="preserve">pplication of </w:t>
      </w:r>
      <w:r w:rsidR="00EF26A3">
        <w:t>s</w:t>
      </w:r>
      <w:r>
        <w:t xml:space="preserve">plines to the </w:t>
      </w:r>
      <w:r w:rsidR="00EF26A3">
        <w:t>h</w:t>
      </w:r>
      <w:r>
        <w:t xml:space="preserve">ousing </w:t>
      </w:r>
      <w:r w:rsidR="00EF26A3">
        <w:t>m</w:t>
      </w:r>
      <w:r>
        <w:t>arket, Mimeo.</w:t>
      </w:r>
    </w:p>
    <w:p w14:paraId="337A3D88" w14:textId="77777777" w:rsidR="006E20C9" w:rsidRDefault="006E20C9" w:rsidP="006E20C9">
      <w:r>
        <w:t xml:space="preserve">Hill, R.J 2011, Hedonic </w:t>
      </w:r>
      <w:r w:rsidR="00EF26A3">
        <w:t>p</w:t>
      </w:r>
      <w:r>
        <w:t xml:space="preserve">rice </w:t>
      </w:r>
      <w:r w:rsidR="00EF26A3">
        <w:t>i</w:t>
      </w:r>
      <w:r>
        <w:t xml:space="preserve">ndexes for </w:t>
      </w:r>
      <w:r w:rsidR="00EF26A3">
        <w:t>h</w:t>
      </w:r>
      <w:r>
        <w:t xml:space="preserve">ousing, </w:t>
      </w:r>
      <w:r w:rsidRPr="00973D01">
        <w:rPr>
          <w:i/>
        </w:rPr>
        <w:t>OECD Statistics Working paper</w:t>
      </w:r>
      <w:r>
        <w:t xml:space="preserve"> 2011/1, OECD Publishing, Paris.</w:t>
      </w:r>
    </w:p>
    <w:p w14:paraId="73976A29" w14:textId="77777777" w:rsidR="006E20C9" w:rsidRDefault="006E20C9" w:rsidP="006E20C9">
      <w:r>
        <w:t>Hill, R.J. and Scholz, M., 2014. Incorporating geospatial data in house price indexes: A hedonic imputation approach with splines</w:t>
      </w:r>
      <w:r w:rsidR="00EF26A3">
        <w:t>,</w:t>
      </w:r>
      <w:r>
        <w:t xml:space="preserve"> </w:t>
      </w:r>
      <w:r w:rsidRPr="00973D01">
        <w:rPr>
          <w:i/>
        </w:rPr>
        <w:t>Graz Economics Pa</w:t>
      </w:r>
      <w:r>
        <w:t>pers, 5.</w:t>
      </w:r>
    </w:p>
    <w:p w14:paraId="12D0AC58" w14:textId="77777777" w:rsidR="006E20C9" w:rsidRDefault="006E20C9" w:rsidP="006E20C9">
      <w:r>
        <w:t>Huang, H., Miller, G.Y., Sherrick, B.J. and Gomez, M.I. 2006, Factors influencing Illinois farmland values</w:t>
      </w:r>
      <w:r w:rsidR="00EF26A3">
        <w:t>,</w:t>
      </w:r>
      <w:r>
        <w:t xml:space="preserve"> </w:t>
      </w:r>
      <w:r w:rsidRPr="00973D01">
        <w:rPr>
          <w:i/>
        </w:rPr>
        <w:t xml:space="preserve">American </w:t>
      </w:r>
      <w:r w:rsidR="00EF26A3">
        <w:rPr>
          <w:i/>
        </w:rPr>
        <w:t>J</w:t>
      </w:r>
      <w:r w:rsidRPr="00973D01">
        <w:rPr>
          <w:i/>
        </w:rPr>
        <w:t xml:space="preserve">ournal of </w:t>
      </w:r>
      <w:r w:rsidR="00EF26A3">
        <w:rPr>
          <w:i/>
        </w:rPr>
        <w:t>A</w:t>
      </w:r>
      <w:r w:rsidRPr="00973D01">
        <w:rPr>
          <w:i/>
        </w:rPr>
        <w:t xml:space="preserve">gricultural </w:t>
      </w:r>
      <w:r w:rsidR="00EF26A3">
        <w:rPr>
          <w:i/>
        </w:rPr>
        <w:t>E</w:t>
      </w:r>
      <w:r w:rsidRPr="00973D01">
        <w:rPr>
          <w:i/>
        </w:rPr>
        <w:t>conomics</w:t>
      </w:r>
      <w:r>
        <w:t>, 88(2), pp.458-470.</w:t>
      </w:r>
    </w:p>
    <w:p w14:paraId="6A7072C6" w14:textId="77777777" w:rsidR="006E20C9" w:rsidRDefault="006E20C9" w:rsidP="006E20C9">
      <w:r>
        <w:t>Huber, P. J. 1964, Robust estimation of a location parameter</w:t>
      </w:r>
      <w:r w:rsidR="00EF26A3">
        <w:t>,</w:t>
      </w:r>
      <w:r>
        <w:t xml:space="preserve"> </w:t>
      </w:r>
      <w:r w:rsidRPr="00973D01">
        <w:rPr>
          <w:i/>
        </w:rPr>
        <w:t>Annals of Mathematical Statistics</w:t>
      </w:r>
      <w:r>
        <w:t xml:space="preserve"> 35: 73–101.</w:t>
      </w:r>
    </w:p>
    <w:p w14:paraId="76F008B8" w14:textId="77777777" w:rsidR="006E20C9" w:rsidRDefault="006E20C9" w:rsidP="006E20C9">
      <w:r>
        <w:t>King, D.A. and Sinden, J.A. 1988, Influence of soil conservation on farm land values</w:t>
      </w:r>
      <w:r w:rsidR="0021668E">
        <w:t>,</w:t>
      </w:r>
      <w:r>
        <w:t xml:space="preserve"> </w:t>
      </w:r>
      <w:r w:rsidRPr="00973D01">
        <w:rPr>
          <w:i/>
        </w:rPr>
        <w:t>Land Economics</w:t>
      </w:r>
      <w:r>
        <w:t>, 64(3), pp.242-255.</w:t>
      </w:r>
    </w:p>
    <w:p w14:paraId="718B5F2C" w14:textId="77777777" w:rsidR="006E20C9" w:rsidRDefault="006E20C9" w:rsidP="006E20C9">
      <w:pPr>
        <w:rPr>
          <w:b/>
          <w:sz w:val="28"/>
        </w:rPr>
      </w:pPr>
      <w:r>
        <w:rPr>
          <w:color w:val="222222"/>
        </w:rPr>
        <w:t xml:space="preserve">Leys, J., Chappell, A., Mewett, J. and Barson, M. 2017, Wind </w:t>
      </w:r>
      <w:r w:rsidR="0021668E">
        <w:rPr>
          <w:color w:val="222222"/>
        </w:rPr>
        <w:t>e</w:t>
      </w:r>
      <w:r>
        <w:rPr>
          <w:color w:val="222222"/>
        </w:rPr>
        <w:t xml:space="preserve">rosion </w:t>
      </w:r>
      <w:r w:rsidR="0021668E">
        <w:rPr>
          <w:color w:val="222222"/>
        </w:rPr>
        <w:t>a</w:t>
      </w:r>
      <w:r>
        <w:rPr>
          <w:color w:val="222222"/>
        </w:rPr>
        <w:t>ssessment for National Landcare Program</w:t>
      </w:r>
      <w:r w:rsidR="0021668E">
        <w:rPr>
          <w:color w:val="222222"/>
        </w:rPr>
        <w:t>,</w:t>
      </w:r>
      <w:r>
        <w:rPr>
          <w:color w:val="222222"/>
        </w:rPr>
        <w:t xml:space="preserve"> </w:t>
      </w:r>
      <w:r>
        <w:rPr>
          <w:i/>
          <w:iCs/>
          <w:color w:val="222222"/>
        </w:rPr>
        <w:t>NSW Office of Environment and Heritage, Australia</w:t>
      </w:r>
      <w:r>
        <w:rPr>
          <w:color w:val="222222"/>
        </w:rPr>
        <w:t>.</w:t>
      </w:r>
    </w:p>
    <w:p w14:paraId="0ACEFD38" w14:textId="77777777" w:rsidR="006E20C9" w:rsidRDefault="006E20C9" w:rsidP="006E20C9">
      <w:r>
        <w:t>Ma, S. and Swinton, S.M. 2011, Valuation of ecosystem services from rural landscapes using agricultural land prices</w:t>
      </w:r>
      <w:r w:rsidR="0021668E">
        <w:t>,</w:t>
      </w:r>
      <w:r>
        <w:t xml:space="preserve"> </w:t>
      </w:r>
      <w:r w:rsidRPr="00973D01">
        <w:rPr>
          <w:i/>
        </w:rPr>
        <w:t>Ecological Economics</w:t>
      </w:r>
      <w:r>
        <w:t>, 70(9), pp.1649-1659.</w:t>
      </w:r>
    </w:p>
    <w:p w14:paraId="4337F14D" w14:textId="5430E605" w:rsidR="00A63558" w:rsidRDefault="00A63558" w:rsidP="006E20C9">
      <w:pPr>
        <w:rPr>
          <w:color w:val="222222"/>
        </w:rPr>
      </w:pPr>
      <w:r>
        <w:t>Martin, P. and Topp, V. 2019, Farm performance: broadacre and dairy farms, 2016</w:t>
      </w:r>
      <w:r>
        <w:noBreakHyphen/>
        <w:t>17 to 2018</w:t>
      </w:r>
      <w:r>
        <w:noBreakHyphen/>
        <w:t xml:space="preserve">19, retrieved on 06/09/2019 from </w:t>
      </w:r>
      <w:hyperlink r:id="rId44" w:anchor="overview" w:history="1">
        <w:r w:rsidRPr="00CE281C">
          <w:rPr>
            <w:rStyle w:val="Hyperlink"/>
          </w:rPr>
          <w:t>http://www.agriculture.gov.au/abares/research-topics/surveys/farm-performance#overview</w:t>
        </w:r>
      </w:hyperlink>
    </w:p>
    <w:p w14:paraId="41D505EA" w14:textId="77777777" w:rsidR="006E20C9" w:rsidRDefault="006E20C9" w:rsidP="006E20C9">
      <w:r>
        <w:rPr>
          <w:color w:val="222222"/>
        </w:rPr>
        <w:lastRenderedPageBreak/>
        <w:t xml:space="preserve">McFadden, D. 1977, </w:t>
      </w:r>
      <w:r>
        <w:rPr>
          <w:i/>
          <w:iCs/>
          <w:color w:val="222222"/>
        </w:rPr>
        <w:t>Quantitative methods for analy</w:t>
      </w:r>
      <w:r w:rsidR="0021668E">
        <w:rPr>
          <w:i/>
          <w:iCs/>
          <w:color w:val="222222"/>
        </w:rPr>
        <w:t>s</w:t>
      </w:r>
      <w:r>
        <w:rPr>
          <w:i/>
          <w:iCs/>
          <w:color w:val="222222"/>
        </w:rPr>
        <w:t>ing travel behavio</w:t>
      </w:r>
      <w:r w:rsidR="0021668E">
        <w:rPr>
          <w:i/>
          <w:iCs/>
          <w:color w:val="222222"/>
        </w:rPr>
        <w:t>u</w:t>
      </w:r>
      <w:r>
        <w:rPr>
          <w:i/>
          <w:iCs/>
          <w:color w:val="222222"/>
        </w:rPr>
        <w:t xml:space="preserve">r of individuals: </w:t>
      </w:r>
      <w:r w:rsidR="0021668E">
        <w:rPr>
          <w:i/>
          <w:iCs/>
          <w:color w:val="222222"/>
        </w:rPr>
        <w:t>S</w:t>
      </w:r>
      <w:r>
        <w:rPr>
          <w:i/>
          <w:iCs/>
          <w:color w:val="222222"/>
        </w:rPr>
        <w:t>ome recent developments</w:t>
      </w:r>
      <w:r>
        <w:rPr>
          <w:color w:val="222222"/>
        </w:rPr>
        <w:t>. Institute of Transportation Studies, University of California.</w:t>
      </w:r>
    </w:p>
    <w:p w14:paraId="2450C12B" w14:textId="77777777" w:rsidR="006E20C9" w:rsidRDefault="006E20C9" w:rsidP="006E20C9">
      <w:r>
        <w:t>McKenzie N.J., Hairsine P.B., Gregory L.J., Austin J</w:t>
      </w:r>
      <w:r>
        <w:rPr>
          <w:sz w:val="14"/>
          <w:szCs w:val="14"/>
        </w:rPr>
        <w:t>.</w:t>
      </w:r>
      <w:r>
        <w:t>, Baldock J.A., Webb M.J</w:t>
      </w:r>
      <w:r>
        <w:rPr>
          <w:sz w:val="14"/>
          <w:szCs w:val="14"/>
        </w:rPr>
        <w:t>.</w:t>
      </w:r>
      <w:r>
        <w:t>, Mewett J</w:t>
      </w:r>
      <w:r>
        <w:rPr>
          <w:sz w:val="14"/>
          <w:szCs w:val="14"/>
        </w:rPr>
        <w:t>.</w:t>
      </w:r>
      <w:r>
        <w:t>, Cresswell H.P., Welti N</w:t>
      </w:r>
      <w:r>
        <w:rPr>
          <w:sz w:val="14"/>
          <w:szCs w:val="14"/>
        </w:rPr>
        <w:t>.</w:t>
      </w:r>
      <w:r>
        <w:t>, Thomas M</w:t>
      </w:r>
      <w:r>
        <w:rPr>
          <w:sz w:val="14"/>
          <w:szCs w:val="14"/>
        </w:rPr>
        <w:t xml:space="preserve">. </w:t>
      </w:r>
      <w:r>
        <w:t>2017, Priorities for improving soil condition across Australia’s agricultural landscapes</w:t>
      </w:r>
      <w:r w:rsidR="0021668E">
        <w:t>,</w:t>
      </w:r>
      <w:r>
        <w:t xml:space="preserve"> Report prepared for the Australian Government Department of Agriculture and Water Resources. CSIRO, Australia.</w:t>
      </w:r>
    </w:p>
    <w:p w14:paraId="490F5C52" w14:textId="77777777" w:rsidR="006E20C9" w:rsidRDefault="006E20C9" w:rsidP="006E20C9">
      <w:r>
        <w:t>Mendelsohn, R., Nordhaus, W., &amp; Shaw, D. 1994, The Impact of Global Warming on Agriculture: A Ricardian Analysis</w:t>
      </w:r>
      <w:r w:rsidR="0021668E">
        <w:t>,</w:t>
      </w:r>
      <w:r>
        <w:t xml:space="preserve"> </w:t>
      </w:r>
      <w:r w:rsidRPr="00973D01">
        <w:rPr>
          <w:i/>
        </w:rPr>
        <w:t>The American Economic Review</w:t>
      </w:r>
      <w:r>
        <w:t xml:space="preserve">, 84(4), 753-771. Retrieved from </w:t>
      </w:r>
      <w:hyperlink r:id="rId45" w:history="1">
        <w:r>
          <w:rPr>
            <w:rStyle w:val="Hyperlink"/>
          </w:rPr>
          <w:t>http://www.jstor.org/stable/2118029</w:t>
        </w:r>
      </w:hyperlink>
    </w:p>
    <w:p w14:paraId="6D559D7D" w14:textId="77777777" w:rsidR="006E20C9" w:rsidRDefault="006E20C9" w:rsidP="006E20C9">
      <w:r>
        <w:t>Palmquist, R.B. and Danielson, L.E. 1989, A hedonic study of the effects of erosion control and drainage on farmland values</w:t>
      </w:r>
      <w:r w:rsidR="000A0F77">
        <w:t>,</w:t>
      </w:r>
      <w:r w:rsidRPr="00973D01">
        <w:rPr>
          <w:i/>
        </w:rPr>
        <w:t xml:space="preserve"> American Journal of Agricultural Economics</w:t>
      </w:r>
      <w:r>
        <w:t>, 71(1), pp.55-62.</w:t>
      </w:r>
    </w:p>
    <w:p w14:paraId="0887AD3D" w14:textId="77777777" w:rsidR="006E20C9" w:rsidRDefault="006E20C9" w:rsidP="006E20C9">
      <w:r>
        <w:t xml:space="preserve">Pyykkönen, P. 2006, Factors affecting farmland prices in Finland, </w:t>
      </w:r>
      <w:r w:rsidRPr="00973D01">
        <w:rPr>
          <w:i/>
        </w:rPr>
        <w:t>Pellervo Economic Research Institute</w:t>
      </w:r>
      <w:r>
        <w:t>, Publication No. 19, Helsinki</w:t>
      </w:r>
    </w:p>
    <w:p w14:paraId="580DB521" w14:textId="77777777" w:rsidR="006E20C9" w:rsidRDefault="006E20C9" w:rsidP="006E20C9">
      <w:r>
        <w:t xml:space="preserve">Rural Bank 2016, Australian farmland values 2015, Volume 1, retrieved on 06/10/2017 from </w:t>
      </w:r>
      <w:hyperlink r:id="rId46" w:history="1">
        <w:r>
          <w:rPr>
            <w:rStyle w:val="Hyperlink"/>
          </w:rPr>
          <w:t>https://www.ruralbank.com.au/assets/responsive/pdf/publications/farm-land-values-2015.pdf</w:t>
        </w:r>
      </w:hyperlink>
    </w:p>
    <w:p w14:paraId="20EAA721" w14:textId="77777777" w:rsidR="006E20C9" w:rsidRDefault="006E20C9" w:rsidP="006E20C9">
      <w:pPr>
        <w:rPr>
          <w:rStyle w:val="Hyperlink"/>
        </w:rPr>
      </w:pPr>
      <w:r>
        <w:t xml:space="preserve">Ryan, P. 2014, pctile – Create variable containing percentiles, viewed on 30/07/2019 from </w:t>
      </w:r>
      <w:hyperlink r:id="rId47" w:history="1">
        <w:r>
          <w:rPr>
            <w:rStyle w:val="Hyperlink"/>
          </w:rPr>
          <w:t>https://www.stata.com/manuals13/dpctile.pdf</w:t>
        </w:r>
      </w:hyperlink>
    </w:p>
    <w:p w14:paraId="651A654B" w14:textId="77777777" w:rsidR="006E20C9" w:rsidRDefault="006E20C9" w:rsidP="006E20C9">
      <w:pPr>
        <w:rPr>
          <w:color w:val="222222"/>
        </w:rPr>
      </w:pPr>
      <w:r>
        <w:rPr>
          <w:color w:val="222222"/>
        </w:rPr>
        <w:t>Sheng, Y. and Chancellor, W. 2019, Exploring the relationship between farm size and productivity: Evidence from the Australian grains industry</w:t>
      </w:r>
      <w:r w:rsidR="000A0F77">
        <w:rPr>
          <w:color w:val="222222"/>
        </w:rPr>
        <w:t>,</w:t>
      </w:r>
      <w:r>
        <w:rPr>
          <w:color w:val="222222"/>
        </w:rPr>
        <w:t xml:space="preserve"> </w:t>
      </w:r>
      <w:r>
        <w:rPr>
          <w:i/>
          <w:iCs/>
          <w:color w:val="222222"/>
        </w:rPr>
        <w:t>Food Policy</w:t>
      </w:r>
      <w:r>
        <w:rPr>
          <w:color w:val="222222"/>
        </w:rPr>
        <w:t xml:space="preserve">, </w:t>
      </w:r>
      <w:r>
        <w:rPr>
          <w:i/>
          <w:iCs/>
          <w:color w:val="222222"/>
        </w:rPr>
        <w:t>84</w:t>
      </w:r>
      <w:r>
        <w:rPr>
          <w:color w:val="222222"/>
        </w:rPr>
        <w:t>, pp.196-204.</w:t>
      </w:r>
    </w:p>
    <w:p w14:paraId="1E7FFBC5" w14:textId="40E3A950" w:rsidR="00792117" w:rsidRPr="0015049B" w:rsidRDefault="00CE71E1" w:rsidP="006E20C9">
      <w:pPr>
        <w:rPr>
          <w:color w:val="222222"/>
        </w:rPr>
      </w:pPr>
      <w:r>
        <w:rPr>
          <w:color w:val="222222"/>
        </w:rPr>
        <w:t xml:space="preserve">Soriano, F. 2008, Modelling the relationship of energy efficiency attributes to hours price: the case of detached houses sold in the Australian Capital Territory in 2005-06, full statistical report to the </w:t>
      </w:r>
      <w:r>
        <w:rPr>
          <w:i/>
          <w:color w:val="222222"/>
        </w:rPr>
        <w:t>Energy Efficiency Rating and House Price in the ACT</w:t>
      </w:r>
      <w:r>
        <w:rPr>
          <w:color w:val="222222"/>
        </w:rPr>
        <w:t xml:space="preserve">, National Framework for Energy Efficiency, </w:t>
      </w:r>
      <w:r w:rsidRPr="00CE71E1">
        <w:rPr>
          <w:color w:val="222222"/>
        </w:rPr>
        <w:t>Department of the Environment, Water, Heritage and the Arts</w:t>
      </w:r>
      <w:r w:rsidR="00792117">
        <w:rPr>
          <w:color w:val="222222"/>
        </w:rPr>
        <w:t xml:space="preserve"> (</w:t>
      </w:r>
      <w:r w:rsidR="00607FB5">
        <w:rPr>
          <w:color w:val="222222"/>
        </w:rPr>
        <w:t xml:space="preserve">from </w:t>
      </w:r>
      <w:hyperlink r:id="rId48" w:history="1">
        <w:r w:rsidR="00792117" w:rsidRPr="008D5017">
          <w:rPr>
            <w:rStyle w:val="Hyperlink"/>
          </w:rPr>
          <w:t>https://www.buildingrating.org/document/energy-efficiency-rating-and-house-price-act</w:t>
        </w:r>
      </w:hyperlink>
      <w:r w:rsidR="00792117">
        <w:rPr>
          <w:color w:val="222222"/>
        </w:rPr>
        <w:t xml:space="preserve">). </w:t>
      </w:r>
    </w:p>
    <w:p w14:paraId="40ACD2F3" w14:textId="77777777" w:rsidR="006E20C9" w:rsidRDefault="006E20C9" w:rsidP="006E20C9">
      <w:pPr>
        <w:rPr>
          <w:rStyle w:val="Hyperlink"/>
        </w:rPr>
      </w:pPr>
      <w:r>
        <w:t xml:space="preserve">Stata 2014a, qreg – Quantile regression, viewed on 30.07/2019 from </w:t>
      </w:r>
      <w:hyperlink r:id="rId49" w:history="1">
        <w:r>
          <w:rPr>
            <w:rStyle w:val="Hyperlink"/>
          </w:rPr>
          <w:t>https://www.stata.com/manuals13/rqreg.pdf</w:t>
        </w:r>
      </w:hyperlink>
    </w:p>
    <w:p w14:paraId="412592E9" w14:textId="77777777" w:rsidR="006E20C9" w:rsidRDefault="006E20C9" w:rsidP="006E20C9">
      <w:r>
        <w:t>Stata 2014b, Bootstrap sampling and estimation, from https://www.stata.com/manuals13/rbootstrap.pdf#rbootstrap</w:t>
      </w:r>
    </w:p>
    <w:p w14:paraId="5981DE4B" w14:textId="77777777" w:rsidR="006E20C9" w:rsidRDefault="006E20C9" w:rsidP="006E20C9">
      <w:r>
        <w:t xml:space="preserve">Reserve Bank of Australia (RBA) 2019 Money and Credit Statistics </w:t>
      </w:r>
      <w:hyperlink r:id="rId50" w:tgtFrame="_blank" w:tooltip="Link, opening in a new window, to XLS file." w:history="1">
        <w:r>
          <w:rPr>
            <w:rStyle w:val="Hyperlink"/>
          </w:rPr>
          <w:t>Rural Debt by Lender – D9</w:t>
        </w:r>
      </w:hyperlink>
      <w:r>
        <w:t xml:space="preserve"> from </w:t>
      </w:r>
      <w:hyperlink r:id="rId51" w:history="1">
        <w:r>
          <w:rPr>
            <w:rStyle w:val="Hyperlink"/>
          </w:rPr>
          <w:t>https://www.rba.gov.au/statistics/tables/</w:t>
        </w:r>
      </w:hyperlink>
    </w:p>
    <w:p w14:paraId="6639C16E" w14:textId="77777777" w:rsidR="00B17876" w:rsidRPr="00220B9F" w:rsidRDefault="00B17876" w:rsidP="006E20C9">
      <w:r>
        <w:t>Triplett, J. 2004</w:t>
      </w:r>
      <w:r w:rsidR="00220B9F">
        <w:t>,</w:t>
      </w:r>
      <w:r>
        <w:t xml:space="preserve"> </w:t>
      </w:r>
      <w:r w:rsidR="00220B9F" w:rsidRPr="00973D01">
        <w:t>Handbook on hedonic indexes and quality adjustments in price indexes: Special application to information technology products</w:t>
      </w:r>
      <w:r w:rsidR="00220B9F">
        <w:t xml:space="preserve">, </w:t>
      </w:r>
      <w:r w:rsidR="00220B9F" w:rsidRPr="00973D01">
        <w:rPr>
          <w:i/>
        </w:rPr>
        <w:t>OECD Science, Techology and Industry</w:t>
      </w:r>
      <w:r w:rsidR="00220B9F">
        <w:t xml:space="preserve"> Working Papers, 2004/9, OECD Publishing.</w:t>
      </w:r>
    </w:p>
    <w:p w14:paraId="50BE7F2A" w14:textId="77777777" w:rsidR="009C2B20" w:rsidRDefault="008607A3">
      <w:r>
        <w:rPr>
          <w:color w:val="222222"/>
        </w:rPr>
        <w:t xml:space="preserve">Waltl, S.R., 2019. Variation across price segments and locations: A comprehensive quantile regression analysis of the Sydney housing market. </w:t>
      </w:r>
      <w:r>
        <w:rPr>
          <w:i/>
          <w:iCs/>
          <w:color w:val="222222"/>
        </w:rPr>
        <w:t>Real Estate Economics</w:t>
      </w:r>
      <w:r>
        <w:rPr>
          <w:color w:val="222222"/>
        </w:rPr>
        <w:t xml:space="preserve">, </w:t>
      </w:r>
      <w:r>
        <w:rPr>
          <w:i/>
          <w:iCs/>
          <w:color w:val="222222"/>
        </w:rPr>
        <w:t>47</w:t>
      </w:r>
      <w:r>
        <w:rPr>
          <w:color w:val="222222"/>
        </w:rPr>
        <w:t>(3), pp.723-756.</w:t>
      </w:r>
    </w:p>
    <w:sectPr w:rsidR="009C2B2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C28C8" w14:textId="77777777" w:rsidR="0078026C" w:rsidRDefault="0078026C">
      <w:r>
        <w:separator/>
      </w:r>
    </w:p>
    <w:p w14:paraId="14358522" w14:textId="77777777" w:rsidR="0078026C" w:rsidRDefault="0078026C"/>
    <w:p w14:paraId="64412238" w14:textId="77777777" w:rsidR="0078026C" w:rsidRDefault="0078026C"/>
  </w:endnote>
  <w:endnote w:type="continuationSeparator" w:id="0">
    <w:p w14:paraId="49367B74" w14:textId="77777777" w:rsidR="0078026C" w:rsidRDefault="0078026C">
      <w:r>
        <w:continuationSeparator/>
      </w:r>
    </w:p>
    <w:p w14:paraId="4A2AFA57" w14:textId="77777777" w:rsidR="0078026C" w:rsidRDefault="0078026C"/>
    <w:p w14:paraId="6DD2B657" w14:textId="77777777" w:rsidR="0078026C" w:rsidRDefault="0078026C"/>
  </w:endnote>
  <w:endnote w:type="continuationNotice" w:id="1">
    <w:p w14:paraId="65952438" w14:textId="77777777" w:rsidR="0078026C" w:rsidRDefault="0078026C">
      <w:pPr>
        <w:pStyle w:val="Footer"/>
      </w:pPr>
    </w:p>
    <w:p w14:paraId="259B5901" w14:textId="77777777" w:rsidR="0078026C" w:rsidRDefault="0078026C"/>
    <w:p w14:paraId="53B23AFA" w14:textId="77777777" w:rsidR="0078026C" w:rsidRDefault="00780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EF62" w14:textId="77777777" w:rsidR="00E87E1F" w:rsidRDefault="00E87E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036E0" w14:textId="77777777" w:rsidR="0078026C" w:rsidRDefault="0078026C">
    <w:pPr>
      <w:pStyle w:val="Footer"/>
    </w:pPr>
    <w:r>
      <w:t>Australian Bureau of Agricultural and Resource Economics and Sciences</w:t>
    </w:r>
  </w:p>
  <w:p w14:paraId="5FD5F6EE" w14:textId="77777777" w:rsidR="0078026C" w:rsidRDefault="0078026C">
    <w:pPr>
      <w:pStyle w:val="Footer"/>
    </w:pPr>
    <w:r>
      <w:fldChar w:fldCharType="begin"/>
    </w:r>
    <w:r>
      <w:instrText xml:space="preserve"> PAGE   \* MERGEFORMAT </w:instrText>
    </w:r>
    <w:r>
      <w:fldChar w:fldCharType="separate"/>
    </w:r>
    <w:r w:rsidR="009F7388">
      <w:rPr>
        <w:noProof/>
      </w:rPr>
      <w:t>20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7D6CB" w14:textId="77777777" w:rsidR="00E87E1F" w:rsidRDefault="00E87E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3CE20" w14:textId="77777777" w:rsidR="0078026C" w:rsidRDefault="0078026C">
      <w:r>
        <w:separator/>
      </w:r>
    </w:p>
    <w:p w14:paraId="1BD76E47" w14:textId="77777777" w:rsidR="0078026C" w:rsidRDefault="0078026C"/>
    <w:p w14:paraId="32AE6CAA" w14:textId="77777777" w:rsidR="0078026C" w:rsidRDefault="0078026C"/>
  </w:footnote>
  <w:footnote w:type="continuationSeparator" w:id="0">
    <w:p w14:paraId="4C75793D" w14:textId="77777777" w:rsidR="0078026C" w:rsidRDefault="0078026C">
      <w:r>
        <w:continuationSeparator/>
      </w:r>
    </w:p>
    <w:p w14:paraId="51B8EAE8" w14:textId="77777777" w:rsidR="0078026C" w:rsidRDefault="0078026C"/>
    <w:p w14:paraId="3E18A6A4" w14:textId="77777777" w:rsidR="0078026C" w:rsidRDefault="0078026C"/>
  </w:footnote>
  <w:footnote w:type="continuationNotice" w:id="1">
    <w:p w14:paraId="517024B3" w14:textId="77777777" w:rsidR="0078026C" w:rsidRDefault="0078026C">
      <w:pPr>
        <w:pStyle w:val="Footer"/>
      </w:pPr>
    </w:p>
    <w:p w14:paraId="563CD5D8" w14:textId="77777777" w:rsidR="0078026C" w:rsidRDefault="0078026C"/>
    <w:p w14:paraId="76E4B21B" w14:textId="77777777" w:rsidR="0078026C" w:rsidRDefault="0078026C"/>
  </w:footnote>
  <w:footnote w:id="2">
    <w:p w14:paraId="7F759C1C" w14:textId="53485DB1" w:rsidR="0078026C" w:rsidRDefault="0078026C">
      <w:pPr>
        <w:pStyle w:val="FootnoteText"/>
      </w:pPr>
      <w:r>
        <w:rPr>
          <w:rStyle w:val="FootnoteReference"/>
        </w:rPr>
        <w:footnoteRef/>
      </w:r>
      <w:r>
        <w:t xml:space="preserve"> Australian studies include Hansen (2006) and Soriano (2008)</w:t>
      </w:r>
    </w:p>
  </w:footnote>
  <w:footnote w:id="3">
    <w:p w14:paraId="3046207F" w14:textId="77777777" w:rsidR="0078026C" w:rsidRDefault="0078026C" w:rsidP="00ED3CB3">
      <w:pPr>
        <w:pStyle w:val="FootnoteText"/>
      </w:pPr>
      <w:r>
        <w:rPr>
          <w:rStyle w:val="FootnoteReference"/>
        </w:rPr>
        <w:footnoteRef/>
      </w:r>
      <w:r>
        <w:t xml:space="preserve"> For example, the stratification method has been used by the Australian Bureau of Statistics (ABS) and other official statistical agencies in the construction urban residential house price indexes.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47BA2" w14:textId="77777777" w:rsidR="00E87E1F" w:rsidRDefault="00E87E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8A5FC" w14:textId="064560B1" w:rsidR="0078026C" w:rsidRPr="004E1BF4" w:rsidRDefault="0078026C" w:rsidP="004179B2">
    <w:pPr>
      <w:pStyle w:val="Header"/>
    </w:pPr>
    <w:r>
      <w:t>Measuring Australian broadacre farmland value: Phase 1 – Statistical infrastructure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B76BC" w14:textId="77777777" w:rsidR="0078026C" w:rsidRDefault="0078026C">
    <w:pPr>
      <w:pStyle w:val="Header"/>
      <w:jc w:val="left"/>
    </w:pPr>
    <w:r>
      <w:rPr>
        <w:noProof/>
        <w:lang w:eastAsia="en-AU"/>
      </w:rPr>
      <w:drawing>
        <wp:inline distT="0" distB="0" distL="0" distR="0" wp14:anchorId="3A55845F" wp14:editId="7DC40088">
          <wp:extent cx="2520000" cy="8519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8519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50446D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430347"/>
    <w:multiLevelType w:val="hybridMultilevel"/>
    <w:tmpl w:val="E278BB12"/>
    <w:lvl w:ilvl="0" w:tplc="E7124378">
      <w:start w:val="1"/>
      <w:numFmt w:val="bullet"/>
      <w:lvlText w:val="-"/>
      <w:lvlJc w:val="left"/>
      <w:pPr>
        <w:ind w:left="1440" w:hanging="360"/>
      </w:pPr>
      <w:rPr>
        <w:rFonts w:ascii="Cambria"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8A3303A"/>
    <w:multiLevelType w:val="hybridMultilevel"/>
    <w:tmpl w:val="80EC4B76"/>
    <w:lvl w:ilvl="0" w:tplc="E7124378">
      <w:start w:val="1"/>
      <w:numFmt w:val="bullet"/>
      <w:lvlText w:val="-"/>
      <w:lvlJc w:val="left"/>
      <w:pPr>
        <w:ind w:left="1440" w:hanging="720"/>
      </w:pPr>
      <w:rPr>
        <w:rFonts w:ascii="Cambria" w:hAnsi="Cambria" w:hint="default"/>
      </w:rPr>
    </w:lvl>
    <w:lvl w:ilvl="1" w:tplc="544A31EE">
      <w:numFmt w:val="bullet"/>
      <w:lvlText w:val=""/>
      <w:lvlJc w:val="left"/>
      <w:pPr>
        <w:ind w:left="2160" w:hanging="720"/>
      </w:pPr>
      <w:rPr>
        <w:rFonts w:ascii="Symbol" w:eastAsiaTheme="minorHAnsi" w:hAnsi="Symbol"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lvl>
    <w:lvl w:ilvl="1">
      <w:start w:val="1"/>
      <w:numFmt w:val="decimal"/>
      <w:pStyle w:val="AppendixHeading2"/>
      <w:lvlText w:val="%1.%2"/>
      <w:lvlJc w:val="left"/>
      <w:pPr>
        <w:ind w:left="567" w:hanging="567"/>
      </w:pPr>
    </w:lvl>
    <w:lvl w:ilvl="2">
      <w:start w:val="1"/>
      <w:numFmt w:val="lowerRoman"/>
      <w:lvlText w:val="%3)"/>
      <w:lvlJc w:val="left"/>
      <w:pPr>
        <w:ind w:left="567" w:hanging="567"/>
      </w:pPr>
    </w:lvl>
    <w:lvl w:ilvl="3">
      <w:start w:val="1"/>
      <w:numFmt w:val="decimal"/>
      <w:lvlText w:val="(%4)"/>
      <w:lvlJc w:val="left"/>
      <w:pPr>
        <w:ind w:left="567" w:hanging="567"/>
      </w:pPr>
    </w:lvl>
    <w:lvl w:ilvl="4">
      <w:start w:val="1"/>
      <w:numFmt w:val="lowerLetter"/>
      <w:lvlText w:val="(%5)"/>
      <w:lvlJc w:val="left"/>
      <w:pPr>
        <w:ind w:left="56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18"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9" w15:restartNumberingAfterBreak="0">
    <w:nsid w:val="2B103637"/>
    <w:multiLevelType w:val="multilevel"/>
    <w:tmpl w:val="BE78A4F8"/>
    <w:numStyleLink w:val="Numberlist"/>
  </w:abstractNum>
  <w:abstractNum w:abstractNumId="20" w15:restartNumberingAfterBreak="0">
    <w:nsid w:val="2B34348B"/>
    <w:multiLevelType w:val="hybridMultilevel"/>
    <w:tmpl w:val="FE2A35E4"/>
    <w:lvl w:ilvl="0" w:tplc="E7124378">
      <w:start w:val="1"/>
      <w:numFmt w:val="bullet"/>
      <w:lvlText w:val="-"/>
      <w:lvlJc w:val="left"/>
      <w:pPr>
        <w:ind w:left="1440" w:hanging="360"/>
      </w:pPr>
      <w:rPr>
        <w:rFonts w:ascii="Cambria"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2425AB"/>
    <w:multiLevelType w:val="multilevel"/>
    <w:tmpl w:val="BC8603C0"/>
    <w:lvl w:ilvl="0">
      <w:start w:val="1"/>
      <w:numFmt w:val="decimal"/>
      <w:lvlText w:val="%1)"/>
      <w:lvlJc w:val="left"/>
      <w:pPr>
        <w:ind w:left="425" w:hanging="425"/>
      </w:pPr>
      <w:rPr>
        <w:color w:val="auto"/>
      </w:rPr>
    </w:lvl>
    <w:lvl w:ilvl="1">
      <w:start w:val="1"/>
      <w:numFmt w:val="lowerLetter"/>
      <w:lvlText w:val="%2)"/>
      <w:lvlJc w:val="left"/>
      <w:pPr>
        <w:ind w:left="794" w:hanging="369"/>
      </w:pPr>
    </w:lvl>
    <w:lvl w:ilvl="2">
      <w:start w:val="1"/>
      <w:numFmt w:val="lowerRoman"/>
      <w:lvlText w:val="%3)"/>
      <w:lvlJc w:val="right"/>
      <w:pPr>
        <w:ind w:left="1077" w:hanging="17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4A15FE"/>
    <w:multiLevelType w:val="multilevel"/>
    <w:tmpl w:val="F36C17E8"/>
    <w:numStyleLink w:val="Headinglist"/>
  </w:abstractNum>
  <w:abstractNum w:abstractNumId="23" w15:restartNumberingAfterBreak="0">
    <w:nsid w:val="414F4729"/>
    <w:multiLevelType w:val="multilevel"/>
    <w:tmpl w:val="A0241B28"/>
    <w:numStyleLink w:val="List1"/>
  </w:abstractNum>
  <w:abstractNum w:abstractNumId="24" w15:restartNumberingAfterBreak="0">
    <w:nsid w:val="46DD5C12"/>
    <w:multiLevelType w:val="multilevel"/>
    <w:tmpl w:val="20F2356A"/>
    <w:numStyleLink w:val="Appendix"/>
  </w:abstractNum>
  <w:abstractNum w:abstractNumId="25" w15:restartNumberingAfterBreak="0">
    <w:nsid w:val="486800B4"/>
    <w:multiLevelType w:val="multilevel"/>
    <w:tmpl w:val="A0241B28"/>
    <w:numStyleLink w:val="List1"/>
  </w:abstractNum>
  <w:abstractNum w:abstractNumId="26"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96159DC"/>
    <w:multiLevelType w:val="multilevel"/>
    <w:tmpl w:val="BE78A4F8"/>
    <w:numStyleLink w:val="Numberlist"/>
  </w:abstractNum>
  <w:abstractNum w:abstractNumId="28" w15:restartNumberingAfterBreak="0">
    <w:nsid w:val="49E64822"/>
    <w:multiLevelType w:val="hybridMultilevel"/>
    <w:tmpl w:val="9D4E5534"/>
    <w:lvl w:ilvl="0" w:tplc="E7124378">
      <w:start w:val="1"/>
      <w:numFmt w:val="bullet"/>
      <w:lvlText w:val="-"/>
      <w:lvlJc w:val="left"/>
      <w:pPr>
        <w:ind w:left="1440" w:hanging="360"/>
      </w:pPr>
      <w:rPr>
        <w:rFonts w:ascii="Cambria" w:hAnsi="Cambria"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1502AAD"/>
    <w:multiLevelType w:val="hybridMultilevel"/>
    <w:tmpl w:val="62803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E2182B"/>
    <w:multiLevelType w:val="hybridMultilevel"/>
    <w:tmpl w:val="A20E8BFC"/>
    <w:lvl w:ilvl="0" w:tplc="E7124378">
      <w:start w:val="1"/>
      <w:numFmt w:val="bullet"/>
      <w:lvlText w:val="-"/>
      <w:lvlJc w:val="left"/>
      <w:pPr>
        <w:ind w:left="1440" w:hanging="360"/>
      </w:pPr>
      <w:rPr>
        <w:rFonts w:ascii="Cambria" w:hAnsi="Cambria"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BF51EC7"/>
    <w:multiLevelType w:val="multilevel"/>
    <w:tmpl w:val="23E2163A"/>
    <w:styleLink w:val="Headings"/>
    <w:lvl w:ilvl="0">
      <w:start w:val="1"/>
      <w:numFmt w:val="decimal"/>
      <w:lvlText w:val="%1"/>
      <w:lvlJc w:val="left"/>
      <w:pPr>
        <w:ind w:left="567" w:hanging="567"/>
      </w:pPr>
    </w:lvl>
    <w:lvl w:ilvl="1">
      <w:start w:val="1"/>
      <w:numFmt w:val="decimal"/>
      <w:lvlText w:val="%1.%2"/>
      <w:lvlJc w:val="left"/>
      <w:pPr>
        <w:ind w:left="567" w:hanging="567"/>
      </w:pPr>
    </w:lvl>
    <w:lvl w:ilvl="2">
      <w:start w:val="1"/>
      <w:numFmt w:val="lowerRoman"/>
      <w:lvlText w:val="%3)"/>
      <w:lvlJc w:val="left"/>
      <w:pPr>
        <w:ind w:left="567" w:hanging="567"/>
      </w:pPr>
    </w:lvl>
    <w:lvl w:ilvl="3">
      <w:start w:val="1"/>
      <w:numFmt w:val="decimal"/>
      <w:lvlText w:val="(%4)"/>
      <w:lvlJc w:val="left"/>
      <w:pPr>
        <w:ind w:left="567" w:hanging="567"/>
      </w:pPr>
    </w:lvl>
    <w:lvl w:ilvl="4">
      <w:start w:val="1"/>
      <w:numFmt w:val="lowerLetter"/>
      <w:lvlText w:val="(%5)"/>
      <w:lvlJc w:val="left"/>
      <w:pPr>
        <w:ind w:left="56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3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8C10A1"/>
    <w:multiLevelType w:val="multilevel"/>
    <w:tmpl w:val="BE78A4F8"/>
    <w:numStyleLink w:val="Numberlist"/>
  </w:abstractNum>
  <w:abstractNum w:abstractNumId="38" w15:restartNumberingAfterBreak="0">
    <w:nsid w:val="6D786A2D"/>
    <w:multiLevelType w:val="hybridMultilevel"/>
    <w:tmpl w:val="1ADA78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EC122A0"/>
    <w:multiLevelType w:val="multilevel"/>
    <w:tmpl w:val="BC8603C0"/>
    <w:styleLink w:val="ListNumbers"/>
    <w:lvl w:ilvl="0">
      <w:start w:val="1"/>
      <w:numFmt w:val="decimal"/>
      <w:lvlText w:val="%1)"/>
      <w:lvlJc w:val="left"/>
      <w:pPr>
        <w:ind w:left="425" w:hanging="425"/>
      </w:pPr>
      <w:rPr>
        <w:color w:val="auto"/>
      </w:rPr>
    </w:lvl>
    <w:lvl w:ilvl="1">
      <w:start w:val="1"/>
      <w:numFmt w:val="lowerLetter"/>
      <w:lvlText w:val="%2)"/>
      <w:lvlJc w:val="left"/>
      <w:pPr>
        <w:ind w:left="794" w:hanging="369"/>
      </w:pPr>
    </w:lvl>
    <w:lvl w:ilvl="2">
      <w:start w:val="1"/>
      <w:numFmt w:val="lowerRoman"/>
      <w:lvlText w:val="%3)"/>
      <w:lvlJc w:val="right"/>
      <w:pPr>
        <w:ind w:left="1077" w:hanging="17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3934B7"/>
    <w:multiLevelType w:val="multilevel"/>
    <w:tmpl w:val="A0241B28"/>
    <w:numStyleLink w:val="List1"/>
  </w:abstractNum>
  <w:num w:numId="1">
    <w:abstractNumId w:val="6"/>
  </w:num>
  <w:num w:numId="2">
    <w:abstractNumId w:val="25"/>
  </w:num>
  <w:num w:numId="3">
    <w:abstractNumId w:val="26"/>
  </w:num>
  <w:num w:numId="4">
    <w:abstractNumId w:val="11"/>
  </w:num>
  <w:num w:numId="5">
    <w:abstractNumId w:val="33"/>
  </w:num>
  <w:num w:numId="6">
    <w:abstractNumId w:val="34"/>
  </w:num>
  <w:num w:numId="7">
    <w:abstractNumId w:val="8"/>
  </w:num>
  <w:num w:numId="8">
    <w:abstractNumId w:val="15"/>
  </w:num>
  <w:num w:numId="9">
    <w:abstractNumId w:val="22"/>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3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
  </w:num>
  <w:num w:numId="20">
    <w:abstractNumId w:val="0"/>
  </w:num>
  <w:num w:numId="21">
    <w:abstractNumId w:val="19"/>
  </w:num>
  <w:num w:numId="22">
    <w:abstractNumId w:val="27"/>
  </w:num>
  <w:num w:numId="23">
    <w:abstractNumId w:val="37"/>
  </w:num>
  <w:num w:numId="24">
    <w:abstractNumId w:val="14"/>
  </w:num>
  <w:num w:numId="25">
    <w:abstractNumId w:val="23"/>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9"/>
  </w:num>
  <w:num w:numId="29">
    <w:abstractNumId w:val="7"/>
  </w:num>
  <w:num w:numId="30">
    <w:abstractNumId w:val="29"/>
  </w:num>
  <w:num w:numId="31">
    <w:abstractNumId w:val="35"/>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6"/>
  </w:num>
  <w:num w:numId="37">
    <w:abstractNumId w:val="11"/>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7"/>
  </w:num>
  <w:num w:numId="41">
    <w:abstractNumId w:val="39"/>
  </w:num>
  <w:num w:numId="42">
    <w:abstractNumId w:val="38"/>
  </w:num>
  <w:num w:numId="43">
    <w:abstractNumId w:val="16"/>
  </w:num>
  <w:num w:numId="44">
    <w:abstractNumId w:val="31"/>
  </w:num>
  <w:num w:numId="45">
    <w:abstractNumId w:val="28"/>
  </w:num>
  <w:num w:numId="46">
    <w:abstractNumId w:val="30"/>
  </w:num>
  <w:num w:numId="47">
    <w:abstractNumId w:val="10"/>
  </w:num>
  <w:num w:numId="4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1b1de52c-2d78-4b62-a2f8-bb3234aa8689"/>
  </w:docVars>
  <w:rsids>
    <w:rsidRoot w:val="004E1BF4"/>
    <w:rsid w:val="00000D16"/>
    <w:rsid w:val="00000FB5"/>
    <w:rsid w:val="0000264A"/>
    <w:rsid w:val="00012E7C"/>
    <w:rsid w:val="0002261C"/>
    <w:rsid w:val="00026F59"/>
    <w:rsid w:val="00030882"/>
    <w:rsid w:val="000410B2"/>
    <w:rsid w:val="00041820"/>
    <w:rsid w:val="00043F1B"/>
    <w:rsid w:val="00045FD0"/>
    <w:rsid w:val="00047192"/>
    <w:rsid w:val="00051AF5"/>
    <w:rsid w:val="00055D6D"/>
    <w:rsid w:val="00057E4C"/>
    <w:rsid w:val="000645CD"/>
    <w:rsid w:val="000658ED"/>
    <w:rsid w:val="00083400"/>
    <w:rsid w:val="000863EF"/>
    <w:rsid w:val="00092A52"/>
    <w:rsid w:val="000933B9"/>
    <w:rsid w:val="00097401"/>
    <w:rsid w:val="000A0F77"/>
    <w:rsid w:val="000A582C"/>
    <w:rsid w:val="000A627B"/>
    <w:rsid w:val="000B2B6B"/>
    <w:rsid w:val="000B7E91"/>
    <w:rsid w:val="000C127B"/>
    <w:rsid w:val="000C14E7"/>
    <w:rsid w:val="000C1E79"/>
    <w:rsid w:val="000C3EC7"/>
    <w:rsid w:val="000C59D1"/>
    <w:rsid w:val="000D0B7D"/>
    <w:rsid w:val="000E0454"/>
    <w:rsid w:val="000E2F96"/>
    <w:rsid w:val="000F230D"/>
    <w:rsid w:val="000F5F01"/>
    <w:rsid w:val="000F6183"/>
    <w:rsid w:val="000F722C"/>
    <w:rsid w:val="00100D00"/>
    <w:rsid w:val="0010121A"/>
    <w:rsid w:val="00103A98"/>
    <w:rsid w:val="00104F4D"/>
    <w:rsid w:val="001055E7"/>
    <w:rsid w:val="001066AF"/>
    <w:rsid w:val="00111173"/>
    <w:rsid w:val="001111BE"/>
    <w:rsid w:val="00132203"/>
    <w:rsid w:val="00132C3A"/>
    <w:rsid w:val="00137DB0"/>
    <w:rsid w:val="001412EF"/>
    <w:rsid w:val="00141342"/>
    <w:rsid w:val="00143C94"/>
    <w:rsid w:val="001503C2"/>
    <w:rsid w:val="0015049B"/>
    <w:rsid w:val="00156133"/>
    <w:rsid w:val="00164393"/>
    <w:rsid w:val="001672D9"/>
    <w:rsid w:val="00173BF0"/>
    <w:rsid w:val="0017577F"/>
    <w:rsid w:val="00182DDC"/>
    <w:rsid w:val="001A2991"/>
    <w:rsid w:val="001B364B"/>
    <w:rsid w:val="001B43C6"/>
    <w:rsid w:val="001B639A"/>
    <w:rsid w:val="001B78E0"/>
    <w:rsid w:val="001E367D"/>
    <w:rsid w:val="001E40EF"/>
    <w:rsid w:val="001E5AAA"/>
    <w:rsid w:val="001E7311"/>
    <w:rsid w:val="00202FF9"/>
    <w:rsid w:val="00212093"/>
    <w:rsid w:val="00212337"/>
    <w:rsid w:val="00214FFA"/>
    <w:rsid w:val="0021668E"/>
    <w:rsid w:val="00216C58"/>
    <w:rsid w:val="00220B9F"/>
    <w:rsid w:val="00226C50"/>
    <w:rsid w:val="002278E0"/>
    <w:rsid w:val="00231068"/>
    <w:rsid w:val="00236B15"/>
    <w:rsid w:val="00245719"/>
    <w:rsid w:val="0025373F"/>
    <w:rsid w:val="00263B2D"/>
    <w:rsid w:val="00270A4D"/>
    <w:rsid w:val="0027525E"/>
    <w:rsid w:val="00275955"/>
    <w:rsid w:val="00280AF6"/>
    <w:rsid w:val="00291163"/>
    <w:rsid w:val="00293FF7"/>
    <w:rsid w:val="0029554B"/>
    <w:rsid w:val="002C2187"/>
    <w:rsid w:val="002C5CC1"/>
    <w:rsid w:val="002D14DB"/>
    <w:rsid w:val="002E06AB"/>
    <w:rsid w:val="002E1CE3"/>
    <w:rsid w:val="002E2642"/>
    <w:rsid w:val="002F03EF"/>
    <w:rsid w:val="00303E29"/>
    <w:rsid w:val="00312CA9"/>
    <w:rsid w:val="00317F21"/>
    <w:rsid w:val="00326AF4"/>
    <w:rsid w:val="003271C3"/>
    <w:rsid w:val="003472A4"/>
    <w:rsid w:val="003644D9"/>
    <w:rsid w:val="00365778"/>
    <w:rsid w:val="00371553"/>
    <w:rsid w:val="00372C47"/>
    <w:rsid w:val="00373528"/>
    <w:rsid w:val="00373F32"/>
    <w:rsid w:val="00380BA9"/>
    <w:rsid w:val="003812A3"/>
    <w:rsid w:val="0039335E"/>
    <w:rsid w:val="003A00CE"/>
    <w:rsid w:val="003A27A3"/>
    <w:rsid w:val="003A2C6D"/>
    <w:rsid w:val="003A3E69"/>
    <w:rsid w:val="003A4D36"/>
    <w:rsid w:val="003A55BB"/>
    <w:rsid w:val="003B44C9"/>
    <w:rsid w:val="003B4D1F"/>
    <w:rsid w:val="003B7B04"/>
    <w:rsid w:val="003C3827"/>
    <w:rsid w:val="003C4A94"/>
    <w:rsid w:val="003D30CF"/>
    <w:rsid w:val="003D4186"/>
    <w:rsid w:val="003E026E"/>
    <w:rsid w:val="003E5C56"/>
    <w:rsid w:val="003E5CC2"/>
    <w:rsid w:val="003F76F4"/>
    <w:rsid w:val="00405ED7"/>
    <w:rsid w:val="004160A0"/>
    <w:rsid w:val="004179B2"/>
    <w:rsid w:val="00424A71"/>
    <w:rsid w:val="00424AE4"/>
    <w:rsid w:val="004258F3"/>
    <w:rsid w:val="004331C3"/>
    <w:rsid w:val="00434800"/>
    <w:rsid w:val="0044154A"/>
    <w:rsid w:val="00443CEA"/>
    <w:rsid w:val="00453F15"/>
    <w:rsid w:val="0045444F"/>
    <w:rsid w:val="00455CE3"/>
    <w:rsid w:val="00461C2B"/>
    <w:rsid w:val="00465549"/>
    <w:rsid w:val="00467D44"/>
    <w:rsid w:val="00473851"/>
    <w:rsid w:val="00474D5E"/>
    <w:rsid w:val="00480FFB"/>
    <w:rsid w:val="0048776A"/>
    <w:rsid w:val="00491938"/>
    <w:rsid w:val="00497301"/>
    <w:rsid w:val="004A7558"/>
    <w:rsid w:val="004A7B7E"/>
    <w:rsid w:val="004B77E8"/>
    <w:rsid w:val="004C17DC"/>
    <w:rsid w:val="004C2B09"/>
    <w:rsid w:val="004D18EA"/>
    <w:rsid w:val="004E1BF4"/>
    <w:rsid w:val="004E2B5E"/>
    <w:rsid w:val="004E3A3D"/>
    <w:rsid w:val="004F3BD3"/>
    <w:rsid w:val="00511A27"/>
    <w:rsid w:val="00512A86"/>
    <w:rsid w:val="00524667"/>
    <w:rsid w:val="00532DFC"/>
    <w:rsid w:val="00533EDC"/>
    <w:rsid w:val="00550FC0"/>
    <w:rsid w:val="00552579"/>
    <w:rsid w:val="00555949"/>
    <w:rsid w:val="0056139D"/>
    <w:rsid w:val="005712E4"/>
    <w:rsid w:val="00577671"/>
    <w:rsid w:val="005803DC"/>
    <w:rsid w:val="00581044"/>
    <w:rsid w:val="005811DD"/>
    <w:rsid w:val="00591F8A"/>
    <w:rsid w:val="00595CD8"/>
    <w:rsid w:val="005A3913"/>
    <w:rsid w:val="005A4BB8"/>
    <w:rsid w:val="005C316C"/>
    <w:rsid w:val="005D0187"/>
    <w:rsid w:val="005D5153"/>
    <w:rsid w:val="005E076C"/>
    <w:rsid w:val="005E77B3"/>
    <w:rsid w:val="005F0C86"/>
    <w:rsid w:val="005F34A6"/>
    <w:rsid w:val="005F61D0"/>
    <w:rsid w:val="005F6D75"/>
    <w:rsid w:val="00600AFF"/>
    <w:rsid w:val="00601723"/>
    <w:rsid w:val="00602EDC"/>
    <w:rsid w:val="006044D4"/>
    <w:rsid w:val="00606222"/>
    <w:rsid w:val="00606466"/>
    <w:rsid w:val="00607FB5"/>
    <w:rsid w:val="00614630"/>
    <w:rsid w:val="00615A2C"/>
    <w:rsid w:val="00616D00"/>
    <w:rsid w:val="00620EA4"/>
    <w:rsid w:val="00623543"/>
    <w:rsid w:val="00630BAA"/>
    <w:rsid w:val="00633B5F"/>
    <w:rsid w:val="00643D56"/>
    <w:rsid w:val="00653AB6"/>
    <w:rsid w:val="006606A8"/>
    <w:rsid w:val="00661996"/>
    <w:rsid w:val="00663D39"/>
    <w:rsid w:val="006822C9"/>
    <w:rsid w:val="006826C1"/>
    <w:rsid w:val="006830F1"/>
    <w:rsid w:val="006B572B"/>
    <w:rsid w:val="006B5CA8"/>
    <w:rsid w:val="006C0E1A"/>
    <w:rsid w:val="006C1807"/>
    <w:rsid w:val="006C65B3"/>
    <w:rsid w:val="006D07D3"/>
    <w:rsid w:val="006D39EB"/>
    <w:rsid w:val="006D70F5"/>
    <w:rsid w:val="006D7D13"/>
    <w:rsid w:val="006E10CC"/>
    <w:rsid w:val="006E20C9"/>
    <w:rsid w:val="006E41EB"/>
    <w:rsid w:val="006E7A1E"/>
    <w:rsid w:val="006F0983"/>
    <w:rsid w:val="006F6607"/>
    <w:rsid w:val="00704E73"/>
    <w:rsid w:val="00705916"/>
    <w:rsid w:val="0070632C"/>
    <w:rsid w:val="00706E23"/>
    <w:rsid w:val="0070785E"/>
    <w:rsid w:val="007157E5"/>
    <w:rsid w:val="00722E12"/>
    <w:rsid w:val="00725309"/>
    <w:rsid w:val="007254C4"/>
    <w:rsid w:val="00737711"/>
    <w:rsid w:val="00744CF1"/>
    <w:rsid w:val="007521EB"/>
    <w:rsid w:val="00757596"/>
    <w:rsid w:val="00762837"/>
    <w:rsid w:val="0076793A"/>
    <w:rsid w:val="007728BB"/>
    <w:rsid w:val="00772E58"/>
    <w:rsid w:val="00772FCD"/>
    <w:rsid w:val="0078026C"/>
    <w:rsid w:val="00785B9E"/>
    <w:rsid w:val="00790E14"/>
    <w:rsid w:val="00792117"/>
    <w:rsid w:val="007972DE"/>
    <w:rsid w:val="007A0445"/>
    <w:rsid w:val="007B61AE"/>
    <w:rsid w:val="007C12B1"/>
    <w:rsid w:val="007D0CE7"/>
    <w:rsid w:val="007D2C66"/>
    <w:rsid w:val="007D4857"/>
    <w:rsid w:val="007D49BD"/>
    <w:rsid w:val="007E0EE2"/>
    <w:rsid w:val="007E4E2E"/>
    <w:rsid w:val="007E4FA2"/>
    <w:rsid w:val="007F2D31"/>
    <w:rsid w:val="0080633D"/>
    <w:rsid w:val="00810784"/>
    <w:rsid w:val="00812361"/>
    <w:rsid w:val="008248C8"/>
    <w:rsid w:val="0084671D"/>
    <w:rsid w:val="00846C91"/>
    <w:rsid w:val="00850825"/>
    <w:rsid w:val="00855508"/>
    <w:rsid w:val="00856CEF"/>
    <w:rsid w:val="008607A3"/>
    <w:rsid w:val="00865C20"/>
    <w:rsid w:val="00867027"/>
    <w:rsid w:val="00873BDA"/>
    <w:rsid w:val="008804BD"/>
    <w:rsid w:val="00882448"/>
    <w:rsid w:val="00885511"/>
    <w:rsid w:val="008971D0"/>
    <w:rsid w:val="008A6255"/>
    <w:rsid w:val="008A758C"/>
    <w:rsid w:val="008C1DC2"/>
    <w:rsid w:val="008C4AF2"/>
    <w:rsid w:val="008D01C1"/>
    <w:rsid w:val="008D51C2"/>
    <w:rsid w:val="008D62AC"/>
    <w:rsid w:val="008E0254"/>
    <w:rsid w:val="008E4FF7"/>
    <w:rsid w:val="008E66EF"/>
    <w:rsid w:val="008F31B2"/>
    <w:rsid w:val="008F3696"/>
    <w:rsid w:val="008F6CCE"/>
    <w:rsid w:val="0091328F"/>
    <w:rsid w:val="00915DEF"/>
    <w:rsid w:val="009171C5"/>
    <w:rsid w:val="0093105A"/>
    <w:rsid w:val="00950B72"/>
    <w:rsid w:val="00961299"/>
    <w:rsid w:val="00962057"/>
    <w:rsid w:val="0096492A"/>
    <w:rsid w:val="00965EAC"/>
    <w:rsid w:val="009665E2"/>
    <w:rsid w:val="00967B59"/>
    <w:rsid w:val="00970BCD"/>
    <w:rsid w:val="009734A3"/>
    <w:rsid w:val="00973D01"/>
    <w:rsid w:val="00974820"/>
    <w:rsid w:val="00983B91"/>
    <w:rsid w:val="0098490B"/>
    <w:rsid w:val="00993F15"/>
    <w:rsid w:val="009967FC"/>
    <w:rsid w:val="009A4DFB"/>
    <w:rsid w:val="009B0444"/>
    <w:rsid w:val="009B40C8"/>
    <w:rsid w:val="009C2B20"/>
    <w:rsid w:val="009C450C"/>
    <w:rsid w:val="009D15F8"/>
    <w:rsid w:val="009D2988"/>
    <w:rsid w:val="009D303B"/>
    <w:rsid w:val="009D5490"/>
    <w:rsid w:val="009E2DF5"/>
    <w:rsid w:val="009F055A"/>
    <w:rsid w:val="009F25E2"/>
    <w:rsid w:val="009F7388"/>
    <w:rsid w:val="00A01698"/>
    <w:rsid w:val="00A02F7F"/>
    <w:rsid w:val="00A058D4"/>
    <w:rsid w:val="00A13B39"/>
    <w:rsid w:val="00A23F15"/>
    <w:rsid w:val="00A263ED"/>
    <w:rsid w:val="00A313F1"/>
    <w:rsid w:val="00A36C38"/>
    <w:rsid w:val="00A41F2E"/>
    <w:rsid w:val="00A43969"/>
    <w:rsid w:val="00A44019"/>
    <w:rsid w:val="00A47819"/>
    <w:rsid w:val="00A47D99"/>
    <w:rsid w:val="00A6147A"/>
    <w:rsid w:val="00A6161D"/>
    <w:rsid w:val="00A63558"/>
    <w:rsid w:val="00A643E9"/>
    <w:rsid w:val="00A677D0"/>
    <w:rsid w:val="00A729A4"/>
    <w:rsid w:val="00A802D2"/>
    <w:rsid w:val="00A82790"/>
    <w:rsid w:val="00A8402A"/>
    <w:rsid w:val="00A95EF1"/>
    <w:rsid w:val="00AA223F"/>
    <w:rsid w:val="00AA587B"/>
    <w:rsid w:val="00AA6684"/>
    <w:rsid w:val="00AB017D"/>
    <w:rsid w:val="00AB33CE"/>
    <w:rsid w:val="00AB6F49"/>
    <w:rsid w:val="00AC0049"/>
    <w:rsid w:val="00AC7A39"/>
    <w:rsid w:val="00AC7F2B"/>
    <w:rsid w:val="00AD132E"/>
    <w:rsid w:val="00AD5EA2"/>
    <w:rsid w:val="00AE4979"/>
    <w:rsid w:val="00AF2DA4"/>
    <w:rsid w:val="00AF5C01"/>
    <w:rsid w:val="00B02280"/>
    <w:rsid w:val="00B02FDA"/>
    <w:rsid w:val="00B03898"/>
    <w:rsid w:val="00B04591"/>
    <w:rsid w:val="00B119A4"/>
    <w:rsid w:val="00B143C9"/>
    <w:rsid w:val="00B17876"/>
    <w:rsid w:val="00B21F3E"/>
    <w:rsid w:val="00B33041"/>
    <w:rsid w:val="00B34D26"/>
    <w:rsid w:val="00B35BA7"/>
    <w:rsid w:val="00B41824"/>
    <w:rsid w:val="00B44FFC"/>
    <w:rsid w:val="00B4654C"/>
    <w:rsid w:val="00B53502"/>
    <w:rsid w:val="00B57A46"/>
    <w:rsid w:val="00B61774"/>
    <w:rsid w:val="00B73D07"/>
    <w:rsid w:val="00B768DE"/>
    <w:rsid w:val="00B774DF"/>
    <w:rsid w:val="00B95AA9"/>
    <w:rsid w:val="00B96083"/>
    <w:rsid w:val="00B96394"/>
    <w:rsid w:val="00BA392C"/>
    <w:rsid w:val="00BA63B8"/>
    <w:rsid w:val="00BB3A6A"/>
    <w:rsid w:val="00BB6C71"/>
    <w:rsid w:val="00BC3DC2"/>
    <w:rsid w:val="00BC3DD1"/>
    <w:rsid w:val="00BC6DF7"/>
    <w:rsid w:val="00BE1A8C"/>
    <w:rsid w:val="00BE5FC0"/>
    <w:rsid w:val="00BF574E"/>
    <w:rsid w:val="00BF6A7E"/>
    <w:rsid w:val="00C01237"/>
    <w:rsid w:val="00C01B05"/>
    <w:rsid w:val="00C07396"/>
    <w:rsid w:val="00C1527C"/>
    <w:rsid w:val="00C15AEB"/>
    <w:rsid w:val="00C15DDF"/>
    <w:rsid w:val="00C17A7E"/>
    <w:rsid w:val="00C3188D"/>
    <w:rsid w:val="00C32588"/>
    <w:rsid w:val="00C43F96"/>
    <w:rsid w:val="00C450B2"/>
    <w:rsid w:val="00C52EBC"/>
    <w:rsid w:val="00C558EE"/>
    <w:rsid w:val="00C60997"/>
    <w:rsid w:val="00C635A5"/>
    <w:rsid w:val="00C826A0"/>
    <w:rsid w:val="00C92948"/>
    <w:rsid w:val="00C95D30"/>
    <w:rsid w:val="00C96848"/>
    <w:rsid w:val="00CA2AA7"/>
    <w:rsid w:val="00CA3F45"/>
    <w:rsid w:val="00CB55F8"/>
    <w:rsid w:val="00CB7E32"/>
    <w:rsid w:val="00CC105B"/>
    <w:rsid w:val="00CC2FB1"/>
    <w:rsid w:val="00CC6392"/>
    <w:rsid w:val="00CD261E"/>
    <w:rsid w:val="00CD66DD"/>
    <w:rsid w:val="00CD78A0"/>
    <w:rsid w:val="00CE71E1"/>
    <w:rsid w:val="00CF1B82"/>
    <w:rsid w:val="00CF24CC"/>
    <w:rsid w:val="00CF5EB5"/>
    <w:rsid w:val="00D0142F"/>
    <w:rsid w:val="00D02757"/>
    <w:rsid w:val="00D149B3"/>
    <w:rsid w:val="00D200BE"/>
    <w:rsid w:val="00D27FDD"/>
    <w:rsid w:val="00D32929"/>
    <w:rsid w:val="00D32F88"/>
    <w:rsid w:val="00D34A7A"/>
    <w:rsid w:val="00D351FF"/>
    <w:rsid w:val="00D56242"/>
    <w:rsid w:val="00D62438"/>
    <w:rsid w:val="00D6545D"/>
    <w:rsid w:val="00D735D2"/>
    <w:rsid w:val="00D904A3"/>
    <w:rsid w:val="00D91B2B"/>
    <w:rsid w:val="00D961A9"/>
    <w:rsid w:val="00D96D16"/>
    <w:rsid w:val="00DA1EFC"/>
    <w:rsid w:val="00DA3A4F"/>
    <w:rsid w:val="00DA4354"/>
    <w:rsid w:val="00DB04B5"/>
    <w:rsid w:val="00DB38BC"/>
    <w:rsid w:val="00DB49A5"/>
    <w:rsid w:val="00DC0CF9"/>
    <w:rsid w:val="00DD051D"/>
    <w:rsid w:val="00DD0A48"/>
    <w:rsid w:val="00DE3CC4"/>
    <w:rsid w:val="00DF228B"/>
    <w:rsid w:val="00E0339F"/>
    <w:rsid w:val="00E1369A"/>
    <w:rsid w:val="00E21254"/>
    <w:rsid w:val="00E252D0"/>
    <w:rsid w:val="00E350CA"/>
    <w:rsid w:val="00E462E7"/>
    <w:rsid w:val="00E606DB"/>
    <w:rsid w:val="00E625E2"/>
    <w:rsid w:val="00E64DBA"/>
    <w:rsid w:val="00E670CE"/>
    <w:rsid w:val="00E714D3"/>
    <w:rsid w:val="00E7697C"/>
    <w:rsid w:val="00E77D99"/>
    <w:rsid w:val="00E77E2E"/>
    <w:rsid w:val="00E87E1F"/>
    <w:rsid w:val="00E91D9A"/>
    <w:rsid w:val="00E96433"/>
    <w:rsid w:val="00EA0DA9"/>
    <w:rsid w:val="00EA16DC"/>
    <w:rsid w:val="00EA4429"/>
    <w:rsid w:val="00EA5232"/>
    <w:rsid w:val="00EA7018"/>
    <w:rsid w:val="00EB2DA7"/>
    <w:rsid w:val="00ED3CB3"/>
    <w:rsid w:val="00ED6A94"/>
    <w:rsid w:val="00ED7EE6"/>
    <w:rsid w:val="00EF1BA0"/>
    <w:rsid w:val="00EF26A3"/>
    <w:rsid w:val="00EF2988"/>
    <w:rsid w:val="00EF7920"/>
    <w:rsid w:val="00F11490"/>
    <w:rsid w:val="00F115A7"/>
    <w:rsid w:val="00F147A5"/>
    <w:rsid w:val="00F428E1"/>
    <w:rsid w:val="00F447A0"/>
    <w:rsid w:val="00F4761D"/>
    <w:rsid w:val="00F50B1B"/>
    <w:rsid w:val="00F56B69"/>
    <w:rsid w:val="00F56C9D"/>
    <w:rsid w:val="00F66127"/>
    <w:rsid w:val="00F67098"/>
    <w:rsid w:val="00F67B87"/>
    <w:rsid w:val="00F76EF9"/>
    <w:rsid w:val="00F8767B"/>
    <w:rsid w:val="00F95C43"/>
    <w:rsid w:val="00FA1D4A"/>
    <w:rsid w:val="00FA56D4"/>
    <w:rsid w:val="00FB1083"/>
    <w:rsid w:val="00FB79F2"/>
    <w:rsid w:val="00FC7E25"/>
    <w:rsid w:val="00FD7284"/>
    <w:rsid w:val="00FE108D"/>
    <w:rsid w:val="00FE25EB"/>
    <w:rsid w:val="00FF37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55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6A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9"/>
    <w:qFormat/>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9"/>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paragraph" w:styleId="ListBullet4">
    <w:name w:val="List Bullet 4"/>
    <w:basedOn w:val="Normal"/>
    <w:uiPriority w:val="99"/>
    <w:semiHidden/>
    <w:unhideWhenUsed/>
    <w:rsid w:val="00A47D99"/>
    <w:pPr>
      <w:tabs>
        <w:tab w:val="num" w:pos="1209"/>
      </w:tabs>
      <w:spacing w:before="120" w:after="0" w:line="240" w:lineRule="auto"/>
      <w:ind w:left="1209" w:hanging="360"/>
      <w:contextualSpacing/>
    </w:pPr>
    <w:rPr>
      <w:rFonts w:eastAsia="Calibri" w:cs="Times New Roman"/>
    </w:rPr>
  </w:style>
  <w:style w:type="paragraph" w:styleId="Revision">
    <w:name w:val="Revision"/>
    <w:uiPriority w:val="99"/>
    <w:semiHidden/>
    <w:rsid w:val="00A47D99"/>
    <w:rPr>
      <w:rFonts w:eastAsia="Calibri"/>
      <w:sz w:val="22"/>
      <w:szCs w:val="22"/>
      <w:lang w:eastAsia="en-US"/>
    </w:rPr>
  </w:style>
  <w:style w:type="character" w:customStyle="1" w:styleId="ListParagraphChar">
    <w:name w:val="List Paragraph Char"/>
    <w:basedOn w:val="DefaultParagraphFont"/>
    <w:link w:val="ListParagraph"/>
    <w:uiPriority w:val="34"/>
    <w:locked/>
    <w:rsid w:val="00A47D99"/>
    <w:rPr>
      <w:sz w:val="22"/>
      <w:szCs w:val="22"/>
      <w:lang w:eastAsia="en-US"/>
    </w:rPr>
  </w:style>
  <w:style w:type="paragraph" w:styleId="ListParagraph">
    <w:name w:val="List Paragraph"/>
    <w:basedOn w:val="Normal"/>
    <w:link w:val="ListParagraphChar"/>
    <w:uiPriority w:val="34"/>
    <w:qFormat/>
    <w:rsid w:val="00A47D99"/>
    <w:pPr>
      <w:spacing w:line="240" w:lineRule="auto"/>
      <w:ind w:left="720"/>
    </w:pPr>
    <w:rPr>
      <w:rFonts w:eastAsia="Cambria" w:cs="Times New Roman"/>
    </w:rPr>
  </w:style>
  <w:style w:type="paragraph" w:customStyle="1" w:styleId="BasicParagraph">
    <w:name w:val="[Basic Paragraph]"/>
    <w:basedOn w:val="Normal"/>
    <w:uiPriority w:val="99"/>
    <w:rsid w:val="00A47D99"/>
    <w:pPr>
      <w:widowControl w:val="0"/>
      <w:autoSpaceDE w:val="0"/>
      <w:autoSpaceDN w:val="0"/>
      <w:adjustRightInd w:val="0"/>
      <w:spacing w:after="0" w:line="288" w:lineRule="auto"/>
    </w:pPr>
    <w:rPr>
      <w:rFonts w:ascii="MinionPro-Regular" w:eastAsiaTheme="minorEastAsia" w:hAnsi="MinionPro-Regular" w:cs="MinionPro-Regular"/>
      <w:color w:val="000000"/>
      <w:sz w:val="24"/>
      <w:szCs w:val="24"/>
      <w:lang w:val="en-US"/>
    </w:rPr>
  </w:style>
  <w:style w:type="character" w:customStyle="1" w:styleId="PreliminarycontentheadingChar">
    <w:name w:val="Preliminary content heading Char"/>
    <w:basedOn w:val="DefaultParagraphFont"/>
    <w:link w:val="Preliminarycontentheading"/>
    <w:uiPriority w:val="28"/>
    <w:locked/>
    <w:rsid w:val="00A47D99"/>
    <w:rPr>
      <w:rFonts w:ascii="Calibri" w:eastAsia="Times New Roman" w:hAnsi="Calibri"/>
      <w:bCs/>
      <w:color w:val="000000"/>
      <w:sz w:val="56"/>
      <w:szCs w:val="28"/>
      <w:lang w:eastAsia="ja-JP"/>
    </w:rPr>
  </w:style>
  <w:style w:type="paragraph" w:customStyle="1" w:styleId="Preliminarycontentheading">
    <w:name w:val="Preliminary content heading"/>
    <w:link w:val="PreliminarycontentheadingChar"/>
    <w:uiPriority w:val="28"/>
    <w:qFormat/>
    <w:rsid w:val="00A47D99"/>
    <w:pPr>
      <w:pageBreakBefore/>
    </w:pPr>
    <w:rPr>
      <w:rFonts w:ascii="Calibri" w:eastAsia="Times New Roman" w:hAnsi="Calibri"/>
      <w:bCs/>
      <w:color w:val="000000"/>
      <w:sz w:val="56"/>
      <w:szCs w:val="28"/>
      <w:lang w:eastAsia="ja-JP"/>
    </w:rPr>
  </w:style>
  <w:style w:type="paragraph" w:customStyle="1" w:styleId="AppendixHeading1">
    <w:name w:val="Appendix Heading 1"/>
    <w:qFormat/>
    <w:rsid w:val="00A47D99"/>
    <w:pPr>
      <w:pageBreakBefore/>
      <w:numPr>
        <w:numId w:val="40"/>
      </w:numPr>
      <w:spacing w:after="240"/>
    </w:pPr>
    <w:rPr>
      <w:rFonts w:asciiTheme="minorHAnsi" w:eastAsia="Times New Roman" w:hAnsiTheme="minorHAnsi"/>
      <w:b/>
      <w:bCs/>
      <w:sz w:val="56"/>
      <w:szCs w:val="24"/>
      <w:lang w:eastAsia="en-US"/>
    </w:rPr>
  </w:style>
  <w:style w:type="paragraph" w:customStyle="1" w:styleId="AppendixHeading2">
    <w:name w:val="Appendix Heading 2"/>
    <w:qFormat/>
    <w:rsid w:val="00A47D99"/>
    <w:pPr>
      <w:numPr>
        <w:ilvl w:val="1"/>
        <w:numId w:val="40"/>
      </w:numPr>
    </w:pPr>
    <w:rPr>
      <w:rFonts w:asciiTheme="minorHAnsi" w:eastAsia="Times New Roman" w:hAnsiTheme="minorHAnsi"/>
      <w:b/>
      <w:bCs/>
      <w:sz w:val="32"/>
      <w:szCs w:val="24"/>
      <w:lang w:eastAsia="en-US"/>
    </w:rPr>
  </w:style>
  <w:style w:type="paragraph" w:customStyle="1" w:styleId="AppendixHeading3">
    <w:name w:val="Appendix Heading 3"/>
    <w:qFormat/>
    <w:rsid w:val="00A47D99"/>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A47D99"/>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A47D99"/>
  </w:style>
  <w:style w:type="paragraph" w:customStyle="1" w:styleId="Default">
    <w:name w:val="Default"/>
    <w:rsid w:val="00A47D99"/>
    <w:pPr>
      <w:autoSpaceDE w:val="0"/>
      <w:autoSpaceDN w:val="0"/>
      <w:adjustRightInd w:val="0"/>
    </w:pPr>
    <w:rPr>
      <w:rFonts w:ascii="Times New Roman" w:eastAsia="Calibri" w:hAnsi="Times New Roman"/>
      <w:color w:val="000000"/>
      <w:sz w:val="24"/>
      <w:szCs w:val="24"/>
    </w:rPr>
  </w:style>
  <w:style w:type="character" w:customStyle="1" w:styleId="e24kjd">
    <w:name w:val="e24kjd"/>
    <w:basedOn w:val="DefaultParagraphFont"/>
    <w:rsid w:val="00A47D99"/>
  </w:style>
  <w:style w:type="table" w:customStyle="1" w:styleId="TableGrid10">
    <w:name w:val="Table Grid1"/>
    <w:basedOn w:val="TableNormal"/>
    <w:uiPriority w:val="59"/>
    <w:rsid w:val="00A47D99"/>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47D99"/>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A47D99"/>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A47D99"/>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A47D99"/>
    <w:pPr>
      <w:numPr>
        <w:numId w:val="31"/>
      </w:numPr>
    </w:pPr>
  </w:style>
  <w:style w:type="numbering" w:customStyle="1" w:styleId="ListBullets">
    <w:name w:val="ListBullets"/>
    <w:uiPriority w:val="99"/>
    <w:rsid w:val="00A47D99"/>
    <w:pPr>
      <w:numPr>
        <w:numId w:val="39"/>
      </w:numPr>
    </w:pPr>
  </w:style>
  <w:style w:type="numbering" w:customStyle="1" w:styleId="Appendix">
    <w:name w:val="Appendix"/>
    <w:uiPriority w:val="99"/>
    <w:rsid w:val="00A47D99"/>
    <w:pPr>
      <w:numPr>
        <w:numId w:val="40"/>
      </w:numPr>
    </w:pPr>
  </w:style>
  <w:style w:type="numbering" w:customStyle="1" w:styleId="ListNumbers">
    <w:name w:val="ListNumbers"/>
    <w:uiPriority w:val="99"/>
    <w:rsid w:val="00A47D99"/>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685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3874">
      <w:bodyDiv w:val="1"/>
      <w:marLeft w:val="0"/>
      <w:marRight w:val="0"/>
      <w:marTop w:val="0"/>
      <w:marBottom w:val="0"/>
      <w:divBdr>
        <w:top w:val="none" w:sz="0" w:space="0" w:color="auto"/>
        <w:left w:val="none" w:sz="0" w:space="0" w:color="auto"/>
        <w:bottom w:val="none" w:sz="0" w:space="0" w:color="auto"/>
        <w:right w:val="none" w:sz="0" w:space="0" w:color="auto"/>
      </w:divBdr>
    </w:div>
    <w:div w:id="205916970">
      <w:bodyDiv w:val="1"/>
      <w:marLeft w:val="0"/>
      <w:marRight w:val="0"/>
      <w:marTop w:val="0"/>
      <w:marBottom w:val="0"/>
      <w:divBdr>
        <w:top w:val="none" w:sz="0" w:space="0" w:color="auto"/>
        <w:left w:val="none" w:sz="0" w:space="0" w:color="auto"/>
        <w:bottom w:val="none" w:sz="0" w:space="0" w:color="auto"/>
        <w:right w:val="none" w:sz="0" w:space="0" w:color="auto"/>
      </w:divBdr>
    </w:div>
    <w:div w:id="233245220">
      <w:bodyDiv w:val="1"/>
      <w:marLeft w:val="0"/>
      <w:marRight w:val="0"/>
      <w:marTop w:val="0"/>
      <w:marBottom w:val="0"/>
      <w:divBdr>
        <w:top w:val="none" w:sz="0" w:space="0" w:color="auto"/>
        <w:left w:val="none" w:sz="0" w:space="0" w:color="auto"/>
        <w:bottom w:val="none" w:sz="0" w:space="0" w:color="auto"/>
        <w:right w:val="none" w:sz="0" w:space="0" w:color="auto"/>
      </w:divBdr>
    </w:div>
    <w:div w:id="29498653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05708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000200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95401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46957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6037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5714905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05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10694208">
      <w:bodyDiv w:val="1"/>
      <w:marLeft w:val="0"/>
      <w:marRight w:val="0"/>
      <w:marTop w:val="0"/>
      <w:marBottom w:val="0"/>
      <w:divBdr>
        <w:top w:val="none" w:sz="0" w:space="0" w:color="auto"/>
        <w:left w:val="none" w:sz="0" w:space="0" w:color="auto"/>
        <w:bottom w:val="none" w:sz="0" w:space="0" w:color="auto"/>
        <w:right w:val="none" w:sz="0" w:space="0" w:color="auto"/>
      </w:divBdr>
    </w:div>
    <w:div w:id="1636138267">
      <w:bodyDiv w:val="1"/>
      <w:marLeft w:val="0"/>
      <w:marRight w:val="0"/>
      <w:marTop w:val="0"/>
      <w:marBottom w:val="0"/>
      <w:divBdr>
        <w:top w:val="none" w:sz="0" w:space="0" w:color="auto"/>
        <w:left w:val="none" w:sz="0" w:space="0" w:color="auto"/>
        <w:bottom w:val="none" w:sz="0" w:space="0" w:color="auto"/>
        <w:right w:val="none" w:sz="0" w:space="0" w:color="auto"/>
      </w:divBdr>
    </w:div>
    <w:div w:id="165533184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73165922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 TargetMode="External"/><Relationship Id="rId18" Type="http://schemas.openxmlformats.org/officeDocument/2006/relationships/header" Target="header3.xml"/><Relationship Id="rId26" Type="http://schemas.openxmlformats.org/officeDocument/2006/relationships/chart" Target="charts/chart6.xml"/><Relationship Id="rId39" Type="http://schemas.openxmlformats.org/officeDocument/2006/relationships/hyperlink" Target="https://data.gov.au/data/dataset/national-forest-and-sparse-woody-vegetation-data-version-3-2018-release"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www.abs.gov.au/AUSSTATS/abs@.nsf/DetailsPage/5206.0Dec%202018?OpenDocument" TargetMode="External"/><Relationship Id="rId42" Type="http://schemas.openxmlformats.org/officeDocument/2006/relationships/hyperlink" Target="http://pid.geoscience.gov.au/dataset/ga/64058" TargetMode="External"/><Relationship Id="rId47" Type="http://schemas.openxmlformats.org/officeDocument/2006/relationships/hyperlink" Target="https://www.stata.com/manuals13/dpctile.pdf" TargetMode="External"/><Relationship Id="rId50" Type="http://schemas.openxmlformats.org/officeDocument/2006/relationships/hyperlink" Target="https://www.rba.gov.au/statistics/tables/xls/d09hist.xls?v=2019-06-04-13-14-37" TargetMode="External"/><Relationship Id="rId7" Type="http://schemas.openxmlformats.org/officeDocument/2006/relationships/endnotes" Target="endnotes.xml"/><Relationship Id="rId12" Type="http://schemas.openxmlformats.org/officeDocument/2006/relationships/hyperlink" Target="http://doi.org/10.25814/5de84a4ff6e09" TargetMode="External"/><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hyperlink" Target="https://data.gov.au/data/dataset/national-forest-and-sparse-woody-vegetation-data-version-3-2018-release" TargetMode="External"/><Relationship Id="rId46" Type="http://schemas.openxmlformats.org/officeDocument/2006/relationships/hyperlink" Target="https://www.ruralbank.com.au/assets/responsive/pdf/publications/farm-land-values-2015.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image" Target="media/image6.png"/><Relationship Id="rId41" Type="http://schemas.openxmlformats.org/officeDocument/2006/relationships/hyperlink" Target="https://www.ga.gov.au/scientific-topics/community-safety/flood/wof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hyperlink" Target="http://www.bom.gov.au/jsp/awap/temp/index.jsp" TargetMode="External"/><Relationship Id="rId40" Type="http://schemas.openxmlformats.org/officeDocument/2006/relationships/hyperlink" Target="http://www.ga.gov.au/scientific-topics/national-location-information/digital-elevation-data" TargetMode="External"/><Relationship Id="rId45" Type="http://schemas.openxmlformats.org/officeDocument/2006/relationships/hyperlink" Target="http://www.jstor.org/stable/2118029"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5.png"/><Relationship Id="rId36" Type="http://schemas.openxmlformats.org/officeDocument/2006/relationships/hyperlink" Target="http://www.bom.gov.au/climate/austmaps/metadata-daily-rainfall.shtml" TargetMode="External"/><Relationship Id="rId49" Type="http://schemas.openxmlformats.org/officeDocument/2006/relationships/hyperlink" Target="https://www.stata.com/manuals13/rqreg.pdf" TargetMode="External"/><Relationship Id="rId10" Type="http://schemas.openxmlformats.org/officeDocument/2006/relationships/hyperlink" Target="mailto:copyright@agriculture.gov.au" TargetMode="Externa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hyperlink" Target="http://www.agriculture.gov.au/abares/research-topics/surveys/farm-performanc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chart" Target="charts/chart7.xml"/><Relationship Id="rId30" Type="http://schemas.openxmlformats.org/officeDocument/2006/relationships/image" Target="media/image7.png"/><Relationship Id="rId35" Type="http://schemas.openxmlformats.org/officeDocument/2006/relationships/hyperlink" Target="http://www.agriculture.gov.au/abares/aclump/Pages/land-use/Catchment-scale-land-use-of-Australia-2018.aspx" TargetMode="External"/><Relationship Id="rId43" Type="http://schemas.openxmlformats.org/officeDocument/2006/relationships/hyperlink" Target="https://grdc.com.au/about/our-industry/growing-regions" TargetMode="External"/><Relationship Id="rId48" Type="http://schemas.openxmlformats.org/officeDocument/2006/relationships/hyperlink" Target="https://www.buildingrating.org/document/energy-efficiency-rating-and-house-price-act" TargetMode="External"/><Relationship Id="rId8" Type="http://schemas.openxmlformats.org/officeDocument/2006/relationships/image" Target="media/image1.png"/><Relationship Id="rId51" Type="http://schemas.openxmlformats.org/officeDocument/2006/relationships/hyperlink" Target="https://www.rba.gov.au/statistics/tabl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5327970170252"/>
          <c:y val="6.652555185969157E-2"/>
          <c:w val="0.51239562805476213"/>
          <c:h val="0.74649549895088341"/>
        </c:manualLayout>
      </c:layout>
      <c:lineChart>
        <c:grouping val="standard"/>
        <c:varyColors val="0"/>
        <c:ser>
          <c:idx val="0"/>
          <c:order val="0"/>
          <c:tx>
            <c:strRef>
              <c:f>Raw!$B$1</c:f>
              <c:strCache>
                <c:ptCount val="1"/>
                <c:pt idx="0">
                  <c:v>Price per hectare</c:v>
                </c:pt>
              </c:strCache>
            </c:strRef>
          </c:tx>
          <c:spPr>
            <a:ln w="12700" cap="rnd">
              <a:solidFill>
                <a:srgbClr val="EE7300"/>
              </a:solidFill>
              <a:round/>
            </a:ln>
            <a:effectLst/>
          </c:spPr>
          <c:marker>
            <c:symbol val="none"/>
          </c:marker>
          <c:cat>
            <c:numRef>
              <c:f>Raw!$A$2:$A$80</c:f>
              <c:numCache>
                <c:formatCode>General</c:formatCode>
                <c:ptCount val="79"/>
                <c:pt idx="0">
                  <c:v>1900</c:v>
                </c:pt>
                <c:pt idx="1">
                  <c:v>1901</c:v>
                </c:pt>
                <c:pt idx="2">
                  <c:v>1909</c:v>
                </c:pt>
                <c:pt idx="3">
                  <c:v>1913</c:v>
                </c:pt>
                <c:pt idx="4">
                  <c:v>1914</c:v>
                </c:pt>
                <c:pt idx="5">
                  <c:v>1917</c:v>
                </c:pt>
                <c:pt idx="6">
                  <c:v>1922</c:v>
                </c:pt>
                <c:pt idx="7">
                  <c:v>1930</c:v>
                </c:pt>
                <c:pt idx="8">
                  <c:v>1933</c:v>
                </c:pt>
                <c:pt idx="9">
                  <c:v>1942</c:v>
                </c:pt>
                <c:pt idx="10">
                  <c:v>1943</c:v>
                </c:pt>
                <c:pt idx="11">
                  <c:v>1947</c:v>
                </c:pt>
                <c:pt idx="12">
                  <c:v>1950</c:v>
                </c:pt>
                <c:pt idx="13">
                  <c:v>1951</c:v>
                </c:pt>
                <c:pt idx="14">
                  <c:v>1952</c:v>
                </c:pt>
                <c:pt idx="15">
                  <c:v>1955</c:v>
                </c:pt>
                <c:pt idx="16">
                  <c:v>1956</c:v>
                </c:pt>
                <c:pt idx="17">
                  <c:v>1958</c:v>
                </c:pt>
                <c:pt idx="18">
                  <c:v>1959</c:v>
                </c:pt>
                <c:pt idx="19">
                  <c:v>1960</c:v>
                </c:pt>
                <c:pt idx="20">
                  <c:v>1961</c:v>
                </c:pt>
                <c:pt idx="21">
                  <c:v>1962</c:v>
                </c:pt>
                <c:pt idx="22">
                  <c:v>1963</c:v>
                </c:pt>
                <c:pt idx="23">
                  <c:v>1964</c:v>
                </c:pt>
                <c:pt idx="24">
                  <c:v>1965</c:v>
                </c:pt>
                <c:pt idx="25">
                  <c:v>1966</c:v>
                </c:pt>
                <c:pt idx="26">
                  <c:v>1967</c:v>
                </c:pt>
                <c:pt idx="27">
                  <c:v>1968</c:v>
                </c:pt>
                <c:pt idx="28">
                  <c:v>1969</c:v>
                </c:pt>
                <c:pt idx="29">
                  <c:v>1970</c:v>
                </c:pt>
                <c:pt idx="30">
                  <c:v>1971</c:v>
                </c:pt>
                <c:pt idx="31">
                  <c:v>1972</c:v>
                </c:pt>
                <c:pt idx="32">
                  <c:v>1973</c:v>
                </c:pt>
                <c:pt idx="33">
                  <c:v>1974</c:v>
                </c:pt>
                <c:pt idx="34">
                  <c:v>1975</c:v>
                </c:pt>
                <c:pt idx="35">
                  <c:v>1976</c:v>
                </c:pt>
                <c:pt idx="36">
                  <c:v>1977</c:v>
                </c:pt>
                <c:pt idx="37">
                  <c:v>1978</c:v>
                </c:pt>
                <c:pt idx="38">
                  <c:v>1979</c:v>
                </c:pt>
                <c:pt idx="39">
                  <c:v>1980</c:v>
                </c:pt>
                <c:pt idx="40">
                  <c:v>1981</c:v>
                </c:pt>
                <c:pt idx="41">
                  <c:v>1982</c:v>
                </c:pt>
                <c:pt idx="42">
                  <c:v>1983</c:v>
                </c:pt>
                <c:pt idx="43">
                  <c:v>1984</c:v>
                </c:pt>
                <c:pt idx="44">
                  <c:v>1985</c:v>
                </c:pt>
                <c:pt idx="45">
                  <c:v>1986</c:v>
                </c:pt>
                <c:pt idx="46">
                  <c:v>1987</c:v>
                </c:pt>
                <c:pt idx="47">
                  <c:v>1988</c:v>
                </c:pt>
                <c:pt idx="48">
                  <c:v>1989</c:v>
                </c:pt>
                <c:pt idx="49">
                  <c:v>1990</c:v>
                </c:pt>
                <c:pt idx="50">
                  <c:v>1991</c:v>
                </c:pt>
                <c:pt idx="51">
                  <c:v>1992</c:v>
                </c:pt>
                <c:pt idx="52">
                  <c:v>1993</c:v>
                </c:pt>
                <c:pt idx="53">
                  <c:v>1994</c:v>
                </c:pt>
                <c:pt idx="54">
                  <c:v>1995</c:v>
                </c:pt>
                <c:pt idx="55">
                  <c:v>1996</c:v>
                </c:pt>
                <c:pt idx="56">
                  <c:v>1997</c:v>
                </c:pt>
                <c:pt idx="57">
                  <c:v>1998</c:v>
                </c:pt>
                <c:pt idx="58">
                  <c:v>1999</c:v>
                </c:pt>
                <c:pt idx="59">
                  <c:v>2000</c:v>
                </c:pt>
                <c:pt idx="60">
                  <c:v>2001</c:v>
                </c:pt>
                <c:pt idx="61">
                  <c:v>2002</c:v>
                </c:pt>
                <c:pt idx="62">
                  <c:v>2003</c:v>
                </c:pt>
                <c:pt idx="63">
                  <c:v>2004</c:v>
                </c:pt>
                <c:pt idx="64">
                  <c:v>2005</c:v>
                </c:pt>
                <c:pt idx="65">
                  <c:v>2006</c:v>
                </c:pt>
                <c:pt idx="66">
                  <c:v>2007</c:v>
                </c:pt>
                <c:pt idx="67">
                  <c:v>2008</c:v>
                </c:pt>
                <c:pt idx="68">
                  <c:v>2009</c:v>
                </c:pt>
                <c:pt idx="69">
                  <c:v>2010</c:v>
                </c:pt>
                <c:pt idx="70">
                  <c:v>2011</c:v>
                </c:pt>
                <c:pt idx="71">
                  <c:v>2012</c:v>
                </c:pt>
                <c:pt idx="72">
                  <c:v>2013</c:v>
                </c:pt>
                <c:pt idx="73">
                  <c:v>2014</c:v>
                </c:pt>
                <c:pt idx="74">
                  <c:v>2015</c:v>
                </c:pt>
                <c:pt idx="75">
                  <c:v>2016</c:v>
                </c:pt>
                <c:pt idx="76">
                  <c:v>2017</c:v>
                </c:pt>
                <c:pt idx="77">
                  <c:v>2018</c:v>
                </c:pt>
                <c:pt idx="78">
                  <c:v>2019</c:v>
                </c:pt>
              </c:numCache>
            </c:numRef>
          </c:cat>
          <c:val>
            <c:numRef>
              <c:f>Raw!$B$2:$B$80</c:f>
              <c:numCache>
                <c:formatCode>General</c:formatCode>
                <c:ptCount val="79"/>
                <c:pt idx="0">
                  <c:v>887.17034862857133</c:v>
                </c:pt>
                <c:pt idx="1">
                  <c:v>6547.9484453046834</c:v>
                </c:pt>
                <c:pt idx="2">
                  <c:v>27.290536733333337</c:v>
                </c:pt>
                <c:pt idx="3">
                  <c:v>18559.434379999999</c:v>
                </c:pt>
                <c:pt idx="4">
                  <c:v>0</c:v>
                </c:pt>
                <c:pt idx="5">
                  <c:v>680.27210879999996</c:v>
                </c:pt>
                <c:pt idx="6">
                  <c:v>98.770309639999994</c:v>
                </c:pt>
                <c:pt idx="7">
                  <c:v>8197.0065890799724</c:v>
                </c:pt>
                <c:pt idx="8">
                  <c:v>20770.663229999998</c:v>
                </c:pt>
                <c:pt idx="9">
                  <c:v>0</c:v>
                </c:pt>
                <c:pt idx="10">
                  <c:v>0.24722084</c:v>
                </c:pt>
                <c:pt idx="11">
                  <c:v>57.450393849999998</c:v>
                </c:pt>
                <c:pt idx="12">
                  <c:v>6033.8983049999997</c:v>
                </c:pt>
                <c:pt idx="13">
                  <c:v>89.356168972500001</c:v>
                </c:pt>
                <c:pt idx="14">
                  <c:v>0.65527065500000004</c:v>
                </c:pt>
                <c:pt idx="15">
                  <c:v>37.426900580000002</c:v>
                </c:pt>
                <c:pt idx="16">
                  <c:v>0</c:v>
                </c:pt>
                <c:pt idx="17">
                  <c:v>165.79947028833331</c:v>
                </c:pt>
                <c:pt idx="18">
                  <c:v>2.3880599999999999E-4</c:v>
                </c:pt>
                <c:pt idx="19">
                  <c:v>16.619183289999999</c:v>
                </c:pt>
                <c:pt idx="20">
                  <c:v>4638.6310204862502</c:v>
                </c:pt>
                <c:pt idx="21">
                  <c:v>88.683930450000005</c:v>
                </c:pt>
                <c:pt idx="22">
                  <c:v>36.38608266</c:v>
                </c:pt>
                <c:pt idx="23">
                  <c:v>1080.568863238143</c:v>
                </c:pt>
                <c:pt idx="24">
                  <c:v>34.722198507777783</c:v>
                </c:pt>
                <c:pt idx="25">
                  <c:v>121.31563558010001</c:v>
                </c:pt>
                <c:pt idx="26">
                  <c:v>153.75159134999998</c:v>
                </c:pt>
                <c:pt idx="27">
                  <c:v>20.520534418800004</c:v>
                </c:pt>
                <c:pt idx="28">
                  <c:v>126.33472108205001</c:v>
                </c:pt>
                <c:pt idx="29">
                  <c:v>716.85267938944719</c:v>
                </c:pt>
                <c:pt idx="30">
                  <c:v>927.74645417625004</c:v>
                </c:pt>
                <c:pt idx="31">
                  <c:v>57.239051411324304</c:v>
                </c:pt>
                <c:pt idx="32">
                  <c:v>201.59297169464227</c:v>
                </c:pt>
                <c:pt idx="33">
                  <c:v>867.75348851359763</c:v>
                </c:pt>
                <c:pt idx="34">
                  <c:v>2870.7077391506818</c:v>
                </c:pt>
                <c:pt idx="35">
                  <c:v>2899.7033560724972</c:v>
                </c:pt>
                <c:pt idx="36">
                  <c:v>6010.6720296420335</c:v>
                </c:pt>
                <c:pt idx="37">
                  <c:v>7282.5782189678148</c:v>
                </c:pt>
                <c:pt idx="38">
                  <c:v>3791.6978904022135</c:v>
                </c:pt>
                <c:pt idx="39">
                  <c:v>4501.0011552394835</c:v>
                </c:pt>
                <c:pt idx="40">
                  <c:v>4243.062201942028</c:v>
                </c:pt>
                <c:pt idx="41">
                  <c:v>5070.2398972008241</c:v>
                </c:pt>
                <c:pt idx="42">
                  <c:v>6454.4828529243514</c:v>
                </c:pt>
                <c:pt idx="43">
                  <c:v>29155.478575270601</c:v>
                </c:pt>
                <c:pt idx="44">
                  <c:v>15189.210784844396</c:v>
                </c:pt>
                <c:pt idx="45">
                  <c:v>27829.724641380606</c:v>
                </c:pt>
                <c:pt idx="46">
                  <c:v>8044.0309569776218</c:v>
                </c:pt>
                <c:pt idx="47">
                  <c:v>9030.4725487832566</c:v>
                </c:pt>
                <c:pt idx="48">
                  <c:v>19855.180015908383</c:v>
                </c:pt>
                <c:pt idx="49">
                  <c:v>10294.483037635546</c:v>
                </c:pt>
                <c:pt idx="50">
                  <c:v>8795.3336608821282</c:v>
                </c:pt>
                <c:pt idx="51">
                  <c:v>15308.966903079336</c:v>
                </c:pt>
                <c:pt idx="52">
                  <c:v>15590.953868437622</c:v>
                </c:pt>
                <c:pt idx="53">
                  <c:v>9050.5788426613944</c:v>
                </c:pt>
                <c:pt idx="54">
                  <c:v>15644.306307740884</c:v>
                </c:pt>
                <c:pt idx="55">
                  <c:v>27998.746495212781</c:v>
                </c:pt>
                <c:pt idx="56">
                  <c:v>20141.50889687633</c:v>
                </c:pt>
                <c:pt idx="57">
                  <c:v>22896.802077767155</c:v>
                </c:pt>
                <c:pt idx="58">
                  <c:v>9896.7868158698602</c:v>
                </c:pt>
                <c:pt idx="59">
                  <c:v>47166.471522193206</c:v>
                </c:pt>
                <c:pt idx="60">
                  <c:v>25281.178431244403</c:v>
                </c:pt>
                <c:pt idx="61">
                  <c:v>21652.403242918394</c:v>
                </c:pt>
                <c:pt idx="62">
                  <c:v>52563.36046918347</c:v>
                </c:pt>
                <c:pt idx="63">
                  <c:v>32299.256909449738</c:v>
                </c:pt>
                <c:pt idx="64">
                  <c:v>34635.337071997354</c:v>
                </c:pt>
                <c:pt idx="65">
                  <c:v>49489.849449820882</c:v>
                </c:pt>
                <c:pt idx="66">
                  <c:v>57925.786544270915</c:v>
                </c:pt>
                <c:pt idx="67">
                  <c:v>39513.098456449203</c:v>
                </c:pt>
                <c:pt idx="68">
                  <c:v>25409.251990089862</c:v>
                </c:pt>
                <c:pt idx="69">
                  <c:v>95238.090925982106</c:v>
                </c:pt>
                <c:pt idx="70">
                  <c:v>55071.560086917634</c:v>
                </c:pt>
                <c:pt idx="71">
                  <c:v>33040.592824678854</c:v>
                </c:pt>
                <c:pt idx="72">
                  <c:v>32458.477395429716</c:v>
                </c:pt>
                <c:pt idx="73">
                  <c:v>30302.361528134068</c:v>
                </c:pt>
                <c:pt idx="74">
                  <c:v>59990.073673678482</c:v>
                </c:pt>
                <c:pt idx="75">
                  <c:v>87236.491480672732</c:v>
                </c:pt>
                <c:pt idx="76">
                  <c:v>34396.905322620114</c:v>
                </c:pt>
                <c:pt idx="77">
                  <c:v>95951.147217105143</c:v>
                </c:pt>
                <c:pt idx="78">
                  <c:v>15732.773129019792</c:v>
                </c:pt>
              </c:numCache>
            </c:numRef>
          </c:val>
          <c:smooth val="0"/>
        </c:ser>
        <c:dLbls>
          <c:showLegendKey val="0"/>
          <c:showVal val="0"/>
          <c:showCatName val="0"/>
          <c:showSerName val="0"/>
          <c:showPercent val="0"/>
          <c:showBubbleSize val="0"/>
        </c:dLbls>
        <c:marker val="1"/>
        <c:smooth val="0"/>
        <c:axId val="816395904"/>
        <c:axId val="816396296"/>
      </c:lineChart>
      <c:lineChart>
        <c:grouping val="standard"/>
        <c:varyColors val="0"/>
        <c:ser>
          <c:idx val="1"/>
          <c:order val="1"/>
          <c:tx>
            <c:strRef>
              <c:f>Raw!$C$1</c:f>
              <c:strCache>
                <c:ptCount val="1"/>
                <c:pt idx="0">
                  <c:v>Sample count (RH axis)</c:v>
                </c:pt>
              </c:strCache>
            </c:strRef>
          </c:tx>
          <c:spPr>
            <a:ln w="12700" cap="rnd">
              <a:solidFill>
                <a:srgbClr val="BFBFBF"/>
              </a:solidFill>
              <a:round/>
            </a:ln>
            <a:effectLst/>
          </c:spPr>
          <c:marker>
            <c:symbol val="none"/>
          </c:marker>
          <c:cat>
            <c:numRef>
              <c:f>Raw!$A$2:$A$80</c:f>
              <c:numCache>
                <c:formatCode>General</c:formatCode>
                <c:ptCount val="79"/>
                <c:pt idx="0">
                  <c:v>1900</c:v>
                </c:pt>
                <c:pt idx="1">
                  <c:v>1901</c:v>
                </c:pt>
                <c:pt idx="2">
                  <c:v>1909</c:v>
                </c:pt>
                <c:pt idx="3">
                  <c:v>1913</c:v>
                </c:pt>
                <c:pt idx="4">
                  <c:v>1914</c:v>
                </c:pt>
                <c:pt idx="5">
                  <c:v>1917</c:v>
                </c:pt>
                <c:pt idx="6">
                  <c:v>1922</c:v>
                </c:pt>
                <c:pt idx="7">
                  <c:v>1930</c:v>
                </c:pt>
                <c:pt idx="8">
                  <c:v>1933</c:v>
                </c:pt>
                <c:pt idx="9">
                  <c:v>1942</c:v>
                </c:pt>
                <c:pt idx="10">
                  <c:v>1943</c:v>
                </c:pt>
                <c:pt idx="11">
                  <c:v>1947</c:v>
                </c:pt>
                <c:pt idx="12">
                  <c:v>1950</c:v>
                </c:pt>
                <c:pt idx="13">
                  <c:v>1951</c:v>
                </c:pt>
                <c:pt idx="14">
                  <c:v>1952</c:v>
                </c:pt>
                <c:pt idx="15">
                  <c:v>1955</c:v>
                </c:pt>
                <c:pt idx="16">
                  <c:v>1956</c:v>
                </c:pt>
                <c:pt idx="17">
                  <c:v>1958</c:v>
                </c:pt>
                <c:pt idx="18">
                  <c:v>1959</c:v>
                </c:pt>
                <c:pt idx="19">
                  <c:v>1960</c:v>
                </c:pt>
                <c:pt idx="20">
                  <c:v>1961</c:v>
                </c:pt>
                <c:pt idx="21">
                  <c:v>1962</c:v>
                </c:pt>
                <c:pt idx="22">
                  <c:v>1963</c:v>
                </c:pt>
                <c:pt idx="23">
                  <c:v>1964</c:v>
                </c:pt>
                <c:pt idx="24">
                  <c:v>1965</c:v>
                </c:pt>
                <c:pt idx="25">
                  <c:v>1966</c:v>
                </c:pt>
                <c:pt idx="26">
                  <c:v>1967</c:v>
                </c:pt>
                <c:pt idx="27">
                  <c:v>1968</c:v>
                </c:pt>
                <c:pt idx="28">
                  <c:v>1969</c:v>
                </c:pt>
                <c:pt idx="29">
                  <c:v>1970</c:v>
                </c:pt>
                <c:pt idx="30">
                  <c:v>1971</c:v>
                </c:pt>
                <c:pt idx="31">
                  <c:v>1972</c:v>
                </c:pt>
                <c:pt idx="32">
                  <c:v>1973</c:v>
                </c:pt>
                <c:pt idx="33">
                  <c:v>1974</c:v>
                </c:pt>
                <c:pt idx="34">
                  <c:v>1975</c:v>
                </c:pt>
                <c:pt idx="35">
                  <c:v>1976</c:v>
                </c:pt>
                <c:pt idx="36">
                  <c:v>1977</c:v>
                </c:pt>
                <c:pt idx="37">
                  <c:v>1978</c:v>
                </c:pt>
                <c:pt idx="38">
                  <c:v>1979</c:v>
                </c:pt>
                <c:pt idx="39">
                  <c:v>1980</c:v>
                </c:pt>
                <c:pt idx="40">
                  <c:v>1981</c:v>
                </c:pt>
                <c:pt idx="41">
                  <c:v>1982</c:v>
                </c:pt>
                <c:pt idx="42">
                  <c:v>1983</c:v>
                </c:pt>
                <c:pt idx="43">
                  <c:v>1984</c:v>
                </c:pt>
                <c:pt idx="44">
                  <c:v>1985</c:v>
                </c:pt>
                <c:pt idx="45">
                  <c:v>1986</c:v>
                </c:pt>
                <c:pt idx="46">
                  <c:v>1987</c:v>
                </c:pt>
                <c:pt idx="47">
                  <c:v>1988</c:v>
                </c:pt>
                <c:pt idx="48">
                  <c:v>1989</c:v>
                </c:pt>
                <c:pt idx="49">
                  <c:v>1990</c:v>
                </c:pt>
                <c:pt idx="50">
                  <c:v>1991</c:v>
                </c:pt>
                <c:pt idx="51">
                  <c:v>1992</c:v>
                </c:pt>
                <c:pt idx="52">
                  <c:v>1993</c:v>
                </c:pt>
                <c:pt idx="53">
                  <c:v>1994</c:v>
                </c:pt>
                <c:pt idx="54">
                  <c:v>1995</c:v>
                </c:pt>
                <c:pt idx="55">
                  <c:v>1996</c:v>
                </c:pt>
                <c:pt idx="56">
                  <c:v>1997</c:v>
                </c:pt>
                <c:pt idx="57">
                  <c:v>1998</c:v>
                </c:pt>
                <c:pt idx="58">
                  <c:v>1999</c:v>
                </c:pt>
                <c:pt idx="59">
                  <c:v>2000</c:v>
                </c:pt>
                <c:pt idx="60">
                  <c:v>2001</c:v>
                </c:pt>
                <c:pt idx="61">
                  <c:v>2002</c:v>
                </c:pt>
                <c:pt idx="62">
                  <c:v>2003</c:v>
                </c:pt>
                <c:pt idx="63">
                  <c:v>2004</c:v>
                </c:pt>
                <c:pt idx="64">
                  <c:v>2005</c:v>
                </c:pt>
                <c:pt idx="65">
                  <c:v>2006</c:v>
                </c:pt>
                <c:pt idx="66">
                  <c:v>2007</c:v>
                </c:pt>
                <c:pt idx="67">
                  <c:v>2008</c:v>
                </c:pt>
                <c:pt idx="68">
                  <c:v>2009</c:v>
                </c:pt>
                <c:pt idx="69">
                  <c:v>2010</c:v>
                </c:pt>
                <c:pt idx="70">
                  <c:v>2011</c:v>
                </c:pt>
                <c:pt idx="71">
                  <c:v>2012</c:v>
                </c:pt>
                <c:pt idx="72">
                  <c:v>2013</c:v>
                </c:pt>
                <c:pt idx="73">
                  <c:v>2014</c:v>
                </c:pt>
                <c:pt idx="74">
                  <c:v>2015</c:v>
                </c:pt>
                <c:pt idx="75">
                  <c:v>2016</c:v>
                </c:pt>
                <c:pt idx="76">
                  <c:v>2017</c:v>
                </c:pt>
                <c:pt idx="77">
                  <c:v>2018</c:v>
                </c:pt>
                <c:pt idx="78">
                  <c:v>2019</c:v>
                </c:pt>
              </c:numCache>
            </c:numRef>
          </c:cat>
          <c:val>
            <c:numRef>
              <c:f>Raw!$C$2:$C$80</c:f>
              <c:numCache>
                <c:formatCode>General</c:formatCode>
                <c:ptCount val="79"/>
                <c:pt idx="0">
                  <c:v>21</c:v>
                </c:pt>
                <c:pt idx="1">
                  <c:v>19</c:v>
                </c:pt>
                <c:pt idx="2">
                  <c:v>3</c:v>
                </c:pt>
                <c:pt idx="3">
                  <c:v>1</c:v>
                </c:pt>
                <c:pt idx="4">
                  <c:v>1</c:v>
                </c:pt>
                <c:pt idx="5">
                  <c:v>1</c:v>
                </c:pt>
                <c:pt idx="6">
                  <c:v>1</c:v>
                </c:pt>
                <c:pt idx="7">
                  <c:v>1908</c:v>
                </c:pt>
                <c:pt idx="8">
                  <c:v>1</c:v>
                </c:pt>
                <c:pt idx="9">
                  <c:v>1</c:v>
                </c:pt>
                <c:pt idx="10">
                  <c:v>1</c:v>
                </c:pt>
                <c:pt idx="11">
                  <c:v>1</c:v>
                </c:pt>
                <c:pt idx="12">
                  <c:v>1</c:v>
                </c:pt>
                <c:pt idx="13">
                  <c:v>2</c:v>
                </c:pt>
                <c:pt idx="14">
                  <c:v>1</c:v>
                </c:pt>
                <c:pt idx="15">
                  <c:v>1</c:v>
                </c:pt>
                <c:pt idx="16">
                  <c:v>1</c:v>
                </c:pt>
                <c:pt idx="17">
                  <c:v>3</c:v>
                </c:pt>
                <c:pt idx="18">
                  <c:v>1</c:v>
                </c:pt>
                <c:pt idx="19">
                  <c:v>1</c:v>
                </c:pt>
                <c:pt idx="20">
                  <c:v>4</c:v>
                </c:pt>
                <c:pt idx="21">
                  <c:v>2</c:v>
                </c:pt>
                <c:pt idx="22">
                  <c:v>1</c:v>
                </c:pt>
                <c:pt idx="23">
                  <c:v>7</c:v>
                </c:pt>
                <c:pt idx="24">
                  <c:v>9</c:v>
                </c:pt>
                <c:pt idx="25">
                  <c:v>10</c:v>
                </c:pt>
                <c:pt idx="26">
                  <c:v>7</c:v>
                </c:pt>
                <c:pt idx="27">
                  <c:v>10</c:v>
                </c:pt>
                <c:pt idx="28">
                  <c:v>20</c:v>
                </c:pt>
                <c:pt idx="29">
                  <c:v>38</c:v>
                </c:pt>
                <c:pt idx="30">
                  <c:v>28</c:v>
                </c:pt>
                <c:pt idx="31">
                  <c:v>74</c:v>
                </c:pt>
                <c:pt idx="32">
                  <c:v>151</c:v>
                </c:pt>
                <c:pt idx="33">
                  <c:v>422</c:v>
                </c:pt>
                <c:pt idx="34">
                  <c:v>3941</c:v>
                </c:pt>
                <c:pt idx="35">
                  <c:v>4626</c:v>
                </c:pt>
                <c:pt idx="36">
                  <c:v>4600</c:v>
                </c:pt>
                <c:pt idx="37">
                  <c:v>4947</c:v>
                </c:pt>
                <c:pt idx="38">
                  <c:v>5884</c:v>
                </c:pt>
                <c:pt idx="39">
                  <c:v>5997</c:v>
                </c:pt>
                <c:pt idx="40">
                  <c:v>5916</c:v>
                </c:pt>
                <c:pt idx="41">
                  <c:v>5237</c:v>
                </c:pt>
                <c:pt idx="42">
                  <c:v>6048</c:v>
                </c:pt>
                <c:pt idx="43">
                  <c:v>6783</c:v>
                </c:pt>
                <c:pt idx="44">
                  <c:v>2781</c:v>
                </c:pt>
                <c:pt idx="45">
                  <c:v>2697</c:v>
                </c:pt>
                <c:pt idx="46">
                  <c:v>3431</c:v>
                </c:pt>
                <c:pt idx="47">
                  <c:v>11663</c:v>
                </c:pt>
                <c:pt idx="48">
                  <c:v>12426</c:v>
                </c:pt>
                <c:pt idx="49">
                  <c:v>10776</c:v>
                </c:pt>
                <c:pt idx="50">
                  <c:v>10565</c:v>
                </c:pt>
                <c:pt idx="51">
                  <c:v>12631</c:v>
                </c:pt>
                <c:pt idx="52">
                  <c:v>16879</c:v>
                </c:pt>
                <c:pt idx="53">
                  <c:v>18693</c:v>
                </c:pt>
                <c:pt idx="54">
                  <c:v>17259</c:v>
                </c:pt>
                <c:pt idx="55">
                  <c:v>17968</c:v>
                </c:pt>
                <c:pt idx="56">
                  <c:v>18786</c:v>
                </c:pt>
                <c:pt idx="57">
                  <c:v>19849</c:v>
                </c:pt>
                <c:pt idx="58">
                  <c:v>20656</c:v>
                </c:pt>
                <c:pt idx="59">
                  <c:v>19145</c:v>
                </c:pt>
                <c:pt idx="60">
                  <c:v>22298</c:v>
                </c:pt>
                <c:pt idx="61">
                  <c:v>25391</c:v>
                </c:pt>
                <c:pt idx="62">
                  <c:v>26562</c:v>
                </c:pt>
                <c:pt idx="63">
                  <c:v>24051</c:v>
                </c:pt>
                <c:pt idx="64">
                  <c:v>23336</c:v>
                </c:pt>
                <c:pt idx="65">
                  <c:v>26731</c:v>
                </c:pt>
                <c:pt idx="66">
                  <c:v>27287</c:v>
                </c:pt>
                <c:pt idx="67">
                  <c:v>21683</c:v>
                </c:pt>
                <c:pt idx="68">
                  <c:v>21343</c:v>
                </c:pt>
                <c:pt idx="69">
                  <c:v>19299</c:v>
                </c:pt>
                <c:pt idx="70">
                  <c:v>19808</c:v>
                </c:pt>
                <c:pt idx="71">
                  <c:v>21102</c:v>
                </c:pt>
                <c:pt idx="72">
                  <c:v>21681</c:v>
                </c:pt>
                <c:pt idx="73">
                  <c:v>23497</c:v>
                </c:pt>
                <c:pt idx="74">
                  <c:v>25964</c:v>
                </c:pt>
                <c:pt idx="75">
                  <c:v>27245</c:v>
                </c:pt>
                <c:pt idx="76">
                  <c:v>23436</c:v>
                </c:pt>
                <c:pt idx="77">
                  <c:v>19171</c:v>
                </c:pt>
                <c:pt idx="78">
                  <c:v>336</c:v>
                </c:pt>
              </c:numCache>
            </c:numRef>
          </c:val>
          <c:smooth val="0"/>
        </c:ser>
        <c:dLbls>
          <c:showLegendKey val="0"/>
          <c:showVal val="0"/>
          <c:showCatName val="0"/>
          <c:showSerName val="0"/>
          <c:showPercent val="0"/>
          <c:showBubbleSize val="0"/>
        </c:dLbls>
        <c:marker val="1"/>
        <c:smooth val="0"/>
        <c:axId val="816397864"/>
        <c:axId val="816397080"/>
      </c:lineChart>
      <c:catAx>
        <c:axId val="81639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396296"/>
        <c:crosses val="autoZero"/>
        <c:auto val="1"/>
        <c:lblAlgn val="ctr"/>
        <c:lblOffset val="100"/>
        <c:noMultiLvlLbl val="0"/>
      </c:catAx>
      <c:valAx>
        <c:axId val="816396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Price per hectare $</a:t>
                </a:r>
              </a:p>
            </c:rich>
          </c:tx>
          <c:layout>
            <c:manualLayout>
              <c:xMode val="edge"/>
              <c:yMode val="edge"/>
              <c:x val="1.6687526074259492E-2"/>
              <c:y val="2.937239682646507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395904"/>
        <c:crosses val="autoZero"/>
        <c:crossBetween val="between"/>
      </c:valAx>
      <c:valAx>
        <c:axId val="8163970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Sample count per year</a:t>
                </a:r>
              </a:p>
            </c:rich>
          </c:tx>
          <c:layout>
            <c:manualLayout>
              <c:xMode val="edge"/>
              <c:yMode val="edge"/>
              <c:x val="0.74993879623922421"/>
              <c:y val="1.987275229564785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397864"/>
        <c:crosses val="max"/>
        <c:crossBetween val="between"/>
      </c:valAx>
      <c:catAx>
        <c:axId val="816397864"/>
        <c:scaling>
          <c:orientation val="minMax"/>
        </c:scaling>
        <c:delete val="1"/>
        <c:axPos val="b"/>
        <c:numFmt formatCode="General" sourceLinked="1"/>
        <c:majorTickMark val="out"/>
        <c:minorTickMark val="none"/>
        <c:tickLblPos val="nextTo"/>
        <c:crossAx val="816397080"/>
        <c:crosses val="autoZero"/>
        <c:auto val="1"/>
        <c:lblAlgn val="ctr"/>
        <c:lblOffset val="100"/>
        <c:noMultiLvlLbl val="0"/>
      </c:catAx>
      <c:spPr>
        <a:noFill/>
        <a:ln>
          <a:noFill/>
        </a:ln>
        <a:effectLst/>
      </c:spPr>
    </c:plotArea>
    <c:legend>
      <c:legendPos val="r"/>
      <c:layout>
        <c:manualLayout>
          <c:xMode val="edge"/>
          <c:yMode val="edge"/>
          <c:x val="0.77125628315203709"/>
          <c:y val="2.0837872116553774E-2"/>
          <c:w val="0.22874354322027277"/>
          <c:h val="0.25767350885963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5327970170252"/>
          <c:y val="6.652555185969157E-2"/>
          <c:w val="0.52583036581982767"/>
          <c:h val="0.79688036276842833"/>
        </c:manualLayout>
      </c:layout>
      <c:lineChart>
        <c:grouping val="standard"/>
        <c:varyColors val="0"/>
        <c:ser>
          <c:idx val="0"/>
          <c:order val="0"/>
          <c:tx>
            <c:strRef>
              <c:f>Clean!$B$1</c:f>
              <c:strCache>
                <c:ptCount val="1"/>
                <c:pt idx="0">
                  <c:v>Price per hectare</c:v>
                </c:pt>
              </c:strCache>
            </c:strRef>
          </c:tx>
          <c:spPr>
            <a:ln w="12700" cap="rnd">
              <a:solidFill>
                <a:srgbClr val="EE7300"/>
              </a:solidFill>
              <a:round/>
            </a:ln>
            <a:effectLst/>
          </c:spPr>
          <c:marker>
            <c:symbol val="none"/>
          </c:marker>
          <c:cat>
            <c:numRef>
              <c:f>Clean!$A$2:$A$45</c:f>
              <c:numCache>
                <c:formatCode>General</c:formatCode>
                <c:ptCount val="44"/>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numCache>
            </c:numRef>
          </c:cat>
          <c:val>
            <c:numRef>
              <c:f>Clean!$B$2:$B$45</c:f>
              <c:numCache>
                <c:formatCode>General</c:formatCode>
                <c:ptCount val="44"/>
                <c:pt idx="0">
                  <c:v>325.70491072172609</c:v>
                </c:pt>
                <c:pt idx="1">
                  <c:v>267.95355610580219</c:v>
                </c:pt>
                <c:pt idx="2">
                  <c:v>383.79593758904531</c:v>
                </c:pt>
                <c:pt idx="3">
                  <c:v>371.86305167668922</c:v>
                </c:pt>
                <c:pt idx="4">
                  <c:v>496.9864263276279</c:v>
                </c:pt>
                <c:pt idx="5">
                  <c:v>576.84735368632982</c:v>
                </c:pt>
                <c:pt idx="6">
                  <c:v>709.86629335094085</c:v>
                </c:pt>
                <c:pt idx="7">
                  <c:v>740.76583633324151</c:v>
                </c:pt>
                <c:pt idx="8">
                  <c:v>842.82068328472099</c:v>
                </c:pt>
                <c:pt idx="9">
                  <c:v>883.93378950583804</c:v>
                </c:pt>
                <c:pt idx="10">
                  <c:v>835.29261464313652</c:v>
                </c:pt>
                <c:pt idx="11">
                  <c:v>891.72230794162829</c:v>
                </c:pt>
                <c:pt idx="12">
                  <c:v>904.64595526868425</c:v>
                </c:pt>
                <c:pt idx="13">
                  <c:v>1373.903444413422</c:v>
                </c:pt>
                <c:pt idx="14">
                  <c:v>1548.7838994330566</c:v>
                </c:pt>
                <c:pt idx="15">
                  <c:v>1373.3335500492979</c:v>
                </c:pt>
                <c:pt idx="16">
                  <c:v>1307.0877199301906</c:v>
                </c:pt>
                <c:pt idx="17">
                  <c:v>1477.3569326941981</c:v>
                </c:pt>
                <c:pt idx="18">
                  <c:v>1369.181009231434</c:v>
                </c:pt>
                <c:pt idx="19">
                  <c:v>1385.6664411859645</c:v>
                </c:pt>
                <c:pt idx="20">
                  <c:v>1495.255233959321</c:v>
                </c:pt>
                <c:pt idx="21">
                  <c:v>1453.5012492418696</c:v>
                </c:pt>
                <c:pt idx="22">
                  <c:v>1609.7754661839203</c:v>
                </c:pt>
                <c:pt idx="23">
                  <c:v>1704.5812095621518</c:v>
                </c:pt>
                <c:pt idx="24">
                  <c:v>1669.2318674469293</c:v>
                </c:pt>
                <c:pt idx="25">
                  <c:v>1798.0847168975736</c:v>
                </c:pt>
                <c:pt idx="26">
                  <c:v>1949.2593527563865</c:v>
                </c:pt>
                <c:pt idx="27">
                  <c:v>2260.1915386141927</c:v>
                </c:pt>
                <c:pt idx="28">
                  <c:v>2708.3881947278583</c:v>
                </c:pt>
                <c:pt idx="29">
                  <c:v>3151.1045996471544</c:v>
                </c:pt>
                <c:pt idx="30">
                  <c:v>3591.7538082337305</c:v>
                </c:pt>
                <c:pt idx="31">
                  <c:v>4344.0492452556646</c:v>
                </c:pt>
                <c:pt idx="32">
                  <c:v>4947.8080351931012</c:v>
                </c:pt>
                <c:pt idx="33">
                  <c:v>4595.6217189123872</c:v>
                </c:pt>
                <c:pt idx="34">
                  <c:v>4294.0786971969592</c:v>
                </c:pt>
                <c:pt idx="35">
                  <c:v>4353.4281450680764</c:v>
                </c:pt>
                <c:pt idx="36">
                  <c:v>4048.1146623777813</c:v>
                </c:pt>
                <c:pt idx="37">
                  <c:v>4183.0523073970744</c:v>
                </c:pt>
                <c:pt idx="38">
                  <c:v>4334.3731360485972</c:v>
                </c:pt>
                <c:pt idx="39">
                  <c:v>4778.2860317873519</c:v>
                </c:pt>
                <c:pt idx="40">
                  <c:v>4819.2951598900045</c:v>
                </c:pt>
                <c:pt idx="41">
                  <c:v>5415.6621270644127</c:v>
                </c:pt>
                <c:pt idx="42">
                  <c:v>6113.8290343396111</c:v>
                </c:pt>
                <c:pt idx="43">
                  <c:v>6412.2852696164828</c:v>
                </c:pt>
              </c:numCache>
            </c:numRef>
          </c:val>
          <c:smooth val="0"/>
        </c:ser>
        <c:dLbls>
          <c:showLegendKey val="0"/>
          <c:showVal val="0"/>
          <c:showCatName val="0"/>
          <c:showSerName val="0"/>
          <c:showPercent val="0"/>
          <c:showBubbleSize val="0"/>
        </c:dLbls>
        <c:marker val="1"/>
        <c:smooth val="0"/>
        <c:axId val="816398648"/>
        <c:axId val="816391200"/>
      </c:lineChart>
      <c:lineChart>
        <c:grouping val="standard"/>
        <c:varyColors val="0"/>
        <c:ser>
          <c:idx val="1"/>
          <c:order val="1"/>
          <c:tx>
            <c:strRef>
              <c:f>Clean!$C$1</c:f>
              <c:strCache>
                <c:ptCount val="1"/>
                <c:pt idx="0">
                  <c:v>Sample count (RH axis)</c:v>
                </c:pt>
              </c:strCache>
            </c:strRef>
          </c:tx>
          <c:spPr>
            <a:ln w="12700" cap="rnd">
              <a:solidFill>
                <a:srgbClr val="BFBFBF"/>
              </a:solidFill>
              <a:round/>
            </a:ln>
            <a:effectLst/>
          </c:spPr>
          <c:marker>
            <c:symbol val="none"/>
          </c:marker>
          <c:cat>
            <c:numRef>
              <c:f>Clean!$A$2:$A$45</c:f>
              <c:numCache>
                <c:formatCode>General</c:formatCode>
                <c:ptCount val="44"/>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numCache>
            </c:numRef>
          </c:cat>
          <c:val>
            <c:numRef>
              <c:f>Clean!$C$2:$C$45</c:f>
              <c:numCache>
                <c:formatCode>General</c:formatCode>
                <c:ptCount val="44"/>
                <c:pt idx="0">
                  <c:v>542</c:v>
                </c:pt>
                <c:pt idx="1">
                  <c:v>678</c:v>
                </c:pt>
                <c:pt idx="2">
                  <c:v>712</c:v>
                </c:pt>
                <c:pt idx="3">
                  <c:v>782</c:v>
                </c:pt>
                <c:pt idx="4">
                  <c:v>997</c:v>
                </c:pt>
                <c:pt idx="5">
                  <c:v>977</c:v>
                </c:pt>
                <c:pt idx="6">
                  <c:v>931</c:v>
                </c:pt>
                <c:pt idx="7">
                  <c:v>773</c:v>
                </c:pt>
                <c:pt idx="8">
                  <c:v>990</c:v>
                </c:pt>
                <c:pt idx="9">
                  <c:v>1227</c:v>
                </c:pt>
                <c:pt idx="10">
                  <c:v>578</c:v>
                </c:pt>
                <c:pt idx="11">
                  <c:v>518</c:v>
                </c:pt>
                <c:pt idx="12">
                  <c:v>782</c:v>
                </c:pt>
                <c:pt idx="13">
                  <c:v>2089</c:v>
                </c:pt>
                <c:pt idx="14">
                  <c:v>2259</c:v>
                </c:pt>
                <c:pt idx="15">
                  <c:v>2144</c:v>
                </c:pt>
                <c:pt idx="16">
                  <c:v>2293</c:v>
                </c:pt>
                <c:pt idx="17">
                  <c:v>3066</c:v>
                </c:pt>
                <c:pt idx="18">
                  <c:v>4116</c:v>
                </c:pt>
                <c:pt idx="19">
                  <c:v>4695</c:v>
                </c:pt>
                <c:pt idx="20">
                  <c:v>4311</c:v>
                </c:pt>
                <c:pt idx="21">
                  <c:v>4696</c:v>
                </c:pt>
                <c:pt idx="22">
                  <c:v>4619</c:v>
                </c:pt>
                <c:pt idx="23">
                  <c:v>4821</c:v>
                </c:pt>
                <c:pt idx="24">
                  <c:v>5106</c:v>
                </c:pt>
                <c:pt idx="25">
                  <c:v>5152</c:v>
                </c:pt>
                <c:pt idx="26">
                  <c:v>5904</c:v>
                </c:pt>
                <c:pt idx="27">
                  <c:v>6706</c:v>
                </c:pt>
                <c:pt idx="28">
                  <c:v>6633</c:v>
                </c:pt>
                <c:pt idx="29">
                  <c:v>6333</c:v>
                </c:pt>
                <c:pt idx="30">
                  <c:v>6171</c:v>
                </c:pt>
                <c:pt idx="31">
                  <c:v>6592</c:v>
                </c:pt>
                <c:pt idx="32">
                  <c:v>6625</c:v>
                </c:pt>
                <c:pt idx="33">
                  <c:v>5450</c:v>
                </c:pt>
                <c:pt idx="34">
                  <c:v>4999</c:v>
                </c:pt>
                <c:pt idx="35">
                  <c:v>4657</c:v>
                </c:pt>
                <c:pt idx="36">
                  <c:v>4930</c:v>
                </c:pt>
                <c:pt idx="37">
                  <c:v>5121</c:v>
                </c:pt>
                <c:pt idx="38">
                  <c:v>5195</c:v>
                </c:pt>
                <c:pt idx="39">
                  <c:v>5841</c:v>
                </c:pt>
                <c:pt idx="40">
                  <c:v>7179</c:v>
                </c:pt>
                <c:pt idx="41">
                  <c:v>6849</c:v>
                </c:pt>
                <c:pt idx="42">
                  <c:v>6885</c:v>
                </c:pt>
                <c:pt idx="43">
                  <c:v>5070</c:v>
                </c:pt>
              </c:numCache>
            </c:numRef>
          </c:val>
          <c:smooth val="0"/>
        </c:ser>
        <c:dLbls>
          <c:showLegendKey val="0"/>
          <c:showVal val="0"/>
          <c:showCatName val="0"/>
          <c:showSerName val="0"/>
          <c:showPercent val="0"/>
          <c:showBubbleSize val="0"/>
        </c:dLbls>
        <c:marker val="1"/>
        <c:smooth val="0"/>
        <c:axId val="811865776"/>
        <c:axId val="816391592"/>
      </c:lineChart>
      <c:catAx>
        <c:axId val="81639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391200"/>
        <c:crosses val="autoZero"/>
        <c:auto val="1"/>
        <c:lblAlgn val="ctr"/>
        <c:lblOffset val="100"/>
        <c:noMultiLvlLbl val="0"/>
      </c:catAx>
      <c:valAx>
        <c:axId val="816391200"/>
        <c:scaling>
          <c:orientation val="minMax"/>
          <c:max val="1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Price per hectare $</a:t>
                </a:r>
              </a:p>
            </c:rich>
          </c:tx>
          <c:layout>
            <c:manualLayout>
              <c:xMode val="edge"/>
              <c:yMode val="edge"/>
              <c:x val="1.6687526074259492E-2"/>
              <c:y val="2.937239682646507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398648"/>
        <c:crosses val="autoZero"/>
        <c:crossBetween val="between"/>
      </c:valAx>
      <c:valAx>
        <c:axId val="816391592"/>
        <c:scaling>
          <c:orientation val="minMax"/>
          <c:max val="12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Sample count per year</a:t>
                </a:r>
              </a:p>
            </c:rich>
          </c:tx>
          <c:layout>
            <c:manualLayout>
              <c:xMode val="edge"/>
              <c:yMode val="edge"/>
              <c:x val="0.75454234573437018"/>
              <c:y val="4.159599556172378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865776"/>
        <c:crosses val="max"/>
        <c:crossBetween val="between"/>
      </c:valAx>
      <c:catAx>
        <c:axId val="811865776"/>
        <c:scaling>
          <c:orientation val="minMax"/>
        </c:scaling>
        <c:delete val="1"/>
        <c:axPos val="b"/>
        <c:numFmt formatCode="General" sourceLinked="1"/>
        <c:majorTickMark val="out"/>
        <c:minorTickMark val="none"/>
        <c:tickLblPos val="nextTo"/>
        <c:crossAx val="816391592"/>
        <c:crosses val="autoZero"/>
        <c:auto val="1"/>
        <c:lblAlgn val="ctr"/>
        <c:lblOffset val="100"/>
        <c:noMultiLvlLbl val="0"/>
      </c:catAx>
      <c:spPr>
        <a:noFill/>
        <a:ln>
          <a:noFill/>
        </a:ln>
        <a:effectLst/>
      </c:spPr>
    </c:plotArea>
    <c:legend>
      <c:legendPos val="r"/>
      <c:layout>
        <c:manualLayout>
          <c:xMode val="edge"/>
          <c:yMode val="edge"/>
          <c:x val="0.79434860970320198"/>
          <c:y val="8.1627891212284462E-2"/>
          <c:w val="0.18865761378764059"/>
          <c:h val="0.293379690248279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48541092927116E-2"/>
          <c:y val="2.112482990126675E-2"/>
          <c:w val="0.87492140763972892"/>
          <c:h val="0.79423735205625345"/>
        </c:manualLayout>
      </c:layout>
      <c:barChart>
        <c:barDir val="col"/>
        <c:grouping val="clustered"/>
        <c:varyColors val="0"/>
        <c:ser>
          <c:idx val="0"/>
          <c:order val="0"/>
          <c:tx>
            <c:v>National</c:v>
          </c:tx>
          <c:spPr>
            <a:solidFill>
              <a:srgbClr val="EE7300"/>
            </a:solidFill>
            <a:ln>
              <a:noFill/>
            </a:ln>
            <a:effectLst/>
          </c:spPr>
          <c:invertIfNegative val="0"/>
          <c:cat>
            <c:strRef>
              <c:f>NATIONAL!$I$6:$I$42</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f>NATIONAL!$J$6:$J$42</c:f>
              <c:numCache>
                <c:formatCode>General</c:formatCode>
                <c:ptCount val="37"/>
                <c:pt idx="0">
                  <c:v>0.137956</c:v>
                </c:pt>
                <c:pt idx="1">
                  <c:v>0.15801109999999999</c:v>
                </c:pt>
                <c:pt idx="2">
                  <c:v>0.26616879999999998</c:v>
                </c:pt>
                <c:pt idx="3">
                  <c:v>-0.45894099999999999</c:v>
                </c:pt>
                <c:pt idx="4">
                  <c:v>-0.25963019999999998</c:v>
                </c:pt>
                <c:pt idx="5">
                  <c:v>-0.15079090000000001</c:v>
                </c:pt>
                <c:pt idx="6">
                  <c:v>-8.7579000000000008E-3</c:v>
                </c:pt>
                <c:pt idx="7">
                  <c:v>-1.9342999999999999E-2</c:v>
                </c:pt>
                <c:pt idx="8">
                  <c:v>4.1803199999999999E-2</c:v>
                </c:pt>
                <c:pt idx="9">
                  <c:v>3.4460400000000002E-2</c:v>
                </c:pt>
                <c:pt idx="10">
                  <c:v>-2.07362E-2</c:v>
                </c:pt>
                <c:pt idx="11">
                  <c:v>1.5299699999999999E-2</c:v>
                </c:pt>
                <c:pt idx="12">
                  <c:v>3.0611000000000002E-3</c:v>
                </c:pt>
                <c:pt idx="15">
                  <c:v>-5.0990999999999996E-3</c:v>
                </c:pt>
                <c:pt idx="16">
                  <c:v>5.81956E-2</c:v>
                </c:pt>
                <c:pt idx="17">
                  <c:v>5.64336E-2</c:v>
                </c:pt>
                <c:pt idx="18">
                  <c:v>5.1779699999999998E-2</c:v>
                </c:pt>
                <c:pt idx="19">
                  <c:v>8.9621000000000006E-2</c:v>
                </c:pt>
                <c:pt idx="22">
                  <c:v>-0.54984169999999999</c:v>
                </c:pt>
                <c:pt idx="23">
                  <c:v>-0.2773834</c:v>
                </c:pt>
                <c:pt idx="24">
                  <c:v>0.13396040000000001</c:v>
                </c:pt>
                <c:pt idx="25">
                  <c:v>0.1272644</c:v>
                </c:pt>
                <c:pt idx="28">
                  <c:v>4.3831799999999997E-2</c:v>
                </c:pt>
                <c:pt idx="29">
                  <c:v>-2.5407699999999998E-2</c:v>
                </c:pt>
                <c:pt idx="30">
                  <c:v>-4.2811999999999998E-3</c:v>
                </c:pt>
                <c:pt idx="31">
                  <c:v>0.17423159999999999</c:v>
                </c:pt>
                <c:pt idx="32">
                  <c:v>0.94428120000000004</c:v>
                </c:pt>
                <c:pt idx="33">
                  <c:v>0.14734739999999999</c:v>
                </c:pt>
                <c:pt idx="35">
                  <c:v>0.59331469999999997</c:v>
                </c:pt>
                <c:pt idx="36">
                  <c:v>0.57882230000000001</c:v>
                </c:pt>
              </c:numCache>
            </c:numRef>
          </c:val>
        </c:ser>
        <c:dLbls>
          <c:showLegendKey val="0"/>
          <c:showVal val="0"/>
          <c:showCatName val="0"/>
          <c:showSerName val="0"/>
          <c:showPercent val="0"/>
          <c:showBubbleSize val="0"/>
        </c:dLbls>
        <c:gapWidth val="219"/>
        <c:overlap val="-27"/>
        <c:axId val="811870088"/>
        <c:axId val="811872048"/>
        <c:extLst/>
      </c:barChart>
      <c:catAx>
        <c:axId val="811870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872048"/>
        <c:crosses val="autoZero"/>
        <c:auto val="1"/>
        <c:lblAlgn val="ctr"/>
        <c:lblOffset val="100"/>
        <c:noMultiLvlLbl val="0"/>
      </c:catAx>
      <c:valAx>
        <c:axId val="811872048"/>
        <c:scaling>
          <c:orientation val="minMax"/>
          <c:max val="1"/>
          <c:min val="-1"/>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 change to farmland value (per hectare)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870088"/>
        <c:crosses val="autoZero"/>
        <c:crossBetween val="between"/>
      </c:valAx>
      <c:spPr>
        <a:noFill/>
        <a:ln>
          <a:noFill/>
        </a:ln>
        <a:effectLst/>
      </c:spPr>
    </c:plotArea>
    <c:legend>
      <c:legendPos val="r"/>
      <c:layout>
        <c:manualLayout>
          <c:xMode val="edge"/>
          <c:yMode val="edge"/>
          <c:x val="0.88427233585686815"/>
          <c:y val="3.6628590406082427E-2"/>
          <c:w val="9.5996048627376013E-2"/>
          <c:h val="8.10600154260733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198925244598011E-2"/>
          <c:y val="2.112482990126675E-2"/>
          <c:w val="0.89779319205826946"/>
          <c:h val="0.79423735205625345"/>
        </c:manualLayout>
      </c:layout>
      <c:barChart>
        <c:barDir val="col"/>
        <c:grouping val="clustered"/>
        <c:varyColors val="0"/>
        <c:ser>
          <c:idx val="1"/>
          <c:order val="1"/>
          <c:tx>
            <c:strRef>
              <c:f>ABARES_combined!$C$3</c:f>
              <c:strCache>
                <c:ptCount val="1"/>
                <c:pt idx="0">
                  <c:v>HRFZ</c:v>
                </c:pt>
              </c:strCache>
            </c:strRef>
          </c:tx>
          <c:spPr>
            <a:solidFill>
              <a:srgbClr val="96172E"/>
            </a:solidFill>
            <a:ln>
              <a:noFill/>
            </a:ln>
            <a:effectLst/>
          </c:spPr>
          <c:invertIfNegative val="0"/>
          <c:cat>
            <c:strRef>
              <c:f>ABARES_combined!$A$4:$A$40</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f>ABARES_combined!$C$4:$C$40</c:f>
              <c:numCache>
                <c:formatCode>General</c:formatCode>
                <c:ptCount val="37"/>
                <c:pt idx="0">
                  <c:v>0.13492509999999999</c:v>
                </c:pt>
                <c:pt idx="1">
                  <c:v>0.1346377</c:v>
                </c:pt>
                <c:pt idx="2">
                  <c:v>0.36568319999999999</c:v>
                </c:pt>
                <c:pt idx="3">
                  <c:v>-0.51703529999999998</c:v>
                </c:pt>
                <c:pt idx="4">
                  <c:v>-0.20113039999999999</c:v>
                </c:pt>
                <c:pt idx="5">
                  <c:v>-0.118298</c:v>
                </c:pt>
                <c:pt idx="6">
                  <c:v>-5.2846999999999998E-2</c:v>
                </c:pt>
                <c:pt idx="7">
                  <c:v>-2.1958100000000001E-2</c:v>
                </c:pt>
                <c:pt idx="8">
                  <c:v>5.91999E-2</c:v>
                </c:pt>
                <c:pt idx="9">
                  <c:v>3.36119E-2</c:v>
                </c:pt>
                <c:pt idx="10">
                  <c:v>5.8481499999999999E-2</c:v>
                </c:pt>
                <c:pt idx="11">
                  <c:v>3.882E-3</c:v>
                </c:pt>
                <c:pt idx="14">
                  <c:v>-1.2262800000000001E-2</c:v>
                </c:pt>
                <c:pt idx="15">
                  <c:v>-6.0835999999999998E-3</c:v>
                </c:pt>
                <c:pt idx="17">
                  <c:v>4.0342599999999999E-2</c:v>
                </c:pt>
                <c:pt idx="22">
                  <c:v>-0.63427440000000002</c:v>
                </c:pt>
                <c:pt idx="24">
                  <c:v>0.18799750000000001</c:v>
                </c:pt>
                <c:pt idx="28">
                  <c:v>4.0513399999999998E-2</c:v>
                </c:pt>
                <c:pt idx="29">
                  <c:v>-2.85071E-2</c:v>
                </c:pt>
                <c:pt idx="30">
                  <c:v>-3.8828000000000001E-3</c:v>
                </c:pt>
                <c:pt idx="33">
                  <c:v>0.2060207</c:v>
                </c:pt>
                <c:pt idx="34">
                  <c:v>6.2865199999999996E-2</c:v>
                </c:pt>
                <c:pt idx="35">
                  <c:v>1.009978</c:v>
                </c:pt>
                <c:pt idx="36">
                  <c:v>0.62956449999999997</c:v>
                </c:pt>
              </c:numCache>
            </c:numRef>
          </c:val>
        </c:ser>
        <c:ser>
          <c:idx val="2"/>
          <c:order val="2"/>
          <c:tx>
            <c:strRef>
              <c:f>ABARES_combined!$D$3</c:f>
              <c:strCache>
                <c:ptCount val="1"/>
                <c:pt idx="0">
                  <c:v>WSZ</c:v>
                </c:pt>
              </c:strCache>
            </c:strRef>
          </c:tx>
          <c:spPr>
            <a:solidFill>
              <a:srgbClr val="00C0B5"/>
            </a:solidFill>
            <a:ln>
              <a:noFill/>
            </a:ln>
            <a:effectLst/>
          </c:spPr>
          <c:invertIfNegative val="0"/>
          <c:cat>
            <c:strRef>
              <c:f>ABARES_combined!$A$4:$A$40</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f>ABARES_combined!$D$4:$D$40</c:f>
              <c:numCache>
                <c:formatCode>General</c:formatCode>
                <c:ptCount val="37"/>
                <c:pt idx="0">
                  <c:v>0.1306387</c:v>
                </c:pt>
                <c:pt idx="1">
                  <c:v>0.19379289999999999</c:v>
                </c:pt>
                <c:pt idx="2">
                  <c:v>0.16524900000000001</c:v>
                </c:pt>
                <c:pt idx="3">
                  <c:v>-0.39661550000000001</c:v>
                </c:pt>
                <c:pt idx="4">
                  <c:v>-0.25641239999999998</c:v>
                </c:pt>
                <c:pt idx="5">
                  <c:v>-0.19536990000000001</c:v>
                </c:pt>
                <c:pt idx="6">
                  <c:v>2.0006800000000002E-2</c:v>
                </c:pt>
                <c:pt idx="7">
                  <c:v>-1.58756E-2</c:v>
                </c:pt>
                <c:pt idx="8">
                  <c:v>1.03768E-2</c:v>
                </c:pt>
                <c:pt idx="9">
                  <c:v>2.43932E-2</c:v>
                </c:pt>
                <c:pt idx="10">
                  <c:v>-4.4280699999999999E-2</c:v>
                </c:pt>
                <c:pt idx="11">
                  <c:v>1.2509899999999999E-2</c:v>
                </c:pt>
                <c:pt idx="12">
                  <c:v>5.5645E-3</c:v>
                </c:pt>
                <c:pt idx="13">
                  <c:v>5.5726999999999999E-3</c:v>
                </c:pt>
                <c:pt idx="16">
                  <c:v>0.13494719999999999</c:v>
                </c:pt>
                <c:pt idx="17">
                  <c:v>0.1204674</c:v>
                </c:pt>
                <c:pt idx="18">
                  <c:v>0.1098857</c:v>
                </c:pt>
                <c:pt idx="19">
                  <c:v>0.1841971</c:v>
                </c:pt>
                <c:pt idx="22">
                  <c:v>-1.0545199999999999</c:v>
                </c:pt>
                <c:pt idx="23">
                  <c:v>-0.68461550000000004</c:v>
                </c:pt>
                <c:pt idx="26">
                  <c:v>0.49404949999999997</c:v>
                </c:pt>
                <c:pt idx="28">
                  <c:v>2.31273E-2</c:v>
                </c:pt>
                <c:pt idx="33">
                  <c:v>9.4696299999999997E-2</c:v>
                </c:pt>
                <c:pt idx="34">
                  <c:v>-0.1556234</c:v>
                </c:pt>
                <c:pt idx="35">
                  <c:v>0.14424609999999999</c:v>
                </c:pt>
                <c:pt idx="36">
                  <c:v>0</c:v>
                </c:pt>
              </c:numCache>
            </c:numRef>
          </c:val>
        </c:ser>
        <c:ser>
          <c:idx val="3"/>
          <c:order val="3"/>
          <c:tx>
            <c:strRef>
              <c:f>ABARES_combined!$E$3</c:f>
              <c:strCache>
                <c:ptCount val="1"/>
                <c:pt idx="0">
                  <c:v>PZ</c:v>
                </c:pt>
              </c:strCache>
            </c:strRef>
          </c:tx>
          <c:spPr>
            <a:solidFill>
              <a:srgbClr val="00505C"/>
            </a:solidFill>
            <a:ln>
              <a:noFill/>
            </a:ln>
            <a:effectLst/>
          </c:spPr>
          <c:invertIfNegative val="0"/>
          <c:cat>
            <c:strRef>
              <c:f>ABARES_combined!$A$4:$A$40</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f>ABARES_combined!$E$4:$E$40</c:f>
              <c:numCache>
                <c:formatCode>General</c:formatCode>
                <c:ptCount val="37"/>
                <c:pt idx="0">
                  <c:v>0.28349809999999998</c:v>
                </c:pt>
                <c:pt idx="2">
                  <c:v>0.145124</c:v>
                </c:pt>
                <c:pt idx="3">
                  <c:v>-0.37633699999999998</c:v>
                </c:pt>
                <c:pt idx="4">
                  <c:v>-0.1856247</c:v>
                </c:pt>
                <c:pt idx="7">
                  <c:v>3.0417699999999999E-2</c:v>
                </c:pt>
                <c:pt idx="8">
                  <c:v>5.6798099999999997E-2</c:v>
                </c:pt>
                <c:pt idx="12">
                  <c:v>4.84073E-2</c:v>
                </c:pt>
                <c:pt idx="13">
                  <c:v>-3.7379099999999998E-2</c:v>
                </c:pt>
                <c:pt idx="15">
                  <c:v>-4.6175300000000002E-2</c:v>
                </c:pt>
                <c:pt idx="21">
                  <c:v>-4.8807239999999998</c:v>
                </c:pt>
                <c:pt idx="25">
                  <c:v>2.463943</c:v>
                </c:pt>
                <c:pt idx="34">
                  <c:v>-0.27114490000000002</c:v>
                </c:pt>
                <c:pt idx="36">
                  <c:v>0</c:v>
                </c:pt>
              </c:numCache>
            </c:numRef>
          </c:val>
        </c:ser>
        <c:dLbls>
          <c:showLegendKey val="0"/>
          <c:showVal val="0"/>
          <c:showCatName val="0"/>
          <c:showSerName val="0"/>
          <c:showPercent val="0"/>
          <c:showBubbleSize val="0"/>
        </c:dLbls>
        <c:gapWidth val="219"/>
        <c:overlap val="-27"/>
        <c:axId val="811866168"/>
        <c:axId val="811865384"/>
        <c:extLst>
          <c:ext xmlns:c15="http://schemas.microsoft.com/office/drawing/2012/chart" uri="{02D57815-91ED-43cb-92C2-25804820EDAC}">
            <c15:filteredBarSeries>
              <c15:ser>
                <c:idx val="0"/>
                <c:order val="0"/>
                <c:tx>
                  <c:strRef>
                    <c:extLst>
                      <c:ext uri="{02D57815-91ED-43cb-92C2-25804820EDAC}">
                        <c15:formulaRef>
                          <c15:sqref>ABARES_combined!$B$3</c15:sqref>
                        </c15:formulaRef>
                      </c:ext>
                    </c:extLst>
                    <c:strCache>
                      <c:ptCount val="1"/>
                      <c:pt idx="0">
                        <c:v>National</c:v>
                      </c:pt>
                    </c:strCache>
                  </c:strRef>
                </c:tx>
                <c:spPr>
                  <a:solidFill>
                    <a:srgbClr val="EE7300"/>
                  </a:solidFill>
                  <a:ln>
                    <a:noFill/>
                  </a:ln>
                  <a:effectLst/>
                </c:spPr>
                <c:invertIfNegative val="0"/>
                <c:cat>
                  <c:strRef>
                    <c:extLst>
                      <c:ext uri="{02D57815-91ED-43cb-92C2-25804820EDAC}">
                        <c15:formulaRef>
                          <c15:sqref>ABARES_combined!$A$4:$A$40</c15:sqref>
                        </c15:formulaRef>
                      </c:ext>
                    </c:extLst>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extLst>
                      <c:ext uri="{02D57815-91ED-43cb-92C2-25804820EDAC}">
                        <c15:formulaRef>
                          <c15:sqref>ABARES_combined!$B$4:$B$40</c15:sqref>
                        </c15:formulaRef>
                      </c:ext>
                    </c:extLst>
                    <c:numCache>
                      <c:formatCode>General</c:formatCode>
                      <c:ptCount val="37"/>
                      <c:pt idx="0">
                        <c:v>0.137956</c:v>
                      </c:pt>
                      <c:pt idx="1">
                        <c:v>0.15801109999999999</c:v>
                      </c:pt>
                      <c:pt idx="2">
                        <c:v>0.26616879999999998</c:v>
                      </c:pt>
                      <c:pt idx="3">
                        <c:v>-0.45894099999999999</c:v>
                      </c:pt>
                      <c:pt idx="4">
                        <c:v>-0.25963019999999998</c:v>
                      </c:pt>
                      <c:pt idx="5">
                        <c:v>-0.15079090000000001</c:v>
                      </c:pt>
                      <c:pt idx="6">
                        <c:v>-8.7579000000000008E-3</c:v>
                      </c:pt>
                      <c:pt idx="7">
                        <c:v>-1.9342999999999999E-2</c:v>
                      </c:pt>
                      <c:pt idx="8">
                        <c:v>4.1803199999999999E-2</c:v>
                      </c:pt>
                      <c:pt idx="9">
                        <c:v>3.4460400000000002E-2</c:v>
                      </c:pt>
                      <c:pt idx="10">
                        <c:v>-2.07362E-2</c:v>
                      </c:pt>
                      <c:pt idx="11">
                        <c:v>1.5299699999999999E-2</c:v>
                      </c:pt>
                      <c:pt idx="12">
                        <c:v>3.0611000000000002E-3</c:v>
                      </c:pt>
                      <c:pt idx="15">
                        <c:v>-5.0990999999999996E-3</c:v>
                      </c:pt>
                      <c:pt idx="16">
                        <c:v>5.81956E-2</c:v>
                      </c:pt>
                      <c:pt idx="17">
                        <c:v>5.64336E-2</c:v>
                      </c:pt>
                      <c:pt idx="18">
                        <c:v>5.1779699999999998E-2</c:v>
                      </c:pt>
                      <c:pt idx="19">
                        <c:v>8.9621000000000006E-2</c:v>
                      </c:pt>
                      <c:pt idx="22">
                        <c:v>-0.54984169999999999</c:v>
                      </c:pt>
                      <c:pt idx="23">
                        <c:v>-0.2773834</c:v>
                      </c:pt>
                      <c:pt idx="24">
                        <c:v>0.13396040000000001</c:v>
                      </c:pt>
                      <c:pt idx="25">
                        <c:v>0.1272644</c:v>
                      </c:pt>
                      <c:pt idx="28">
                        <c:v>4.3831799999999997E-2</c:v>
                      </c:pt>
                      <c:pt idx="29">
                        <c:v>-2.5407699999999998E-2</c:v>
                      </c:pt>
                      <c:pt idx="30">
                        <c:v>-4.2811999999999998E-3</c:v>
                      </c:pt>
                      <c:pt idx="31">
                        <c:v>0.17423159999999999</c:v>
                      </c:pt>
                      <c:pt idx="32">
                        <c:v>0.94428120000000004</c:v>
                      </c:pt>
                      <c:pt idx="33">
                        <c:v>0.14734739999999999</c:v>
                      </c:pt>
                      <c:pt idx="35">
                        <c:v>0.59331469999999997</c:v>
                      </c:pt>
                      <c:pt idx="36">
                        <c:v>0.57882230000000001</c:v>
                      </c:pt>
                    </c:numCache>
                  </c:numRef>
                </c:val>
              </c15:ser>
            </c15:filteredBarSeries>
          </c:ext>
        </c:extLst>
      </c:barChart>
      <c:catAx>
        <c:axId val="811866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865384"/>
        <c:crosses val="autoZero"/>
        <c:auto val="1"/>
        <c:lblAlgn val="ctr"/>
        <c:lblOffset val="100"/>
        <c:noMultiLvlLbl val="0"/>
      </c:catAx>
      <c:valAx>
        <c:axId val="811865384"/>
        <c:scaling>
          <c:orientation val="minMax"/>
          <c:max val="1"/>
          <c:min val="-1"/>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 change to farmland value (per hectare)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866168"/>
        <c:crosses val="autoZero"/>
        <c:crossBetween val="between"/>
      </c:valAx>
      <c:spPr>
        <a:noFill/>
        <a:ln>
          <a:noFill/>
        </a:ln>
        <a:effectLst/>
      </c:spPr>
    </c:plotArea>
    <c:legend>
      <c:legendPos val="r"/>
      <c:layout>
        <c:manualLayout>
          <c:xMode val="edge"/>
          <c:yMode val="edge"/>
          <c:x val="0.74116365277934526"/>
          <c:y val="2.3648235766538048E-2"/>
          <c:w val="0.17586442816262648"/>
          <c:h val="0.17977888975484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8652998457107"/>
          <c:y val="2.112482990126675E-2"/>
          <c:w val="0.88669819215042611"/>
          <c:h val="0.79423735205625345"/>
        </c:manualLayout>
      </c:layout>
      <c:barChart>
        <c:barDir val="col"/>
        <c:grouping val="clustered"/>
        <c:varyColors val="0"/>
        <c:ser>
          <c:idx val="4"/>
          <c:order val="0"/>
          <c:tx>
            <c:strRef>
              <c:f>GRDC_all!$B$1</c:f>
              <c:strCache>
                <c:ptCount val="1"/>
                <c:pt idx="0">
                  <c:v>GRDC_Southern</c:v>
                </c:pt>
              </c:strCache>
            </c:strRef>
          </c:tx>
          <c:spPr>
            <a:solidFill>
              <a:srgbClr val="EE7300"/>
            </a:solidFill>
            <a:ln>
              <a:noFill/>
            </a:ln>
            <a:effectLst/>
          </c:spPr>
          <c:invertIfNegative val="0"/>
          <c:cat>
            <c:strRef>
              <c:f>GRDC_all!$A$2:$A$36</c:f>
              <c:strCache>
                <c:ptCount val="35"/>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Cropping</c:v>
                </c:pt>
                <c:pt idx="32">
                  <c:v>Grazing</c:v>
                </c:pt>
                <c:pt idx="33">
                  <c:v>Mines</c:v>
                </c:pt>
                <c:pt idx="34">
                  <c:v>Wind turbines</c:v>
                </c:pt>
              </c:strCache>
            </c:strRef>
          </c:cat>
          <c:val>
            <c:numRef>
              <c:f>GRDC_all!$B$2:$B$36</c:f>
              <c:numCache>
                <c:formatCode>General</c:formatCode>
                <c:ptCount val="35"/>
                <c:pt idx="0">
                  <c:v>8.1689399999999995E-2</c:v>
                </c:pt>
                <c:pt idx="2">
                  <c:v>0.21644830000000001</c:v>
                </c:pt>
                <c:pt idx="3">
                  <c:v>-0.3968605</c:v>
                </c:pt>
                <c:pt idx="4">
                  <c:v>-0.18323719999999999</c:v>
                </c:pt>
                <c:pt idx="5">
                  <c:v>-0.1341059</c:v>
                </c:pt>
                <c:pt idx="6">
                  <c:v>-0.12381060000000001</c:v>
                </c:pt>
                <c:pt idx="7">
                  <c:v>-1.26461E-2</c:v>
                </c:pt>
                <c:pt idx="8">
                  <c:v>-3.6751100000000002E-2</c:v>
                </c:pt>
                <c:pt idx="9">
                  <c:v>2.3954300000000001E-2</c:v>
                </c:pt>
                <c:pt idx="10">
                  <c:v>-4.5579799999999997E-2</c:v>
                </c:pt>
                <c:pt idx="16">
                  <c:v>0.2452994</c:v>
                </c:pt>
                <c:pt idx="17">
                  <c:v>0.20684739999999999</c:v>
                </c:pt>
                <c:pt idx="18">
                  <c:v>0.23580690000000001</c:v>
                </c:pt>
                <c:pt idx="19">
                  <c:v>0.2624648</c:v>
                </c:pt>
                <c:pt idx="22">
                  <c:v>-1.827915</c:v>
                </c:pt>
                <c:pt idx="32">
                  <c:v>-3.9577800000000003E-2</c:v>
                </c:pt>
                <c:pt idx="33">
                  <c:v>0</c:v>
                </c:pt>
                <c:pt idx="34">
                  <c:v>0</c:v>
                </c:pt>
              </c:numCache>
            </c:numRef>
          </c:val>
        </c:ser>
        <c:ser>
          <c:idx val="5"/>
          <c:order val="1"/>
          <c:tx>
            <c:strRef>
              <c:f>GRDC_all!$C$1</c:f>
              <c:strCache>
                <c:ptCount val="1"/>
                <c:pt idx="0">
                  <c:v>GRDC_Northern</c:v>
                </c:pt>
              </c:strCache>
            </c:strRef>
          </c:tx>
          <c:spPr>
            <a:solidFill>
              <a:srgbClr val="96172E"/>
            </a:solidFill>
            <a:ln>
              <a:noFill/>
            </a:ln>
            <a:effectLst/>
          </c:spPr>
          <c:invertIfNegative val="0"/>
          <c:cat>
            <c:strRef>
              <c:f>GRDC_all!$A$2:$A$36</c:f>
              <c:strCache>
                <c:ptCount val="35"/>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Cropping</c:v>
                </c:pt>
                <c:pt idx="32">
                  <c:v>Grazing</c:v>
                </c:pt>
                <c:pt idx="33">
                  <c:v>Mines</c:v>
                </c:pt>
                <c:pt idx="34">
                  <c:v>Wind turbines</c:v>
                </c:pt>
              </c:strCache>
            </c:strRef>
          </c:cat>
          <c:val>
            <c:numRef>
              <c:f>GRDC_all!$C$2:$C$36</c:f>
              <c:numCache>
                <c:formatCode>General</c:formatCode>
                <c:ptCount val="35"/>
                <c:pt idx="0">
                  <c:v>9.1835399999999998E-2</c:v>
                </c:pt>
                <c:pt idx="1">
                  <c:v>0.23334099999999999</c:v>
                </c:pt>
                <c:pt idx="2">
                  <c:v>0.1502599</c:v>
                </c:pt>
                <c:pt idx="3">
                  <c:v>-0.40172249999999998</c:v>
                </c:pt>
                <c:pt idx="4">
                  <c:v>-0.29308610000000002</c:v>
                </c:pt>
                <c:pt idx="5">
                  <c:v>-8.2503199999999999E-2</c:v>
                </c:pt>
                <c:pt idx="6">
                  <c:v>-1.93452E-2</c:v>
                </c:pt>
                <c:pt idx="7">
                  <c:v>-1.63576E-2</c:v>
                </c:pt>
                <c:pt idx="8">
                  <c:v>3.9662299999999998E-2</c:v>
                </c:pt>
                <c:pt idx="9">
                  <c:v>1.65621E-2</c:v>
                </c:pt>
                <c:pt idx="10">
                  <c:v>0.29871690000000001</c:v>
                </c:pt>
                <c:pt idx="11">
                  <c:v>2.5013299999999999E-2</c:v>
                </c:pt>
                <c:pt idx="12">
                  <c:v>9.4325999999999993E-3</c:v>
                </c:pt>
                <c:pt idx="14">
                  <c:v>-1.3875200000000001E-2</c:v>
                </c:pt>
                <c:pt idx="16">
                  <c:v>0.1046482</c:v>
                </c:pt>
                <c:pt idx="17">
                  <c:v>8.8312000000000002E-2</c:v>
                </c:pt>
                <c:pt idx="18">
                  <c:v>0.13498689999999999</c:v>
                </c:pt>
                <c:pt idx="19">
                  <c:v>0.16048609999999999</c:v>
                </c:pt>
                <c:pt idx="22">
                  <c:v>-1.154941</c:v>
                </c:pt>
                <c:pt idx="23">
                  <c:v>0.81062610000000002</c:v>
                </c:pt>
                <c:pt idx="24">
                  <c:v>-0.45912249999999999</c:v>
                </c:pt>
                <c:pt idx="27">
                  <c:v>-0.48970950000000002</c:v>
                </c:pt>
                <c:pt idx="28">
                  <c:v>2.9286699999999999E-2</c:v>
                </c:pt>
                <c:pt idx="30">
                  <c:v>6.2522999999999997E-3</c:v>
                </c:pt>
                <c:pt idx="32">
                  <c:v>-0.12599050000000001</c:v>
                </c:pt>
                <c:pt idx="34">
                  <c:v>0</c:v>
                </c:pt>
              </c:numCache>
            </c:numRef>
          </c:val>
        </c:ser>
        <c:ser>
          <c:idx val="6"/>
          <c:order val="2"/>
          <c:tx>
            <c:strRef>
              <c:f>GRDC_all!$D$1</c:f>
              <c:strCache>
                <c:ptCount val="1"/>
                <c:pt idx="0">
                  <c:v>GRDC_Western</c:v>
                </c:pt>
              </c:strCache>
            </c:strRef>
          </c:tx>
          <c:spPr>
            <a:solidFill>
              <a:srgbClr val="00C0B5"/>
            </a:solidFill>
            <a:ln>
              <a:noFill/>
            </a:ln>
            <a:effectLst/>
          </c:spPr>
          <c:invertIfNegative val="0"/>
          <c:cat>
            <c:strRef>
              <c:f>GRDC_all!$A$2:$A$36</c:f>
              <c:strCache>
                <c:ptCount val="35"/>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Cropping</c:v>
                </c:pt>
                <c:pt idx="32">
                  <c:v>Grazing</c:v>
                </c:pt>
                <c:pt idx="33">
                  <c:v>Mines</c:v>
                </c:pt>
                <c:pt idx="34">
                  <c:v>Wind turbines</c:v>
                </c:pt>
              </c:strCache>
            </c:strRef>
          </c:cat>
          <c:val>
            <c:numRef>
              <c:f>GRDC_all!$D$2:$D$36</c:f>
              <c:numCache>
                <c:formatCode>General</c:formatCode>
                <c:ptCount val="35"/>
                <c:pt idx="0">
                  <c:v>0.1198327</c:v>
                </c:pt>
                <c:pt idx="2">
                  <c:v>0</c:v>
                </c:pt>
                <c:pt idx="3">
                  <c:v>-0.24133289999999999</c:v>
                </c:pt>
                <c:pt idx="4">
                  <c:v>-0.26927079999999998</c:v>
                </c:pt>
                <c:pt idx="5">
                  <c:v>-0.16463630000000001</c:v>
                </c:pt>
                <c:pt idx="6">
                  <c:v>-0.40704119999999999</c:v>
                </c:pt>
                <c:pt idx="8">
                  <c:v>-1.65148E-2</c:v>
                </c:pt>
                <c:pt idx="9">
                  <c:v>9.2355400000000004E-2</c:v>
                </c:pt>
                <c:pt idx="10">
                  <c:v>0.1269766</c:v>
                </c:pt>
                <c:pt idx="11">
                  <c:v>1.3716600000000001E-2</c:v>
                </c:pt>
                <c:pt idx="12">
                  <c:v>-3.7912700000000001E-2</c:v>
                </c:pt>
                <c:pt idx="13">
                  <c:v>3.3183400000000002E-2</c:v>
                </c:pt>
                <c:pt idx="16">
                  <c:v>0.1565743</c:v>
                </c:pt>
                <c:pt idx="17">
                  <c:v>0.34113189999999999</c:v>
                </c:pt>
                <c:pt idx="18">
                  <c:v>0.34972540000000002</c:v>
                </c:pt>
                <c:pt idx="19">
                  <c:v>0.34397820000000001</c:v>
                </c:pt>
                <c:pt idx="27">
                  <c:v>1.1759120000000001</c:v>
                </c:pt>
                <c:pt idx="28">
                  <c:v>-3.4579699999999998E-2</c:v>
                </c:pt>
                <c:pt idx="29">
                  <c:v>4.3594500000000001E-2</c:v>
                </c:pt>
                <c:pt idx="31">
                  <c:v>-9.59367E-2</c:v>
                </c:pt>
                <c:pt idx="34">
                  <c:v>0</c:v>
                </c:pt>
              </c:numCache>
            </c:numRef>
          </c:val>
        </c:ser>
        <c:dLbls>
          <c:showLegendKey val="0"/>
          <c:showVal val="0"/>
          <c:showCatName val="0"/>
          <c:showSerName val="0"/>
          <c:showPercent val="0"/>
          <c:showBubbleSize val="0"/>
        </c:dLbls>
        <c:gapWidth val="219"/>
        <c:overlap val="-27"/>
        <c:axId val="811866952"/>
        <c:axId val="819333744"/>
        <c:extLst>
          <c:ext xmlns:c15="http://schemas.microsoft.com/office/drawing/2012/chart" uri="{02D57815-91ED-43cb-92C2-25804820EDAC}">
            <c15:filteredBarSeries>
              <c15:ser>
                <c:idx val="0"/>
                <c:order val="3"/>
                <c:tx>
                  <c:strRef>
                    <c:extLst>
                      <c:ext uri="{02D57815-91ED-43cb-92C2-25804820EDAC}">
                        <c15:formulaRef>
                          <c15:sqref>ABARES_combined!$B$3</c15:sqref>
                        </c15:formulaRef>
                      </c:ext>
                    </c:extLst>
                    <c:strCache>
                      <c:ptCount val="1"/>
                      <c:pt idx="0">
                        <c:v>National</c:v>
                      </c:pt>
                    </c:strCache>
                  </c:strRef>
                </c:tx>
                <c:spPr>
                  <a:solidFill>
                    <a:srgbClr val="EE7300"/>
                  </a:solidFill>
                  <a:ln>
                    <a:noFill/>
                  </a:ln>
                  <a:effectLst/>
                </c:spPr>
                <c:invertIfNegative val="0"/>
                <c:cat>
                  <c:strRef>
                    <c:extLst>
                      <c:ext uri="{02D57815-91ED-43cb-92C2-25804820EDAC}">
                        <c15:formulaRef>
                          <c15:sqref>ABARES_combined!$A$4:$A$40</c15:sqref>
                        </c15:formulaRef>
                      </c:ext>
                    </c:extLst>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extLst>
                      <c:ext uri="{02D57815-91ED-43cb-92C2-25804820EDAC}">
                        <c15:formulaRef>
                          <c15:sqref>ABARES_combined!$B$4:$B$40</c15:sqref>
                        </c15:formulaRef>
                      </c:ext>
                    </c:extLst>
                    <c:numCache>
                      <c:formatCode>General</c:formatCode>
                      <c:ptCount val="37"/>
                      <c:pt idx="0">
                        <c:v>0.137956</c:v>
                      </c:pt>
                      <c:pt idx="1">
                        <c:v>0.15801109999999999</c:v>
                      </c:pt>
                      <c:pt idx="2">
                        <c:v>0.26616879999999998</c:v>
                      </c:pt>
                      <c:pt idx="3">
                        <c:v>-0.45894099999999999</c:v>
                      </c:pt>
                      <c:pt idx="4">
                        <c:v>-0.25963019999999998</c:v>
                      </c:pt>
                      <c:pt idx="5">
                        <c:v>-0.15079090000000001</c:v>
                      </c:pt>
                      <c:pt idx="6">
                        <c:v>-8.7579000000000008E-3</c:v>
                      </c:pt>
                      <c:pt idx="7">
                        <c:v>-1.9342999999999999E-2</c:v>
                      </c:pt>
                      <c:pt idx="8">
                        <c:v>4.1803199999999999E-2</c:v>
                      </c:pt>
                      <c:pt idx="9">
                        <c:v>3.4460400000000002E-2</c:v>
                      </c:pt>
                      <c:pt idx="10">
                        <c:v>-2.07362E-2</c:v>
                      </c:pt>
                      <c:pt idx="11">
                        <c:v>1.5299699999999999E-2</c:v>
                      </c:pt>
                      <c:pt idx="12">
                        <c:v>3.0611000000000002E-3</c:v>
                      </c:pt>
                      <c:pt idx="15">
                        <c:v>-5.0990999999999996E-3</c:v>
                      </c:pt>
                      <c:pt idx="16">
                        <c:v>5.81956E-2</c:v>
                      </c:pt>
                      <c:pt idx="17">
                        <c:v>5.64336E-2</c:v>
                      </c:pt>
                      <c:pt idx="18">
                        <c:v>5.1779699999999998E-2</c:v>
                      </c:pt>
                      <c:pt idx="19">
                        <c:v>8.9621000000000006E-2</c:v>
                      </c:pt>
                      <c:pt idx="22">
                        <c:v>-0.54984169999999999</c:v>
                      </c:pt>
                      <c:pt idx="23">
                        <c:v>-0.2773834</c:v>
                      </c:pt>
                      <c:pt idx="24">
                        <c:v>0.13396040000000001</c:v>
                      </c:pt>
                      <c:pt idx="25">
                        <c:v>0.1272644</c:v>
                      </c:pt>
                      <c:pt idx="28">
                        <c:v>4.3831799999999997E-2</c:v>
                      </c:pt>
                      <c:pt idx="29">
                        <c:v>-2.5407699999999998E-2</c:v>
                      </c:pt>
                      <c:pt idx="30">
                        <c:v>-4.2811999999999998E-3</c:v>
                      </c:pt>
                      <c:pt idx="31">
                        <c:v>0.17423159999999999</c:v>
                      </c:pt>
                      <c:pt idx="32">
                        <c:v>0.94428120000000004</c:v>
                      </c:pt>
                      <c:pt idx="33">
                        <c:v>0.14734739999999999</c:v>
                      </c:pt>
                      <c:pt idx="35">
                        <c:v>0.59331469999999997</c:v>
                      </c:pt>
                      <c:pt idx="36">
                        <c:v>0.57882230000000001</c:v>
                      </c:pt>
                    </c:numCache>
                  </c:numRef>
                </c:val>
              </c15:ser>
            </c15:filteredBarSeries>
            <c15:filteredBarSeries>
              <c15:ser>
                <c:idx val="1"/>
                <c:order val="4"/>
                <c:tx>
                  <c:strRef>
                    <c:extLst xmlns:c15="http://schemas.microsoft.com/office/drawing/2012/chart">
                      <c:ext xmlns:c15="http://schemas.microsoft.com/office/drawing/2012/chart" uri="{02D57815-91ED-43cb-92C2-25804820EDAC}">
                        <c15:formulaRef>
                          <c15:sqref>ABARES_combined!$C$3</c15:sqref>
                        </c15:formulaRef>
                      </c:ext>
                    </c:extLst>
                    <c:strCache>
                      <c:ptCount val="1"/>
                      <c:pt idx="0">
                        <c:v>HRFZ</c:v>
                      </c:pt>
                    </c:strCache>
                  </c:strRef>
                </c:tx>
                <c:spPr>
                  <a:solidFill>
                    <a:srgbClr val="96172E"/>
                  </a:solidFill>
                  <a:ln>
                    <a:noFill/>
                  </a:ln>
                  <a:effectLst/>
                </c:spPr>
                <c:invertIfNegative val="0"/>
                <c:cat>
                  <c:strRef>
                    <c:extLst xmlns:c15="http://schemas.microsoft.com/office/drawing/2012/chart">
                      <c:ext xmlns:c15="http://schemas.microsoft.com/office/drawing/2012/chart" uri="{02D57815-91ED-43cb-92C2-25804820EDAC}">
                        <c15:formulaRef>
                          <c15:sqref>ABARES_combined!$A$4:$A$40</c15:sqref>
                        </c15:formulaRef>
                      </c:ext>
                    </c:extLst>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extLst xmlns:c15="http://schemas.microsoft.com/office/drawing/2012/chart">
                      <c:ext xmlns:c15="http://schemas.microsoft.com/office/drawing/2012/chart" uri="{02D57815-91ED-43cb-92C2-25804820EDAC}">
                        <c15:formulaRef>
                          <c15:sqref>ABARES_combined!$C$4:$C$40</c15:sqref>
                        </c15:formulaRef>
                      </c:ext>
                    </c:extLst>
                    <c:numCache>
                      <c:formatCode>General</c:formatCode>
                      <c:ptCount val="37"/>
                      <c:pt idx="0">
                        <c:v>0.13492509999999999</c:v>
                      </c:pt>
                      <c:pt idx="1">
                        <c:v>0.1346377</c:v>
                      </c:pt>
                      <c:pt idx="2">
                        <c:v>0.36568319999999999</c:v>
                      </c:pt>
                      <c:pt idx="3">
                        <c:v>-0.51703529999999998</c:v>
                      </c:pt>
                      <c:pt idx="4">
                        <c:v>-0.20113039999999999</c:v>
                      </c:pt>
                      <c:pt idx="5">
                        <c:v>-0.118298</c:v>
                      </c:pt>
                      <c:pt idx="6">
                        <c:v>-5.2846999999999998E-2</c:v>
                      </c:pt>
                      <c:pt idx="7">
                        <c:v>-2.1958100000000001E-2</c:v>
                      </c:pt>
                      <c:pt idx="8">
                        <c:v>5.91999E-2</c:v>
                      </c:pt>
                      <c:pt idx="9">
                        <c:v>3.36119E-2</c:v>
                      </c:pt>
                      <c:pt idx="10">
                        <c:v>5.8481499999999999E-2</c:v>
                      </c:pt>
                      <c:pt idx="11">
                        <c:v>3.882E-3</c:v>
                      </c:pt>
                      <c:pt idx="14">
                        <c:v>-1.2262800000000001E-2</c:v>
                      </c:pt>
                      <c:pt idx="15">
                        <c:v>-6.0835999999999998E-3</c:v>
                      </c:pt>
                      <c:pt idx="17">
                        <c:v>4.0342599999999999E-2</c:v>
                      </c:pt>
                      <c:pt idx="22">
                        <c:v>-0.63427440000000002</c:v>
                      </c:pt>
                      <c:pt idx="24">
                        <c:v>0.18799750000000001</c:v>
                      </c:pt>
                      <c:pt idx="28">
                        <c:v>4.0513399999999998E-2</c:v>
                      </c:pt>
                      <c:pt idx="29">
                        <c:v>-2.85071E-2</c:v>
                      </c:pt>
                      <c:pt idx="30">
                        <c:v>-3.8828000000000001E-3</c:v>
                      </c:pt>
                      <c:pt idx="33">
                        <c:v>0.2060207</c:v>
                      </c:pt>
                      <c:pt idx="34">
                        <c:v>6.2865199999999996E-2</c:v>
                      </c:pt>
                      <c:pt idx="35">
                        <c:v>1.009978</c:v>
                      </c:pt>
                      <c:pt idx="36">
                        <c:v>0.62956449999999997</c:v>
                      </c:pt>
                    </c:numCache>
                  </c:numRef>
                </c:val>
              </c15:ser>
            </c15:filteredBarSeries>
            <c15:filteredBarSeries>
              <c15:ser>
                <c:idx val="2"/>
                <c:order val="5"/>
                <c:tx>
                  <c:strRef>
                    <c:extLst xmlns:c15="http://schemas.microsoft.com/office/drawing/2012/chart">
                      <c:ext xmlns:c15="http://schemas.microsoft.com/office/drawing/2012/chart" uri="{02D57815-91ED-43cb-92C2-25804820EDAC}">
                        <c15:formulaRef>
                          <c15:sqref>ABARES_combined!$D$3</c15:sqref>
                        </c15:formulaRef>
                      </c:ext>
                    </c:extLst>
                    <c:strCache>
                      <c:ptCount val="1"/>
                      <c:pt idx="0">
                        <c:v>WSZ</c:v>
                      </c:pt>
                    </c:strCache>
                  </c:strRef>
                </c:tx>
                <c:spPr>
                  <a:solidFill>
                    <a:srgbClr val="00C0B5"/>
                  </a:solidFill>
                  <a:ln>
                    <a:noFill/>
                  </a:ln>
                  <a:effectLst/>
                </c:spPr>
                <c:invertIfNegative val="0"/>
                <c:cat>
                  <c:strRef>
                    <c:extLst xmlns:c15="http://schemas.microsoft.com/office/drawing/2012/chart">
                      <c:ext xmlns:c15="http://schemas.microsoft.com/office/drawing/2012/chart" uri="{02D57815-91ED-43cb-92C2-25804820EDAC}">
                        <c15:formulaRef>
                          <c15:sqref>ABARES_combined!$A$4:$A$40</c15:sqref>
                        </c15:formulaRef>
                      </c:ext>
                    </c:extLst>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extLst xmlns:c15="http://schemas.microsoft.com/office/drawing/2012/chart">
                      <c:ext xmlns:c15="http://schemas.microsoft.com/office/drawing/2012/chart" uri="{02D57815-91ED-43cb-92C2-25804820EDAC}">
                        <c15:formulaRef>
                          <c15:sqref>ABARES_combined!$D$4:$D$40</c15:sqref>
                        </c15:formulaRef>
                      </c:ext>
                    </c:extLst>
                    <c:numCache>
                      <c:formatCode>General</c:formatCode>
                      <c:ptCount val="37"/>
                      <c:pt idx="0">
                        <c:v>0.1306387</c:v>
                      </c:pt>
                      <c:pt idx="1">
                        <c:v>0.19379289999999999</c:v>
                      </c:pt>
                      <c:pt idx="2">
                        <c:v>0.16524900000000001</c:v>
                      </c:pt>
                      <c:pt idx="3">
                        <c:v>-0.39661550000000001</c:v>
                      </c:pt>
                      <c:pt idx="4">
                        <c:v>-0.25641239999999998</c:v>
                      </c:pt>
                      <c:pt idx="5">
                        <c:v>-0.19536990000000001</c:v>
                      </c:pt>
                      <c:pt idx="6">
                        <c:v>2.0006800000000002E-2</c:v>
                      </c:pt>
                      <c:pt idx="7">
                        <c:v>-1.58756E-2</c:v>
                      </c:pt>
                      <c:pt idx="8">
                        <c:v>1.03768E-2</c:v>
                      </c:pt>
                      <c:pt idx="9">
                        <c:v>2.43932E-2</c:v>
                      </c:pt>
                      <c:pt idx="10">
                        <c:v>-4.4280699999999999E-2</c:v>
                      </c:pt>
                      <c:pt idx="11">
                        <c:v>1.2509899999999999E-2</c:v>
                      </c:pt>
                      <c:pt idx="12">
                        <c:v>5.5645E-3</c:v>
                      </c:pt>
                      <c:pt idx="13">
                        <c:v>5.5726999999999999E-3</c:v>
                      </c:pt>
                      <c:pt idx="16">
                        <c:v>0.13494719999999999</c:v>
                      </c:pt>
                      <c:pt idx="17">
                        <c:v>0.1204674</c:v>
                      </c:pt>
                      <c:pt idx="18">
                        <c:v>0.1098857</c:v>
                      </c:pt>
                      <c:pt idx="19">
                        <c:v>0.1841971</c:v>
                      </c:pt>
                      <c:pt idx="22">
                        <c:v>-1.0545199999999999</c:v>
                      </c:pt>
                      <c:pt idx="23">
                        <c:v>-0.68461550000000004</c:v>
                      </c:pt>
                      <c:pt idx="26">
                        <c:v>0.49404949999999997</c:v>
                      </c:pt>
                      <c:pt idx="28">
                        <c:v>2.31273E-2</c:v>
                      </c:pt>
                      <c:pt idx="33">
                        <c:v>9.4696299999999997E-2</c:v>
                      </c:pt>
                      <c:pt idx="34">
                        <c:v>-0.1556234</c:v>
                      </c:pt>
                      <c:pt idx="35">
                        <c:v>0.14424609999999999</c:v>
                      </c:pt>
                      <c:pt idx="36">
                        <c:v>0</c:v>
                      </c:pt>
                    </c:numCache>
                  </c:numRef>
                </c:val>
              </c15:ser>
            </c15:filteredBarSeries>
            <c15:filteredBarSeries>
              <c15:ser>
                <c:idx val="3"/>
                <c:order val="6"/>
                <c:tx>
                  <c:strRef>
                    <c:extLst xmlns:c15="http://schemas.microsoft.com/office/drawing/2012/chart">
                      <c:ext xmlns:c15="http://schemas.microsoft.com/office/drawing/2012/chart" uri="{02D57815-91ED-43cb-92C2-25804820EDAC}">
                        <c15:formulaRef>
                          <c15:sqref>ABARES_combined!$E$3</c15:sqref>
                        </c15:formulaRef>
                      </c:ext>
                    </c:extLst>
                    <c:strCache>
                      <c:ptCount val="1"/>
                      <c:pt idx="0">
                        <c:v>PZ</c:v>
                      </c:pt>
                    </c:strCache>
                  </c:strRef>
                </c:tx>
                <c:spPr>
                  <a:solidFill>
                    <a:srgbClr val="00505C"/>
                  </a:solidFill>
                  <a:ln>
                    <a:noFill/>
                  </a:ln>
                  <a:effectLst/>
                </c:spPr>
                <c:invertIfNegative val="0"/>
                <c:cat>
                  <c:strRef>
                    <c:extLst xmlns:c15="http://schemas.microsoft.com/office/drawing/2012/chart">
                      <c:ext xmlns:c15="http://schemas.microsoft.com/office/drawing/2012/chart" uri="{02D57815-91ED-43cb-92C2-25804820EDAC}">
                        <c15:formulaRef>
                          <c15:sqref>ABARES_combined!$A$4:$A$40</c15:sqref>
                        </c15:formulaRef>
                      </c:ext>
                    </c:extLst>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Productivity (state)</c:v>
                      </c:pt>
                      <c:pt idx="32">
                        <c:v>Rural debt (total)</c:v>
                      </c:pt>
                      <c:pt idx="33">
                        <c:v>Cropping</c:v>
                      </c:pt>
                      <c:pt idx="34">
                        <c:v>Grazing</c:v>
                      </c:pt>
                      <c:pt idx="35">
                        <c:v>Mines</c:v>
                      </c:pt>
                      <c:pt idx="36">
                        <c:v>Wind turbines</c:v>
                      </c:pt>
                    </c:strCache>
                  </c:strRef>
                </c:cat>
                <c:val>
                  <c:numRef>
                    <c:extLst xmlns:c15="http://schemas.microsoft.com/office/drawing/2012/chart">
                      <c:ext xmlns:c15="http://schemas.microsoft.com/office/drawing/2012/chart" uri="{02D57815-91ED-43cb-92C2-25804820EDAC}">
                        <c15:formulaRef>
                          <c15:sqref>ABARES_combined!$E$4:$E$40</c15:sqref>
                        </c15:formulaRef>
                      </c:ext>
                    </c:extLst>
                    <c:numCache>
                      <c:formatCode>General</c:formatCode>
                      <c:ptCount val="37"/>
                      <c:pt idx="0">
                        <c:v>0.28349809999999998</c:v>
                      </c:pt>
                      <c:pt idx="2">
                        <c:v>0.145124</c:v>
                      </c:pt>
                      <c:pt idx="3">
                        <c:v>-0.37633699999999998</c:v>
                      </c:pt>
                      <c:pt idx="4">
                        <c:v>-0.1856247</c:v>
                      </c:pt>
                      <c:pt idx="7">
                        <c:v>3.0417699999999999E-2</c:v>
                      </c:pt>
                      <c:pt idx="8">
                        <c:v>5.6798099999999997E-2</c:v>
                      </c:pt>
                      <c:pt idx="12">
                        <c:v>4.84073E-2</c:v>
                      </c:pt>
                      <c:pt idx="13">
                        <c:v>-3.7379099999999998E-2</c:v>
                      </c:pt>
                      <c:pt idx="15">
                        <c:v>-4.6175300000000002E-2</c:v>
                      </c:pt>
                      <c:pt idx="21">
                        <c:v>-4.8807239999999998</c:v>
                      </c:pt>
                      <c:pt idx="25">
                        <c:v>2.463943</c:v>
                      </c:pt>
                      <c:pt idx="34">
                        <c:v>-0.27114490000000002</c:v>
                      </c:pt>
                      <c:pt idx="36">
                        <c:v>0</c:v>
                      </c:pt>
                    </c:numCache>
                  </c:numRef>
                </c:val>
              </c15:ser>
            </c15:filteredBarSeries>
          </c:ext>
        </c:extLst>
      </c:barChart>
      <c:catAx>
        <c:axId val="811866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333744"/>
        <c:crosses val="autoZero"/>
        <c:auto val="1"/>
        <c:lblAlgn val="ctr"/>
        <c:lblOffset val="100"/>
        <c:noMultiLvlLbl val="0"/>
      </c:catAx>
      <c:valAx>
        <c:axId val="819333744"/>
        <c:scaling>
          <c:orientation val="minMax"/>
          <c:max val="1"/>
          <c:min val="-1"/>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 change to farmland value (per hectare)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866952"/>
        <c:crosses val="autoZero"/>
        <c:crossBetween val="between"/>
      </c:valAx>
      <c:spPr>
        <a:noFill/>
        <a:ln>
          <a:noFill/>
        </a:ln>
        <a:effectLst/>
      </c:spPr>
    </c:plotArea>
    <c:legend>
      <c:legendPos val="r"/>
      <c:layout>
        <c:manualLayout>
          <c:xMode val="edge"/>
          <c:yMode val="edge"/>
          <c:x val="0.80479451008481673"/>
          <c:y val="3.885173575205117E-2"/>
          <c:w val="0.17586442816262648"/>
          <c:h val="0.17977888975484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59489187335591E-2"/>
          <c:y val="7.1070406168483355E-2"/>
          <c:w val="0.90139093142574378"/>
          <c:h val="0.57864695237461194"/>
        </c:manualLayout>
      </c:layout>
      <c:barChart>
        <c:barDir val="col"/>
        <c:grouping val="clustered"/>
        <c:varyColors val="0"/>
        <c:ser>
          <c:idx val="0"/>
          <c:order val="0"/>
          <c:tx>
            <c:strRef>
              <c:f>SIZE_all!$B$1</c:f>
              <c:strCache>
                <c:ptCount val="1"/>
                <c:pt idx="0">
                  <c:v>Small</c:v>
                </c:pt>
              </c:strCache>
            </c:strRef>
          </c:tx>
          <c:spPr>
            <a:solidFill>
              <a:srgbClr val="EE7300"/>
            </a:solidFill>
            <a:ln>
              <a:noFill/>
            </a:ln>
            <a:effectLst/>
          </c:spPr>
          <c:invertIfNegative val="0"/>
          <c:cat>
            <c:strRef>
              <c:f>SIZE_all!$A$2:$A$38</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L_tfp</c:v>
                </c:pt>
                <c:pt idx="32">
                  <c:v>L_ruraldebttotal</c:v>
                </c:pt>
                <c:pt idx="33">
                  <c:v>Cropping</c:v>
                </c:pt>
                <c:pt idx="34">
                  <c:v>Grazing</c:v>
                </c:pt>
                <c:pt idx="35">
                  <c:v>Mines</c:v>
                </c:pt>
                <c:pt idx="36">
                  <c:v>Wind turbines</c:v>
                </c:pt>
              </c:strCache>
            </c:strRef>
          </c:cat>
          <c:val>
            <c:numRef>
              <c:f>SIZE_all!$B$2:$B$38</c:f>
              <c:numCache>
                <c:formatCode>General</c:formatCode>
                <c:ptCount val="37"/>
                <c:pt idx="0">
                  <c:v>0.17369809999999999</c:v>
                </c:pt>
                <c:pt idx="1">
                  <c:v>0.13582050000000001</c:v>
                </c:pt>
                <c:pt idx="2">
                  <c:v>0.2402783</c:v>
                </c:pt>
                <c:pt idx="3">
                  <c:v>-0.37269170000000001</c:v>
                </c:pt>
                <c:pt idx="4">
                  <c:v>-0.39143660000000002</c:v>
                </c:pt>
                <c:pt idx="5">
                  <c:v>-0.19602839999999999</c:v>
                </c:pt>
                <c:pt idx="6">
                  <c:v>-6.1970499999999998E-2</c:v>
                </c:pt>
                <c:pt idx="7">
                  <c:v>-1.0228299999999999E-2</c:v>
                </c:pt>
                <c:pt idx="8">
                  <c:v>3.4682999999999999E-2</c:v>
                </c:pt>
                <c:pt idx="9">
                  <c:v>1.1779700000000001E-2</c:v>
                </c:pt>
                <c:pt idx="10">
                  <c:v>2.1297799999999999E-2</c:v>
                </c:pt>
                <c:pt idx="11">
                  <c:v>1.6374300000000001E-2</c:v>
                </c:pt>
                <c:pt idx="12">
                  <c:v>-9.0109000000000005E-3</c:v>
                </c:pt>
                <c:pt idx="14">
                  <c:v>8.1589999999999996E-3</c:v>
                </c:pt>
                <c:pt idx="16">
                  <c:v>3.5612400000000002E-2</c:v>
                </c:pt>
                <c:pt idx="17">
                  <c:v>9.2716999999999994E-2</c:v>
                </c:pt>
                <c:pt idx="18">
                  <c:v>3.44543E-2</c:v>
                </c:pt>
                <c:pt idx="19">
                  <c:v>5.4976299999999999E-2</c:v>
                </c:pt>
                <c:pt idx="21">
                  <c:v>0.45048050000000001</c:v>
                </c:pt>
                <c:pt idx="22">
                  <c:v>-0.45789079999999999</c:v>
                </c:pt>
                <c:pt idx="24">
                  <c:v>0.32187670000000002</c:v>
                </c:pt>
                <c:pt idx="28">
                  <c:v>2.8583600000000001E-2</c:v>
                </c:pt>
                <c:pt idx="29">
                  <c:v>-2.2255400000000002E-2</c:v>
                </c:pt>
                <c:pt idx="30">
                  <c:v>-3.4513E-3</c:v>
                </c:pt>
                <c:pt idx="31">
                  <c:v>0.14862400000000001</c:v>
                </c:pt>
                <c:pt idx="32">
                  <c:v>0.74922599999999995</c:v>
                </c:pt>
                <c:pt idx="33">
                  <c:v>-9.8166699999999996E-2</c:v>
                </c:pt>
                <c:pt idx="35">
                  <c:v>0.23139889999999999</c:v>
                </c:pt>
                <c:pt idx="36">
                  <c:v>0.47732669999999999</c:v>
                </c:pt>
              </c:numCache>
            </c:numRef>
          </c:val>
        </c:ser>
        <c:ser>
          <c:idx val="1"/>
          <c:order val="1"/>
          <c:tx>
            <c:strRef>
              <c:f>SIZE_all!$C$1</c:f>
              <c:strCache>
                <c:ptCount val="1"/>
                <c:pt idx="0">
                  <c:v>Medium</c:v>
                </c:pt>
              </c:strCache>
            </c:strRef>
          </c:tx>
          <c:spPr>
            <a:solidFill>
              <a:srgbClr val="96172E"/>
            </a:solidFill>
            <a:ln>
              <a:noFill/>
            </a:ln>
            <a:effectLst/>
          </c:spPr>
          <c:invertIfNegative val="0"/>
          <c:cat>
            <c:strRef>
              <c:f>SIZE_all!$A$2:$A$38</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L_tfp</c:v>
                </c:pt>
                <c:pt idx="32">
                  <c:v>L_ruraldebttotal</c:v>
                </c:pt>
                <c:pt idx="33">
                  <c:v>Cropping</c:v>
                </c:pt>
                <c:pt idx="34">
                  <c:v>Grazing</c:v>
                </c:pt>
                <c:pt idx="35">
                  <c:v>Mines</c:v>
                </c:pt>
                <c:pt idx="36">
                  <c:v>Wind turbines</c:v>
                </c:pt>
              </c:strCache>
            </c:strRef>
          </c:cat>
          <c:val>
            <c:numRef>
              <c:f>SIZE_all!$C$2:$C$38</c:f>
              <c:numCache>
                <c:formatCode>General</c:formatCode>
                <c:ptCount val="37"/>
                <c:pt idx="0">
                  <c:v>0.139767</c:v>
                </c:pt>
                <c:pt idx="1">
                  <c:v>0.1478487</c:v>
                </c:pt>
                <c:pt idx="2">
                  <c:v>0.35918070000000002</c:v>
                </c:pt>
                <c:pt idx="3">
                  <c:v>-0.51619990000000004</c:v>
                </c:pt>
                <c:pt idx="4">
                  <c:v>-0.26894390000000001</c:v>
                </c:pt>
                <c:pt idx="5">
                  <c:v>-0.1634661</c:v>
                </c:pt>
                <c:pt idx="6">
                  <c:v>-2.9961499999999999E-2</c:v>
                </c:pt>
                <c:pt idx="7">
                  <c:v>-2.69952E-2</c:v>
                </c:pt>
                <c:pt idx="8">
                  <c:v>4.1307299999999998E-2</c:v>
                </c:pt>
                <c:pt idx="9">
                  <c:v>3.46203E-2</c:v>
                </c:pt>
                <c:pt idx="10">
                  <c:v>2.00982E-2</c:v>
                </c:pt>
                <c:pt idx="11">
                  <c:v>1.44423E-2</c:v>
                </c:pt>
                <c:pt idx="12">
                  <c:v>5.7225000000000002E-3</c:v>
                </c:pt>
                <c:pt idx="13">
                  <c:v>1.5562400000000001E-2</c:v>
                </c:pt>
                <c:pt idx="15">
                  <c:v>6.8127999999999999E-3</c:v>
                </c:pt>
                <c:pt idx="16">
                  <c:v>6.7757499999999998E-2</c:v>
                </c:pt>
                <c:pt idx="17">
                  <c:v>5.7287200000000003E-2</c:v>
                </c:pt>
                <c:pt idx="18">
                  <c:v>5.4482999999999997E-2</c:v>
                </c:pt>
                <c:pt idx="19">
                  <c:v>0.1045812</c:v>
                </c:pt>
                <c:pt idx="23">
                  <c:v>-0.49929040000000002</c:v>
                </c:pt>
                <c:pt idx="28">
                  <c:v>3.87956E-2</c:v>
                </c:pt>
                <c:pt idx="29">
                  <c:v>-1.99329E-2</c:v>
                </c:pt>
                <c:pt idx="30">
                  <c:v>-6.0926000000000001E-3</c:v>
                </c:pt>
                <c:pt idx="31">
                  <c:v>0.21778900000000001</c:v>
                </c:pt>
                <c:pt idx="32">
                  <c:v>0.94125389999999998</c:v>
                </c:pt>
                <c:pt idx="33">
                  <c:v>0.14027490000000001</c:v>
                </c:pt>
                <c:pt idx="35">
                  <c:v>0.31444149999999998</c:v>
                </c:pt>
                <c:pt idx="36">
                  <c:v>0.62140600000000001</c:v>
                </c:pt>
              </c:numCache>
            </c:numRef>
          </c:val>
        </c:ser>
        <c:ser>
          <c:idx val="2"/>
          <c:order val="2"/>
          <c:tx>
            <c:strRef>
              <c:f>SIZE_all!$D$1</c:f>
              <c:strCache>
                <c:ptCount val="1"/>
                <c:pt idx="0">
                  <c:v>Large</c:v>
                </c:pt>
              </c:strCache>
            </c:strRef>
          </c:tx>
          <c:spPr>
            <a:solidFill>
              <a:srgbClr val="00C0B5"/>
            </a:solidFill>
            <a:ln>
              <a:noFill/>
            </a:ln>
            <a:effectLst/>
          </c:spPr>
          <c:invertIfNegative val="0"/>
          <c:cat>
            <c:strRef>
              <c:f>SIZE_all!$A$2:$A$38</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L_tfp</c:v>
                </c:pt>
                <c:pt idx="32">
                  <c:v>L_ruraldebttotal</c:v>
                </c:pt>
                <c:pt idx="33">
                  <c:v>Cropping</c:v>
                </c:pt>
                <c:pt idx="34">
                  <c:v>Grazing</c:v>
                </c:pt>
                <c:pt idx="35">
                  <c:v>Mines</c:v>
                </c:pt>
                <c:pt idx="36">
                  <c:v>Wind turbines</c:v>
                </c:pt>
              </c:strCache>
            </c:strRef>
          </c:cat>
          <c:val>
            <c:numRef>
              <c:f>SIZE_all!$D$2:$D$38</c:f>
              <c:numCache>
                <c:formatCode>General</c:formatCode>
                <c:ptCount val="37"/>
                <c:pt idx="0">
                  <c:v>2.6130400000000002E-2</c:v>
                </c:pt>
                <c:pt idx="1">
                  <c:v>0.15236089999999999</c:v>
                </c:pt>
                <c:pt idx="2">
                  <c:v>0.1648463</c:v>
                </c:pt>
                <c:pt idx="3">
                  <c:v>-0.36506100000000002</c:v>
                </c:pt>
                <c:pt idx="4">
                  <c:v>-0.15180830000000001</c:v>
                </c:pt>
                <c:pt idx="5">
                  <c:v>-6.8211499999999994E-2</c:v>
                </c:pt>
                <c:pt idx="6">
                  <c:v>8.2666900000000001E-2</c:v>
                </c:pt>
                <c:pt idx="7">
                  <c:v>-2.3070899999999998E-2</c:v>
                </c:pt>
                <c:pt idx="8">
                  <c:v>4.8842000000000003E-2</c:v>
                </c:pt>
                <c:pt idx="9">
                  <c:v>5.04234E-2</c:v>
                </c:pt>
                <c:pt idx="10">
                  <c:v>-5.9627100000000002E-2</c:v>
                </c:pt>
                <c:pt idx="11">
                  <c:v>8.8754000000000003E-3</c:v>
                </c:pt>
                <c:pt idx="14">
                  <c:v>-4.1346000000000004E-3</c:v>
                </c:pt>
                <c:pt idx="15">
                  <c:v>-1.45278E-2</c:v>
                </c:pt>
                <c:pt idx="16">
                  <c:v>0.12568969999999999</c:v>
                </c:pt>
                <c:pt idx="17">
                  <c:v>4.5945800000000002E-2</c:v>
                </c:pt>
                <c:pt idx="18">
                  <c:v>7.8287300000000004E-2</c:v>
                </c:pt>
                <c:pt idx="19">
                  <c:v>0.12675980000000001</c:v>
                </c:pt>
                <c:pt idx="20">
                  <c:v>0.6457138</c:v>
                </c:pt>
                <c:pt idx="22">
                  <c:v>-0.71208539999999998</c:v>
                </c:pt>
                <c:pt idx="25">
                  <c:v>0.23831289999999999</c:v>
                </c:pt>
                <c:pt idx="28">
                  <c:v>5.68011E-2</c:v>
                </c:pt>
                <c:pt idx="29">
                  <c:v>-2.5126300000000001E-2</c:v>
                </c:pt>
                <c:pt idx="31">
                  <c:v>0.1555735</c:v>
                </c:pt>
                <c:pt idx="32">
                  <c:v>1.1031569999999999</c:v>
                </c:pt>
                <c:pt idx="33">
                  <c:v>0.16763220000000001</c:v>
                </c:pt>
                <c:pt idx="34">
                  <c:v>-3.9940900000000001E-2</c:v>
                </c:pt>
                <c:pt idx="35">
                  <c:v>0.80636059999999998</c:v>
                </c:pt>
                <c:pt idx="36">
                  <c:v>0.59399329999999995</c:v>
                </c:pt>
              </c:numCache>
            </c:numRef>
          </c:val>
        </c:ser>
        <c:dLbls>
          <c:showLegendKey val="0"/>
          <c:showVal val="0"/>
          <c:showCatName val="0"/>
          <c:showSerName val="0"/>
          <c:showPercent val="0"/>
          <c:showBubbleSize val="0"/>
        </c:dLbls>
        <c:gapWidth val="219"/>
        <c:overlap val="-27"/>
        <c:axId val="819340016"/>
        <c:axId val="819336880"/>
        <c:extLst/>
      </c:barChart>
      <c:catAx>
        <c:axId val="81934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336880"/>
        <c:crosses val="autoZero"/>
        <c:auto val="1"/>
        <c:lblAlgn val="ctr"/>
        <c:lblOffset val="100"/>
        <c:noMultiLvlLbl val="0"/>
      </c:catAx>
      <c:valAx>
        <c:axId val="819336880"/>
        <c:scaling>
          <c:orientation val="minMax"/>
          <c:max val="1"/>
          <c:min val="-1"/>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 change to farmland value (price per hectare) </a:t>
                </a:r>
              </a:p>
            </c:rich>
          </c:tx>
          <c:layout>
            <c:manualLayout>
              <c:xMode val="edge"/>
              <c:yMode val="edge"/>
              <c:x val="0"/>
              <c:y val="2.0293353318474243E-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340016"/>
        <c:crosses val="autoZero"/>
        <c:crossBetween val="between"/>
      </c:valAx>
      <c:spPr>
        <a:noFill/>
        <a:ln>
          <a:noFill/>
        </a:ln>
        <a:effectLst/>
      </c:spPr>
    </c:plotArea>
    <c:legend>
      <c:legendPos val="r"/>
      <c:layout>
        <c:manualLayout>
          <c:xMode val="edge"/>
          <c:yMode val="edge"/>
          <c:x val="0.75687387818203256"/>
          <c:y val="6.3311989633616034E-2"/>
          <c:w val="9.2869971994068462E-2"/>
          <c:h val="0.202653796076822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4176961341794"/>
          <c:y val="1.2433545457883515E-2"/>
          <c:w val="0.86165762355780484"/>
          <c:h val="0.71333097811032919"/>
        </c:manualLayout>
      </c:layout>
      <c:barChart>
        <c:barDir val="col"/>
        <c:grouping val="clustered"/>
        <c:varyColors val="0"/>
        <c:ser>
          <c:idx val="0"/>
          <c:order val="0"/>
          <c:tx>
            <c:strRef>
              <c:f>SQ_NAT_graph!$B$1</c:f>
              <c:strCache>
                <c:ptCount val="1"/>
                <c:pt idx="0">
                  <c:v>Cheap (Q10)</c:v>
                </c:pt>
              </c:strCache>
            </c:strRef>
          </c:tx>
          <c:spPr>
            <a:solidFill>
              <a:srgbClr val="EE7300"/>
            </a:solidFill>
            <a:ln>
              <a:noFill/>
            </a:ln>
            <a:effectLst/>
          </c:spPr>
          <c:invertIfNegative val="0"/>
          <c:cat>
            <c:strRef>
              <c:f>SQ_NAT_graph!$A$2:$A$38</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L_tfp</c:v>
                </c:pt>
                <c:pt idx="32">
                  <c:v>L_ruraldebttotal</c:v>
                </c:pt>
                <c:pt idx="33">
                  <c:v>Cropping</c:v>
                </c:pt>
                <c:pt idx="34">
                  <c:v>Grazing</c:v>
                </c:pt>
                <c:pt idx="35">
                  <c:v>Mines</c:v>
                </c:pt>
                <c:pt idx="36">
                  <c:v>Wind turbines</c:v>
                </c:pt>
              </c:strCache>
            </c:strRef>
          </c:cat>
          <c:val>
            <c:numRef>
              <c:f>SQ_NAT_graph!$B$2:$B$38</c:f>
              <c:numCache>
                <c:formatCode>0.00%</c:formatCode>
                <c:ptCount val="37"/>
                <c:pt idx="0">
                  <c:v>0.1525397</c:v>
                </c:pt>
                <c:pt idx="1">
                  <c:v>0.1405284</c:v>
                </c:pt>
                <c:pt idx="2">
                  <c:v>0.2620537</c:v>
                </c:pt>
                <c:pt idx="3">
                  <c:v>-0.45012940000000001</c:v>
                </c:pt>
                <c:pt idx="4">
                  <c:v>-0.43559910000000002</c:v>
                </c:pt>
                <c:pt idx="5">
                  <c:v>-0.11761149999999999</c:v>
                </c:pt>
                <c:pt idx="7">
                  <c:v>-1.9599800000000001E-2</c:v>
                </c:pt>
                <c:pt idx="8">
                  <c:v>4.9560199999999999E-2</c:v>
                </c:pt>
                <c:pt idx="9">
                  <c:v>4.23457E-2</c:v>
                </c:pt>
                <c:pt idx="10">
                  <c:v>-2.0034E-2</c:v>
                </c:pt>
                <c:pt idx="11">
                  <c:v>1.8501099999999999E-2</c:v>
                </c:pt>
                <c:pt idx="16">
                  <c:v>7.23467E-2</c:v>
                </c:pt>
                <c:pt idx="17">
                  <c:v>4.8910799999999997E-2</c:v>
                </c:pt>
                <c:pt idx="19">
                  <c:v>7.7953900000000007E-2</c:v>
                </c:pt>
                <c:pt idx="28">
                  <c:v>2.18205E-2</c:v>
                </c:pt>
                <c:pt idx="31">
                  <c:v>0.23551730000000001</c:v>
                </c:pt>
                <c:pt idx="32">
                  <c:v>0</c:v>
                </c:pt>
                <c:pt idx="33">
                  <c:v>0.2217789</c:v>
                </c:pt>
                <c:pt idx="34">
                  <c:v>-3.4751799999999999E-2</c:v>
                </c:pt>
                <c:pt idx="35">
                  <c:v>0.35317280000000001</c:v>
                </c:pt>
                <c:pt idx="36">
                  <c:v>0.64981690000000003</c:v>
                </c:pt>
              </c:numCache>
            </c:numRef>
          </c:val>
        </c:ser>
        <c:ser>
          <c:idx val="1"/>
          <c:order val="1"/>
          <c:tx>
            <c:strRef>
              <c:f>SQ_NAT_graph!$C$1</c:f>
              <c:strCache>
                <c:ptCount val="1"/>
                <c:pt idx="0">
                  <c:v>Moderate (Q50)</c:v>
                </c:pt>
              </c:strCache>
            </c:strRef>
          </c:tx>
          <c:spPr>
            <a:solidFill>
              <a:srgbClr val="96172E"/>
            </a:solidFill>
            <a:ln>
              <a:noFill/>
            </a:ln>
            <a:effectLst/>
          </c:spPr>
          <c:invertIfNegative val="0"/>
          <c:cat>
            <c:strRef>
              <c:f>SQ_NAT_graph!$A$2:$A$38</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L_tfp</c:v>
                </c:pt>
                <c:pt idx="32">
                  <c:v>L_ruraldebttotal</c:v>
                </c:pt>
                <c:pt idx="33">
                  <c:v>Cropping</c:v>
                </c:pt>
                <c:pt idx="34">
                  <c:v>Grazing</c:v>
                </c:pt>
                <c:pt idx="35">
                  <c:v>Mines</c:v>
                </c:pt>
                <c:pt idx="36">
                  <c:v>Wind turbines</c:v>
                </c:pt>
              </c:strCache>
            </c:strRef>
          </c:cat>
          <c:val>
            <c:numRef>
              <c:f>SQ_NAT_graph!$C$2:$C$38</c:f>
              <c:numCache>
                <c:formatCode>0.00%</c:formatCode>
                <c:ptCount val="37"/>
                <c:pt idx="0">
                  <c:v>0.1554101</c:v>
                </c:pt>
                <c:pt idx="1">
                  <c:v>0.15866759999999999</c:v>
                </c:pt>
                <c:pt idx="2">
                  <c:v>0.25670199999999999</c:v>
                </c:pt>
                <c:pt idx="3">
                  <c:v>-0.45650489999999999</c:v>
                </c:pt>
                <c:pt idx="4">
                  <c:v>-0.27162239999999999</c:v>
                </c:pt>
                <c:pt idx="5">
                  <c:v>-0.16162869999999999</c:v>
                </c:pt>
                <c:pt idx="6">
                  <c:v>-1.93166E-2</c:v>
                </c:pt>
                <c:pt idx="7">
                  <c:v>-2.1094499999999999E-2</c:v>
                </c:pt>
                <c:pt idx="8">
                  <c:v>4.3771499999999998E-2</c:v>
                </c:pt>
                <c:pt idx="9">
                  <c:v>3.2684900000000003E-2</c:v>
                </c:pt>
                <c:pt idx="10">
                  <c:v>-2.9370299999999998E-2</c:v>
                </c:pt>
                <c:pt idx="11">
                  <c:v>1.55354E-2</c:v>
                </c:pt>
                <c:pt idx="13">
                  <c:v>4.3620000000000004E-3</c:v>
                </c:pt>
                <c:pt idx="15">
                  <c:v>-4.1875999999999997E-3</c:v>
                </c:pt>
                <c:pt idx="16">
                  <c:v>6.3731700000000002E-2</c:v>
                </c:pt>
                <c:pt idx="17">
                  <c:v>6.2228699999999998E-2</c:v>
                </c:pt>
                <c:pt idx="18">
                  <c:v>6.63136E-2</c:v>
                </c:pt>
                <c:pt idx="19">
                  <c:v>9.0370300000000001E-2</c:v>
                </c:pt>
                <c:pt idx="22">
                  <c:v>-0.61062000000000005</c:v>
                </c:pt>
                <c:pt idx="24">
                  <c:v>0.24159240000000001</c:v>
                </c:pt>
                <c:pt idx="28">
                  <c:v>4.1010199999999997E-2</c:v>
                </c:pt>
                <c:pt idx="29">
                  <c:v>-2.3124700000000002E-2</c:v>
                </c:pt>
                <c:pt idx="30">
                  <c:v>-3.8030999999999998E-3</c:v>
                </c:pt>
                <c:pt idx="31">
                  <c:v>0.206817</c:v>
                </c:pt>
                <c:pt idx="32">
                  <c:v>0</c:v>
                </c:pt>
                <c:pt idx="33">
                  <c:v>0.1544567</c:v>
                </c:pt>
                <c:pt idx="34">
                  <c:v>-1.87049E-2</c:v>
                </c:pt>
                <c:pt idx="35">
                  <c:v>0.61288540000000002</c:v>
                </c:pt>
                <c:pt idx="36">
                  <c:v>0.51378919999999995</c:v>
                </c:pt>
              </c:numCache>
            </c:numRef>
          </c:val>
        </c:ser>
        <c:ser>
          <c:idx val="2"/>
          <c:order val="2"/>
          <c:tx>
            <c:strRef>
              <c:f>SQ_NAT_graph!$D$1</c:f>
              <c:strCache>
                <c:ptCount val="1"/>
                <c:pt idx="0">
                  <c:v>Expensive (Q90)</c:v>
                </c:pt>
              </c:strCache>
            </c:strRef>
          </c:tx>
          <c:spPr>
            <a:solidFill>
              <a:srgbClr val="00C0B5"/>
            </a:solidFill>
            <a:ln>
              <a:noFill/>
            </a:ln>
            <a:effectLst/>
          </c:spPr>
          <c:invertIfNegative val="0"/>
          <c:cat>
            <c:strRef>
              <c:f>SQ_NAT_graph!$A$2:$A$38</c:f>
              <c:strCache>
                <c:ptCount val="37"/>
                <c:pt idx="0">
                  <c:v>Bedrooms</c:v>
                </c:pt>
                <c:pt idx="1">
                  <c:v>Bathrooms</c:v>
                </c:pt>
                <c:pt idx="2">
                  <c:v>Buildings</c:v>
                </c:pt>
                <c:pt idx="3">
                  <c:v>Hectares</c:v>
                </c:pt>
                <c:pt idx="4">
                  <c:v>Multi_sale</c:v>
                </c:pt>
                <c:pt idx="5">
                  <c:v>Transport cost town</c:v>
                </c:pt>
                <c:pt idx="6">
                  <c:v>Transport cost city</c:v>
                </c:pt>
                <c:pt idx="7">
                  <c:v>Land clearing</c:v>
                </c:pt>
                <c:pt idx="8">
                  <c:v>High acid risk</c:v>
                </c:pt>
                <c:pt idx="9">
                  <c:v>High carbon risk</c:v>
                </c:pt>
                <c:pt idx="10">
                  <c:v>High wind erosion</c:v>
                </c:pt>
                <c:pt idx="11">
                  <c:v>High water erosion</c:v>
                </c:pt>
                <c:pt idx="12">
                  <c:v>Land slope(flat)</c:v>
                </c:pt>
                <c:pt idx="13">
                  <c:v>Land slope(undulating)</c:v>
                </c:pt>
                <c:pt idx="14">
                  <c:v>Land slope(hilly)</c:v>
                </c:pt>
                <c:pt idx="15">
                  <c:v>Land slope(steep)</c:v>
                </c:pt>
                <c:pt idx="16">
                  <c:v>Rainfall Jan-Mar</c:v>
                </c:pt>
                <c:pt idx="17">
                  <c:v>Rainfall Apr-Jun</c:v>
                </c:pt>
                <c:pt idx="18">
                  <c:v>Rainfall Jul-Sep</c:v>
                </c:pt>
                <c:pt idx="19">
                  <c:v>Rainfall Oct-Dec</c:v>
                </c:pt>
                <c:pt idx="20">
                  <c:v>Max temp Jan-Mar</c:v>
                </c:pt>
                <c:pt idx="21">
                  <c:v>Max temp Apr-Jun</c:v>
                </c:pt>
                <c:pt idx="22">
                  <c:v>Max temp Jul-Sep</c:v>
                </c:pt>
                <c:pt idx="23">
                  <c:v>Max temp Oct-Dec</c:v>
                </c:pt>
                <c:pt idx="24">
                  <c:v>Min temp Jan-Mar</c:v>
                </c:pt>
                <c:pt idx="25">
                  <c:v>Min temp Apr-Jun</c:v>
                </c:pt>
                <c:pt idx="26">
                  <c:v>Min temp Jul-Sep</c:v>
                </c:pt>
                <c:pt idx="27">
                  <c:v>Min temp Oct-Dec</c:v>
                </c:pt>
                <c:pt idx="28">
                  <c:v>Water cover 20%</c:v>
                </c:pt>
                <c:pt idx="29">
                  <c:v>Water cover 5%</c:v>
                </c:pt>
                <c:pt idx="30">
                  <c:v>Water cover 1.5%</c:v>
                </c:pt>
                <c:pt idx="31">
                  <c:v>L_tfp</c:v>
                </c:pt>
                <c:pt idx="32">
                  <c:v>L_ruraldebttotal</c:v>
                </c:pt>
                <c:pt idx="33">
                  <c:v>Cropping</c:v>
                </c:pt>
                <c:pt idx="34">
                  <c:v>Grazing</c:v>
                </c:pt>
                <c:pt idx="35">
                  <c:v>Mines</c:v>
                </c:pt>
                <c:pt idx="36">
                  <c:v>Wind turbines</c:v>
                </c:pt>
              </c:strCache>
            </c:strRef>
          </c:cat>
          <c:val>
            <c:numRef>
              <c:f>SQ_NAT_graph!$D$2:$D$38</c:f>
              <c:numCache>
                <c:formatCode>0.00%</c:formatCode>
                <c:ptCount val="37"/>
                <c:pt idx="0">
                  <c:v>7.7054399999999995E-2</c:v>
                </c:pt>
                <c:pt idx="1">
                  <c:v>0.1385451</c:v>
                </c:pt>
                <c:pt idx="2">
                  <c:v>0.2345534</c:v>
                </c:pt>
                <c:pt idx="3">
                  <c:v>-0.38434790000000002</c:v>
                </c:pt>
                <c:pt idx="4">
                  <c:v>-9.3180200000000005E-2</c:v>
                </c:pt>
                <c:pt idx="5">
                  <c:v>-0.12781390000000001</c:v>
                </c:pt>
                <c:pt idx="6">
                  <c:v>-2.2776500000000002E-2</c:v>
                </c:pt>
                <c:pt idx="7">
                  <c:v>-7.5462999999999997E-3</c:v>
                </c:pt>
                <c:pt idx="8">
                  <c:v>2.4172099999999998E-2</c:v>
                </c:pt>
                <c:pt idx="9">
                  <c:v>2.3238499999999999E-2</c:v>
                </c:pt>
                <c:pt idx="11">
                  <c:v>8.8267999999999992E-3</c:v>
                </c:pt>
                <c:pt idx="14">
                  <c:v>-2.6754000000000001E-3</c:v>
                </c:pt>
                <c:pt idx="15">
                  <c:v>-4.0117E-3</c:v>
                </c:pt>
                <c:pt idx="17">
                  <c:v>3.8406900000000001E-2</c:v>
                </c:pt>
                <c:pt idx="19">
                  <c:v>6.2187199999999998E-2</c:v>
                </c:pt>
                <c:pt idx="22">
                  <c:v>-0.43092839999999999</c:v>
                </c:pt>
                <c:pt idx="28">
                  <c:v>3.9073200000000002E-2</c:v>
                </c:pt>
                <c:pt idx="29">
                  <c:v>-2.0416E-2</c:v>
                </c:pt>
                <c:pt idx="30">
                  <c:v>-3.372E-3</c:v>
                </c:pt>
                <c:pt idx="31">
                  <c:v>-4.6456200000000003E-2</c:v>
                </c:pt>
                <c:pt idx="32">
                  <c:v>0</c:v>
                </c:pt>
                <c:pt idx="33">
                  <c:v>2.3107599999999999E-2</c:v>
                </c:pt>
                <c:pt idx="34">
                  <c:v>2.3579599999999999E-2</c:v>
                </c:pt>
                <c:pt idx="35">
                  <c:v>0.75835379999999997</c:v>
                </c:pt>
                <c:pt idx="36">
                  <c:v>0.44169330000000001</c:v>
                </c:pt>
              </c:numCache>
            </c:numRef>
          </c:val>
        </c:ser>
        <c:dLbls>
          <c:showLegendKey val="0"/>
          <c:showVal val="0"/>
          <c:showCatName val="0"/>
          <c:showSerName val="0"/>
          <c:showPercent val="0"/>
          <c:showBubbleSize val="0"/>
        </c:dLbls>
        <c:gapWidth val="219"/>
        <c:overlap val="-27"/>
        <c:axId val="819341976"/>
        <c:axId val="819331392"/>
        <c:extLst/>
      </c:barChart>
      <c:catAx>
        <c:axId val="819341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331392"/>
        <c:crosses val="autoZero"/>
        <c:auto val="1"/>
        <c:lblAlgn val="ctr"/>
        <c:lblOffset val="100"/>
        <c:noMultiLvlLbl val="0"/>
      </c:catAx>
      <c:valAx>
        <c:axId val="819331392"/>
        <c:scaling>
          <c:orientation val="minMax"/>
          <c:max val="1"/>
          <c:min val="-1"/>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 change to farmland value (price per hectare)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341976"/>
        <c:crosses val="autoZero"/>
        <c:crossBetween val="between"/>
      </c:valAx>
      <c:spPr>
        <a:noFill/>
        <a:ln>
          <a:noFill/>
        </a:ln>
        <a:effectLst/>
      </c:spPr>
    </c:plotArea>
    <c:legend>
      <c:legendPos val="r"/>
      <c:layout>
        <c:manualLayout>
          <c:xMode val="edge"/>
          <c:yMode val="edge"/>
          <c:x val="0.74802331656815102"/>
          <c:y val="6.9498410195923876E-3"/>
          <c:w val="0.15232916857000678"/>
          <c:h val="0.242573241097899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4DBF5BCF-6E56-4D82-8A7C-73591C92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15502</Words>
  <Characters>88364</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2019-12-10T04:04:00Z</dcterms:created>
  <dcterms:modified xsi:type="dcterms:W3CDTF">2019-12-10T04:05:00Z</dcterms:modified>
  <cp:contentStatus/>
</cp:coreProperties>
</file>