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D18FF0" w14:textId="0F9F6DF2" w:rsidR="00493637" w:rsidRPr="007B71D4" w:rsidRDefault="001712F4" w:rsidP="00701DE1">
      <w:pPr>
        <w:rPr>
          <w:rFonts w:ascii="Calibri" w:eastAsiaTheme="minorHAnsi" w:hAnsi="Calibri" w:cstheme="minorBidi"/>
          <w:b/>
          <w:bCs/>
          <w:color w:val="000000"/>
          <w:spacing w:val="5"/>
          <w:kern w:val="28"/>
          <w:sz w:val="72"/>
          <w:szCs w:val="28"/>
        </w:rPr>
      </w:pPr>
      <w:r w:rsidRPr="00701DE1">
        <w:rPr>
          <w:rFonts w:ascii="Calibri" w:eastAsiaTheme="minorHAnsi" w:hAnsi="Calibri" w:cstheme="minorBidi"/>
          <w:b/>
          <w:bCs/>
          <w:color w:val="000000"/>
          <w:spacing w:val="5"/>
          <w:kern w:val="28"/>
          <w:sz w:val="72"/>
          <w:szCs w:val="28"/>
        </w:rPr>
        <w:t xml:space="preserve">Regional </w:t>
      </w:r>
      <w:r w:rsidR="00F0745B">
        <w:rPr>
          <w:rFonts w:ascii="Calibri" w:eastAsiaTheme="minorHAnsi" w:hAnsi="Calibri" w:cstheme="minorBidi"/>
          <w:b/>
          <w:bCs/>
          <w:color w:val="000000"/>
          <w:spacing w:val="5"/>
          <w:kern w:val="28"/>
          <w:sz w:val="72"/>
          <w:szCs w:val="28"/>
        </w:rPr>
        <w:t>f</w:t>
      </w:r>
      <w:r w:rsidRPr="00701DE1">
        <w:rPr>
          <w:rFonts w:ascii="Calibri" w:eastAsiaTheme="minorHAnsi" w:hAnsi="Calibri" w:cstheme="minorBidi"/>
          <w:b/>
          <w:bCs/>
          <w:color w:val="000000"/>
          <w:spacing w:val="5"/>
          <w:kern w:val="28"/>
          <w:sz w:val="72"/>
          <w:szCs w:val="28"/>
        </w:rPr>
        <w:t xml:space="preserve">orest </w:t>
      </w:r>
      <w:r w:rsidR="00F0745B">
        <w:rPr>
          <w:rFonts w:ascii="Calibri" w:eastAsiaTheme="minorHAnsi" w:hAnsi="Calibri" w:cstheme="minorBidi"/>
          <w:b/>
          <w:bCs/>
          <w:color w:val="000000"/>
          <w:spacing w:val="5"/>
          <w:kern w:val="28"/>
          <w:sz w:val="72"/>
          <w:szCs w:val="28"/>
        </w:rPr>
        <w:t>a</w:t>
      </w:r>
      <w:r w:rsidRPr="00701DE1">
        <w:rPr>
          <w:rFonts w:ascii="Calibri" w:eastAsiaTheme="minorHAnsi" w:hAnsi="Calibri" w:cstheme="minorBidi"/>
          <w:b/>
          <w:bCs/>
          <w:color w:val="000000"/>
          <w:spacing w:val="5"/>
          <w:kern w:val="28"/>
          <w:sz w:val="72"/>
          <w:szCs w:val="28"/>
        </w:rPr>
        <w:t>gre</w:t>
      </w:r>
      <w:bookmarkStart w:id="0" w:name="_GoBack"/>
      <w:bookmarkEnd w:id="0"/>
      <w:r w:rsidRPr="00701DE1">
        <w:rPr>
          <w:rFonts w:ascii="Calibri" w:eastAsiaTheme="minorHAnsi" w:hAnsi="Calibri" w:cstheme="minorBidi"/>
          <w:b/>
          <w:bCs/>
          <w:color w:val="000000"/>
          <w:spacing w:val="5"/>
          <w:kern w:val="28"/>
          <w:sz w:val="72"/>
          <w:szCs w:val="28"/>
        </w:rPr>
        <w:t>ements</w:t>
      </w:r>
      <w:r w:rsidR="007B71D4">
        <w:rPr>
          <w:rFonts w:ascii="Calibri" w:eastAsiaTheme="minorHAnsi" w:hAnsi="Calibri" w:cstheme="minorBidi"/>
          <w:b/>
          <w:bCs/>
          <w:color w:val="000000"/>
          <w:spacing w:val="5"/>
          <w:kern w:val="28"/>
          <w:sz w:val="72"/>
          <w:szCs w:val="28"/>
        </w:rPr>
        <w:t>:</w:t>
      </w:r>
      <w:r w:rsidR="00913256">
        <w:rPr>
          <w:rFonts w:ascii="Calibri" w:eastAsiaTheme="minorHAnsi" w:hAnsi="Calibri" w:cstheme="minorBidi"/>
          <w:b/>
          <w:bCs/>
          <w:color w:val="000000"/>
          <w:spacing w:val="5"/>
          <w:kern w:val="28"/>
          <w:sz w:val="72"/>
          <w:szCs w:val="28"/>
        </w:rPr>
        <w:t xml:space="preserve"> </w:t>
      </w:r>
      <w:r w:rsidR="005118FA">
        <w:rPr>
          <w:rFonts w:ascii="Calibri" w:eastAsiaTheme="minorHAnsi" w:hAnsi="Calibri" w:cstheme="minorBidi"/>
          <w:b/>
          <w:bCs/>
          <w:color w:val="000000"/>
          <w:spacing w:val="5"/>
          <w:kern w:val="28"/>
          <w:sz w:val="72"/>
          <w:szCs w:val="28"/>
        </w:rPr>
        <w:t xml:space="preserve">compilation of </w:t>
      </w:r>
      <w:r w:rsidR="00F0745B">
        <w:rPr>
          <w:rFonts w:ascii="Calibri" w:eastAsiaTheme="minorHAnsi" w:hAnsi="Calibri" w:cstheme="minorBidi"/>
          <w:b/>
          <w:bCs/>
          <w:color w:val="000000"/>
          <w:spacing w:val="5"/>
          <w:kern w:val="28"/>
          <w:sz w:val="72"/>
          <w:szCs w:val="28"/>
        </w:rPr>
        <w:t>r</w:t>
      </w:r>
      <w:r w:rsidR="00A1527A" w:rsidRPr="00AA1F1B">
        <w:rPr>
          <w:rFonts w:ascii="Calibri" w:eastAsiaTheme="minorHAnsi" w:hAnsi="Calibri" w:cstheme="minorBidi"/>
          <w:b/>
          <w:bCs/>
          <w:color w:val="000000"/>
          <w:spacing w:val="5"/>
          <w:kern w:val="28"/>
          <w:sz w:val="72"/>
          <w:szCs w:val="28"/>
        </w:rPr>
        <w:t>eservation</w:t>
      </w:r>
      <w:r w:rsidR="004B68AB" w:rsidRPr="00AA1F1B">
        <w:rPr>
          <w:rFonts w:ascii="Calibri" w:eastAsiaTheme="minorHAnsi" w:hAnsi="Calibri" w:cstheme="minorBidi"/>
          <w:b/>
          <w:bCs/>
          <w:color w:val="000000"/>
          <w:spacing w:val="5"/>
          <w:kern w:val="28"/>
          <w:sz w:val="72"/>
          <w:szCs w:val="28"/>
        </w:rPr>
        <w:t xml:space="preserve"> and resource </w:t>
      </w:r>
      <w:r w:rsidR="00A1527A" w:rsidRPr="00AA1F1B">
        <w:rPr>
          <w:rFonts w:ascii="Calibri" w:eastAsiaTheme="minorHAnsi" w:hAnsi="Calibri" w:cstheme="minorBidi"/>
          <w:b/>
          <w:bCs/>
          <w:color w:val="000000"/>
          <w:spacing w:val="5"/>
          <w:kern w:val="28"/>
          <w:sz w:val="72"/>
          <w:szCs w:val="28"/>
        </w:rPr>
        <w:t>availability</w:t>
      </w:r>
      <w:r w:rsidR="00A057AB" w:rsidRPr="00AA1F1B">
        <w:rPr>
          <w:rFonts w:ascii="Calibri" w:eastAsiaTheme="minorHAnsi" w:hAnsi="Calibri" w:cstheme="minorBidi"/>
          <w:b/>
          <w:bCs/>
          <w:color w:val="000000"/>
          <w:spacing w:val="5"/>
          <w:kern w:val="28"/>
          <w:sz w:val="72"/>
          <w:szCs w:val="28"/>
        </w:rPr>
        <w:t xml:space="preserve"> </w:t>
      </w:r>
      <w:r w:rsidRPr="00AA1F1B">
        <w:rPr>
          <w:rFonts w:ascii="Calibri" w:eastAsiaTheme="minorHAnsi" w:hAnsi="Calibri" w:cstheme="minorBidi"/>
          <w:b/>
          <w:bCs/>
          <w:color w:val="000000"/>
          <w:spacing w:val="5"/>
          <w:kern w:val="28"/>
          <w:sz w:val="72"/>
          <w:szCs w:val="28"/>
        </w:rPr>
        <w:t>outcomes</w:t>
      </w:r>
    </w:p>
    <w:p w14:paraId="26AF9DA4" w14:textId="74812A06" w:rsidR="003B77A1" w:rsidRPr="00701DE1" w:rsidRDefault="00FE65A0" w:rsidP="00701DE1">
      <w:pPr>
        <w:pStyle w:val="Author"/>
        <w:spacing w:before="0"/>
        <w:rPr>
          <w:lang w:val="es-ES"/>
        </w:rPr>
      </w:pPr>
      <w:r w:rsidRPr="00931986">
        <w:rPr>
          <w:lang w:val="es-ES"/>
        </w:rPr>
        <w:t>R</w:t>
      </w:r>
      <w:r w:rsidR="00931986" w:rsidRPr="00931986">
        <w:rPr>
          <w:lang w:val="es-ES"/>
        </w:rPr>
        <w:t xml:space="preserve">ohan </w:t>
      </w:r>
      <w:r w:rsidRPr="00931986">
        <w:rPr>
          <w:lang w:val="es-ES"/>
        </w:rPr>
        <w:t xml:space="preserve">Jacobsen, </w:t>
      </w:r>
      <w:r w:rsidR="003B77A1" w:rsidRPr="00931986">
        <w:rPr>
          <w:lang w:val="es-ES"/>
        </w:rPr>
        <w:t>S</w:t>
      </w:r>
      <w:r w:rsidR="00931986" w:rsidRPr="00931986">
        <w:rPr>
          <w:lang w:val="es-ES"/>
        </w:rPr>
        <w:t xml:space="preserve">tuart </w:t>
      </w:r>
      <w:r w:rsidR="003B77A1" w:rsidRPr="00931986">
        <w:rPr>
          <w:lang w:val="es-ES"/>
        </w:rPr>
        <w:t>Davey</w:t>
      </w:r>
      <w:r w:rsidR="00143132" w:rsidRPr="00931986">
        <w:rPr>
          <w:lang w:val="es-ES"/>
        </w:rPr>
        <w:t>, S</w:t>
      </w:r>
      <w:r w:rsidR="00931986" w:rsidRPr="00931986">
        <w:rPr>
          <w:lang w:val="es-ES"/>
        </w:rPr>
        <w:t>teve R</w:t>
      </w:r>
      <w:r w:rsidR="00143132" w:rsidRPr="00931986">
        <w:rPr>
          <w:lang w:val="es-ES"/>
        </w:rPr>
        <w:t>ead</w:t>
      </w:r>
    </w:p>
    <w:p w14:paraId="3A3F57D9" w14:textId="37101DA0" w:rsidR="003B77A1" w:rsidRDefault="008C5370" w:rsidP="00701DE1">
      <w:pPr>
        <w:pStyle w:val="Organisation"/>
        <w:tabs>
          <w:tab w:val="left" w:pos="7995"/>
        </w:tabs>
        <w:spacing w:before="0"/>
      </w:pPr>
      <w:r>
        <w:t xml:space="preserve">Research by the </w:t>
      </w:r>
      <w:r w:rsidR="003B77A1" w:rsidRPr="00D60A2B">
        <w:t>Australian Bureau of Agricultural and Resource Economics and Sciences</w:t>
      </w:r>
    </w:p>
    <w:p w14:paraId="71652AA1" w14:textId="6321F7F6" w:rsidR="008C5370" w:rsidRDefault="008C5370" w:rsidP="00701DE1">
      <w:pPr>
        <w:pStyle w:val="Publicationseries"/>
        <w:spacing w:before="0" w:after="0"/>
        <w:rPr>
          <w:highlight w:val="yellow"/>
        </w:rPr>
      </w:pPr>
      <w:r w:rsidRPr="008C5370">
        <w:t xml:space="preserve">Technical report </w:t>
      </w:r>
      <w:r w:rsidR="00931986" w:rsidRPr="00154BD5">
        <w:t>20.</w:t>
      </w:r>
      <w:r w:rsidR="00154BD5" w:rsidRPr="00154BD5">
        <w:t>11</w:t>
      </w:r>
    </w:p>
    <w:p w14:paraId="51216025" w14:textId="09A32CA1" w:rsidR="008C5370" w:rsidRDefault="00A151B0" w:rsidP="00701DE1">
      <w:pPr>
        <w:pStyle w:val="Date"/>
        <w:spacing w:before="0" w:after="0"/>
        <w:rPr>
          <w:rStyle w:val="SubtleReference"/>
          <w:sz w:val="22"/>
        </w:rPr>
      </w:pPr>
      <w:r>
        <w:t>December</w:t>
      </w:r>
      <w:r w:rsidRPr="008C5370">
        <w:t xml:space="preserve"> </w:t>
      </w:r>
      <w:r w:rsidR="008C5370" w:rsidRPr="00701DE1">
        <w:rPr>
          <w:rStyle w:val="SubtleReference"/>
          <w:sz w:val="22"/>
          <w:szCs w:val="22"/>
        </w:rPr>
        <w:t>2020</w:t>
      </w:r>
    </w:p>
    <w:p w14:paraId="18DB45F8" w14:textId="1817516F" w:rsidR="008C5370" w:rsidRDefault="00931986" w:rsidP="009D6EE5">
      <w:pPr>
        <w:jc w:val="center"/>
        <w:sectPr w:rsidR="008C5370" w:rsidSect="008C5370">
          <w:headerReference w:type="even" r:id="rId8"/>
          <w:headerReference w:type="default" r:id="rId9"/>
          <w:footerReference w:type="default" r:id="rId10"/>
          <w:headerReference w:type="first" r:id="rId11"/>
          <w:pgSz w:w="11906" w:h="16838"/>
          <w:pgMar w:top="1440" w:right="1440" w:bottom="1440" w:left="1440" w:header="709" w:footer="709" w:gutter="0"/>
          <w:cols w:space="708"/>
          <w:titlePg/>
          <w:docGrid w:linePitch="360"/>
        </w:sectPr>
      </w:pPr>
      <w:r>
        <w:rPr>
          <w:rFonts w:asciiTheme="minorHAnsi" w:hAnsiTheme="minorHAnsi"/>
          <w:b/>
          <w:iCs/>
          <w:noProof/>
          <w:sz w:val="32"/>
          <w:szCs w:val="24"/>
          <w:lang w:eastAsia="en-AU"/>
        </w:rPr>
        <w:drawing>
          <wp:inline distT="0" distB="0" distL="0" distR="0" wp14:anchorId="7D993EF9" wp14:editId="36E1C923">
            <wp:extent cx="4732867" cy="47328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stry_HQ.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1485" cy="4741485"/>
                    </a:xfrm>
                    <a:prstGeom prst="rect">
                      <a:avLst/>
                    </a:prstGeom>
                  </pic:spPr>
                </pic:pic>
              </a:graphicData>
            </a:graphic>
          </wp:inline>
        </w:drawing>
      </w:r>
      <w:r>
        <w:br w:type="page"/>
      </w:r>
    </w:p>
    <w:p w14:paraId="34EA5D89" w14:textId="77777777" w:rsidR="00931986" w:rsidRDefault="00931986" w:rsidP="00931986">
      <w:pPr>
        <w:pStyle w:val="Normalsmall"/>
      </w:pPr>
      <w:r>
        <w:lastRenderedPageBreak/>
        <w:t>© Commonwealth of Australia 2020</w:t>
      </w:r>
    </w:p>
    <w:p w14:paraId="1E13122F" w14:textId="77777777" w:rsidR="00931986" w:rsidRDefault="00931986" w:rsidP="00931986">
      <w:pPr>
        <w:pStyle w:val="Normalsmall"/>
        <w:rPr>
          <w:rStyle w:val="Strong"/>
        </w:rPr>
      </w:pPr>
      <w:r>
        <w:rPr>
          <w:rStyle w:val="Strong"/>
        </w:rPr>
        <w:t>Ownership of intellectual property rights</w:t>
      </w:r>
    </w:p>
    <w:p w14:paraId="5CAD5E81" w14:textId="77777777" w:rsidR="00931986" w:rsidRDefault="00931986" w:rsidP="00931986">
      <w:pPr>
        <w:pStyle w:val="Normalsmall"/>
      </w:pPr>
      <w:r>
        <w:t>Unless otherwise noted, copyright (and any other intellectual property rights, if any) in this publication is owned by the Commonwealth of Australia (referred to as the Commonwealth).</w:t>
      </w:r>
    </w:p>
    <w:p w14:paraId="020F5502" w14:textId="77777777" w:rsidR="00931986" w:rsidRDefault="00931986" w:rsidP="00931986">
      <w:pPr>
        <w:pStyle w:val="Normalsmall"/>
        <w:rPr>
          <w:rStyle w:val="Strong"/>
        </w:rPr>
      </w:pPr>
      <w:r>
        <w:rPr>
          <w:rStyle w:val="Strong"/>
        </w:rPr>
        <w:t>Creative Commons licence</w:t>
      </w:r>
    </w:p>
    <w:p w14:paraId="213CCE8C" w14:textId="77777777" w:rsidR="00931986" w:rsidRDefault="00931986" w:rsidP="00931986">
      <w:pPr>
        <w:pStyle w:val="Normalsmall"/>
      </w:pPr>
      <w:r>
        <w:t xml:space="preserve">All material in this publication is licensed under a </w:t>
      </w:r>
      <w:hyperlink r:id="rId13" w:history="1">
        <w:r w:rsidRPr="000B7359">
          <w:rPr>
            <w:rStyle w:val="Hyperlink"/>
            <w:color w:val="0070C0"/>
          </w:rPr>
          <w:t>Creative Commons Attribution 4.0 International Licence</w:t>
        </w:r>
      </w:hyperlink>
      <w:r>
        <w:t xml:space="preserve"> except content supplied by third parties, logos and the Commonwealth Coat of Arms.</w:t>
      </w:r>
    </w:p>
    <w:p w14:paraId="34CC99C5" w14:textId="77777777" w:rsidR="00931986" w:rsidRDefault="00931986" w:rsidP="00931986">
      <w:pPr>
        <w:pStyle w:val="Normalsmall"/>
      </w:pPr>
      <w:r>
        <w:t xml:space="preserve">Inquiries about the licence and any use of this document should be emailed to </w:t>
      </w:r>
      <w:hyperlink r:id="rId14" w:history="1">
        <w:r w:rsidRPr="000B7359">
          <w:rPr>
            <w:rStyle w:val="Hyperlink"/>
            <w:color w:val="0070C0"/>
          </w:rPr>
          <w:t>copyright@awe.gov.au</w:t>
        </w:r>
      </w:hyperlink>
      <w:r>
        <w:t>.</w:t>
      </w:r>
    </w:p>
    <w:p w14:paraId="2833DAEE" w14:textId="77777777" w:rsidR="00931986" w:rsidRDefault="00931986" w:rsidP="00931986">
      <w:pPr>
        <w:pStyle w:val="Normalsmall"/>
      </w:pPr>
      <w:r>
        <w:rPr>
          <w:noProof/>
          <w:lang w:eastAsia="en-AU"/>
        </w:rPr>
        <w:drawing>
          <wp:inline distT="0" distB="0" distL="0" distR="0" wp14:anchorId="60118EB1" wp14:editId="1C9BF3F8">
            <wp:extent cx="724535" cy="2552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862B76C" w14:textId="77777777" w:rsidR="00931986" w:rsidRDefault="00931986" w:rsidP="00931986">
      <w:pPr>
        <w:pStyle w:val="Normalsmall"/>
        <w:rPr>
          <w:rStyle w:val="Strong"/>
        </w:rPr>
      </w:pPr>
      <w:r>
        <w:rPr>
          <w:rStyle w:val="Strong"/>
        </w:rPr>
        <w:t>Cataloguing data</w:t>
      </w:r>
    </w:p>
    <w:p w14:paraId="2E2397B5" w14:textId="26F68B10" w:rsidR="00931986" w:rsidRDefault="00931986" w:rsidP="00931986">
      <w:pPr>
        <w:pStyle w:val="Normalsmall"/>
      </w:pPr>
      <w:r>
        <w:t xml:space="preserve">This publication (and any material sourced from it) should be attributed as: Jacobsen R, Davey, SM, Read SM </w:t>
      </w:r>
      <w:r w:rsidRPr="00931986">
        <w:t>2020,</w:t>
      </w:r>
      <w:r>
        <w:rPr>
          <w:highlight w:val="yellow"/>
        </w:rPr>
        <w:t xml:space="preserve"> </w:t>
      </w:r>
      <w:r w:rsidRPr="00931986">
        <w:rPr>
          <w:i/>
        </w:rPr>
        <w:t xml:space="preserve">Regional forest agreements: </w:t>
      </w:r>
      <w:r w:rsidR="005118FA">
        <w:rPr>
          <w:i/>
        </w:rPr>
        <w:t xml:space="preserve">compilation of </w:t>
      </w:r>
      <w:r w:rsidRPr="00931986">
        <w:rPr>
          <w:i/>
        </w:rPr>
        <w:t>reservation and resource availability outcomes</w:t>
      </w:r>
      <w:r w:rsidR="00154BD5">
        <w:t>, ABARES Technical r</w:t>
      </w:r>
      <w:r>
        <w:t>eport</w:t>
      </w:r>
      <w:r w:rsidR="00154BD5">
        <w:t xml:space="preserve"> 20.11</w:t>
      </w:r>
      <w:r>
        <w:t xml:space="preserve">, Canberra, </w:t>
      </w:r>
      <w:r w:rsidR="00600948" w:rsidRPr="00215FB5">
        <w:t>December</w:t>
      </w:r>
      <w:r>
        <w:t xml:space="preserve">, DOI: </w:t>
      </w:r>
      <w:hyperlink r:id="rId16" w:history="1">
        <w:r w:rsidR="002873BB" w:rsidRPr="002873BB">
          <w:rPr>
            <w:rStyle w:val="Hyperlink"/>
            <w:color w:val="0070C0"/>
          </w:rPr>
          <w:t>doi.org/10.25814/n975-d613</w:t>
        </w:r>
      </w:hyperlink>
      <w:r>
        <w:t>.</w:t>
      </w:r>
      <w:r w:rsidRPr="003D5810">
        <w:t xml:space="preserve"> </w:t>
      </w:r>
      <w:r>
        <w:t>CC BY 4.0.</w:t>
      </w:r>
    </w:p>
    <w:p w14:paraId="267FBCB1" w14:textId="57DE60C3" w:rsidR="00931986" w:rsidRPr="00600948" w:rsidRDefault="00931986" w:rsidP="00931986">
      <w:pPr>
        <w:pStyle w:val="Normalsmall"/>
      </w:pPr>
      <w:r w:rsidRPr="00600948">
        <w:t>ISSN</w:t>
      </w:r>
      <w:r w:rsidR="00600948" w:rsidRPr="00600948">
        <w:t>:</w:t>
      </w:r>
      <w:r w:rsidRPr="00600948">
        <w:t xml:space="preserve"> </w:t>
      </w:r>
      <w:r w:rsidR="00600948" w:rsidRPr="00600948">
        <w:t>189-3128</w:t>
      </w:r>
    </w:p>
    <w:p w14:paraId="0D76A626" w14:textId="77777777" w:rsidR="00931986" w:rsidRDefault="00931986" w:rsidP="00931986">
      <w:pPr>
        <w:pStyle w:val="Normalsmall"/>
        <w:spacing w:after="0"/>
      </w:pPr>
      <w:r>
        <w:t>Australian Bureau of Agricultural and Resource Economics and Sciences (ABARES)</w:t>
      </w:r>
    </w:p>
    <w:p w14:paraId="1BD0BD19" w14:textId="77777777" w:rsidR="00931986" w:rsidRPr="00ED117D" w:rsidRDefault="00931986" w:rsidP="00931986">
      <w:pPr>
        <w:pStyle w:val="Normalsmall"/>
        <w:spacing w:after="0"/>
      </w:pPr>
      <w:r>
        <w:t>G</w:t>
      </w:r>
      <w:r w:rsidRPr="00ED117D">
        <w:t>PO Box 858 Canberra ACT 2601</w:t>
      </w:r>
    </w:p>
    <w:p w14:paraId="31F331E3" w14:textId="77777777" w:rsidR="00931986" w:rsidRPr="00ED117D" w:rsidRDefault="00931986" w:rsidP="00931986">
      <w:pPr>
        <w:pStyle w:val="Normalsmall"/>
        <w:spacing w:after="0"/>
      </w:pPr>
      <w:r w:rsidRPr="00ED117D">
        <w:t>Telephone 1800 900 090</w:t>
      </w:r>
    </w:p>
    <w:p w14:paraId="59CDA815" w14:textId="1893F5E7" w:rsidR="00931986" w:rsidRDefault="00931986" w:rsidP="00931986">
      <w:pPr>
        <w:pStyle w:val="Normalsmall"/>
      </w:pPr>
      <w:r w:rsidRPr="00ED117D">
        <w:t xml:space="preserve">Web </w:t>
      </w:r>
      <w:hyperlink r:id="rId17" w:history="1">
        <w:r w:rsidRPr="000B7359">
          <w:rPr>
            <w:rStyle w:val="Hyperlink"/>
            <w:color w:val="0070C0"/>
          </w:rPr>
          <w:t>awe.gov.au</w:t>
        </w:r>
      </w:hyperlink>
    </w:p>
    <w:p w14:paraId="41B60692" w14:textId="77777777" w:rsidR="00931986" w:rsidRPr="00D93159" w:rsidRDefault="00931986" w:rsidP="00931986">
      <w:pPr>
        <w:pStyle w:val="Normalsmall"/>
        <w:rPr>
          <w:rStyle w:val="Strong"/>
        </w:rPr>
      </w:pPr>
      <w:r w:rsidRPr="00D93159">
        <w:rPr>
          <w:rStyle w:val="Strong"/>
        </w:rPr>
        <w:t>Disclaimer</w:t>
      </w:r>
    </w:p>
    <w:p w14:paraId="7F26D9D0" w14:textId="77777777" w:rsidR="00931986" w:rsidRDefault="00931986" w:rsidP="00931986">
      <w:pPr>
        <w:pStyle w:val="Normalsmall"/>
      </w:pPr>
      <w:r>
        <w:t>The Australian Government acting through the Department of Agriculture, Water and the Environment, represented by the Australian Bureau of Agricultural and Resource Economics and Sciences, has exercised due care and skill in preparing and compiling the information and data in this publication. Notwithstanding, the Department of Agriculture, Water and the Environment,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07F0B68" w14:textId="77777777" w:rsidR="00931986" w:rsidRPr="00F22285" w:rsidRDefault="00931986" w:rsidP="00931986">
      <w:pPr>
        <w:pStyle w:val="Normalsmall"/>
        <w:rPr>
          <w:rStyle w:val="Strong"/>
        </w:rPr>
      </w:pPr>
      <w:r w:rsidRPr="00F22285">
        <w:rPr>
          <w:rStyle w:val="Strong"/>
        </w:rPr>
        <w:t>Professional independence</w:t>
      </w:r>
    </w:p>
    <w:p w14:paraId="74E55E95" w14:textId="77777777" w:rsidR="00931986" w:rsidRDefault="00931986" w:rsidP="00931986">
      <w:pPr>
        <w:pStyle w:val="Normalsmall"/>
      </w:pPr>
      <w:r>
        <w:t xml:space="preserve">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8" w:anchor="professional-independence" w:history="1">
        <w:r w:rsidRPr="000B7359">
          <w:rPr>
            <w:rStyle w:val="Hyperlink"/>
            <w:color w:val="0070C0"/>
          </w:rPr>
          <w:t>professional independence</w:t>
        </w:r>
      </w:hyperlink>
      <w:r>
        <w:t xml:space="preserve"> is provided on the ABARES website.</w:t>
      </w:r>
    </w:p>
    <w:p w14:paraId="2BEBB124" w14:textId="77777777" w:rsidR="001924E5" w:rsidRDefault="001924E5" w:rsidP="001924E5">
      <w:pPr>
        <w:pStyle w:val="Normalsmall"/>
      </w:pPr>
      <w:r w:rsidRPr="001924E5">
        <w:rPr>
          <w:rStyle w:val="Strong"/>
        </w:rPr>
        <w:t>Acknowledgements</w:t>
      </w:r>
    </w:p>
    <w:p w14:paraId="1E6A771D" w14:textId="0BF77EA9" w:rsidR="00931986" w:rsidRDefault="001924E5" w:rsidP="001924E5">
      <w:pPr>
        <w:pStyle w:val="Normalsmall"/>
      </w:pPr>
      <w:r>
        <w:t>We thank the many state and Australian Government officials associated with the collation and compilation of RFA data over time. We thank Ian Frakes, Felicity Dunphy, Michael F. Ryan, Karl Rumba, Ray Spencer and other colleagues who helped develop databases, clarify and standardise the interpretation of data in these databases, and update data. While due care and skill has been exercised in the compilation and standardisation of these datasets, caution should be exercised in data interpretation particularly when comparing data collected across different reporting periods.</w:t>
      </w:r>
    </w:p>
    <w:p w14:paraId="606B5DBB" w14:textId="3AF26070" w:rsidR="00931986" w:rsidRDefault="00931986">
      <w:pPr>
        <w:spacing w:line="276" w:lineRule="auto"/>
      </w:pPr>
      <w:r>
        <w:br w:type="page"/>
      </w:r>
    </w:p>
    <w:sdt>
      <w:sdtPr>
        <w:rPr>
          <w:rFonts w:ascii="Cambria" w:eastAsia="Times New Roman" w:hAnsi="Cambria" w:cs="Times New Roman"/>
          <w:b w:val="0"/>
          <w:bCs w:val="0"/>
          <w:color w:val="auto"/>
          <w:sz w:val="22"/>
          <w:szCs w:val="20"/>
          <w:lang w:val="en-AU"/>
        </w:rPr>
        <w:id w:val="875202796"/>
        <w:docPartObj>
          <w:docPartGallery w:val="Table of Contents"/>
          <w:docPartUnique/>
        </w:docPartObj>
      </w:sdtPr>
      <w:sdtEndPr>
        <w:rPr>
          <w:noProof/>
        </w:rPr>
      </w:sdtEndPr>
      <w:sdtContent>
        <w:p w14:paraId="21C7DE6D" w14:textId="35C322A9" w:rsidR="001924E5" w:rsidRDefault="001924E5" w:rsidP="00701DE1">
          <w:pPr>
            <w:pStyle w:val="TOCHeading"/>
            <w:keepNext w:val="0"/>
            <w:keepLines w:val="0"/>
            <w:spacing w:after="0"/>
          </w:pPr>
          <w:r w:rsidRPr="00701DE1">
            <w:rPr>
              <w:rFonts w:ascii="Calibri" w:eastAsiaTheme="minorEastAsia" w:hAnsi="Calibri" w:cstheme="minorBidi"/>
              <w:b w:val="0"/>
              <w:color w:val="000000"/>
              <w:lang w:val="en-AU" w:eastAsia="ja-JP"/>
            </w:rPr>
            <w:t>Contents</w:t>
          </w:r>
        </w:p>
        <w:p w14:paraId="4CECDFD6" w14:textId="77777777" w:rsidR="0007398A" w:rsidRPr="0007398A" w:rsidRDefault="0003027F">
          <w:pPr>
            <w:pStyle w:val="TOC2"/>
            <w:rPr>
              <w:rFonts w:eastAsiaTheme="minorEastAsia" w:cstheme="minorBidi"/>
              <w:b/>
              <w:color w:val="auto"/>
              <w:szCs w:val="22"/>
              <w:lang w:eastAsia="en-AU"/>
            </w:rPr>
          </w:pPr>
          <w:r w:rsidRPr="0007398A">
            <w:fldChar w:fldCharType="begin"/>
          </w:r>
          <w:r w:rsidRPr="0007398A">
            <w:rPr>
              <w:rFonts w:eastAsiaTheme="minorHAnsi"/>
            </w:rPr>
            <w:instrText xml:space="preserve"> TOC \o "1-3" \h \z \u </w:instrText>
          </w:r>
          <w:r w:rsidRPr="0007398A">
            <w:fldChar w:fldCharType="separate"/>
          </w:r>
          <w:hyperlink w:anchor="_Toc58312574" w:history="1">
            <w:r w:rsidR="0007398A" w:rsidRPr="0007398A">
              <w:rPr>
                <w:rStyle w:val="Hyperlink"/>
                <w:b/>
              </w:rPr>
              <w:t>Executive summary</w:t>
            </w:r>
            <w:r w:rsidR="0007398A" w:rsidRPr="0007398A">
              <w:rPr>
                <w:b/>
                <w:webHidden/>
              </w:rPr>
              <w:tab/>
            </w:r>
            <w:r w:rsidR="0007398A" w:rsidRPr="0007398A">
              <w:rPr>
                <w:b/>
                <w:webHidden/>
              </w:rPr>
              <w:fldChar w:fldCharType="begin"/>
            </w:r>
            <w:r w:rsidR="0007398A" w:rsidRPr="0007398A">
              <w:rPr>
                <w:b/>
                <w:webHidden/>
              </w:rPr>
              <w:instrText xml:space="preserve"> PAGEREF _Toc58312574 \h </w:instrText>
            </w:r>
            <w:r w:rsidR="0007398A" w:rsidRPr="0007398A">
              <w:rPr>
                <w:b/>
                <w:webHidden/>
              </w:rPr>
            </w:r>
            <w:r w:rsidR="0007398A" w:rsidRPr="0007398A">
              <w:rPr>
                <w:b/>
                <w:webHidden/>
              </w:rPr>
              <w:fldChar w:fldCharType="separate"/>
            </w:r>
            <w:r w:rsidR="00CC3B42">
              <w:rPr>
                <w:b/>
                <w:webHidden/>
              </w:rPr>
              <w:t>1</w:t>
            </w:r>
            <w:r w:rsidR="0007398A" w:rsidRPr="0007398A">
              <w:rPr>
                <w:b/>
                <w:webHidden/>
              </w:rPr>
              <w:fldChar w:fldCharType="end"/>
            </w:r>
          </w:hyperlink>
        </w:p>
        <w:p w14:paraId="3653E97D" w14:textId="77777777" w:rsidR="0007398A" w:rsidRPr="0007398A" w:rsidRDefault="00AF20AA">
          <w:pPr>
            <w:pStyle w:val="TOC2"/>
            <w:rPr>
              <w:rFonts w:eastAsiaTheme="minorEastAsia" w:cstheme="minorBidi"/>
              <w:b/>
              <w:color w:val="auto"/>
              <w:szCs w:val="22"/>
              <w:lang w:eastAsia="en-AU"/>
            </w:rPr>
          </w:pPr>
          <w:hyperlink w:anchor="_Toc58312575" w:history="1">
            <w:r w:rsidR="0007398A" w:rsidRPr="0007398A">
              <w:rPr>
                <w:rStyle w:val="Hyperlink"/>
                <w:b/>
              </w:rPr>
              <w:t>Introduction</w:t>
            </w:r>
            <w:r w:rsidR="0007398A" w:rsidRPr="0007398A">
              <w:rPr>
                <w:b/>
                <w:webHidden/>
              </w:rPr>
              <w:tab/>
            </w:r>
            <w:r w:rsidR="0007398A" w:rsidRPr="0007398A">
              <w:rPr>
                <w:b/>
                <w:webHidden/>
              </w:rPr>
              <w:fldChar w:fldCharType="begin"/>
            </w:r>
            <w:r w:rsidR="0007398A" w:rsidRPr="0007398A">
              <w:rPr>
                <w:b/>
                <w:webHidden/>
              </w:rPr>
              <w:instrText xml:space="preserve"> PAGEREF _Toc58312575 \h </w:instrText>
            </w:r>
            <w:r w:rsidR="0007398A" w:rsidRPr="0007398A">
              <w:rPr>
                <w:b/>
                <w:webHidden/>
              </w:rPr>
            </w:r>
            <w:r w:rsidR="0007398A" w:rsidRPr="0007398A">
              <w:rPr>
                <w:b/>
                <w:webHidden/>
              </w:rPr>
              <w:fldChar w:fldCharType="separate"/>
            </w:r>
            <w:r w:rsidR="00CC3B42">
              <w:rPr>
                <w:b/>
                <w:webHidden/>
              </w:rPr>
              <w:t>7</w:t>
            </w:r>
            <w:r w:rsidR="0007398A" w:rsidRPr="0007398A">
              <w:rPr>
                <w:b/>
                <w:webHidden/>
              </w:rPr>
              <w:fldChar w:fldCharType="end"/>
            </w:r>
          </w:hyperlink>
        </w:p>
        <w:p w14:paraId="4C312498" w14:textId="77777777" w:rsidR="0007398A" w:rsidRPr="0007398A" w:rsidRDefault="00AF20AA">
          <w:pPr>
            <w:pStyle w:val="TOC2"/>
            <w:rPr>
              <w:rFonts w:eastAsiaTheme="minorEastAsia" w:cstheme="minorBidi"/>
              <w:b/>
              <w:color w:val="auto"/>
              <w:szCs w:val="22"/>
              <w:lang w:eastAsia="en-AU"/>
            </w:rPr>
          </w:pPr>
          <w:hyperlink w:anchor="_Toc58312576" w:history="1">
            <w:r w:rsidR="0007398A" w:rsidRPr="0007398A">
              <w:rPr>
                <w:rStyle w:val="Hyperlink"/>
                <w:b/>
              </w:rPr>
              <w:t>1</w:t>
            </w:r>
            <w:r w:rsidR="0007398A" w:rsidRPr="0007398A">
              <w:rPr>
                <w:rFonts w:eastAsiaTheme="minorEastAsia" w:cstheme="minorBidi"/>
                <w:b/>
                <w:color w:val="auto"/>
                <w:szCs w:val="22"/>
                <w:lang w:eastAsia="en-AU"/>
              </w:rPr>
              <w:tab/>
            </w:r>
            <w:r w:rsidR="0007398A" w:rsidRPr="0007398A">
              <w:rPr>
                <w:rStyle w:val="Hyperlink"/>
                <w:b/>
              </w:rPr>
              <w:t>Key outcomes from regional forest agreements</w:t>
            </w:r>
            <w:r w:rsidR="0007398A" w:rsidRPr="0007398A">
              <w:rPr>
                <w:b/>
                <w:webHidden/>
              </w:rPr>
              <w:tab/>
            </w:r>
            <w:r w:rsidR="0007398A" w:rsidRPr="0007398A">
              <w:rPr>
                <w:b/>
                <w:webHidden/>
              </w:rPr>
              <w:fldChar w:fldCharType="begin"/>
            </w:r>
            <w:r w:rsidR="0007398A" w:rsidRPr="0007398A">
              <w:rPr>
                <w:b/>
                <w:webHidden/>
              </w:rPr>
              <w:instrText xml:space="preserve"> PAGEREF _Toc58312576 \h </w:instrText>
            </w:r>
            <w:r w:rsidR="0007398A" w:rsidRPr="0007398A">
              <w:rPr>
                <w:b/>
                <w:webHidden/>
              </w:rPr>
            </w:r>
            <w:r w:rsidR="0007398A" w:rsidRPr="0007398A">
              <w:rPr>
                <w:b/>
                <w:webHidden/>
              </w:rPr>
              <w:fldChar w:fldCharType="separate"/>
            </w:r>
            <w:r w:rsidR="00CC3B42">
              <w:rPr>
                <w:b/>
                <w:webHidden/>
              </w:rPr>
              <w:t>8</w:t>
            </w:r>
            <w:r w:rsidR="0007398A" w:rsidRPr="0007398A">
              <w:rPr>
                <w:b/>
                <w:webHidden/>
              </w:rPr>
              <w:fldChar w:fldCharType="end"/>
            </w:r>
          </w:hyperlink>
        </w:p>
        <w:p w14:paraId="1455C04D" w14:textId="77777777" w:rsidR="0007398A" w:rsidRPr="0007398A" w:rsidRDefault="00AF20AA">
          <w:pPr>
            <w:pStyle w:val="TOC2"/>
            <w:rPr>
              <w:rFonts w:eastAsiaTheme="minorEastAsia" w:cstheme="minorBidi"/>
              <w:b/>
              <w:color w:val="auto"/>
              <w:szCs w:val="22"/>
              <w:lang w:eastAsia="en-AU"/>
            </w:rPr>
          </w:pPr>
          <w:hyperlink w:anchor="_Toc58312577" w:history="1">
            <w:r w:rsidR="0007398A" w:rsidRPr="0007398A">
              <w:rPr>
                <w:rStyle w:val="Hyperlink"/>
                <w:b/>
              </w:rPr>
              <w:t>2</w:t>
            </w:r>
            <w:r w:rsidR="0007398A" w:rsidRPr="0007398A">
              <w:rPr>
                <w:rFonts w:eastAsiaTheme="minorEastAsia" w:cstheme="minorBidi"/>
                <w:b/>
                <w:color w:val="auto"/>
                <w:szCs w:val="22"/>
                <w:lang w:eastAsia="en-AU"/>
              </w:rPr>
              <w:tab/>
            </w:r>
            <w:r w:rsidR="0007398A" w:rsidRPr="0007398A">
              <w:rPr>
                <w:rStyle w:val="Hyperlink"/>
                <w:b/>
              </w:rPr>
              <w:t>Regional Forest Agreement data held in the National Forest Inventory</w:t>
            </w:r>
            <w:r w:rsidR="0007398A" w:rsidRPr="0007398A">
              <w:rPr>
                <w:b/>
                <w:webHidden/>
              </w:rPr>
              <w:tab/>
            </w:r>
            <w:r w:rsidR="0007398A" w:rsidRPr="0007398A">
              <w:rPr>
                <w:b/>
                <w:webHidden/>
              </w:rPr>
              <w:fldChar w:fldCharType="begin"/>
            </w:r>
            <w:r w:rsidR="0007398A" w:rsidRPr="0007398A">
              <w:rPr>
                <w:b/>
                <w:webHidden/>
              </w:rPr>
              <w:instrText xml:space="preserve"> PAGEREF _Toc58312577 \h </w:instrText>
            </w:r>
            <w:r w:rsidR="0007398A" w:rsidRPr="0007398A">
              <w:rPr>
                <w:b/>
                <w:webHidden/>
              </w:rPr>
            </w:r>
            <w:r w:rsidR="0007398A" w:rsidRPr="0007398A">
              <w:rPr>
                <w:b/>
                <w:webHidden/>
              </w:rPr>
              <w:fldChar w:fldCharType="separate"/>
            </w:r>
            <w:r w:rsidR="00CC3B42">
              <w:rPr>
                <w:b/>
                <w:webHidden/>
              </w:rPr>
              <w:t>9</w:t>
            </w:r>
            <w:r w:rsidR="0007398A" w:rsidRPr="0007398A">
              <w:rPr>
                <w:b/>
                <w:webHidden/>
              </w:rPr>
              <w:fldChar w:fldCharType="end"/>
            </w:r>
          </w:hyperlink>
        </w:p>
        <w:p w14:paraId="38BEFEB9" w14:textId="77777777" w:rsidR="0007398A" w:rsidRPr="0007398A" w:rsidRDefault="00AF20AA">
          <w:pPr>
            <w:pStyle w:val="TOC2"/>
            <w:rPr>
              <w:rFonts w:eastAsiaTheme="minorEastAsia" w:cstheme="minorBidi"/>
              <w:b/>
              <w:color w:val="auto"/>
              <w:szCs w:val="22"/>
              <w:lang w:eastAsia="en-AU"/>
            </w:rPr>
          </w:pPr>
          <w:hyperlink w:anchor="_Toc58312578" w:history="1">
            <w:r w:rsidR="0007398A" w:rsidRPr="0007398A">
              <w:rPr>
                <w:rStyle w:val="Hyperlink"/>
                <w:b/>
              </w:rPr>
              <w:t>3</w:t>
            </w:r>
            <w:r w:rsidR="0007398A" w:rsidRPr="0007398A">
              <w:rPr>
                <w:rFonts w:eastAsiaTheme="minorEastAsia" w:cstheme="minorBidi"/>
                <w:b/>
                <w:color w:val="auto"/>
                <w:szCs w:val="22"/>
                <w:lang w:eastAsia="en-AU"/>
              </w:rPr>
              <w:tab/>
            </w:r>
            <w:r w:rsidR="0007398A" w:rsidRPr="0007398A">
              <w:rPr>
                <w:rStyle w:val="Hyperlink"/>
                <w:b/>
              </w:rPr>
              <w:t>Methodology</w:t>
            </w:r>
            <w:r w:rsidR="0007398A" w:rsidRPr="0007398A">
              <w:rPr>
                <w:b/>
                <w:webHidden/>
              </w:rPr>
              <w:tab/>
            </w:r>
            <w:r w:rsidR="0007398A" w:rsidRPr="0007398A">
              <w:rPr>
                <w:b/>
                <w:webHidden/>
              </w:rPr>
              <w:fldChar w:fldCharType="begin"/>
            </w:r>
            <w:r w:rsidR="0007398A" w:rsidRPr="0007398A">
              <w:rPr>
                <w:b/>
                <w:webHidden/>
              </w:rPr>
              <w:instrText xml:space="preserve"> PAGEREF _Toc58312578 \h </w:instrText>
            </w:r>
            <w:r w:rsidR="0007398A" w:rsidRPr="0007398A">
              <w:rPr>
                <w:b/>
                <w:webHidden/>
              </w:rPr>
            </w:r>
            <w:r w:rsidR="0007398A" w:rsidRPr="0007398A">
              <w:rPr>
                <w:b/>
                <w:webHidden/>
              </w:rPr>
              <w:fldChar w:fldCharType="separate"/>
            </w:r>
            <w:r w:rsidR="00CC3B42">
              <w:rPr>
                <w:b/>
                <w:webHidden/>
              </w:rPr>
              <w:t>10</w:t>
            </w:r>
            <w:r w:rsidR="0007398A" w:rsidRPr="0007398A">
              <w:rPr>
                <w:b/>
                <w:webHidden/>
              </w:rPr>
              <w:fldChar w:fldCharType="end"/>
            </w:r>
          </w:hyperlink>
        </w:p>
        <w:p w14:paraId="123ED441" w14:textId="77777777" w:rsidR="0007398A" w:rsidRPr="0007398A" w:rsidRDefault="00AF20AA">
          <w:pPr>
            <w:pStyle w:val="TOC3"/>
            <w:rPr>
              <w:rFonts w:asciiTheme="majorHAnsi" w:eastAsiaTheme="minorEastAsia" w:hAnsiTheme="majorHAnsi" w:cstheme="minorBidi"/>
              <w:noProof/>
              <w:szCs w:val="22"/>
              <w:lang w:eastAsia="en-AU"/>
            </w:rPr>
          </w:pPr>
          <w:hyperlink w:anchor="_Toc58312579" w:history="1">
            <w:r w:rsidR="0007398A" w:rsidRPr="0007398A">
              <w:rPr>
                <w:rStyle w:val="Hyperlink"/>
                <w:rFonts w:asciiTheme="majorHAnsi" w:hAnsiTheme="majorHAnsi"/>
                <w:bCs/>
                <w:noProof/>
              </w:rPr>
              <w:t>3.1</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Ecosystems and ecosystem reservation and protection</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_Toc58312579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11</w:t>
            </w:r>
            <w:r w:rsidR="0007398A" w:rsidRPr="0007398A">
              <w:rPr>
                <w:rFonts w:asciiTheme="majorHAnsi" w:hAnsiTheme="majorHAnsi"/>
                <w:noProof/>
                <w:webHidden/>
              </w:rPr>
              <w:fldChar w:fldCharType="end"/>
            </w:r>
          </w:hyperlink>
        </w:p>
        <w:p w14:paraId="0F617B50" w14:textId="77777777" w:rsidR="0007398A" w:rsidRPr="0007398A" w:rsidRDefault="00AF20AA">
          <w:pPr>
            <w:pStyle w:val="TOC3"/>
            <w:rPr>
              <w:rFonts w:asciiTheme="majorHAnsi" w:eastAsiaTheme="minorEastAsia" w:hAnsiTheme="majorHAnsi" w:cstheme="minorBidi"/>
              <w:noProof/>
              <w:szCs w:val="22"/>
              <w:lang w:eastAsia="en-AU"/>
            </w:rPr>
          </w:pPr>
          <w:hyperlink w:anchor="_Toc58312580" w:history="1">
            <w:r w:rsidR="0007398A" w:rsidRPr="0007398A">
              <w:rPr>
                <w:rStyle w:val="Hyperlink"/>
                <w:rFonts w:asciiTheme="majorHAnsi" w:hAnsiTheme="majorHAnsi"/>
                <w:bCs/>
                <w:noProof/>
              </w:rPr>
              <w:t>3.2</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Old-growth forest</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_Toc58312580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12</w:t>
            </w:r>
            <w:r w:rsidR="0007398A" w:rsidRPr="0007398A">
              <w:rPr>
                <w:rFonts w:asciiTheme="majorHAnsi" w:hAnsiTheme="majorHAnsi"/>
                <w:noProof/>
                <w:webHidden/>
              </w:rPr>
              <w:fldChar w:fldCharType="end"/>
            </w:r>
          </w:hyperlink>
        </w:p>
        <w:p w14:paraId="29C45A4C" w14:textId="77777777" w:rsidR="0007398A" w:rsidRPr="0007398A" w:rsidRDefault="00AF20AA">
          <w:pPr>
            <w:pStyle w:val="TOC3"/>
            <w:rPr>
              <w:rFonts w:asciiTheme="majorHAnsi" w:eastAsiaTheme="minorEastAsia" w:hAnsiTheme="majorHAnsi" w:cstheme="minorBidi"/>
              <w:noProof/>
              <w:szCs w:val="22"/>
              <w:lang w:eastAsia="en-AU"/>
            </w:rPr>
          </w:pPr>
          <w:hyperlink w:anchor="_Toc58312581" w:history="1">
            <w:r w:rsidR="0007398A" w:rsidRPr="0007398A">
              <w:rPr>
                <w:rStyle w:val="Hyperlink"/>
                <w:rFonts w:asciiTheme="majorHAnsi" w:hAnsiTheme="majorHAnsi"/>
                <w:bCs/>
                <w:noProof/>
              </w:rPr>
              <w:t>3.3</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Wilderness</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_Toc58312581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13</w:t>
            </w:r>
            <w:r w:rsidR="0007398A" w:rsidRPr="0007398A">
              <w:rPr>
                <w:rFonts w:asciiTheme="majorHAnsi" w:hAnsiTheme="majorHAnsi"/>
                <w:noProof/>
                <w:webHidden/>
              </w:rPr>
              <w:fldChar w:fldCharType="end"/>
            </w:r>
          </w:hyperlink>
        </w:p>
        <w:p w14:paraId="6CC8CBDB" w14:textId="77777777" w:rsidR="0007398A" w:rsidRPr="0007398A" w:rsidRDefault="00AF20AA">
          <w:pPr>
            <w:pStyle w:val="TOC3"/>
            <w:rPr>
              <w:rFonts w:asciiTheme="majorHAnsi" w:eastAsiaTheme="minorEastAsia" w:hAnsiTheme="majorHAnsi" w:cstheme="minorBidi"/>
              <w:noProof/>
              <w:szCs w:val="22"/>
              <w:lang w:eastAsia="en-AU"/>
            </w:rPr>
          </w:pPr>
          <w:hyperlink w:anchor="_Toc58312582" w:history="1">
            <w:r w:rsidR="0007398A" w:rsidRPr="0007398A">
              <w:rPr>
                <w:rStyle w:val="Hyperlink"/>
                <w:rFonts w:asciiTheme="majorHAnsi" w:hAnsiTheme="majorHAnsi"/>
                <w:bCs/>
                <w:noProof/>
              </w:rPr>
              <w:t>3.4</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Changes in net harvestable area</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_Toc58312582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13</w:t>
            </w:r>
            <w:r w:rsidR="0007398A" w:rsidRPr="0007398A">
              <w:rPr>
                <w:rFonts w:asciiTheme="majorHAnsi" w:hAnsiTheme="majorHAnsi"/>
                <w:noProof/>
                <w:webHidden/>
              </w:rPr>
              <w:fldChar w:fldCharType="end"/>
            </w:r>
          </w:hyperlink>
        </w:p>
        <w:p w14:paraId="6E417DE0" w14:textId="77777777" w:rsidR="0007398A" w:rsidRPr="0007398A" w:rsidRDefault="00AF20AA">
          <w:pPr>
            <w:pStyle w:val="TOC3"/>
            <w:rPr>
              <w:rFonts w:asciiTheme="majorHAnsi" w:eastAsiaTheme="minorEastAsia" w:hAnsiTheme="majorHAnsi" w:cstheme="minorBidi"/>
              <w:noProof/>
              <w:szCs w:val="22"/>
              <w:lang w:eastAsia="en-AU"/>
            </w:rPr>
          </w:pPr>
          <w:hyperlink w:anchor="_Toc58312583" w:history="1">
            <w:r w:rsidR="0007398A" w:rsidRPr="0007398A">
              <w:rPr>
                <w:rStyle w:val="Hyperlink"/>
                <w:rFonts w:asciiTheme="majorHAnsi" w:hAnsiTheme="majorHAnsi"/>
                <w:bCs/>
                <w:noProof/>
              </w:rPr>
              <w:t>3.5</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Sustainable and actual yields</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_Toc58312583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14</w:t>
            </w:r>
            <w:r w:rsidR="0007398A" w:rsidRPr="0007398A">
              <w:rPr>
                <w:rFonts w:asciiTheme="majorHAnsi" w:hAnsiTheme="majorHAnsi"/>
                <w:noProof/>
                <w:webHidden/>
              </w:rPr>
              <w:fldChar w:fldCharType="end"/>
            </w:r>
          </w:hyperlink>
        </w:p>
        <w:p w14:paraId="6186FB2D" w14:textId="77777777" w:rsidR="0007398A" w:rsidRPr="0007398A" w:rsidRDefault="00AF20AA">
          <w:pPr>
            <w:pStyle w:val="TOC2"/>
            <w:rPr>
              <w:rFonts w:eastAsiaTheme="minorEastAsia" w:cstheme="minorBidi"/>
              <w:color w:val="auto"/>
              <w:szCs w:val="22"/>
              <w:lang w:eastAsia="en-AU"/>
            </w:rPr>
          </w:pPr>
          <w:hyperlink w:anchor="_Toc58312584" w:history="1">
            <w:r w:rsidR="0007398A" w:rsidRPr="0007398A">
              <w:rPr>
                <w:rStyle w:val="Hyperlink"/>
                <w:b/>
              </w:rPr>
              <w:t>4</w:t>
            </w:r>
            <w:r w:rsidR="0007398A" w:rsidRPr="0007398A">
              <w:rPr>
                <w:rFonts w:eastAsiaTheme="minorEastAsia" w:cstheme="minorBidi"/>
                <w:b/>
                <w:color w:val="auto"/>
                <w:szCs w:val="22"/>
                <w:lang w:eastAsia="en-AU"/>
              </w:rPr>
              <w:tab/>
            </w:r>
            <w:r w:rsidR="0007398A" w:rsidRPr="0007398A">
              <w:rPr>
                <w:rStyle w:val="Hyperlink"/>
                <w:b/>
              </w:rPr>
              <w:t>Outcomes of Regional Forest Agreements</w:t>
            </w:r>
            <w:r w:rsidR="0007398A" w:rsidRPr="0007398A">
              <w:rPr>
                <w:webHidden/>
              </w:rPr>
              <w:tab/>
            </w:r>
            <w:r w:rsidR="0007398A" w:rsidRPr="0007398A">
              <w:rPr>
                <w:webHidden/>
              </w:rPr>
              <w:fldChar w:fldCharType="begin"/>
            </w:r>
            <w:r w:rsidR="0007398A" w:rsidRPr="0007398A">
              <w:rPr>
                <w:webHidden/>
              </w:rPr>
              <w:instrText xml:space="preserve"> PAGEREF _Toc58312584 \h </w:instrText>
            </w:r>
            <w:r w:rsidR="0007398A" w:rsidRPr="0007398A">
              <w:rPr>
                <w:webHidden/>
              </w:rPr>
            </w:r>
            <w:r w:rsidR="0007398A" w:rsidRPr="0007398A">
              <w:rPr>
                <w:webHidden/>
              </w:rPr>
              <w:fldChar w:fldCharType="separate"/>
            </w:r>
            <w:r w:rsidR="00CC3B42">
              <w:rPr>
                <w:webHidden/>
              </w:rPr>
              <w:t>14</w:t>
            </w:r>
            <w:r w:rsidR="0007398A" w:rsidRPr="0007398A">
              <w:rPr>
                <w:webHidden/>
              </w:rPr>
              <w:fldChar w:fldCharType="end"/>
            </w:r>
          </w:hyperlink>
        </w:p>
        <w:p w14:paraId="125ED07B" w14:textId="77777777" w:rsidR="0007398A" w:rsidRPr="0007398A" w:rsidRDefault="00AF20AA">
          <w:pPr>
            <w:pStyle w:val="TOC3"/>
            <w:rPr>
              <w:rFonts w:asciiTheme="majorHAnsi" w:eastAsiaTheme="minorEastAsia" w:hAnsiTheme="majorHAnsi" w:cstheme="minorBidi"/>
              <w:noProof/>
              <w:szCs w:val="22"/>
              <w:lang w:eastAsia="en-AU"/>
            </w:rPr>
          </w:pPr>
          <w:hyperlink w:anchor="_Toc58312585" w:history="1">
            <w:r w:rsidR="0007398A" w:rsidRPr="0007398A">
              <w:rPr>
                <w:rStyle w:val="Hyperlink"/>
                <w:rFonts w:asciiTheme="majorHAnsi" w:hAnsiTheme="majorHAnsi"/>
                <w:bCs/>
                <w:noProof/>
              </w:rPr>
              <w:t>4.1</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Comprehensive, adequate and representative reserve system</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_Toc58312585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14</w:t>
            </w:r>
            <w:r w:rsidR="0007398A" w:rsidRPr="0007398A">
              <w:rPr>
                <w:rFonts w:asciiTheme="majorHAnsi" w:hAnsiTheme="majorHAnsi"/>
                <w:noProof/>
                <w:webHidden/>
              </w:rPr>
              <w:fldChar w:fldCharType="end"/>
            </w:r>
          </w:hyperlink>
        </w:p>
        <w:p w14:paraId="5A70BE12" w14:textId="77777777" w:rsidR="0007398A" w:rsidRPr="0007398A" w:rsidRDefault="00AF20AA">
          <w:pPr>
            <w:pStyle w:val="TOC3"/>
            <w:rPr>
              <w:rFonts w:asciiTheme="majorHAnsi" w:eastAsiaTheme="minorEastAsia" w:hAnsiTheme="majorHAnsi" w:cstheme="minorBidi"/>
              <w:noProof/>
              <w:szCs w:val="22"/>
              <w:lang w:eastAsia="en-AU"/>
            </w:rPr>
          </w:pPr>
          <w:hyperlink w:anchor="_Toc58312586" w:history="1">
            <w:r w:rsidR="0007398A" w:rsidRPr="0007398A">
              <w:rPr>
                <w:rStyle w:val="Hyperlink"/>
                <w:rFonts w:asciiTheme="majorHAnsi" w:hAnsiTheme="majorHAnsi"/>
                <w:iCs/>
                <w:noProof/>
              </w:rPr>
              <w:t>4.1.1</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iCs/>
                <w:noProof/>
              </w:rPr>
              <w:t>Ecosystem reservation and protection</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_Toc58312586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14</w:t>
            </w:r>
            <w:r w:rsidR="0007398A" w:rsidRPr="0007398A">
              <w:rPr>
                <w:rFonts w:asciiTheme="majorHAnsi" w:hAnsiTheme="majorHAnsi"/>
                <w:noProof/>
                <w:webHidden/>
              </w:rPr>
              <w:fldChar w:fldCharType="end"/>
            </w:r>
          </w:hyperlink>
        </w:p>
        <w:p w14:paraId="3238AC01" w14:textId="77777777" w:rsidR="0007398A" w:rsidRPr="0007398A" w:rsidRDefault="00AF20AA">
          <w:pPr>
            <w:pStyle w:val="TOC3"/>
            <w:rPr>
              <w:rFonts w:asciiTheme="majorHAnsi" w:eastAsiaTheme="minorEastAsia" w:hAnsiTheme="majorHAnsi" w:cstheme="minorBidi"/>
              <w:noProof/>
              <w:szCs w:val="22"/>
              <w:lang w:eastAsia="en-AU"/>
            </w:rPr>
          </w:pPr>
          <w:hyperlink w:anchor="_Toc58312587" w:history="1">
            <w:r w:rsidR="0007398A" w:rsidRPr="0007398A">
              <w:rPr>
                <w:rStyle w:val="Hyperlink"/>
                <w:rFonts w:asciiTheme="majorHAnsi" w:hAnsiTheme="majorHAnsi"/>
                <w:iCs/>
                <w:noProof/>
              </w:rPr>
              <w:t>4.1.2</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iCs/>
                <w:noProof/>
              </w:rPr>
              <w:t>Creation of the CAR reserve system at RFA signing</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_Toc58312587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15</w:t>
            </w:r>
            <w:r w:rsidR="0007398A" w:rsidRPr="0007398A">
              <w:rPr>
                <w:rFonts w:asciiTheme="majorHAnsi" w:hAnsiTheme="majorHAnsi"/>
                <w:noProof/>
                <w:webHidden/>
              </w:rPr>
              <w:fldChar w:fldCharType="end"/>
            </w:r>
          </w:hyperlink>
        </w:p>
        <w:p w14:paraId="432B78AE" w14:textId="77777777" w:rsidR="0007398A" w:rsidRPr="0007398A" w:rsidRDefault="00AF20AA">
          <w:pPr>
            <w:pStyle w:val="TOC3"/>
            <w:rPr>
              <w:rFonts w:asciiTheme="majorHAnsi" w:eastAsiaTheme="minorEastAsia" w:hAnsiTheme="majorHAnsi" w:cstheme="minorBidi"/>
              <w:noProof/>
              <w:szCs w:val="22"/>
              <w:lang w:eastAsia="en-AU"/>
            </w:rPr>
          </w:pPr>
          <w:hyperlink w:anchor="_Toc58312588" w:history="1">
            <w:r w:rsidR="0007398A" w:rsidRPr="0007398A">
              <w:rPr>
                <w:rStyle w:val="Hyperlink"/>
                <w:rFonts w:asciiTheme="majorHAnsi" w:hAnsiTheme="majorHAnsi"/>
                <w:bCs/>
                <w:noProof/>
              </w:rPr>
              <w:t>4.2</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Old-growth forest</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_Toc58312588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17</w:t>
            </w:r>
            <w:r w:rsidR="0007398A" w:rsidRPr="0007398A">
              <w:rPr>
                <w:rFonts w:asciiTheme="majorHAnsi" w:hAnsiTheme="majorHAnsi"/>
                <w:noProof/>
                <w:webHidden/>
              </w:rPr>
              <w:fldChar w:fldCharType="end"/>
            </w:r>
          </w:hyperlink>
        </w:p>
        <w:p w14:paraId="75C18EA3" w14:textId="77777777" w:rsidR="0007398A" w:rsidRPr="0007398A" w:rsidRDefault="00AF20AA">
          <w:pPr>
            <w:pStyle w:val="TOC3"/>
            <w:rPr>
              <w:rFonts w:asciiTheme="majorHAnsi" w:eastAsiaTheme="minorEastAsia" w:hAnsiTheme="majorHAnsi" w:cstheme="minorBidi"/>
              <w:noProof/>
              <w:szCs w:val="22"/>
              <w:lang w:eastAsia="en-AU"/>
            </w:rPr>
          </w:pPr>
          <w:hyperlink w:anchor="_Toc58312589" w:history="1">
            <w:r w:rsidR="0007398A" w:rsidRPr="0007398A">
              <w:rPr>
                <w:rStyle w:val="Hyperlink"/>
                <w:rFonts w:asciiTheme="majorHAnsi" w:hAnsiTheme="majorHAnsi"/>
                <w:bCs/>
                <w:noProof/>
              </w:rPr>
              <w:t>4.3</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Wilderness</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_Toc58312589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20</w:t>
            </w:r>
            <w:r w:rsidR="0007398A" w:rsidRPr="0007398A">
              <w:rPr>
                <w:rFonts w:asciiTheme="majorHAnsi" w:hAnsiTheme="majorHAnsi"/>
                <w:noProof/>
                <w:webHidden/>
              </w:rPr>
              <w:fldChar w:fldCharType="end"/>
            </w:r>
          </w:hyperlink>
        </w:p>
        <w:p w14:paraId="1D8A04D8" w14:textId="77777777" w:rsidR="0007398A" w:rsidRPr="0007398A" w:rsidRDefault="00AF20AA">
          <w:pPr>
            <w:pStyle w:val="TOC3"/>
            <w:rPr>
              <w:rFonts w:asciiTheme="majorHAnsi" w:eastAsiaTheme="minorEastAsia" w:hAnsiTheme="majorHAnsi" w:cstheme="minorBidi"/>
              <w:noProof/>
              <w:szCs w:val="22"/>
              <w:lang w:eastAsia="en-AU"/>
            </w:rPr>
          </w:pPr>
          <w:hyperlink w:anchor="_Toc58312590" w:history="1">
            <w:r w:rsidR="0007398A" w:rsidRPr="0007398A">
              <w:rPr>
                <w:rStyle w:val="Hyperlink"/>
                <w:rFonts w:asciiTheme="majorHAnsi" w:hAnsiTheme="majorHAnsi"/>
                <w:bCs/>
                <w:noProof/>
              </w:rPr>
              <w:t>4.4</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Net harvestable area</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_Toc58312590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21</w:t>
            </w:r>
            <w:r w:rsidR="0007398A" w:rsidRPr="0007398A">
              <w:rPr>
                <w:rFonts w:asciiTheme="majorHAnsi" w:hAnsiTheme="majorHAnsi"/>
                <w:noProof/>
                <w:webHidden/>
              </w:rPr>
              <w:fldChar w:fldCharType="end"/>
            </w:r>
          </w:hyperlink>
        </w:p>
        <w:p w14:paraId="52E88F3C" w14:textId="77777777" w:rsidR="0007398A" w:rsidRPr="0007398A" w:rsidRDefault="00AF20AA">
          <w:pPr>
            <w:pStyle w:val="TOC3"/>
            <w:rPr>
              <w:rFonts w:asciiTheme="majorHAnsi" w:eastAsiaTheme="minorEastAsia" w:hAnsiTheme="majorHAnsi" w:cstheme="minorBidi"/>
              <w:noProof/>
              <w:szCs w:val="22"/>
              <w:lang w:eastAsia="en-AU"/>
            </w:rPr>
          </w:pPr>
          <w:hyperlink w:anchor="_Toc58312591" w:history="1">
            <w:r w:rsidR="0007398A" w:rsidRPr="0007398A">
              <w:rPr>
                <w:rStyle w:val="Hyperlink"/>
                <w:rFonts w:asciiTheme="majorHAnsi" w:hAnsiTheme="majorHAnsi"/>
                <w:bCs/>
                <w:noProof/>
              </w:rPr>
              <w:t>4.5</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bCs/>
                <w:noProof/>
              </w:rPr>
              <w:t>Sustainable yields</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_Toc58312591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23</w:t>
            </w:r>
            <w:r w:rsidR="0007398A" w:rsidRPr="0007398A">
              <w:rPr>
                <w:rFonts w:asciiTheme="majorHAnsi" w:hAnsiTheme="majorHAnsi"/>
                <w:noProof/>
                <w:webHidden/>
              </w:rPr>
              <w:fldChar w:fldCharType="end"/>
            </w:r>
          </w:hyperlink>
        </w:p>
        <w:p w14:paraId="3ECBD68D" w14:textId="77777777" w:rsidR="0007398A" w:rsidRPr="0007398A" w:rsidRDefault="00AF20AA">
          <w:pPr>
            <w:pStyle w:val="TOC3"/>
            <w:rPr>
              <w:rFonts w:asciiTheme="majorHAnsi" w:eastAsiaTheme="minorEastAsia" w:hAnsiTheme="majorHAnsi" w:cstheme="minorBidi"/>
              <w:noProof/>
              <w:szCs w:val="22"/>
              <w:lang w:eastAsia="en-AU"/>
            </w:rPr>
          </w:pPr>
          <w:hyperlink w:anchor="_Toc58312592" w:history="1">
            <w:r w:rsidR="0007398A" w:rsidRPr="0007398A">
              <w:rPr>
                <w:rStyle w:val="Hyperlink"/>
                <w:rFonts w:asciiTheme="majorHAnsi" w:hAnsiTheme="majorHAnsi"/>
                <w:iCs/>
                <w:noProof/>
              </w:rPr>
              <w:t>4.5.1</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iCs/>
                <w:noProof/>
              </w:rPr>
              <w:t>Sustainable yield in an ecologically sustainable forest management system</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_Toc58312592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23</w:t>
            </w:r>
            <w:r w:rsidR="0007398A" w:rsidRPr="0007398A">
              <w:rPr>
                <w:rFonts w:asciiTheme="majorHAnsi" w:hAnsiTheme="majorHAnsi"/>
                <w:noProof/>
                <w:webHidden/>
              </w:rPr>
              <w:fldChar w:fldCharType="end"/>
            </w:r>
          </w:hyperlink>
        </w:p>
        <w:p w14:paraId="2CF2AC53" w14:textId="77777777" w:rsidR="0007398A" w:rsidRPr="0007398A" w:rsidRDefault="00AF20AA">
          <w:pPr>
            <w:pStyle w:val="TOC3"/>
            <w:rPr>
              <w:rFonts w:asciiTheme="majorHAnsi" w:eastAsiaTheme="minorEastAsia" w:hAnsiTheme="majorHAnsi" w:cstheme="minorBidi"/>
              <w:noProof/>
              <w:szCs w:val="22"/>
              <w:lang w:eastAsia="en-AU"/>
            </w:rPr>
          </w:pPr>
          <w:hyperlink w:anchor="_Toc58312593" w:history="1">
            <w:r w:rsidR="0007398A" w:rsidRPr="0007398A">
              <w:rPr>
                <w:rStyle w:val="Hyperlink"/>
                <w:rFonts w:asciiTheme="majorHAnsi" w:hAnsiTheme="majorHAnsi"/>
                <w:iCs/>
                <w:noProof/>
              </w:rPr>
              <w:t>4.5.2</w:t>
            </w:r>
            <w:r w:rsidR="0007398A" w:rsidRPr="0007398A">
              <w:rPr>
                <w:rFonts w:asciiTheme="majorHAnsi" w:eastAsiaTheme="minorEastAsia" w:hAnsiTheme="majorHAnsi" w:cstheme="minorBidi"/>
                <w:noProof/>
                <w:szCs w:val="22"/>
                <w:lang w:eastAsia="en-AU"/>
              </w:rPr>
              <w:tab/>
            </w:r>
            <w:r w:rsidR="0007398A" w:rsidRPr="0007398A">
              <w:rPr>
                <w:rStyle w:val="Hyperlink"/>
                <w:rFonts w:asciiTheme="majorHAnsi" w:hAnsiTheme="majorHAnsi"/>
                <w:iCs/>
                <w:noProof/>
              </w:rPr>
              <w:t>Sustainable and actual yield</w:t>
            </w:r>
            <w:r w:rsidR="0007398A" w:rsidRPr="0007398A">
              <w:rPr>
                <w:rFonts w:asciiTheme="majorHAnsi" w:hAnsiTheme="majorHAnsi"/>
                <w:noProof/>
                <w:webHidden/>
              </w:rPr>
              <w:tab/>
            </w:r>
            <w:r w:rsidR="0007398A" w:rsidRPr="0007398A">
              <w:rPr>
                <w:rFonts w:asciiTheme="majorHAnsi" w:hAnsiTheme="majorHAnsi"/>
                <w:noProof/>
                <w:webHidden/>
              </w:rPr>
              <w:fldChar w:fldCharType="begin"/>
            </w:r>
            <w:r w:rsidR="0007398A" w:rsidRPr="0007398A">
              <w:rPr>
                <w:rFonts w:asciiTheme="majorHAnsi" w:hAnsiTheme="majorHAnsi"/>
                <w:noProof/>
                <w:webHidden/>
              </w:rPr>
              <w:instrText xml:space="preserve"> PAGEREF _Toc58312593 \h </w:instrText>
            </w:r>
            <w:r w:rsidR="0007398A" w:rsidRPr="0007398A">
              <w:rPr>
                <w:rFonts w:asciiTheme="majorHAnsi" w:hAnsiTheme="majorHAnsi"/>
                <w:noProof/>
                <w:webHidden/>
              </w:rPr>
            </w:r>
            <w:r w:rsidR="0007398A" w:rsidRPr="0007398A">
              <w:rPr>
                <w:rFonts w:asciiTheme="majorHAnsi" w:hAnsiTheme="majorHAnsi"/>
                <w:noProof/>
                <w:webHidden/>
              </w:rPr>
              <w:fldChar w:fldCharType="separate"/>
            </w:r>
            <w:r w:rsidR="00CC3B42">
              <w:rPr>
                <w:rFonts w:asciiTheme="majorHAnsi" w:hAnsiTheme="majorHAnsi"/>
                <w:noProof/>
                <w:webHidden/>
              </w:rPr>
              <w:t>24</w:t>
            </w:r>
            <w:r w:rsidR="0007398A" w:rsidRPr="0007398A">
              <w:rPr>
                <w:rFonts w:asciiTheme="majorHAnsi" w:hAnsiTheme="majorHAnsi"/>
                <w:noProof/>
                <w:webHidden/>
              </w:rPr>
              <w:fldChar w:fldCharType="end"/>
            </w:r>
          </w:hyperlink>
        </w:p>
        <w:p w14:paraId="74C9C278" w14:textId="77777777" w:rsidR="0007398A" w:rsidRPr="0007398A" w:rsidRDefault="00AF20AA">
          <w:pPr>
            <w:pStyle w:val="TOC2"/>
            <w:rPr>
              <w:rFonts w:eastAsiaTheme="minorEastAsia" w:cstheme="minorBidi"/>
              <w:b/>
              <w:color w:val="auto"/>
              <w:szCs w:val="22"/>
              <w:lang w:eastAsia="en-AU"/>
            </w:rPr>
          </w:pPr>
          <w:hyperlink w:anchor="_Toc58312594" w:history="1">
            <w:r w:rsidR="0007398A" w:rsidRPr="0007398A">
              <w:rPr>
                <w:rStyle w:val="Hyperlink"/>
                <w:b/>
              </w:rPr>
              <w:t>5</w:t>
            </w:r>
            <w:r w:rsidR="0007398A" w:rsidRPr="0007398A">
              <w:rPr>
                <w:rFonts w:eastAsiaTheme="minorEastAsia" w:cstheme="minorBidi"/>
                <w:b/>
                <w:color w:val="auto"/>
                <w:szCs w:val="22"/>
                <w:lang w:eastAsia="en-AU"/>
              </w:rPr>
              <w:tab/>
            </w:r>
            <w:r w:rsidR="0007398A" w:rsidRPr="0007398A">
              <w:rPr>
                <w:rStyle w:val="Hyperlink"/>
                <w:b/>
              </w:rPr>
              <w:t>Conclusion</w:t>
            </w:r>
            <w:r w:rsidR="0007398A" w:rsidRPr="0007398A">
              <w:rPr>
                <w:b/>
                <w:webHidden/>
              </w:rPr>
              <w:tab/>
            </w:r>
            <w:r w:rsidR="0007398A" w:rsidRPr="0007398A">
              <w:rPr>
                <w:b/>
                <w:webHidden/>
              </w:rPr>
              <w:fldChar w:fldCharType="begin"/>
            </w:r>
            <w:r w:rsidR="0007398A" w:rsidRPr="0007398A">
              <w:rPr>
                <w:b/>
                <w:webHidden/>
              </w:rPr>
              <w:instrText xml:space="preserve"> PAGEREF _Toc58312594 \h </w:instrText>
            </w:r>
            <w:r w:rsidR="0007398A" w:rsidRPr="0007398A">
              <w:rPr>
                <w:b/>
                <w:webHidden/>
              </w:rPr>
            </w:r>
            <w:r w:rsidR="0007398A" w:rsidRPr="0007398A">
              <w:rPr>
                <w:b/>
                <w:webHidden/>
              </w:rPr>
              <w:fldChar w:fldCharType="separate"/>
            </w:r>
            <w:r w:rsidR="00CC3B42">
              <w:rPr>
                <w:b/>
                <w:webHidden/>
              </w:rPr>
              <w:t>26</w:t>
            </w:r>
            <w:r w:rsidR="0007398A" w:rsidRPr="0007398A">
              <w:rPr>
                <w:b/>
                <w:webHidden/>
              </w:rPr>
              <w:fldChar w:fldCharType="end"/>
            </w:r>
          </w:hyperlink>
        </w:p>
        <w:p w14:paraId="7B365905" w14:textId="77777777" w:rsidR="0007398A" w:rsidRPr="0007398A" w:rsidRDefault="00AF20AA">
          <w:pPr>
            <w:pStyle w:val="TOC2"/>
            <w:rPr>
              <w:rFonts w:eastAsiaTheme="minorEastAsia" w:cstheme="minorBidi"/>
              <w:b/>
              <w:color w:val="auto"/>
              <w:szCs w:val="22"/>
              <w:lang w:eastAsia="en-AU"/>
            </w:rPr>
          </w:pPr>
          <w:hyperlink w:anchor="_Toc58312595" w:history="1">
            <w:r w:rsidR="0007398A" w:rsidRPr="0007398A">
              <w:rPr>
                <w:rStyle w:val="Hyperlink"/>
                <w:b/>
              </w:rPr>
              <w:t>Appendix A: Regional Forest Agreement tabular data</w:t>
            </w:r>
            <w:r w:rsidR="0007398A" w:rsidRPr="0007398A">
              <w:rPr>
                <w:b/>
                <w:webHidden/>
              </w:rPr>
              <w:tab/>
            </w:r>
            <w:r w:rsidR="0007398A" w:rsidRPr="0007398A">
              <w:rPr>
                <w:b/>
                <w:webHidden/>
              </w:rPr>
              <w:fldChar w:fldCharType="begin"/>
            </w:r>
            <w:r w:rsidR="0007398A" w:rsidRPr="0007398A">
              <w:rPr>
                <w:b/>
                <w:webHidden/>
              </w:rPr>
              <w:instrText xml:space="preserve"> PAGEREF _Toc58312595 \h </w:instrText>
            </w:r>
            <w:r w:rsidR="0007398A" w:rsidRPr="0007398A">
              <w:rPr>
                <w:b/>
                <w:webHidden/>
              </w:rPr>
            </w:r>
            <w:r w:rsidR="0007398A" w:rsidRPr="0007398A">
              <w:rPr>
                <w:b/>
                <w:webHidden/>
              </w:rPr>
              <w:fldChar w:fldCharType="separate"/>
            </w:r>
            <w:r w:rsidR="00CC3B42">
              <w:rPr>
                <w:b/>
                <w:webHidden/>
              </w:rPr>
              <w:t>27</w:t>
            </w:r>
            <w:r w:rsidR="0007398A" w:rsidRPr="0007398A">
              <w:rPr>
                <w:b/>
                <w:webHidden/>
              </w:rPr>
              <w:fldChar w:fldCharType="end"/>
            </w:r>
          </w:hyperlink>
        </w:p>
        <w:p w14:paraId="6F021684" w14:textId="77777777" w:rsidR="0007398A" w:rsidRPr="0007398A" w:rsidRDefault="00AF20AA">
          <w:pPr>
            <w:pStyle w:val="TOC2"/>
            <w:rPr>
              <w:rFonts w:eastAsiaTheme="minorEastAsia" w:cstheme="minorBidi"/>
              <w:b/>
              <w:color w:val="auto"/>
              <w:szCs w:val="22"/>
              <w:lang w:eastAsia="en-AU"/>
            </w:rPr>
          </w:pPr>
          <w:hyperlink w:anchor="_Toc58312596" w:history="1">
            <w:r w:rsidR="0007398A" w:rsidRPr="0007398A">
              <w:rPr>
                <w:rStyle w:val="Hyperlink"/>
                <w:b/>
              </w:rPr>
              <w:t>References</w:t>
            </w:r>
            <w:r w:rsidR="0007398A" w:rsidRPr="0007398A">
              <w:rPr>
                <w:b/>
                <w:webHidden/>
              </w:rPr>
              <w:tab/>
            </w:r>
            <w:r w:rsidR="0007398A" w:rsidRPr="0007398A">
              <w:rPr>
                <w:b/>
                <w:webHidden/>
              </w:rPr>
              <w:fldChar w:fldCharType="begin"/>
            </w:r>
            <w:r w:rsidR="0007398A" w:rsidRPr="0007398A">
              <w:rPr>
                <w:b/>
                <w:webHidden/>
              </w:rPr>
              <w:instrText xml:space="preserve"> PAGEREF _Toc58312596 \h </w:instrText>
            </w:r>
            <w:r w:rsidR="0007398A" w:rsidRPr="0007398A">
              <w:rPr>
                <w:b/>
                <w:webHidden/>
              </w:rPr>
            </w:r>
            <w:r w:rsidR="0007398A" w:rsidRPr="0007398A">
              <w:rPr>
                <w:b/>
                <w:webHidden/>
              </w:rPr>
              <w:fldChar w:fldCharType="separate"/>
            </w:r>
            <w:r w:rsidR="00CC3B42">
              <w:rPr>
                <w:b/>
                <w:webHidden/>
              </w:rPr>
              <w:t>42</w:t>
            </w:r>
            <w:r w:rsidR="0007398A" w:rsidRPr="0007398A">
              <w:rPr>
                <w:b/>
                <w:webHidden/>
              </w:rPr>
              <w:fldChar w:fldCharType="end"/>
            </w:r>
          </w:hyperlink>
        </w:p>
        <w:p w14:paraId="0B84E740" w14:textId="2C078C8F" w:rsidR="001924E5" w:rsidRDefault="0003027F" w:rsidP="00701DE1">
          <w:r w:rsidRPr="0007398A">
            <w:rPr>
              <w:rStyle w:val="Hyperlink"/>
              <w:rFonts w:asciiTheme="majorHAnsi" w:eastAsiaTheme="minorHAnsi" w:hAnsiTheme="majorHAnsi" w:cstheme="minorBidi"/>
              <w:noProof/>
              <w:color w:val="165788"/>
              <w:szCs w:val="22"/>
            </w:rPr>
            <w:fldChar w:fldCharType="end"/>
          </w:r>
        </w:p>
      </w:sdtContent>
    </w:sdt>
    <w:p w14:paraId="04A8CDBB" w14:textId="77777777" w:rsidR="00DE2888" w:rsidRDefault="00DE2888" w:rsidP="00797EE4">
      <w:pPr>
        <w:pStyle w:val="TOC2"/>
        <w:rPr>
          <w:rStyle w:val="Strong"/>
        </w:rPr>
      </w:pPr>
      <w:r>
        <w:rPr>
          <w:rStyle w:val="Strong"/>
        </w:rPr>
        <w:br w:type="page"/>
      </w:r>
    </w:p>
    <w:p w14:paraId="75C994E0" w14:textId="6AEC41E5" w:rsidR="001924E5" w:rsidRDefault="001924E5" w:rsidP="001924E5">
      <w:pPr>
        <w:pStyle w:val="TOCHeading2"/>
        <w:rPr>
          <w:rStyle w:val="Strong"/>
        </w:rPr>
      </w:pPr>
      <w:r>
        <w:rPr>
          <w:rStyle w:val="Strong"/>
        </w:rPr>
        <w:lastRenderedPageBreak/>
        <w:t>Tables</w:t>
      </w:r>
    </w:p>
    <w:p w14:paraId="6AA9E2FA" w14:textId="77777777" w:rsidR="00F9545B" w:rsidRDefault="001924E5">
      <w:pPr>
        <w:pStyle w:val="TableofFigures"/>
        <w:tabs>
          <w:tab w:val="right" w:leader="dot" w:pos="9016"/>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58234964" w:history="1">
        <w:r w:rsidR="00F9545B" w:rsidRPr="00ED1EF1">
          <w:rPr>
            <w:rStyle w:val="Hyperlink"/>
            <w:noProof/>
          </w:rPr>
          <w:t>Table A1 Areas of native forest and non-forest ecosystems in RFA regions, and areas reserved before and immediately after RFAs were signed</w:t>
        </w:r>
        <w:r w:rsidR="00F9545B">
          <w:rPr>
            <w:noProof/>
            <w:webHidden/>
          </w:rPr>
          <w:tab/>
        </w:r>
        <w:r w:rsidR="00F9545B">
          <w:rPr>
            <w:noProof/>
            <w:webHidden/>
          </w:rPr>
          <w:fldChar w:fldCharType="begin"/>
        </w:r>
        <w:r w:rsidR="00F9545B">
          <w:rPr>
            <w:noProof/>
            <w:webHidden/>
          </w:rPr>
          <w:instrText xml:space="preserve"> PAGEREF _Toc58234964 \h </w:instrText>
        </w:r>
        <w:r w:rsidR="00F9545B">
          <w:rPr>
            <w:noProof/>
            <w:webHidden/>
          </w:rPr>
        </w:r>
        <w:r w:rsidR="00F9545B">
          <w:rPr>
            <w:noProof/>
            <w:webHidden/>
          </w:rPr>
          <w:fldChar w:fldCharType="separate"/>
        </w:r>
        <w:r w:rsidR="00CC3B42">
          <w:rPr>
            <w:noProof/>
            <w:webHidden/>
          </w:rPr>
          <w:t>27</w:t>
        </w:r>
        <w:r w:rsidR="00F9545B">
          <w:rPr>
            <w:noProof/>
            <w:webHidden/>
          </w:rPr>
          <w:fldChar w:fldCharType="end"/>
        </w:r>
      </w:hyperlink>
    </w:p>
    <w:p w14:paraId="12757C7F"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65" w:history="1">
        <w:r w:rsidR="00F9545B" w:rsidRPr="00ED1EF1">
          <w:rPr>
            <w:rStyle w:val="Hyperlink"/>
            <w:noProof/>
          </w:rPr>
          <w:t>Table A2 Proportions of native forest and non-forest ecosystems reserved before and immediately after RFAs were signed</w:t>
        </w:r>
        <w:r w:rsidR="00F9545B">
          <w:rPr>
            <w:noProof/>
            <w:webHidden/>
          </w:rPr>
          <w:tab/>
        </w:r>
        <w:r w:rsidR="00F9545B">
          <w:rPr>
            <w:noProof/>
            <w:webHidden/>
          </w:rPr>
          <w:fldChar w:fldCharType="begin"/>
        </w:r>
        <w:r w:rsidR="00F9545B">
          <w:rPr>
            <w:noProof/>
            <w:webHidden/>
          </w:rPr>
          <w:instrText xml:space="preserve"> PAGEREF _Toc58234965 \h </w:instrText>
        </w:r>
        <w:r w:rsidR="00F9545B">
          <w:rPr>
            <w:noProof/>
            <w:webHidden/>
          </w:rPr>
        </w:r>
        <w:r w:rsidR="00F9545B">
          <w:rPr>
            <w:noProof/>
            <w:webHidden/>
          </w:rPr>
          <w:fldChar w:fldCharType="separate"/>
        </w:r>
        <w:r w:rsidR="00CC3B42">
          <w:rPr>
            <w:noProof/>
            <w:webHidden/>
          </w:rPr>
          <w:t>29</w:t>
        </w:r>
        <w:r w:rsidR="00F9545B">
          <w:rPr>
            <w:noProof/>
            <w:webHidden/>
          </w:rPr>
          <w:fldChar w:fldCharType="end"/>
        </w:r>
      </w:hyperlink>
    </w:p>
    <w:p w14:paraId="4035C84A"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66" w:history="1">
        <w:r w:rsidR="00F9545B" w:rsidRPr="00ED1EF1">
          <w:rPr>
            <w:rStyle w:val="Hyperlink"/>
            <w:noProof/>
          </w:rPr>
          <w:t>Table A3 Areas of native forest and non-forest ecosystems in RFA regions, and areas reserved in most recent data</w:t>
        </w:r>
        <w:r w:rsidR="00F9545B">
          <w:rPr>
            <w:noProof/>
            <w:webHidden/>
          </w:rPr>
          <w:tab/>
        </w:r>
        <w:r w:rsidR="00F9545B">
          <w:rPr>
            <w:noProof/>
            <w:webHidden/>
          </w:rPr>
          <w:fldChar w:fldCharType="begin"/>
        </w:r>
        <w:r w:rsidR="00F9545B">
          <w:rPr>
            <w:noProof/>
            <w:webHidden/>
          </w:rPr>
          <w:instrText xml:space="preserve"> PAGEREF _Toc58234966 \h </w:instrText>
        </w:r>
        <w:r w:rsidR="00F9545B">
          <w:rPr>
            <w:noProof/>
            <w:webHidden/>
          </w:rPr>
        </w:r>
        <w:r w:rsidR="00F9545B">
          <w:rPr>
            <w:noProof/>
            <w:webHidden/>
          </w:rPr>
          <w:fldChar w:fldCharType="separate"/>
        </w:r>
        <w:r w:rsidR="00CC3B42">
          <w:rPr>
            <w:noProof/>
            <w:webHidden/>
          </w:rPr>
          <w:t>31</w:t>
        </w:r>
        <w:r w:rsidR="00F9545B">
          <w:rPr>
            <w:noProof/>
            <w:webHidden/>
          </w:rPr>
          <w:fldChar w:fldCharType="end"/>
        </w:r>
      </w:hyperlink>
    </w:p>
    <w:p w14:paraId="6A51828A"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67" w:history="1">
        <w:r w:rsidR="00F9545B" w:rsidRPr="00ED1EF1">
          <w:rPr>
            <w:rStyle w:val="Hyperlink"/>
            <w:noProof/>
          </w:rPr>
          <w:t>Table A4 Change in area of native forest and non-forest ecosystems in RFA regions, and areas reserved in most recent data</w:t>
        </w:r>
        <w:r w:rsidR="00F9545B">
          <w:rPr>
            <w:noProof/>
            <w:webHidden/>
          </w:rPr>
          <w:tab/>
        </w:r>
        <w:r w:rsidR="00F9545B">
          <w:rPr>
            <w:noProof/>
            <w:webHidden/>
          </w:rPr>
          <w:fldChar w:fldCharType="begin"/>
        </w:r>
        <w:r w:rsidR="00F9545B">
          <w:rPr>
            <w:noProof/>
            <w:webHidden/>
          </w:rPr>
          <w:instrText xml:space="preserve"> PAGEREF _Toc58234967 \h </w:instrText>
        </w:r>
        <w:r w:rsidR="00F9545B">
          <w:rPr>
            <w:noProof/>
            <w:webHidden/>
          </w:rPr>
        </w:r>
        <w:r w:rsidR="00F9545B">
          <w:rPr>
            <w:noProof/>
            <w:webHidden/>
          </w:rPr>
          <w:fldChar w:fldCharType="separate"/>
        </w:r>
        <w:r w:rsidR="00CC3B42">
          <w:rPr>
            <w:noProof/>
            <w:webHidden/>
          </w:rPr>
          <w:t>33</w:t>
        </w:r>
        <w:r w:rsidR="00F9545B">
          <w:rPr>
            <w:noProof/>
            <w:webHidden/>
          </w:rPr>
          <w:fldChar w:fldCharType="end"/>
        </w:r>
      </w:hyperlink>
    </w:p>
    <w:p w14:paraId="5409E929"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68" w:history="1">
        <w:r w:rsidR="00F9545B" w:rsidRPr="00ED1EF1">
          <w:rPr>
            <w:rStyle w:val="Hyperlink"/>
            <w:noProof/>
          </w:rPr>
          <w:t>Table A5 Changes in areas in components of CAR reserve systems in RFA regions, by jurisdiction</w:t>
        </w:r>
        <w:r w:rsidR="00F9545B">
          <w:rPr>
            <w:noProof/>
            <w:webHidden/>
          </w:rPr>
          <w:tab/>
        </w:r>
        <w:r w:rsidR="00F9545B">
          <w:rPr>
            <w:noProof/>
            <w:webHidden/>
          </w:rPr>
          <w:fldChar w:fldCharType="begin"/>
        </w:r>
        <w:r w:rsidR="00F9545B">
          <w:rPr>
            <w:noProof/>
            <w:webHidden/>
          </w:rPr>
          <w:instrText xml:space="preserve"> PAGEREF _Toc58234968 \h </w:instrText>
        </w:r>
        <w:r w:rsidR="00F9545B">
          <w:rPr>
            <w:noProof/>
            <w:webHidden/>
          </w:rPr>
        </w:r>
        <w:r w:rsidR="00F9545B">
          <w:rPr>
            <w:noProof/>
            <w:webHidden/>
          </w:rPr>
          <w:fldChar w:fldCharType="separate"/>
        </w:r>
        <w:r w:rsidR="00CC3B42">
          <w:rPr>
            <w:noProof/>
            <w:webHidden/>
          </w:rPr>
          <w:t>35</w:t>
        </w:r>
        <w:r w:rsidR="00F9545B">
          <w:rPr>
            <w:noProof/>
            <w:webHidden/>
          </w:rPr>
          <w:fldChar w:fldCharType="end"/>
        </w:r>
      </w:hyperlink>
    </w:p>
    <w:p w14:paraId="1B429B7E"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69" w:history="1">
        <w:r w:rsidR="00F9545B" w:rsidRPr="00ED1EF1">
          <w:rPr>
            <w:rStyle w:val="Hyperlink"/>
            <w:noProof/>
          </w:rPr>
          <w:t>Table A6 Areas of old-growth forest reserved before and immediately after RFAs were signed</w:t>
        </w:r>
        <w:r w:rsidR="00F9545B">
          <w:rPr>
            <w:noProof/>
            <w:webHidden/>
          </w:rPr>
          <w:tab/>
        </w:r>
        <w:r w:rsidR="00F9545B">
          <w:rPr>
            <w:noProof/>
            <w:webHidden/>
          </w:rPr>
          <w:fldChar w:fldCharType="begin"/>
        </w:r>
        <w:r w:rsidR="00F9545B">
          <w:rPr>
            <w:noProof/>
            <w:webHidden/>
          </w:rPr>
          <w:instrText xml:space="preserve"> PAGEREF _Toc58234969 \h </w:instrText>
        </w:r>
        <w:r w:rsidR="00F9545B">
          <w:rPr>
            <w:noProof/>
            <w:webHidden/>
          </w:rPr>
        </w:r>
        <w:r w:rsidR="00F9545B">
          <w:rPr>
            <w:noProof/>
            <w:webHidden/>
          </w:rPr>
          <w:fldChar w:fldCharType="separate"/>
        </w:r>
        <w:r w:rsidR="00CC3B42">
          <w:rPr>
            <w:noProof/>
            <w:webHidden/>
          </w:rPr>
          <w:t>36</w:t>
        </w:r>
        <w:r w:rsidR="00F9545B">
          <w:rPr>
            <w:noProof/>
            <w:webHidden/>
          </w:rPr>
          <w:fldChar w:fldCharType="end"/>
        </w:r>
      </w:hyperlink>
    </w:p>
    <w:p w14:paraId="65540331"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70" w:history="1">
        <w:r w:rsidR="00F9545B" w:rsidRPr="00ED1EF1">
          <w:rPr>
            <w:rStyle w:val="Hyperlink"/>
            <w:noProof/>
          </w:rPr>
          <w:t>Table A7 Areas of old-growth forest reserved subsequent to RFAs being signed</w:t>
        </w:r>
        <w:r w:rsidR="00F9545B">
          <w:rPr>
            <w:noProof/>
            <w:webHidden/>
          </w:rPr>
          <w:tab/>
        </w:r>
        <w:r w:rsidR="00F9545B">
          <w:rPr>
            <w:noProof/>
            <w:webHidden/>
          </w:rPr>
          <w:fldChar w:fldCharType="begin"/>
        </w:r>
        <w:r w:rsidR="00F9545B">
          <w:rPr>
            <w:noProof/>
            <w:webHidden/>
          </w:rPr>
          <w:instrText xml:space="preserve"> PAGEREF _Toc58234970 \h </w:instrText>
        </w:r>
        <w:r w:rsidR="00F9545B">
          <w:rPr>
            <w:noProof/>
            <w:webHidden/>
          </w:rPr>
        </w:r>
        <w:r w:rsidR="00F9545B">
          <w:rPr>
            <w:noProof/>
            <w:webHidden/>
          </w:rPr>
          <w:fldChar w:fldCharType="separate"/>
        </w:r>
        <w:r w:rsidR="00CC3B42">
          <w:rPr>
            <w:noProof/>
            <w:webHidden/>
          </w:rPr>
          <w:t>37</w:t>
        </w:r>
        <w:r w:rsidR="00F9545B">
          <w:rPr>
            <w:noProof/>
            <w:webHidden/>
          </w:rPr>
          <w:fldChar w:fldCharType="end"/>
        </w:r>
      </w:hyperlink>
    </w:p>
    <w:p w14:paraId="630B6782"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71" w:history="1">
        <w:r w:rsidR="00F9545B" w:rsidRPr="00ED1EF1">
          <w:rPr>
            <w:rStyle w:val="Hyperlink"/>
            <w:noProof/>
          </w:rPr>
          <w:t>Table A8 Old-growth forest areas in RFA regions, Victoria</w:t>
        </w:r>
        <w:r w:rsidR="00F9545B">
          <w:rPr>
            <w:noProof/>
            <w:webHidden/>
          </w:rPr>
          <w:tab/>
        </w:r>
        <w:r w:rsidR="00F9545B">
          <w:rPr>
            <w:noProof/>
            <w:webHidden/>
          </w:rPr>
          <w:fldChar w:fldCharType="begin"/>
        </w:r>
        <w:r w:rsidR="00F9545B">
          <w:rPr>
            <w:noProof/>
            <w:webHidden/>
          </w:rPr>
          <w:instrText xml:space="preserve"> PAGEREF _Toc58234971 \h </w:instrText>
        </w:r>
        <w:r w:rsidR="00F9545B">
          <w:rPr>
            <w:noProof/>
            <w:webHidden/>
          </w:rPr>
        </w:r>
        <w:r w:rsidR="00F9545B">
          <w:rPr>
            <w:noProof/>
            <w:webHidden/>
          </w:rPr>
          <w:fldChar w:fldCharType="separate"/>
        </w:r>
        <w:r w:rsidR="00CC3B42">
          <w:rPr>
            <w:noProof/>
            <w:webHidden/>
          </w:rPr>
          <w:t>38</w:t>
        </w:r>
        <w:r w:rsidR="00F9545B">
          <w:rPr>
            <w:noProof/>
            <w:webHidden/>
          </w:rPr>
          <w:fldChar w:fldCharType="end"/>
        </w:r>
      </w:hyperlink>
    </w:p>
    <w:p w14:paraId="478ED7F8"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72" w:history="1">
        <w:r w:rsidR="00F9545B" w:rsidRPr="00ED1EF1">
          <w:rPr>
            <w:rStyle w:val="Hyperlink"/>
            <w:noProof/>
          </w:rPr>
          <w:t>Table A9 Area of reserved high-quality wilderness before and after RFAs were signed</w:t>
        </w:r>
        <w:r w:rsidR="00F9545B">
          <w:rPr>
            <w:noProof/>
            <w:webHidden/>
          </w:rPr>
          <w:tab/>
        </w:r>
        <w:r w:rsidR="00F9545B">
          <w:rPr>
            <w:noProof/>
            <w:webHidden/>
          </w:rPr>
          <w:fldChar w:fldCharType="begin"/>
        </w:r>
        <w:r w:rsidR="00F9545B">
          <w:rPr>
            <w:noProof/>
            <w:webHidden/>
          </w:rPr>
          <w:instrText xml:space="preserve"> PAGEREF _Toc58234972 \h </w:instrText>
        </w:r>
        <w:r w:rsidR="00F9545B">
          <w:rPr>
            <w:noProof/>
            <w:webHidden/>
          </w:rPr>
        </w:r>
        <w:r w:rsidR="00F9545B">
          <w:rPr>
            <w:noProof/>
            <w:webHidden/>
          </w:rPr>
          <w:fldChar w:fldCharType="separate"/>
        </w:r>
        <w:r w:rsidR="00CC3B42">
          <w:rPr>
            <w:noProof/>
            <w:webHidden/>
          </w:rPr>
          <w:t>39</w:t>
        </w:r>
        <w:r w:rsidR="00F9545B">
          <w:rPr>
            <w:noProof/>
            <w:webHidden/>
          </w:rPr>
          <w:fldChar w:fldCharType="end"/>
        </w:r>
      </w:hyperlink>
    </w:p>
    <w:p w14:paraId="4E001498"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73" w:history="1">
        <w:r w:rsidR="00F9545B" w:rsidRPr="00ED1EF1">
          <w:rPr>
            <w:rStyle w:val="Hyperlink"/>
            <w:noProof/>
          </w:rPr>
          <w:t>Table A10 Net harvestable areas (NHA) before and after RFAs were signed</w:t>
        </w:r>
        <w:r w:rsidR="00F9545B">
          <w:rPr>
            <w:noProof/>
            <w:webHidden/>
          </w:rPr>
          <w:tab/>
        </w:r>
        <w:r w:rsidR="00F9545B">
          <w:rPr>
            <w:noProof/>
            <w:webHidden/>
          </w:rPr>
          <w:fldChar w:fldCharType="begin"/>
        </w:r>
        <w:r w:rsidR="00F9545B">
          <w:rPr>
            <w:noProof/>
            <w:webHidden/>
          </w:rPr>
          <w:instrText xml:space="preserve"> PAGEREF _Toc58234973 \h </w:instrText>
        </w:r>
        <w:r w:rsidR="00F9545B">
          <w:rPr>
            <w:noProof/>
            <w:webHidden/>
          </w:rPr>
        </w:r>
        <w:r w:rsidR="00F9545B">
          <w:rPr>
            <w:noProof/>
            <w:webHidden/>
          </w:rPr>
          <w:fldChar w:fldCharType="separate"/>
        </w:r>
        <w:r w:rsidR="00CC3B42">
          <w:rPr>
            <w:noProof/>
            <w:webHidden/>
          </w:rPr>
          <w:t>40</w:t>
        </w:r>
        <w:r w:rsidR="00F9545B">
          <w:rPr>
            <w:noProof/>
            <w:webHidden/>
          </w:rPr>
          <w:fldChar w:fldCharType="end"/>
        </w:r>
      </w:hyperlink>
    </w:p>
    <w:p w14:paraId="7422DA57"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74" w:history="1">
        <w:r w:rsidR="00F9545B" w:rsidRPr="00ED1EF1">
          <w:rPr>
            <w:rStyle w:val="Hyperlink"/>
            <w:noProof/>
          </w:rPr>
          <w:t>Table A11 Average annual harvest and sustainable yield for multiple-use public forests in areas covered by RFAs, by state and five-yearly reporting periods between 1992 and 2016</w:t>
        </w:r>
        <w:r w:rsidR="00F9545B">
          <w:rPr>
            <w:noProof/>
            <w:webHidden/>
          </w:rPr>
          <w:tab/>
        </w:r>
        <w:r w:rsidR="00F9545B">
          <w:rPr>
            <w:noProof/>
            <w:webHidden/>
          </w:rPr>
          <w:fldChar w:fldCharType="begin"/>
        </w:r>
        <w:r w:rsidR="00F9545B">
          <w:rPr>
            <w:noProof/>
            <w:webHidden/>
          </w:rPr>
          <w:instrText xml:space="preserve"> PAGEREF _Toc58234974 \h </w:instrText>
        </w:r>
        <w:r w:rsidR="00F9545B">
          <w:rPr>
            <w:noProof/>
            <w:webHidden/>
          </w:rPr>
        </w:r>
        <w:r w:rsidR="00F9545B">
          <w:rPr>
            <w:noProof/>
            <w:webHidden/>
          </w:rPr>
          <w:fldChar w:fldCharType="separate"/>
        </w:r>
        <w:r w:rsidR="00CC3B42">
          <w:rPr>
            <w:noProof/>
            <w:webHidden/>
          </w:rPr>
          <w:t>41</w:t>
        </w:r>
        <w:r w:rsidR="00F9545B">
          <w:rPr>
            <w:noProof/>
            <w:webHidden/>
          </w:rPr>
          <w:fldChar w:fldCharType="end"/>
        </w:r>
      </w:hyperlink>
    </w:p>
    <w:p w14:paraId="12EAB9F7" w14:textId="31894AA7" w:rsidR="00116F5B" w:rsidRDefault="001924E5" w:rsidP="00116F5B">
      <w:pPr>
        <w:pStyle w:val="TOCHeading2"/>
        <w:rPr>
          <w:rStyle w:val="Strong"/>
        </w:rPr>
      </w:pPr>
      <w:r>
        <w:fldChar w:fldCharType="end"/>
      </w:r>
      <w:r w:rsidR="00116F5B">
        <w:rPr>
          <w:rStyle w:val="Strong"/>
        </w:rPr>
        <w:t>Figures</w:t>
      </w:r>
    </w:p>
    <w:p w14:paraId="3D7CED7E" w14:textId="77777777" w:rsidR="00F9545B" w:rsidRDefault="00116F5B">
      <w:pPr>
        <w:pStyle w:val="TableofFigures"/>
        <w:tabs>
          <w:tab w:val="right" w:leader="dot" w:pos="9016"/>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8234975" w:history="1">
        <w:r w:rsidR="00F9545B" w:rsidRPr="008E46CA">
          <w:rPr>
            <w:rStyle w:val="Hyperlink"/>
            <w:noProof/>
          </w:rPr>
          <w:t>Figure 1 Regional Forest Agreement and related regions in Australia</w:t>
        </w:r>
        <w:r w:rsidR="00F9545B">
          <w:rPr>
            <w:noProof/>
            <w:webHidden/>
          </w:rPr>
          <w:tab/>
        </w:r>
        <w:r w:rsidR="00F9545B">
          <w:rPr>
            <w:noProof/>
            <w:webHidden/>
          </w:rPr>
          <w:fldChar w:fldCharType="begin"/>
        </w:r>
        <w:r w:rsidR="00F9545B">
          <w:rPr>
            <w:noProof/>
            <w:webHidden/>
          </w:rPr>
          <w:instrText xml:space="preserve"> PAGEREF _Toc58234975 \h </w:instrText>
        </w:r>
        <w:r w:rsidR="00F9545B">
          <w:rPr>
            <w:noProof/>
            <w:webHidden/>
          </w:rPr>
        </w:r>
        <w:r w:rsidR="00F9545B">
          <w:rPr>
            <w:noProof/>
            <w:webHidden/>
          </w:rPr>
          <w:fldChar w:fldCharType="separate"/>
        </w:r>
        <w:r w:rsidR="00CC3B42">
          <w:rPr>
            <w:noProof/>
            <w:webHidden/>
          </w:rPr>
          <w:t>7</w:t>
        </w:r>
        <w:r w:rsidR="00F9545B">
          <w:rPr>
            <w:noProof/>
            <w:webHidden/>
          </w:rPr>
          <w:fldChar w:fldCharType="end"/>
        </w:r>
      </w:hyperlink>
    </w:p>
    <w:p w14:paraId="7CAFD79B"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76" w:history="1">
        <w:r w:rsidR="00F9545B" w:rsidRPr="008E46CA">
          <w:rPr>
            <w:rStyle w:val="Hyperlink"/>
            <w:noProof/>
          </w:rPr>
          <w:t>Figure 2 Total area of terrestrial native ecosystems in RFA regions and the area in reserves or the CAR reserve system at different periods before and after signing of RFAs, by state</w:t>
        </w:r>
        <w:r w:rsidR="00F9545B">
          <w:rPr>
            <w:noProof/>
            <w:webHidden/>
          </w:rPr>
          <w:tab/>
        </w:r>
        <w:r w:rsidR="00F9545B">
          <w:rPr>
            <w:noProof/>
            <w:webHidden/>
          </w:rPr>
          <w:fldChar w:fldCharType="begin"/>
        </w:r>
        <w:r w:rsidR="00F9545B">
          <w:rPr>
            <w:noProof/>
            <w:webHidden/>
          </w:rPr>
          <w:instrText xml:space="preserve"> PAGEREF _Toc58234976 \h </w:instrText>
        </w:r>
        <w:r w:rsidR="00F9545B">
          <w:rPr>
            <w:noProof/>
            <w:webHidden/>
          </w:rPr>
        </w:r>
        <w:r w:rsidR="00F9545B">
          <w:rPr>
            <w:noProof/>
            <w:webHidden/>
          </w:rPr>
          <w:fldChar w:fldCharType="separate"/>
        </w:r>
        <w:r w:rsidR="00CC3B42">
          <w:rPr>
            <w:noProof/>
            <w:webHidden/>
          </w:rPr>
          <w:t>15</w:t>
        </w:r>
        <w:r w:rsidR="00F9545B">
          <w:rPr>
            <w:noProof/>
            <w:webHidden/>
          </w:rPr>
          <w:fldChar w:fldCharType="end"/>
        </w:r>
      </w:hyperlink>
    </w:p>
    <w:p w14:paraId="00EF578A"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77" w:history="1">
        <w:r w:rsidR="00F9545B" w:rsidRPr="008E46CA">
          <w:rPr>
            <w:rStyle w:val="Hyperlink"/>
            <w:noProof/>
          </w:rPr>
          <w:t>Figure 3 Total area of old-growth forest ecosystems in RFA regions and the area in reserves or the CAR reserve system at different periods before and after signing of RFAs, by state</w:t>
        </w:r>
        <w:r w:rsidR="00F9545B">
          <w:rPr>
            <w:noProof/>
            <w:webHidden/>
          </w:rPr>
          <w:tab/>
        </w:r>
        <w:r w:rsidR="00F9545B">
          <w:rPr>
            <w:noProof/>
            <w:webHidden/>
          </w:rPr>
          <w:fldChar w:fldCharType="begin"/>
        </w:r>
        <w:r w:rsidR="00F9545B">
          <w:rPr>
            <w:noProof/>
            <w:webHidden/>
          </w:rPr>
          <w:instrText xml:space="preserve"> PAGEREF _Toc58234977 \h </w:instrText>
        </w:r>
        <w:r w:rsidR="00F9545B">
          <w:rPr>
            <w:noProof/>
            <w:webHidden/>
          </w:rPr>
        </w:r>
        <w:r w:rsidR="00F9545B">
          <w:rPr>
            <w:noProof/>
            <w:webHidden/>
          </w:rPr>
          <w:fldChar w:fldCharType="separate"/>
        </w:r>
        <w:r w:rsidR="00CC3B42">
          <w:rPr>
            <w:noProof/>
            <w:webHidden/>
          </w:rPr>
          <w:t>18</w:t>
        </w:r>
        <w:r w:rsidR="00F9545B">
          <w:rPr>
            <w:noProof/>
            <w:webHidden/>
          </w:rPr>
          <w:fldChar w:fldCharType="end"/>
        </w:r>
      </w:hyperlink>
    </w:p>
    <w:p w14:paraId="78FDF0EB"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78" w:history="1">
        <w:r w:rsidR="00F9545B" w:rsidRPr="008E46CA">
          <w:rPr>
            <w:rStyle w:val="Hyperlink"/>
            <w:noProof/>
          </w:rPr>
          <w:t>Figure 4 Total area of wilderness in RFA regions and the area in reserves or the CAR reserve system at different periods before and after signing of RFAs, by state</w:t>
        </w:r>
        <w:r w:rsidR="00F9545B">
          <w:rPr>
            <w:noProof/>
            <w:webHidden/>
          </w:rPr>
          <w:tab/>
        </w:r>
        <w:r w:rsidR="00F9545B">
          <w:rPr>
            <w:noProof/>
            <w:webHidden/>
          </w:rPr>
          <w:fldChar w:fldCharType="begin"/>
        </w:r>
        <w:r w:rsidR="00F9545B">
          <w:rPr>
            <w:noProof/>
            <w:webHidden/>
          </w:rPr>
          <w:instrText xml:space="preserve"> PAGEREF _Toc58234978 \h </w:instrText>
        </w:r>
        <w:r w:rsidR="00F9545B">
          <w:rPr>
            <w:noProof/>
            <w:webHidden/>
          </w:rPr>
        </w:r>
        <w:r w:rsidR="00F9545B">
          <w:rPr>
            <w:noProof/>
            <w:webHidden/>
          </w:rPr>
          <w:fldChar w:fldCharType="separate"/>
        </w:r>
        <w:r w:rsidR="00CC3B42">
          <w:rPr>
            <w:noProof/>
            <w:webHidden/>
          </w:rPr>
          <w:t>21</w:t>
        </w:r>
        <w:r w:rsidR="00F9545B">
          <w:rPr>
            <w:noProof/>
            <w:webHidden/>
          </w:rPr>
          <w:fldChar w:fldCharType="end"/>
        </w:r>
      </w:hyperlink>
    </w:p>
    <w:p w14:paraId="41105285"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79" w:history="1">
        <w:r w:rsidR="00F9545B" w:rsidRPr="008E46CA">
          <w:rPr>
            <w:rStyle w:val="Hyperlink"/>
            <w:noProof/>
          </w:rPr>
          <w:t>Figure 5 Total area of forest ecosystems on public land, and the net harvestable area, in RFA regions at different periods before and after signing of RFAs, by state</w:t>
        </w:r>
        <w:r w:rsidR="00F9545B">
          <w:rPr>
            <w:noProof/>
            <w:webHidden/>
          </w:rPr>
          <w:tab/>
        </w:r>
        <w:r w:rsidR="00F9545B">
          <w:rPr>
            <w:noProof/>
            <w:webHidden/>
          </w:rPr>
          <w:fldChar w:fldCharType="begin"/>
        </w:r>
        <w:r w:rsidR="00F9545B">
          <w:rPr>
            <w:noProof/>
            <w:webHidden/>
          </w:rPr>
          <w:instrText xml:space="preserve"> PAGEREF _Toc58234979 \h </w:instrText>
        </w:r>
        <w:r w:rsidR="00F9545B">
          <w:rPr>
            <w:noProof/>
            <w:webHidden/>
          </w:rPr>
        </w:r>
        <w:r w:rsidR="00F9545B">
          <w:rPr>
            <w:noProof/>
            <w:webHidden/>
          </w:rPr>
          <w:fldChar w:fldCharType="separate"/>
        </w:r>
        <w:r w:rsidR="00CC3B42">
          <w:rPr>
            <w:noProof/>
            <w:webHidden/>
          </w:rPr>
          <w:t>22</w:t>
        </w:r>
        <w:r w:rsidR="00F9545B">
          <w:rPr>
            <w:noProof/>
            <w:webHidden/>
          </w:rPr>
          <w:fldChar w:fldCharType="end"/>
        </w:r>
      </w:hyperlink>
    </w:p>
    <w:p w14:paraId="2A3A93F5" w14:textId="77777777" w:rsidR="00F9545B" w:rsidRDefault="00AF20AA">
      <w:pPr>
        <w:pStyle w:val="TableofFigures"/>
        <w:tabs>
          <w:tab w:val="right" w:leader="dot" w:pos="9016"/>
        </w:tabs>
        <w:rPr>
          <w:rFonts w:asciiTheme="minorHAnsi" w:eastAsiaTheme="minorEastAsia" w:hAnsiTheme="minorHAnsi"/>
          <w:noProof/>
          <w:lang w:eastAsia="en-AU"/>
        </w:rPr>
      </w:pPr>
      <w:hyperlink w:anchor="_Toc58234980" w:history="1">
        <w:r w:rsidR="00F9545B" w:rsidRPr="008E46CA">
          <w:rPr>
            <w:rStyle w:val="Hyperlink"/>
            <w:noProof/>
          </w:rPr>
          <w:t>Figure 6 Average annual harvest and sustainable yield for multiple-use public forest in RFA regions, by state and five-yearly reporting periods</w:t>
        </w:r>
        <w:r w:rsidR="00F9545B">
          <w:rPr>
            <w:noProof/>
            <w:webHidden/>
          </w:rPr>
          <w:tab/>
        </w:r>
        <w:r w:rsidR="00F9545B">
          <w:rPr>
            <w:noProof/>
            <w:webHidden/>
          </w:rPr>
          <w:fldChar w:fldCharType="begin"/>
        </w:r>
        <w:r w:rsidR="00F9545B">
          <w:rPr>
            <w:noProof/>
            <w:webHidden/>
          </w:rPr>
          <w:instrText xml:space="preserve"> PAGEREF _Toc58234980 \h </w:instrText>
        </w:r>
        <w:r w:rsidR="00F9545B">
          <w:rPr>
            <w:noProof/>
            <w:webHidden/>
          </w:rPr>
        </w:r>
        <w:r w:rsidR="00F9545B">
          <w:rPr>
            <w:noProof/>
            <w:webHidden/>
          </w:rPr>
          <w:fldChar w:fldCharType="separate"/>
        </w:r>
        <w:r w:rsidR="00CC3B42">
          <w:rPr>
            <w:noProof/>
            <w:webHidden/>
          </w:rPr>
          <w:t>24</w:t>
        </w:r>
        <w:r w:rsidR="00F9545B">
          <w:rPr>
            <w:noProof/>
            <w:webHidden/>
          </w:rPr>
          <w:fldChar w:fldCharType="end"/>
        </w:r>
      </w:hyperlink>
    </w:p>
    <w:p w14:paraId="39DA6C98" w14:textId="5AE922D3" w:rsidR="008C5370" w:rsidRPr="008C5370" w:rsidRDefault="00116F5B" w:rsidP="008C5370">
      <w:r>
        <w:fldChar w:fldCharType="end"/>
      </w:r>
      <w:r w:rsidR="001924E5">
        <w:br w:type="page"/>
      </w:r>
    </w:p>
    <w:p w14:paraId="26DEBAEF" w14:textId="77777777" w:rsidR="00E145ED" w:rsidRDefault="00E145ED" w:rsidP="00552614">
      <w:pPr>
        <w:pStyle w:val="Heading2"/>
        <w:numPr>
          <w:ilvl w:val="0"/>
          <w:numId w:val="6"/>
        </w:numPr>
        <w:spacing w:after="240"/>
        <w:ind w:left="709" w:hanging="709"/>
        <w:jc w:val="left"/>
        <w:rPr>
          <w:rFonts w:ascii="Calibri" w:eastAsiaTheme="minorEastAsia" w:hAnsi="Calibri" w:cstheme="minorBidi"/>
          <w:b w:val="0"/>
          <w:color w:val="000000"/>
          <w:sz w:val="56"/>
          <w:szCs w:val="28"/>
          <w:lang w:eastAsia="ja-JP"/>
        </w:rPr>
        <w:sectPr w:rsidR="00E145ED" w:rsidSect="004A6C6D">
          <w:pgSz w:w="11906" w:h="16838"/>
          <w:pgMar w:top="1440" w:right="1440" w:bottom="1440" w:left="1440" w:header="709" w:footer="709" w:gutter="0"/>
          <w:cols w:space="708"/>
          <w:docGrid w:linePitch="360"/>
        </w:sectPr>
      </w:pPr>
    </w:p>
    <w:p w14:paraId="1B9D7338" w14:textId="0617A894" w:rsidR="00295FA6" w:rsidRPr="006A03E3" w:rsidRDefault="00F122A9" w:rsidP="00295FA6">
      <w:pPr>
        <w:pStyle w:val="Heading2"/>
        <w:spacing w:after="240"/>
        <w:jc w:val="left"/>
        <w:rPr>
          <w:rFonts w:ascii="Calibri" w:eastAsiaTheme="minorEastAsia" w:hAnsi="Calibri" w:cstheme="minorBidi"/>
          <w:b w:val="0"/>
          <w:color w:val="000000"/>
          <w:sz w:val="56"/>
          <w:szCs w:val="28"/>
          <w:lang w:eastAsia="ja-JP"/>
        </w:rPr>
      </w:pPr>
      <w:bookmarkStart w:id="1" w:name="_Toc55470274"/>
      <w:bookmarkStart w:id="2" w:name="_Toc58312574"/>
      <w:r>
        <w:rPr>
          <w:rFonts w:ascii="Calibri" w:eastAsiaTheme="minorEastAsia" w:hAnsi="Calibri" w:cstheme="minorBidi"/>
          <w:b w:val="0"/>
          <w:color w:val="000000"/>
          <w:sz w:val="56"/>
          <w:szCs w:val="28"/>
          <w:lang w:eastAsia="ja-JP"/>
        </w:rPr>
        <w:lastRenderedPageBreak/>
        <w:t>Executive s</w:t>
      </w:r>
      <w:r w:rsidR="00295FA6" w:rsidRPr="001924E5">
        <w:rPr>
          <w:rFonts w:ascii="Calibri" w:eastAsiaTheme="minorEastAsia" w:hAnsi="Calibri" w:cstheme="minorBidi"/>
          <w:b w:val="0"/>
          <w:color w:val="000000"/>
          <w:sz w:val="56"/>
          <w:szCs w:val="28"/>
          <w:lang w:eastAsia="ja-JP"/>
        </w:rPr>
        <w:t>ummary</w:t>
      </w:r>
      <w:bookmarkEnd w:id="1"/>
      <w:bookmarkEnd w:id="2"/>
    </w:p>
    <w:p w14:paraId="11055997" w14:textId="33F7532C" w:rsidR="00F122A9" w:rsidRPr="002A230B" w:rsidRDefault="00F122A9" w:rsidP="00F122A9">
      <w:pPr>
        <w:spacing w:before="160"/>
      </w:pPr>
      <w:r w:rsidRPr="002A230B">
        <w:rPr>
          <w:szCs w:val="22"/>
        </w:rPr>
        <w:t xml:space="preserve">Australia’s </w:t>
      </w:r>
      <w:r w:rsidR="00E33853">
        <w:rPr>
          <w:szCs w:val="22"/>
        </w:rPr>
        <w:t xml:space="preserve">ten </w:t>
      </w:r>
      <w:r w:rsidRPr="002A230B">
        <w:rPr>
          <w:szCs w:val="22"/>
        </w:rPr>
        <w:t xml:space="preserve">Regional Forest Agreements (RFAs) are long-term agreements for the sustainable management and conservation of </w:t>
      </w:r>
      <w:r w:rsidRPr="002A230B">
        <w:t>areas of Australia’s forest</w:t>
      </w:r>
      <w:r w:rsidRPr="002A230B">
        <w:rPr>
          <w:szCs w:val="22"/>
        </w:rPr>
        <w:t>, in four states</w:t>
      </w:r>
      <w:r w:rsidRPr="002A230B">
        <w:t>.</w:t>
      </w:r>
    </w:p>
    <w:p w14:paraId="154AB852" w14:textId="619C60BD" w:rsidR="00F122A9" w:rsidRDefault="00F122A9" w:rsidP="00F122A9">
      <w:pPr>
        <w:spacing w:before="240"/>
        <w:rPr>
          <w:rFonts w:cs="Arial"/>
        </w:rPr>
      </w:pPr>
      <w:r w:rsidRPr="002A230B">
        <w:rPr>
          <w:rFonts w:cs="Arial"/>
        </w:rPr>
        <w:t>This report presents</w:t>
      </w:r>
      <w:r w:rsidRPr="002A230B">
        <w:t xml:space="preserve"> </w:t>
      </w:r>
      <w:r w:rsidRPr="002A230B">
        <w:rPr>
          <w:szCs w:val="22"/>
        </w:rPr>
        <w:t xml:space="preserve">a compilation of </w:t>
      </w:r>
      <w:r w:rsidRPr="002A230B">
        <w:t>data on changes in reserved areas</w:t>
      </w:r>
      <w:r w:rsidRPr="002A230B">
        <w:rPr>
          <w:szCs w:val="22"/>
        </w:rPr>
        <w:t xml:space="preserve"> and </w:t>
      </w:r>
      <w:r w:rsidR="007965F2">
        <w:rPr>
          <w:szCs w:val="22"/>
        </w:rPr>
        <w:t xml:space="preserve">forest </w:t>
      </w:r>
      <w:r w:rsidRPr="002A230B">
        <w:rPr>
          <w:szCs w:val="22"/>
        </w:rPr>
        <w:t>resource availability</w:t>
      </w:r>
      <w:r w:rsidR="007965F2">
        <w:rPr>
          <w:szCs w:val="22"/>
        </w:rPr>
        <w:t>, both at the</w:t>
      </w:r>
      <w:r w:rsidRPr="002A230B">
        <w:rPr>
          <w:szCs w:val="22"/>
        </w:rPr>
        <w:t xml:space="preserve"> signing </w:t>
      </w:r>
      <w:r w:rsidR="007965F2">
        <w:rPr>
          <w:szCs w:val="22"/>
        </w:rPr>
        <w:t xml:space="preserve">of the RFAs </w:t>
      </w:r>
      <w:r w:rsidRPr="002A230B">
        <w:rPr>
          <w:szCs w:val="22"/>
        </w:rPr>
        <w:t xml:space="preserve">and </w:t>
      </w:r>
      <w:r w:rsidRPr="002A230B">
        <w:t>subsequentl</w:t>
      </w:r>
      <w:r w:rsidRPr="002A230B">
        <w:rPr>
          <w:szCs w:val="22"/>
        </w:rPr>
        <w:t>y</w:t>
      </w:r>
      <w:r w:rsidRPr="002A230B">
        <w:rPr>
          <w:rFonts w:cs="Arial"/>
        </w:rPr>
        <w:t xml:space="preserve">. </w:t>
      </w:r>
      <w:r w:rsidR="00E33853">
        <w:rPr>
          <w:rFonts w:cs="Arial"/>
        </w:rPr>
        <w:t>Australia’s Comprehensive, Adequate and Representative (CAR) reserve system was created at signing of the RFAs.</w:t>
      </w:r>
    </w:p>
    <w:p w14:paraId="458707C6" w14:textId="5E969C04" w:rsidR="007965F2" w:rsidRPr="0066371A" w:rsidRDefault="007965F2" w:rsidP="007965F2">
      <w:pPr>
        <w:pStyle w:val="Header"/>
        <w:numPr>
          <w:ilvl w:val="0"/>
          <w:numId w:val="2"/>
        </w:numPr>
        <w:tabs>
          <w:tab w:val="clear" w:pos="720"/>
          <w:tab w:val="clear" w:pos="4153"/>
          <w:tab w:val="clear" w:pos="8306"/>
          <w:tab w:val="num" w:pos="426"/>
        </w:tabs>
        <w:spacing w:before="120" w:after="120" w:line="276" w:lineRule="auto"/>
        <w:ind w:left="425" w:hanging="425"/>
        <w:rPr>
          <w:rFonts w:asciiTheme="majorHAnsi" w:hAnsiTheme="majorHAnsi"/>
          <w:szCs w:val="22"/>
        </w:rPr>
      </w:pPr>
      <w:r w:rsidRPr="0066371A">
        <w:rPr>
          <w:rFonts w:asciiTheme="majorHAnsi" w:hAnsiTheme="majorHAnsi"/>
          <w:szCs w:val="22"/>
        </w:rPr>
        <w:t xml:space="preserve">Section </w:t>
      </w:r>
      <w:r>
        <w:rPr>
          <w:rFonts w:asciiTheme="majorHAnsi" w:hAnsiTheme="majorHAnsi"/>
          <w:szCs w:val="22"/>
        </w:rPr>
        <w:t xml:space="preserve">1 </w:t>
      </w:r>
      <w:r w:rsidRPr="0066371A">
        <w:rPr>
          <w:rFonts w:asciiTheme="majorHAnsi" w:hAnsiTheme="majorHAnsi"/>
          <w:szCs w:val="22"/>
        </w:rPr>
        <w:t>summarises the key outcomes s</w:t>
      </w:r>
      <w:r>
        <w:rPr>
          <w:rFonts w:asciiTheme="majorHAnsi" w:hAnsiTheme="majorHAnsi"/>
          <w:szCs w:val="22"/>
        </w:rPr>
        <w:t>ought through creating the RFAs.</w:t>
      </w:r>
    </w:p>
    <w:p w14:paraId="6842127D" w14:textId="290D3500" w:rsidR="007965F2" w:rsidRDefault="007965F2" w:rsidP="007965F2">
      <w:pPr>
        <w:pStyle w:val="Header"/>
        <w:numPr>
          <w:ilvl w:val="0"/>
          <w:numId w:val="2"/>
        </w:numPr>
        <w:tabs>
          <w:tab w:val="clear" w:pos="720"/>
          <w:tab w:val="clear" w:pos="4153"/>
          <w:tab w:val="clear" w:pos="8306"/>
          <w:tab w:val="num" w:pos="426"/>
        </w:tabs>
        <w:spacing w:before="120" w:after="120" w:line="276" w:lineRule="auto"/>
        <w:ind w:left="425" w:hanging="425"/>
        <w:rPr>
          <w:rFonts w:asciiTheme="majorHAnsi" w:hAnsiTheme="majorHAnsi"/>
          <w:szCs w:val="22"/>
        </w:rPr>
      </w:pPr>
      <w:r w:rsidRPr="0066371A">
        <w:rPr>
          <w:rFonts w:asciiTheme="majorHAnsi" w:hAnsiTheme="majorHAnsi"/>
          <w:szCs w:val="22"/>
        </w:rPr>
        <w:t>Section</w:t>
      </w:r>
      <w:r>
        <w:rPr>
          <w:rFonts w:asciiTheme="majorHAnsi" w:hAnsiTheme="majorHAnsi"/>
          <w:szCs w:val="22"/>
        </w:rPr>
        <w:t xml:space="preserve"> 2 describes collation of data on Australia’s forests, including RFA outcomes, in Australia’s National Forest Inventory, housed in the </w:t>
      </w:r>
      <w:r w:rsidRPr="007965F2">
        <w:rPr>
          <w:rFonts w:asciiTheme="majorHAnsi" w:hAnsiTheme="majorHAnsi"/>
          <w:szCs w:val="22"/>
        </w:rPr>
        <w:t>Australian Bureau of Agricultural and Resource Economics and Sciences (ABARES</w:t>
      </w:r>
      <w:r>
        <w:rPr>
          <w:rFonts w:asciiTheme="majorHAnsi" w:hAnsiTheme="majorHAnsi"/>
          <w:szCs w:val="22"/>
        </w:rPr>
        <w:t>).</w:t>
      </w:r>
    </w:p>
    <w:p w14:paraId="49CC4443" w14:textId="6AA55B1B" w:rsidR="007965F2" w:rsidRPr="0066371A" w:rsidRDefault="007965F2" w:rsidP="007965F2">
      <w:pPr>
        <w:pStyle w:val="Header"/>
        <w:numPr>
          <w:ilvl w:val="0"/>
          <w:numId w:val="2"/>
        </w:numPr>
        <w:tabs>
          <w:tab w:val="clear" w:pos="720"/>
          <w:tab w:val="clear" w:pos="4153"/>
          <w:tab w:val="clear" w:pos="8306"/>
          <w:tab w:val="num" w:pos="426"/>
        </w:tabs>
        <w:spacing w:before="120" w:after="120" w:line="276" w:lineRule="auto"/>
        <w:ind w:left="425" w:hanging="425"/>
        <w:rPr>
          <w:rFonts w:asciiTheme="majorHAnsi" w:hAnsiTheme="majorHAnsi"/>
          <w:szCs w:val="22"/>
        </w:rPr>
      </w:pPr>
      <w:r>
        <w:rPr>
          <w:rFonts w:asciiTheme="majorHAnsi" w:hAnsiTheme="majorHAnsi"/>
          <w:szCs w:val="22"/>
        </w:rPr>
        <w:t>Section 3 summarises</w:t>
      </w:r>
      <w:r w:rsidRPr="0066371A">
        <w:rPr>
          <w:rFonts w:asciiTheme="majorHAnsi" w:hAnsiTheme="majorHAnsi"/>
          <w:szCs w:val="22"/>
        </w:rPr>
        <w:t xml:space="preserve"> the methods use</w:t>
      </w:r>
      <w:r>
        <w:rPr>
          <w:rFonts w:asciiTheme="majorHAnsi" w:hAnsiTheme="majorHAnsi"/>
          <w:szCs w:val="22"/>
        </w:rPr>
        <w:t>d to compile the RFA data presented in this report.</w:t>
      </w:r>
    </w:p>
    <w:p w14:paraId="3C63AC09" w14:textId="4A2D219E" w:rsidR="007965F2" w:rsidRPr="0066371A" w:rsidRDefault="007965F2" w:rsidP="007965F2">
      <w:pPr>
        <w:pStyle w:val="Header"/>
        <w:numPr>
          <w:ilvl w:val="0"/>
          <w:numId w:val="2"/>
        </w:numPr>
        <w:tabs>
          <w:tab w:val="clear" w:pos="720"/>
          <w:tab w:val="clear" w:pos="4153"/>
          <w:tab w:val="clear" w:pos="8306"/>
          <w:tab w:val="num" w:pos="426"/>
        </w:tabs>
        <w:spacing w:before="120" w:after="120" w:line="276" w:lineRule="auto"/>
        <w:ind w:left="425" w:hanging="425"/>
        <w:rPr>
          <w:rFonts w:asciiTheme="majorHAnsi" w:hAnsiTheme="majorHAnsi"/>
          <w:szCs w:val="22"/>
        </w:rPr>
      </w:pPr>
      <w:r w:rsidRPr="0066371A">
        <w:rPr>
          <w:rFonts w:asciiTheme="majorHAnsi" w:hAnsiTheme="majorHAnsi"/>
          <w:szCs w:val="22"/>
        </w:rPr>
        <w:t xml:space="preserve">Section </w:t>
      </w:r>
      <w:r>
        <w:rPr>
          <w:rFonts w:asciiTheme="majorHAnsi" w:hAnsiTheme="majorHAnsi"/>
          <w:szCs w:val="22"/>
        </w:rPr>
        <w:t xml:space="preserve">4 </w:t>
      </w:r>
      <w:r w:rsidRPr="007965F2">
        <w:rPr>
          <w:rFonts w:asciiTheme="majorHAnsi" w:hAnsiTheme="majorHAnsi"/>
          <w:szCs w:val="22"/>
        </w:rPr>
        <w:t xml:space="preserve">presents data </w:t>
      </w:r>
      <w:r>
        <w:rPr>
          <w:rFonts w:asciiTheme="majorHAnsi" w:hAnsiTheme="majorHAnsi"/>
          <w:szCs w:val="22"/>
        </w:rPr>
        <w:t xml:space="preserve">by RFA region </w:t>
      </w:r>
      <w:r w:rsidRPr="007965F2">
        <w:rPr>
          <w:rFonts w:asciiTheme="majorHAnsi" w:hAnsiTheme="majorHAnsi"/>
          <w:szCs w:val="22"/>
        </w:rPr>
        <w:t xml:space="preserve">on reserved forest ecosystems, old-growth forest and wilderness, </w:t>
      </w:r>
      <w:r>
        <w:rPr>
          <w:rFonts w:asciiTheme="majorHAnsi" w:hAnsiTheme="majorHAnsi"/>
          <w:szCs w:val="22"/>
        </w:rPr>
        <w:t xml:space="preserve">the </w:t>
      </w:r>
      <w:r w:rsidRPr="007965F2">
        <w:rPr>
          <w:rFonts w:asciiTheme="majorHAnsi" w:hAnsiTheme="majorHAnsi"/>
          <w:szCs w:val="22"/>
        </w:rPr>
        <w:t>net harvestable area of forest, and sustainable sawlog yields and actual sawlog harvests</w:t>
      </w:r>
      <w:r>
        <w:rPr>
          <w:rFonts w:asciiTheme="majorHAnsi" w:hAnsiTheme="majorHAnsi"/>
          <w:szCs w:val="22"/>
        </w:rPr>
        <w:t>,</w:t>
      </w:r>
      <w:r w:rsidRPr="007965F2">
        <w:rPr>
          <w:rFonts w:asciiTheme="majorHAnsi" w:hAnsiTheme="majorHAnsi"/>
          <w:szCs w:val="22"/>
        </w:rPr>
        <w:t xml:space="preserve"> by RFA region. Data are presented before signing the RFAs, after signing the RFAs, and at various time-points until the most recent data. This section </w:t>
      </w:r>
      <w:r>
        <w:rPr>
          <w:rFonts w:asciiTheme="majorHAnsi" w:hAnsiTheme="majorHAnsi"/>
          <w:szCs w:val="22"/>
        </w:rPr>
        <w:t xml:space="preserve">also indicates </w:t>
      </w:r>
      <w:r w:rsidRPr="007965F2">
        <w:rPr>
          <w:rFonts w:asciiTheme="majorHAnsi" w:hAnsiTheme="majorHAnsi"/>
          <w:szCs w:val="22"/>
        </w:rPr>
        <w:t xml:space="preserve">the drivers for </w:t>
      </w:r>
      <w:r>
        <w:rPr>
          <w:rFonts w:asciiTheme="majorHAnsi" w:hAnsiTheme="majorHAnsi"/>
          <w:szCs w:val="22"/>
        </w:rPr>
        <w:t>change in these parameters over time in each jurisdiction</w:t>
      </w:r>
      <w:r w:rsidRPr="007965F2">
        <w:rPr>
          <w:rFonts w:asciiTheme="majorHAnsi" w:hAnsiTheme="majorHAnsi"/>
          <w:szCs w:val="22"/>
        </w:rPr>
        <w:t>.</w:t>
      </w:r>
    </w:p>
    <w:p w14:paraId="33B253F2" w14:textId="77777777" w:rsidR="007965F2" w:rsidRDefault="007965F2" w:rsidP="007965F2">
      <w:pPr>
        <w:pStyle w:val="Header"/>
        <w:numPr>
          <w:ilvl w:val="0"/>
          <w:numId w:val="2"/>
        </w:numPr>
        <w:tabs>
          <w:tab w:val="clear" w:pos="720"/>
          <w:tab w:val="clear" w:pos="4153"/>
          <w:tab w:val="clear" w:pos="8306"/>
          <w:tab w:val="num" w:pos="426"/>
        </w:tabs>
        <w:spacing w:before="120" w:after="120" w:line="276" w:lineRule="auto"/>
        <w:ind w:left="425" w:hanging="425"/>
        <w:rPr>
          <w:rFonts w:asciiTheme="majorHAnsi" w:hAnsiTheme="majorHAnsi"/>
          <w:szCs w:val="22"/>
        </w:rPr>
      </w:pPr>
      <w:r w:rsidRPr="0066371A">
        <w:rPr>
          <w:rFonts w:asciiTheme="majorHAnsi" w:hAnsiTheme="majorHAnsi"/>
          <w:szCs w:val="22"/>
        </w:rPr>
        <w:t xml:space="preserve">Section </w:t>
      </w:r>
      <w:r>
        <w:rPr>
          <w:rFonts w:asciiTheme="majorHAnsi" w:hAnsiTheme="majorHAnsi"/>
          <w:szCs w:val="22"/>
        </w:rPr>
        <w:t>5</w:t>
      </w:r>
      <w:r w:rsidRPr="0066371A">
        <w:rPr>
          <w:rFonts w:asciiTheme="majorHAnsi" w:hAnsiTheme="majorHAnsi"/>
          <w:szCs w:val="22"/>
        </w:rPr>
        <w:t xml:space="preserve"> provides</w:t>
      </w:r>
      <w:r w:rsidRPr="007965F2">
        <w:rPr>
          <w:rFonts w:asciiTheme="majorHAnsi" w:hAnsiTheme="majorHAnsi"/>
          <w:szCs w:val="22"/>
        </w:rPr>
        <w:t xml:space="preserve"> some brief concluding comments. </w:t>
      </w:r>
    </w:p>
    <w:p w14:paraId="56CBAC1C" w14:textId="3D033392" w:rsidR="007965F2" w:rsidRPr="007965F2" w:rsidRDefault="007965F2" w:rsidP="007965F2">
      <w:pPr>
        <w:pStyle w:val="Header"/>
        <w:numPr>
          <w:ilvl w:val="0"/>
          <w:numId w:val="2"/>
        </w:numPr>
        <w:tabs>
          <w:tab w:val="clear" w:pos="720"/>
          <w:tab w:val="clear" w:pos="4153"/>
          <w:tab w:val="clear" w:pos="8306"/>
          <w:tab w:val="num" w:pos="426"/>
        </w:tabs>
        <w:spacing w:before="120" w:after="120" w:line="276" w:lineRule="auto"/>
        <w:ind w:left="425" w:hanging="425"/>
        <w:rPr>
          <w:rFonts w:asciiTheme="majorHAnsi" w:hAnsiTheme="majorHAnsi"/>
          <w:szCs w:val="22"/>
        </w:rPr>
      </w:pPr>
      <w:r>
        <w:rPr>
          <w:rFonts w:asciiTheme="majorHAnsi" w:hAnsiTheme="majorHAnsi"/>
          <w:szCs w:val="22"/>
        </w:rPr>
        <w:t xml:space="preserve">Appendix </w:t>
      </w:r>
      <w:r w:rsidR="00294D00">
        <w:rPr>
          <w:rFonts w:asciiTheme="majorHAnsi" w:hAnsiTheme="majorHAnsi"/>
          <w:szCs w:val="22"/>
        </w:rPr>
        <w:t>A</w:t>
      </w:r>
      <w:r>
        <w:rPr>
          <w:rFonts w:asciiTheme="majorHAnsi" w:hAnsiTheme="majorHAnsi"/>
          <w:szCs w:val="22"/>
        </w:rPr>
        <w:t xml:space="preserve"> provides the complete RFA data in tabular form.</w:t>
      </w:r>
    </w:p>
    <w:p w14:paraId="77ACB693" w14:textId="4523370A" w:rsidR="0066371A" w:rsidRDefault="007965F2" w:rsidP="0066371A">
      <w:pPr>
        <w:spacing w:before="240"/>
        <w:rPr>
          <w:rFonts w:ascii="Calibri" w:hAnsi="Calibri"/>
        </w:rPr>
      </w:pPr>
      <w:r>
        <w:t xml:space="preserve">The report </w:t>
      </w:r>
      <w:r w:rsidR="0066371A" w:rsidRPr="002A230B">
        <w:rPr>
          <w:rFonts w:cs="Arial"/>
        </w:rPr>
        <w:t xml:space="preserve">is a sequel to the paper of Davey (2018), which describes the origins and development of </w:t>
      </w:r>
      <w:r>
        <w:rPr>
          <w:rFonts w:cs="Arial"/>
        </w:rPr>
        <w:t>RFAs</w:t>
      </w:r>
      <w:r w:rsidR="0066371A" w:rsidRPr="002A230B">
        <w:rPr>
          <w:rFonts w:cs="Arial"/>
        </w:rPr>
        <w:t>.</w:t>
      </w:r>
    </w:p>
    <w:p w14:paraId="10F48B51" w14:textId="77F794B2" w:rsidR="0066371A" w:rsidRPr="0066371A" w:rsidRDefault="0066371A" w:rsidP="0066371A">
      <w:pPr>
        <w:pStyle w:val="Heading4"/>
        <w:spacing w:before="240"/>
        <w:rPr>
          <w:sz w:val="32"/>
        </w:rPr>
      </w:pPr>
      <w:r w:rsidRPr="0066371A">
        <w:rPr>
          <w:sz w:val="32"/>
        </w:rPr>
        <w:t xml:space="preserve">Overview of Australia’s </w:t>
      </w:r>
      <w:r>
        <w:rPr>
          <w:sz w:val="32"/>
        </w:rPr>
        <w:t>Regional Forest Agreements</w:t>
      </w:r>
    </w:p>
    <w:p w14:paraId="6E8DD9AF" w14:textId="1091620B" w:rsidR="00F122A9" w:rsidRDefault="00F122A9" w:rsidP="00F122A9">
      <w:pPr>
        <w:spacing w:before="160" w:after="160"/>
        <w:rPr>
          <w:rFonts w:cs="Arial"/>
        </w:rPr>
      </w:pPr>
      <w:r w:rsidRPr="002A230B">
        <w:rPr>
          <w:szCs w:val="22"/>
        </w:rPr>
        <w:t>There are five RFAs in Victoria,</w:t>
      </w:r>
      <w:r w:rsidRPr="002A230B">
        <w:rPr>
          <w:rFonts w:cs="Calibri"/>
          <w:color w:val="000000"/>
          <w:sz w:val="21"/>
          <w:szCs w:val="21"/>
          <w:shd w:val="clear" w:color="auto" w:fill="FFFFFF"/>
        </w:rPr>
        <w:t xml:space="preserve"> </w:t>
      </w:r>
      <w:r w:rsidRPr="002A230B">
        <w:rPr>
          <w:szCs w:val="22"/>
        </w:rPr>
        <w:t>three in New South Wales and one each in Western Australia and Tasmania. The RFAs were signed by the Australian and state governments between 1997 and 2001, as 20-year agreements. The RFAs in New South Wales, Western Australia and Tasmania have since been extended as 20</w:t>
      </w:r>
      <w:r w:rsidRPr="002A230B">
        <w:rPr>
          <w:szCs w:val="22"/>
        </w:rPr>
        <w:noBreakHyphen/>
        <w:t>year rolling agreements, and the five Victorian RFAs have been extended until June 2030.</w:t>
      </w:r>
      <w:r w:rsidRPr="002A230B">
        <w:rPr>
          <w:rFonts w:cs="Arial"/>
        </w:rPr>
        <w:t xml:space="preserve"> The publication in this report of data covering the first 20 years of the RFAs is timely following these recent extensions.</w:t>
      </w:r>
    </w:p>
    <w:p w14:paraId="11C637DF" w14:textId="2AA15EC7" w:rsidR="007965F2" w:rsidRDefault="007965F2" w:rsidP="007965F2">
      <w:pPr>
        <w:spacing w:before="240"/>
        <w:rPr>
          <w:szCs w:val="22"/>
        </w:rPr>
      </w:pPr>
      <w:r w:rsidRPr="002A230B">
        <w:t>The o</w:t>
      </w:r>
      <w:r w:rsidRPr="002A230B">
        <w:rPr>
          <w:szCs w:val="22"/>
        </w:rPr>
        <w:t xml:space="preserve">bjectives of the </w:t>
      </w:r>
      <w:r w:rsidRPr="002A230B">
        <w:t>RFAs</w:t>
      </w:r>
      <w:r w:rsidRPr="002A230B">
        <w:rPr>
          <w:szCs w:val="22"/>
        </w:rPr>
        <w:t xml:space="preserve"> were creation of a comprehensive, adequate and representative system of reserves (</w:t>
      </w:r>
      <w:r w:rsidRPr="002A230B">
        <w:t>a</w:t>
      </w:r>
      <w:r w:rsidRPr="002A230B">
        <w:rPr>
          <w:szCs w:val="22"/>
        </w:rPr>
        <w:t xml:space="preserve"> CAR reserve system), promotion and implementation of improved management practices in harvested native forests, implementation of ecologically sustainable forest management for all forests</w:t>
      </w:r>
      <w:r w:rsidRPr="002A230B">
        <w:t xml:space="preserve"> (including determination of </w:t>
      </w:r>
      <w:r w:rsidRPr="002A230B">
        <w:rPr>
          <w:szCs w:val="22"/>
        </w:rPr>
        <w:t>sustainable yields of forest resources</w:t>
      </w:r>
      <w:r w:rsidRPr="002A230B">
        <w:t xml:space="preserve">), </w:t>
      </w:r>
      <w:r w:rsidRPr="002A230B">
        <w:rPr>
          <w:szCs w:val="22"/>
        </w:rPr>
        <w:t>and provision of resource security</w:t>
      </w:r>
      <w:r w:rsidRPr="002A230B">
        <w:rPr>
          <w:rFonts w:cs="Arial"/>
          <w:szCs w:val="22"/>
        </w:rPr>
        <w:t xml:space="preserve"> for the forestry industry.</w:t>
      </w:r>
      <w:r w:rsidRPr="002A230B">
        <w:rPr>
          <w:rFonts w:cs="Arial"/>
        </w:rPr>
        <w:t xml:space="preserve"> A set of formal criteria (t</w:t>
      </w:r>
      <w:r w:rsidRPr="002A230B">
        <w:rPr>
          <w:szCs w:val="22"/>
        </w:rPr>
        <w:t>he JANIS reserve criteria) set out area thresholds or benchmarks for forest conservation within the reserve system, including</w:t>
      </w:r>
      <w:r w:rsidRPr="002A230B">
        <w:t xml:space="preserve"> specifically for f</w:t>
      </w:r>
      <w:r w:rsidRPr="002A230B">
        <w:rPr>
          <w:szCs w:val="22"/>
        </w:rPr>
        <w:t>orest ecosystem</w:t>
      </w:r>
      <w:r w:rsidRPr="002A230B">
        <w:t>s</w:t>
      </w:r>
      <w:r w:rsidRPr="002A230B">
        <w:rPr>
          <w:szCs w:val="22"/>
        </w:rPr>
        <w:t xml:space="preserve">, </w:t>
      </w:r>
      <w:r w:rsidRPr="002A230B">
        <w:t xml:space="preserve">old-growth forest, and </w:t>
      </w:r>
      <w:r w:rsidRPr="002A230B">
        <w:rPr>
          <w:szCs w:val="22"/>
        </w:rPr>
        <w:t>wilderness.</w:t>
      </w:r>
    </w:p>
    <w:p w14:paraId="0C107E61" w14:textId="1D0868A9" w:rsidR="007965F2" w:rsidRPr="002A230B" w:rsidRDefault="007965F2" w:rsidP="007965F2">
      <w:pPr>
        <w:spacing w:before="240"/>
        <w:rPr>
          <w:rFonts w:cs="Arial"/>
        </w:rPr>
      </w:pPr>
      <w:r w:rsidRPr="002A230B">
        <w:rPr>
          <w:rFonts w:cs="Arial"/>
        </w:rPr>
        <w:t xml:space="preserve">Considerable data were collected by the Commonwealth, states and territories to inform the process of establishing the outcomes of the RFAs in the RFA regions. At the Commonwealth level, these data have been collated and maintained by Australia’s National Forest Inventory, originally housed in the Bureau of Rural Sciences (BRS) and now in the </w:t>
      </w:r>
      <w:r w:rsidR="00CE1DD3">
        <w:rPr>
          <w:rFonts w:cs="Arial"/>
        </w:rPr>
        <w:t>ABARES</w:t>
      </w:r>
      <w:r w:rsidRPr="002A230B">
        <w:rPr>
          <w:rFonts w:cs="Arial"/>
        </w:rPr>
        <w:t xml:space="preserve">. Since signing of the RFAs, updated data have been periodically sourced from the states for the National Forest </w:t>
      </w:r>
      <w:r w:rsidRPr="002A230B">
        <w:rPr>
          <w:rFonts w:cs="Arial"/>
        </w:rPr>
        <w:lastRenderedPageBreak/>
        <w:t>Inventory</w:t>
      </w:r>
      <w:r>
        <w:rPr>
          <w:rFonts w:cs="Arial"/>
        </w:rPr>
        <w:t>, including from RFA Review datasets and Assessment of Matters datasets</w:t>
      </w:r>
      <w:r w:rsidRPr="002A230B">
        <w:rPr>
          <w:rFonts w:cs="Arial"/>
        </w:rPr>
        <w:t xml:space="preserve">. The tables in this report present </w:t>
      </w:r>
      <w:r>
        <w:rPr>
          <w:rFonts w:cs="Arial"/>
        </w:rPr>
        <w:t xml:space="preserve">this full </w:t>
      </w:r>
      <w:r w:rsidRPr="002A230B">
        <w:rPr>
          <w:rFonts w:cs="Arial"/>
        </w:rPr>
        <w:t>compilation of data on RFA outcomes, both at signing of RFAs and subsequently</w:t>
      </w:r>
      <w:r>
        <w:rPr>
          <w:rFonts w:cs="Arial"/>
        </w:rPr>
        <w:t xml:space="preserve">, and describe the </w:t>
      </w:r>
      <w:r w:rsidRPr="002A230B">
        <w:rPr>
          <w:rFonts w:cs="Arial"/>
        </w:rPr>
        <w:t>changes in status of the areas of forest and non-forest ecosystems that were mapped before signing the RFAs.</w:t>
      </w:r>
    </w:p>
    <w:p w14:paraId="1ECC520C" w14:textId="77777777" w:rsidR="00832E96" w:rsidRPr="004448FB" w:rsidRDefault="00832E96" w:rsidP="00215FB5">
      <w:pPr>
        <w:spacing w:before="0" w:after="0"/>
        <w:jc w:val="center"/>
        <w:rPr>
          <w:rFonts w:asciiTheme="majorHAnsi" w:hAnsiTheme="majorHAnsi"/>
          <w:szCs w:val="22"/>
        </w:rPr>
      </w:pPr>
      <w:r>
        <w:rPr>
          <w:rFonts w:asciiTheme="majorHAnsi" w:hAnsiTheme="majorHAnsi"/>
          <w:noProof/>
          <w:szCs w:val="22"/>
          <w:lang w:eastAsia="en-AU"/>
        </w:rPr>
        <w:drawing>
          <wp:inline distT="0" distB="0" distL="0" distR="0" wp14:anchorId="1F744677" wp14:editId="287C29A1">
            <wp:extent cx="5758788" cy="40716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1_Regional_Forest_Agreement_and_related_region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8788" cy="4071688"/>
                    </a:xfrm>
                    <a:prstGeom prst="rect">
                      <a:avLst/>
                    </a:prstGeom>
                  </pic:spPr>
                </pic:pic>
              </a:graphicData>
            </a:graphic>
          </wp:inline>
        </w:drawing>
      </w:r>
    </w:p>
    <w:p w14:paraId="0734E1C4" w14:textId="1D9FD5AC" w:rsidR="00F122A9" w:rsidRPr="00F122A9" w:rsidRDefault="00F122A9" w:rsidP="007B191F">
      <w:pPr>
        <w:pStyle w:val="Heading4"/>
        <w:spacing w:before="240"/>
        <w:rPr>
          <w:sz w:val="32"/>
        </w:rPr>
      </w:pPr>
      <w:r w:rsidRPr="00F122A9">
        <w:rPr>
          <w:sz w:val="32"/>
        </w:rPr>
        <w:t>CAR reserve system</w:t>
      </w:r>
    </w:p>
    <w:p w14:paraId="12C5D3E1" w14:textId="79AEF5E8" w:rsidR="00F122A9" w:rsidRPr="002A230B" w:rsidRDefault="00F122A9" w:rsidP="00F122A9">
      <w:pPr>
        <w:spacing w:before="160"/>
      </w:pPr>
      <w:r w:rsidRPr="002A230B">
        <w:rPr>
          <w:szCs w:val="22"/>
        </w:rPr>
        <w:t>Australia’s CAR reserve system on public land comprises dedicated (formal) reserves, informal reserves, and areas with values protected by management prescription</w:t>
      </w:r>
      <w:r w:rsidR="00D32296">
        <w:rPr>
          <w:szCs w:val="22"/>
        </w:rPr>
        <w:t>, and</w:t>
      </w:r>
      <w:r w:rsidRPr="002A230B">
        <w:rPr>
          <w:szCs w:val="22"/>
        </w:rPr>
        <w:t xml:space="preserve"> is complemented by the private land component of the CAR reserve system</w:t>
      </w:r>
      <w:r w:rsidR="00D32296">
        <w:rPr>
          <w:szCs w:val="22"/>
        </w:rPr>
        <w:t xml:space="preserve">. It </w:t>
      </w:r>
      <w:r w:rsidRPr="002A230B">
        <w:t>provides the</w:t>
      </w:r>
      <w:r w:rsidRPr="002A230B">
        <w:rPr>
          <w:szCs w:val="22"/>
        </w:rPr>
        <w:t xml:space="preserve"> protected area network for Aust</w:t>
      </w:r>
      <w:r w:rsidR="00D32296">
        <w:rPr>
          <w:szCs w:val="22"/>
        </w:rPr>
        <w:t xml:space="preserve">ralia’s forest biodiversity </w:t>
      </w:r>
      <w:r w:rsidRPr="002A230B">
        <w:rPr>
          <w:szCs w:val="22"/>
        </w:rPr>
        <w:t>in Australia’s national reserve system.</w:t>
      </w:r>
    </w:p>
    <w:p w14:paraId="4A5E10A4" w14:textId="79406E35" w:rsidR="00F122A9" w:rsidRPr="002A230B" w:rsidRDefault="00F122A9" w:rsidP="00F122A9">
      <w:pPr>
        <w:spacing w:before="160"/>
      </w:pPr>
      <w:r w:rsidRPr="002A230B">
        <w:t xml:space="preserve">The area of reserves in RFA regions before signing the RFAs comprised 7.4 million hectares. </w:t>
      </w:r>
      <w:r w:rsidRPr="002A230B">
        <w:rPr>
          <w:szCs w:val="22"/>
        </w:rPr>
        <w:t>The CAR reserve system created in RFA regions at s</w:t>
      </w:r>
      <w:r w:rsidRPr="002A230B">
        <w:t>igning of the</w:t>
      </w:r>
      <w:r w:rsidR="00D32296">
        <w:t xml:space="preserve"> RFAs contained a total of 10.6 </w:t>
      </w:r>
      <w:r w:rsidRPr="002A230B">
        <w:t>million hectares, comprising</w:t>
      </w:r>
      <w:r w:rsidRPr="002A230B">
        <w:rPr>
          <w:szCs w:val="22"/>
        </w:rPr>
        <w:t xml:space="preserve"> 8.4 million hectares of native forest ecosystems and 2.2 million hectares of non</w:t>
      </w:r>
      <w:r w:rsidRPr="002A230B">
        <w:noBreakHyphen/>
      </w:r>
      <w:r w:rsidRPr="002A230B">
        <w:rPr>
          <w:szCs w:val="22"/>
        </w:rPr>
        <w:t>forest ecosystems</w:t>
      </w:r>
      <w:r w:rsidRPr="002A230B">
        <w:t>, and including</w:t>
      </w:r>
      <w:r w:rsidRPr="002A230B">
        <w:rPr>
          <w:szCs w:val="22"/>
        </w:rPr>
        <w:t xml:space="preserve"> 3.0 million hectares of native forest ecosystems and 0.25 million hectares of non-forest ecosystems that were </w:t>
      </w:r>
      <w:r w:rsidRPr="002A230B">
        <w:t>unreserved or unprotected before signing the RFAs</w:t>
      </w:r>
      <w:r w:rsidRPr="002A230B">
        <w:rPr>
          <w:szCs w:val="22"/>
        </w:rPr>
        <w:t>.</w:t>
      </w:r>
    </w:p>
    <w:p w14:paraId="15B13C5F" w14:textId="77777777" w:rsidR="00F122A9" w:rsidRDefault="00F122A9" w:rsidP="00F122A9">
      <w:pPr>
        <w:spacing w:before="160" w:after="160"/>
        <w:rPr>
          <w:szCs w:val="22"/>
        </w:rPr>
      </w:pPr>
      <w:r w:rsidRPr="002A230B">
        <w:rPr>
          <w:szCs w:val="22"/>
        </w:rPr>
        <w:t xml:space="preserve">Further reservation since signing the RFAs has led to the CAR reserve system in RFA regions increasing to </w:t>
      </w:r>
      <w:r w:rsidRPr="002A230B">
        <w:t xml:space="preserve">a total of 12.4 million hectares by 2019, comprising </w:t>
      </w:r>
      <w:r w:rsidRPr="002A230B">
        <w:rPr>
          <w:szCs w:val="22"/>
        </w:rPr>
        <w:t xml:space="preserve">10.0 million hectares of native forest ecosystems and 2.3 million hectares of non-forest ecosystems. </w:t>
      </w:r>
    </w:p>
    <w:p w14:paraId="0A540183" w14:textId="0E57A000" w:rsidR="000E64E6" w:rsidRDefault="000E64E6" w:rsidP="000E64E6">
      <w:pPr>
        <w:spacing w:before="160" w:after="160"/>
        <w:jc w:val="center"/>
        <w:rPr>
          <w:szCs w:val="22"/>
        </w:rPr>
      </w:pPr>
      <w:r>
        <w:rPr>
          <w:noProof/>
          <w:szCs w:val="22"/>
          <w:lang w:eastAsia="en-AU"/>
        </w:rPr>
        <w:lastRenderedPageBreak/>
        <w:drawing>
          <wp:inline distT="0" distB="0" distL="0" distR="0" wp14:anchorId="52A1DB91" wp14:editId="23FBF32F">
            <wp:extent cx="5580000" cy="3072523"/>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xecSum_2_ecosystem_reservation_all_land_draft.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0000" cy="3072523"/>
                    </a:xfrm>
                    <a:prstGeom prst="rect">
                      <a:avLst/>
                    </a:prstGeom>
                  </pic:spPr>
                </pic:pic>
              </a:graphicData>
            </a:graphic>
          </wp:inline>
        </w:drawing>
      </w:r>
    </w:p>
    <w:p w14:paraId="4B65C55A" w14:textId="77777777" w:rsidR="00F122A9" w:rsidRPr="00F122A9" w:rsidRDefault="00F122A9" w:rsidP="007B191F">
      <w:pPr>
        <w:pStyle w:val="Heading4"/>
        <w:spacing w:before="240"/>
        <w:rPr>
          <w:sz w:val="32"/>
        </w:rPr>
      </w:pPr>
      <w:r w:rsidRPr="00F122A9">
        <w:rPr>
          <w:sz w:val="32"/>
        </w:rPr>
        <w:t>Old-growth forest</w:t>
      </w:r>
    </w:p>
    <w:p w14:paraId="657A1A55" w14:textId="7D47512E" w:rsidR="00C673AC" w:rsidRDefault="00B577E2" w:rsidP="00C673AC">
      <w:pPr>
        <w:spacing w:before="160" w:after="160"/>
        <w:rPr>
          <w:szCs w:val="22"/>
        </w:rPr>
      </w:pPr>
      <w:r>
        <w:rPr>
          <w:szCs w:val="22"/>
        </w:rPr>
        <w:t xml:space="preserve">Before the signing of the RFAs, the area of </w:t>
      </w:r>
      <w:r w:rsidR="00C673AC">
        <w:rPr>
          <w:szCs w:val="22"/>
        </w:rPr>
        <w:t xml:space="preserve">old-growth forest in formal and informal reserves in RFA regions was 2.4 million hectares. </w:t>
      </w:r>
      <w:r w:rsidR="00F122A9" w:rsidRPr="002A230B">
        <w:rPr>
          <w:szCs w:val="22"/>
        </w:rPr>
        <w:t xml:space="preserve">The CAR reserve system created in RFA regions at signing of the RFAs </w:t>
      </w:r>
      <w:r w:rsidR="00F122A9" w:rsidRPr="002A230B">
        <w:t>contained</w:t>
      </w:r>
      <w:r w:rsidR="00F122A9" w:rsidRPr="002A230B">
        <w:rPr>
          <w:szCs w:val="22"/>
        </w:rPr>
        <w:t xml:space="preserve"> 3.4 million hectares of old-growth forest</w:t>
      </w:r>
      <w:r w:rsidR="00F122A9" w:rsidRPr="002A230B">
        <w:t xml:space="preserve">, including </w:t>
      </w:r>
      <w:r w:rsidR="00F122A9" w:rsidRPr="002A230B">
        <w:rPr>
          <w:szCs w:val="22"/>
        </w:rPr>
        <w:t>1.0 million hectares of old-growth forest</w:t>
      </w:r>
      <w:r w:rsidR="00F122A9" w:rsidRPr="002A230B">
        <w:t xml:space="preserve"> </w:t>
      </w:r>
      <w:r w:rsidR="00F122A9" w:rsidRPr="002A230B">
        <w:rPr>
          <w:szCs w:val="22"/>
        </w:rPr>
        <w:t xml:space="preserve">that </w:t>
      </w:r>
      <w:r w:rsidR="00F122A9" w:rsidRPr="002A230B">
        <w:t xml:space="preserve">was </w:t>
      </w:r>
      <w:r w:rsidR="00F122A9" w:rsidRPr="002A230B">
        <w:rPr>
          <w:szCs w:val="22"/>
        </w:rPr>
        <w:t xml:space="preserve">unreserved or unprotected </w:t>
      </w:r>
      <w:r w:rsidR="00F122A9" w:rsidRPr="002A230B">
        <w:t>before</w:t>
      </w:r>
      <w:r w:rsidR="00F122A9" w:rsidRPr="002A230B">
        <w:rPr>
          <w:szCs w:val="22"/>
        </w:rPr>
        <w:t xml:space="preserve"> the signing of the RFAs.</w:t>
      </w:r>
      <w:r w:rsidR="00C673AC">
        <w:rPr>
          <w:szCs w:val="22"/>
        </w:rPr>
        <w:t xml:space="preserve"> </w:t>
      </w:r>
      <w:r w:rsidR="00F122A9" w:rsidRPr="002A230B">
        <w:rPr>
          <w:szCs w:val="22"/>
        </w:rPr>
        <w:t xml:space="preserve">Further reservation since the signing of the RFAs has led to the CAR reserve system in RFA regions </w:t>
      </w:r>
      <w:r w:rsidR="00F122A9" w:rsidRPr="002A230B">
        <w:t xml:space="preserve">containing </w:t>
      </w:r>
      <w:r w:rsidR="00F122A9" w:rsidRPr="002A230B">
        <w:rPr>
          <w:szCs w:val="22"/>
        </w:rPr>
        <w:t>3.6 million hectares of old-growth forest</w:t>
      </w:r>
      <w:r w:rsidR="00F122A9" w:rsidRPr="002A230B">
        <w:t xml:space="preserve"> in most recent data</w:t>
      </w:r>
      <w:r w:rsidR="00F122A9" w:rsidRPr="002A230B">
        <w:rPr>
          <w:szCs w:val="22"/>
        </w:rPr>
        <w:t>.</w:t>
      </w:r>
    </w:p>
    <w:p w14:paraId="45B1A587" w14:textId="77777777" w:rsidR="00321317" w:rsidRDefault="00C673AC" w:rsidP="00321317">
      <w:pPr>
        <w:spacing w:before="160"/>
        <w:rPr>
          <w:b/>
          <w:bCs/>
        </w:rPr>
      </w:pPr>
      <w:r>
        <w:rPr>
          <w:szCs w:val="22"/>
        </w:rPr>
        <w:t>While o</w:t>
      </w:r>
      <w:r w:rsidR="00F122A9" w:rsidRPr="002A230B">
        <w:t>ld-growth forest has not been remapped in all RFA regions since signing of the RFAs</w:t>
      </w:r>
      <w:r>
        <w:t>,</w:t>
      </w:r>
      <w:r w:rsidR="00F122A9" w:rsidRPr="002A230B">
        <w:t xml:space="preserve"> the </w:t>
      </w:r>
      <w:r>
        <w:t xml:space="preserve">most recent </w:t>
      </w:r>
      <w:r w:rsidR="00F122A9" w:rsidRPr="002A230B">
        <w:t xml:space="preserve">data show that </w:t>
      </w:r>
      <w:r w:rsidR="00F122A9" w:rsidRPr="002A230B">
        <w:rPr>
          <w:szCs w:val="22"/>
        </w:rPr>
        <w:t xml:space="preserve">the total area of old-growth forests in RFA regions </w:t>
      </w:r>
      <w:r>
        <w:rPr>
          <w:szCs w:val="22"/>
        </w:rPr>
        <w:t xml:space="preserve">has </w:t>
      </w:r>
      <w:r w:rsidR="00F122A9" w:rsidRPr="002A230B">
        <w:rPr>
          <w:szCs w:val="22"/>
        </w:rPr>
        <w:t xml:space="preserve">decreased from 5.0 million hectares to 4.5 million hectares (9%) </w:t>
      </w:r>
      <w:r w:rsidR="00F122A9" w:rsidRPr="002A230B">
        <w:t>since signing the RFAs</w:t>
      </w:r>
      <w:r w:rsidR="00F122A9" w:rsidRPr="002A230B">
        <w:rPr>
          <w:szCs w:val="22"/>
        </w:rPr>
        <w:t xml:space="preserve">. This was primarily a consequence of wildfires in Victoria, </w:t>
      </w:r>
      <w:r w:rsidR="00F122A9" w:rsidRPr="002A230B">
        <w:t xml:space="preserve">that led to </w:t>
      </w:r>
      <w:r w:rsidR="00F122A9" w:rsidRPr="002A230B">
        <w:rPr>
          <w:szCs w:val="22"/>
        </w:rPr>
        <w:t>0.44</w:t>
      </w:r>
      <w:r w:rsidR="00F122A9" w:rsidRPr="002A230B">
        <w:t> </w:t>
      </w:r>
      <w:r w:rsidR="00F122A9" w:rsidRPr="002A230B">
        <w:rPr>
          <w:szCs w:val="22"/>
        </w:rPr>
        <w:t>million hectares of old-growth forest in Victorian RFA regions becoming regrowth and mixed-aged forest</w:t>
      </w:r>
      <w:r w:rsidR="00F122A9" w:rsidRPr="002A230B">
        <w:t>.</w:t>
      </w:r>
    </w:p>
    <w:p w14:paraId="4FC9471E" w14:textId="4B2802D0" w:rsidR="00C93F8D" w:rsidRDefault="00321317" w:rsidP="000E64E6">
      <w:pPr>
        <w:spacing w:before="160"/>
        <w:jc w:val="center"/>
      </w:pPr>
      <w:r w:rsidRPr="00321317">
        <w:rPr>
          <w:noProof/>
          <w:lang w:eastAsia="en-AU"/>
        </w:rPr>
        <w:drawing>
          <wp:inline distT="0" distB="0" distL="0" distR="0" wp14:anchorId="0A305CAC" wp14:editId="4B5A905E">
            <wp:extent cx="5580000" cy="3157977"/>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580000" cy="3157977"/>
                    </a:xfrm>
                    <a:prstGeom prst="rect">
                      <a:avLst/>
                    </a:prstGeom>
                    <a:noFill/>
                    <a:ln>
                      <a:noFill/>
                    </a:ln>
                  </pic:spPr>
                </pic:pic>
              </a:graphicData>
            </a:graphic>
          </wp:inline>
        </w:drawing>
      </w:r>
    </w:p>
    <w:p w14:paraId="33D1B8E3" w14:textId="77777777" w:rsidR="00F122A9" w:rsidRPr="00F122A9" w:rsidRDefault="00F122A9" w:rsidP="007B191F">
      <w:pPr>
        <w:pStyle w:val="Heading4"/>
        <w:spacing w:before="240"/>
        <w:rPr>
          <w:sz w:val="32"/>
        </w:rPr>
      </w:pPr>
      <w:r w:rsidRPr="00F122A9">
        <w:rPr>
          <w:sz w:val="32"/>
        </w:rPr>
        <w:lastRenderedPageBreak/>
        <w:t>Wilderness</w:t>
      </w:r>
    </w:p>
    <w:p w14:paraId="0FAEBC60" w14:textId="5B6D60F5" w:rsidR="00F122A9" w:rsidRPr="002A230B" w:rsidRDefault="00C673AC" w:rsidP="00F122A9">
      <w:pPr>
        <w:spacing w:before="160" w:after="160"/>
        <w:rPr>
          <w:color w:val="000000" w:themeColor="text1"/>
          <w:szCs w:val="22"/>
        </w:rPr>
      </w:pPr>
      <w:r>
        <w:rPr>
          <w:szCs w:val="22"/>
        </w:rPr>
        <w:t xml:space="preserve">Before the signing of the RFAs, the area of wilderness in formal and informal reserves in RFA regions was 3.4 million hectares. </w:t>
      </w:r>
      <w:r w:rsidR="00F122A9" w:rsidRPr="002A230B">
        <w:rPr>
          <w:color w:val="000000" w:themeColor="text1"/>
          <w:szCs w:val="22"/>
        </w:rPr>
        <w:t xml:space="preserve">The CAR reserve system created in RFA regions at signing of the RFAs </w:t>
      </w:r>
      <w:r w:rsidR="00F122A9" w:rsidRPr="002A230B">
        <w:rPr>
          <w:color w:val="000000" w:themeColor="text1"/>
        </w:rPr>
        <w:t>contained</w:t>
      </w:r>
      <w:r w:rsidR="00F122A9" w:rsidRPr="002A230B">
        <w:rPr>
          <w:color w:val="000000" w:themeColor="text1"/>
          <w:szCs w:val="22"/>
        </w:rPr>
        <w:t xml:space="preserve"> 3.7 million hectares of wilderness</w:t>
      </w:r>
      <w:r w:rsidR="00F122A9" w:rsidRPr="002A230B">
        <w:rPr>
          <w:color w:val="000000" w:themeColor="text1"/>
        </w:rPr>
        <w:t xml:space="preserve">, including </w:t>
      </w:r>
      <w:r w:rsidR="00F122A9" w:rsidRPr="002A230B">
        <w:rPr>
          <w:color w:val="000000" w:themeColor="text1"/>
          <w:szCs w:val="22"/>
        </w:rPr>
        <w:t>0.33 million hectares of wilderness</w:t>
      </w:r>
      <w:r w:rsidR="00F122A9" w:rsidRPr="002A230B">
        <w:rPr>
          <w:color w:val="000000" w:themeColor="text1"/>
        </w:rPr>
        <w:t xml:space="preserve"> </w:t>
      </w:r>
      <w:r w:rsidR="00F122A9" w:rsidRPr="002A230B">
        <w:rPr>
          <w:color w:val="000000" w:themeColor="text1"/>
          <w:szCs w:val="22"/>
        </w:rPr>
        <w:t xml:space="preserve">that </w:t>
      </w:r>
      <w:r w:rsidR="00F122A9" w:rsidRPr="002A230B">
        <w:rPr>
          <w:color w:val="000000" w:themeColor="text1"/>
        </w:rPr>
        <w:t xml:space="preserve">was </w:t>
      </w:r>
      <w:r w:rsidR="00F122A9" w:rsidRPr="002A230B">
        <w:rPr>
          <w:color w:val="000000" w:themeColor="text1"/>
          <w:szCs w:val="22"/>
        </w:rPr>
        <w:t xml:space="preserve">unreserved or unprotected </w:t>
      </w:r>
      <w:r w:rsidR="00F122A9" w:rsidRPr="002A230B">
        <w:rPr>
          <w:color w:val="000000" w:themeColor="text1"/>
        </w:rPr>
        <w:t>before</w:t>
      </w:r>
      <w:r w:rsidR="00F122A9" w:rsidRPr="002A230B">
        <w:rPr>
          <w:color w:val="000000" w:themeColor="text1"/>
          <w:szCs w:val="22"/>
        </w:rPr>
        <w:t xml:space="preserve"> the signing of the RFAs.</w:t>
      </w:r>
    </w:p>
    <w:p w14:paraId="2FB0B19C" w14:textId="474C1D91" w:rsidR="000B6223" w:rsidRDefault="00F122A9" w:rsidP="00F122A9">
      <w:pPr>
        <w:spacing w:before="160" w:after="160"/>
      </w:pPr>
      <w:r w:rsidRPr="002A230B">
        <w:rPr>
          <w:szCs w:val="22"/>
        </w:rPr>
        <w:t xml:space="preserve">Further reservation since the signing of the RFAs has led to the CAR reserve system in RFA regions </w:t>
      </w:r>
      <w:r w:rsidRPr="002A230B">
        <w:t xml:space="preserve">containing </w:t>
      </w:r>
      <w:r w:rsidRPr="002A230B">
        <w:rPr>
          <w:szCs w:val="22"/>
        </w:rPr>
        <w:t>3.8 million hectares of wilderness</w:t>
      </w:r>
      <w:r w:rsidRPr="002A230B">
        <w:t xml:space="preserve"> in most recent data</w:t>
      </w:r>
      <w:r w:rsidRPr="002A230B">
        <w:rPr>
          <w:szCs w:val="22"/>
        </w:rPr>
        <w:t xml:space="preserve">. </w:t>
      </w:r>
      <w:r w:rsidRPr="002A230B">
        <w:t>However, wilderness areas have not been remapped in all RFA regions since signing of the RFAs.</w:t>
      </w:r>
    </w:p>
    <w:p w14:paraId="3C83307D" w14:textId="544928CE" w:rsidR="00C93F8D" w:rsidRDefault="00321317" w:rsidP="000B6223">
      <w:pPr>
        <w:spacing w:before="0" w:after="0"/>
        <w:jc w:val="center"/>
        <w:rPr>
          <w:szCs w:val="22"/>
        </w:rPr>
      </w:pPr>
      <w:r w:rsidRPr="00321317">
        <w:rPr>
          <w:noProof/>
          <w:lang w:eastAsia="en-AU"/>
        </w:rPr>
        <w:drawing>
          <wp:inline distT="0" distB="0" distL="0" distR="0" wp14:anchorId="27D5FDB8" wp14:editId="0FDBD6E3">
            <wp:extent cx="5580000" cy="3085608"/>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580000" cy="3085608"/>
                    </a:xfrm>
                    <a:prstGeom prst="rect">
                      <a:avLst/>
                    </a:prstGeom>
                    <a:noFill/>
                    <a:ln>
                      <a:noFill/>
                    </a:ln>
                  </pic:spPr>
                </pic:pic>
              </a:graphicData>
            </a:graphic>
          </wp:inline>
        </w:drawing>
      </w:r>
    </w:p>
    <w:p w14:paraId="1112C743" w14:textId="77777777" w:rsidR="00F122A9" w:rsidRPr="00F122A9" w:rsidRDefault="00F122A9" w:rsidP="007B191F">
      <w:pPr>
        <w:pStyle w:val="Heading4"/>
        <w:spacing w:before="240"/>
        <w:rPr>
          <w:sz w:val="32"/>
        </w:rPr>
      </w:pPr>
      <w:r w:rsidRPr="00F122A9">
        <w:rPr>
          <w:sz w:val="32"/>
        </w:rPr>
        <w:t>Net harvestable areas</w:t>
      </w:r>
    </w:p>
    <w:p w14:paraId="18731B8D" w14:textId="77777777" w:rsidR="00F122A9" w:rsidRPr="002A230B" w:rsidRDefault="00F122A9" w:rsidP="00F122A9">
      <w:pPr>
        <w:spacing w:before="160"/>
      </w:pPr>
      <w:r w:rsidRPr="002A230B">
        <w:t xml:space="preserve">The net harvestable area is the net area of native forest on multiple-use public forest tenure available and suitable for wood harvesting, after allowing for local and/or operational constraints, and is </w:t>
      </w:r>
      <w:r w:rsidRPr="002A230B">
        <w:rPr>
          <w:rFonts w:eastAsiaTheme="minorHAnsi"/>
        </w:rPr>
        <w:t xml:space="preserve">a measure of the area of public native forest that is available to supply products to the forest industry. </w:t>
      </w:r>
    </w:p>
    <w:p w14:paraId="223DA34B" w14:textId="77777777" w:rsidR="00F51F7F" w:rsidRDefault="00F122A9" w:rsidP="00F122A9">
      <w:pPr>
        <w:spacing w:before="160" w:after="160"/>
        <w:rPr>
          <w:szCs w:val="22"/>
        </w:rPr>
      </w:pPr>
      <w:r w:rsidRPr="002A230B">
        <w:t>The net harvestable area of</w:t>
      </w:r>
      <w:r w:rsidRPr="002A230B">
        <w:rPr>
          <w:szCs w:val="22"/>
        </w:rPr>
        <w:t xml:space="preserve"> public native forest in RFA regions</w:t>
      </w:r>
      <w:r w:rsidRPr="002A230B">
        <w:t xml:space="preserve"> reduced by </w:t>
      </w:r>
      <w:r w:rsidRPr="002A230B">
        <w:rPr>
          <w:szCs w:val="22"/>
        </w:rPr>
        <w:t>0.91 million hectare</w:t>
      </w:r>
      <w:r w:rsidRPr="002A230B">
        <w:t xml:space="preserve">s at signing the RFAs, from </w:t>
      </w:r>
      <w:r w:rsidRPr="002A230B">
        <w:rPr>
          <w:szCs w:val="22"/>
        </w:rPr>
        <w:t>4.5 million hectares</w:t>
      </w:r>
      <w:r w:rsidRPr="002A230B">
        <w:t xml:space="preserve"> </w:t>
      </w:r>
      <w:r w:rsidRPr="002A230B">
        <w:rPr>
          <w:szCs w:val="22"/>
        </w:rPr>
        <w:t>to 3.6 million hectares. Subsequent progressive increases in the area of forest</w:t>
      </w:r>
      <w:r w:rsidRPr="002A230B">
        <w:t xml:space="preserve"> in the CAR reserve system </w:t>
      </w:r>
      <w:r w:rsidRPr="002A230B">
        <w:rPr>
          <w:szCs w:val="22"/>
        </w:rPr>
        <w:t>since the signing of the RFAs, and increased management prescriptions, have decreased the net harvestable area by a further 1.3 million hectares, to 2.3 million hectares in the most recent data available.</w:t>
      </w:r>
    </w:p>
    <w:p w14:paraId="0559CF63" w14:textId="77777777" w:rsidR="00263D0A" w:rsidRDefault="00263D0A" w:rsidP="00F122A9">
      <w:pPr>
        <w:spacing w:before="160" w:after="160"/>
      </w:pPr>
    </w:p>
    <w:p w14:paraId="12F4AB45" w14:textId="31AE3C7A" w:rsidR="00F122A9" w:rsidRDefault="00F51F7F" w:rsidP="000E64E6">
      <w:pPr>
        <w:spacing w:before="160" w:after="160"/>
        <w:jc w:val="center"/>
        <w:rPr>
          <w:szCs w:val="22"/>
        </w:rPr>
      </w:pPr>
      <w:r w:rsidRPr="00453039">
        <w:rPr>
          <w:noProof/>
          <w:lang w:eastAsia="en-AU"/>
        </w:rPr>
        <w:lastRenderedPageBreak/>
        <w:drawing>
          <wp:inline distT="0" distB="0" distL="0" distR="0" wp14:anchorId="1DC742A9" wp14:editId="123FF0EC">
            <wp:extent cx="5580000" cy="3084914"/>
            <wp:effectExtent l="0" t="0" r="190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80000" cy="3084914"/>
                    </a:xfrm>
                    <a:prstGeom prst="rect">
                      <a:avLst/>
                    </a:prstGeom>
                    <a:noFill/>
                    <a:ln>
                      <a:noFill/>
                    </a:ln>
                  </pic:spPr>
                </pic:pic>
              </a:graphicData>
            </a:graphic>
          </wp:inline>
        </w:drawing>
      </w:r>
    </w:p>
    <w:p w14:paraId="4F5B2EA3" w14:textId="6D49C7E0" w:rsidR="00F122A9" w:rsidRPr="00F122A9" w:rsidRDefault="00F122A9" w:rsidP="007B191F">
      <w:pPr>
        <w:pStyle w:val="Heading4"/>
        <w:spacing w:before="240"/>
        <w:rPr>
          <w:sz w:val="32"/>
        </w:rPr>
      </w:pPr>
      <w:r w:rsidRPr="00F122A9">
        <w:rPr>
          <w:sz w:val="32"/>
        </w:rPr>
        <w:t>Sustainable and actual wood yields</w:t>
      </w:r>
      <w:r w:rsidR="00453039" w:rsidRPr="00453039">
        <w:rPr>
          <w:bCs w:val="0"/>
          <w:iCs w:val="0"/>
          <w:sz w:val="32"/>
        </w:rPr>
        <w:t xml:space="preserve"> </w:t>
      </w:r>
    </w:p>
    <w:p w14:paraId="7819025F" w14:textId="77777777" w:rsidR="00F122A9" w:rsidRPr="002A230B" w:rsidRDefault="00F122A9" w:rsidP="00F122A9">
      <w:pPr>
        <w:spacing w:before="160"/>
      </w:pPr>
      <w:r w:rsidRPr="002A230B">
        <w:rPr>
          <w:szCs w:val="22"/>
        </w:rPr>
        <w:t>Reduction in the net harvestable area, together with improved modelling of sustainable yield and the impact of wildfire on wood resources, have resulted in significant reductions in sustainable wood yields from public native forests</w:t>
      </w:r>
      <w:r w:rsidRPr="002A230B">
        <w:t xml:space="preserve"> in RFA regions.</w:t>
      </w:r>
    </w:p>
    <w:p w14:paraId="727CEA93" w14:textId="77777777" w:rsidR="00F122A9" w:rsidRDefault="00F122A9" w:rsidP="00F122A9">
      <w:pPr>
        <w:spacing w:before="160"/>
        <w:rPr>
          <w:szCs w:val="22"/>
        </w:rPr>
      </w:pPr>
      <w:r w:rsidRPr="002A230B">
        <w:rPr>
          <w:szCs w:val="22"/>
        </w:rPr>
        <w:t xml:space="preserve">In the five-year period to 2016, both the sustainable yield and the actual yield of </w:t>
      </w:r>
      <w:r w:rsidRPr="002A230B">
        <w:t>sawlogs</w:t>
      </w:r>
      <w:r w:rsidRPr="002A230B">
        <w:rPr>
          <w:szCs w:val="22"/>
        </w:rPr>
        <w:t xml:space="preserve"> in the RFA regions were less than half the corresponding values identified before RFA processes commenced in 1995–96</w:t>
      </w:r>
      <w:r w:rsidRPr="002A230B">
        <w:t>. O</w:t>
      </w:r>
      <w:r w:rsidRPr="002A230B">
        <w:rPr>
          <w:szCs w:val="22"/>
        </w:rPr>
        <w:t>ver this 20</w:t>
      </w:r>
      <w:r w:rsidRPr="002A230B">
        <w:rPr>
          <w:szCs w:val="22"/>
        </w:rPr>
        <w:noBreakHyphen/>
        <w:t>year period, total sustainable yield in the RFA regions decreased from 2.7</w:t>
      </w:r>
      <w:r w:rsidRPr="002A230B">
        <w:t> </w:t>
      </w:r>
      <w:r w:rsidRPr="002A230B">
        <w:rPr>
          <w:szCs w:val="22"/>
        </w:rPr>
        <w:t>million cubic metres per year to 1.2 million cubic metres per year, and actual yield in the RFA regions decreased from 2.4 million cubic metres per year to 0.88 million cubic metres per year.</w:t>
      </w:r>
    </w:p>
    <w:p w14:paraId="5CE0C990" w14:textId="713FA68F" w:rsidR="00C93F8D" w:rsidRDefault="00A91927" w:rsidP="000B6223">
      <w:pPr>
        <w:spacing w:before="0" w:after="0"/>
        <w:jc w:val="center"/>
      </w:pPr>
      <w:r w:rsidRPr="00A91927">
        <w:rPr>
          <w:noProof/>
          <w:lang w:eastAsia="en-AU"/>
        </w:rPr>
        <w:drawing>
          <wp:inline distT="0" distB="0" distL="0" distR="0" wp14:anchorId="44E1E1D6" wp14:editId="7CFAA866">
            <wp:extent cx="5580000" cy="3076817"/>
            <wp:effectExtent l="0" t="0" r="190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580000" cy="3076817"/>
                    </a:xfrm>
                    <a:prstGeom prst="rect">
                      <a:avLst/>
                    </a:prstGeom>
                    <a:noFill/>
                    <a:ln>
                      <a:noFill/>
                    </a:ln>
                  </pic:spPr>
                </pic:pic>
              </a:graphicData>
            </a:graphic>
          </wp:inline>
        </w:drawing>
      </w:r>
    </w:p>
    <w:p w14:paraId="3D3FF12E" w14:textId="77777777" w:rsidR="00F122A9" w:rsidRPr="00F122A9" w:rsidRDefault="00F122A9" w:rsidP="007B191F">
      <w:pPr>
        <w:pStyle w:val="Heading4"/>
        <w:spacing w:before="240"/>
        <w:rPr>
          <w:sz w:val="32"/>
        </w:rPr>
      </w:pPr>
      <w:r w:rsidRPr="00F122A9">
        <w:rPr>
          <w:sz w:val="32"/>
        </w:rPr>
        <w:lastRenderedPageBreak/>
        <w:t>Conclusion</w:t>
      </w:r>
    </w:p>
    <w:p w14:paraId="1A8C87CF" w14:textId="77777777" w:rsidR="003278F7" w:rsidRDefault="00F122A9" w:rsidP="00F122A9">
      <w:pPr>
        <w:spacing w:before="160"/>
        <w:rPr>
          <w:rFonts w:cstheme="minorBidi"/>
        </w:rPr>
      </w:pPr>
      <w:r w:rsidRPr="002A230B">
        <w:rPr>
          <w:rFonts w:cstheme="minorBidi"/>
        </w:rPr>
        <w:t>The data in this report form the authoritative record of the outcomes in RFA regions for the CAR reserve system, old-growth forest, wilderness, net harvestable areas, and sustainable and actual harvest yields, both at signing of the RFAs and subsequently.</w:t>
      </w:r>
    </w:p>
    <w:p w14:paraId="333BB827" w14:textId="48623522" w:rsidR="00D11992" w:rsidRDefault="00F122A9" w:rsidP="00F122A9">
      <w:pPr>
        <w:spacing w:before="160"/>
      </w:pPr>
      <w:r w:rsidRPr="002A230B">
        <w:t>Signing of t</w:t>
      </w:r>
      <w:r w:rsidRPr="002A230B">
        <w:rPr>
          <w:szCs w:val="22"/>
        </w:rPr>
        <w:t xml:space="preserve">he RFAs resulted in </w:t>
      </w:r>
      <w:r w:rsidRPr="002A230B">
        <w:rPr>
          <w:rFonts w:cstheme="minorBidi"/>
        </w:rPr>
        <w:t xml:space="preserve">changes in Australia’s forest management arrangements in RFA regions, including </w:t>
      </w:r>
      <w:r w:rsidRPr="002A230B">
        <w:rPr>
          <w:szCs w:val="22"/>
        </w:rPr>
        <w:t xml:space="preserve">substantial areas of forest being reserved through establishment of </w:t>
      </w:r>
      <w:r w:rsidRPr="002A230B">
        <w:t>the CAR</w:t>
      </w:r>
      <w:r w:rsidRPr="002A230B">
        <w:rPr>
          <w:szCs w:val="22"/>
        </w:rPr>
        <w:t xml:space="preserve"> reserve system, </w:t>
      </w:r>
      <w:r w:rsidRPr="002A230B">
        <w:t xml:space="preserve">and </w:t>
      </w:r>
      <w:r w:rsidRPr="002A230B">
        <w:rPr>
          <w:szCs w:val="22"/>
        </w:rPr>
        <w:t>substantial reduction in the access to forest resources by forest industries.</w:t>
      </w:r>
      <w:r w:rsidRPr="002A230B">
        <w:t xml:space="preserve"> These trends have continued since the signing of the RFAs.</w:t>
      </w:r>
    </w:p>
    <w:p w14:paraId="63941D4E" w14:textId="77777777" w:rsidR="00DB0CD3" w:rsidRDefault="00DB0CD3" w:rsidP="00CF2350">
      <w:pPr>
        <w:spacing w:before="240"/>
        <w:rPr>
          <w:szCs w:val="22"/>
        </w:rPr>
      </w:pPr>
    </w:p>
    <w:p w14:paraId="378E8F2F" w14:textId="5A81A2FB" w:rsidR="00CF2350" w:rsidRDefault="00CF2350" w:rsidP="00CF2350">
      <w:pPr>
        <w:spacing w:before="240"/>
        <w:rPr>
          <w:rFonts w:asciiTheme="majorHAnsi" w:hAnsiTheme="majorHAnsi"/>
          <w:szCs w:val="22"/>
        </w:rPr>
      </w:pPr>
      <w:r>
        <w:rPr>
          <w:szCs w:val="22"/>
        </w:rPr>
        <w:t xml:space="preserve">The figures and data tables from this report are available at </w:t>
      </w:r>
      <w:hyperlink r:id="rId25" w:history="1">
        <w:r w:rsidRPr="000F7F78">
          <w:rPr>
            <w:rStyle w:val="Hyperlink"/>
            <w:color w:val="0070C0"/>
            <w:szCs w:val="22"/>
          </w:rPr>
          <w:t>doi.org/10.25814/3z94-9957</w:t>
        </w:r>
      </w:hyperlink>
      <w:r>
        <w:rPr>
          <w:szCs w:val="22"/>
        </w:rPr>
        <w:t>.</w:t>
      </w:r>
    </w:p>
    <w:p w14:paraId="280DE172" w14:textId="77777777" w:rsidR="00CF2350" w:rsidRDefault="00CF2350" w:rsidP="00F122A9">
      <w:pPr>
        <w:spacing w:before="160"/>
      </w:pPr>
    </w:p>
    <w:p w14:paraId="647CC182" w14:textId="15146C1D" w:rsidR="006A03E3" w:rsidRPr="00F122A9" w:rsidRDefault="006A03E3" w:rsidP="00F122A9">
      <w:pPr>
        <w:spacing w:before="160"/>
        <w:rPr>
          <w:rFonts w:cstheme="minorBidi"/>
        </w:rPr>
      </w:pPr>
      <w:r>
        <w:rPr>
          <w:rFonts w:ascii="Calibri" w:eastAsiaTheme="minorEastAsia" w:hAnsi="Calibri" w:cstheme="minorBidi"/>
          <w:b/>
          <w:color w:val="000000"/>
          <w:sz w:val="56"/>
          <w:szCs w:val="28"/>
          <w:lang w:eastAsia="ja-JP"/>
        </w:rPr>
        <w:br w:type="page"/>
      </w:r>
    </w:p>
    <w:p w14:paraId="3F62BB73" w14:textId="5A82BC40" w:rsidR="00207D4D" w:rsidRPr="006A03E3" w:rsidRDefault="00207D4D" w:rsidP="007A678B">
      <w:pPr>
        <w:pStyle w:val="Heading2"/>
        <w:spacing w:after="240"/>
        <w:jc w:val="left"/>
        <w:rPr>
          <w:rFonts w:ascii="Calibri" w:eastAsiaTheme="minorEastAsia" w:hAnsi="Calibri" w:cstheme="minorBidi"/>
          <w:b w:val="0"/>
          <w:color w:val="000000"/>
          <w:sz w:val="56"/>
          <w:szCs w:val="28"/>
          <w:lang w:eastAsia="ja-JP"/>
        </w:rPr>
      </w:pPr>
      <w:bookmarkStart w:id="3" w:name="_Toc58312575"/>
      <w:r w:rsidRPr="001924E5">
        <w:rPr>
          <w:rFonts w:ascii="Calibri" w:eastAsiaTheme="minorEastAsia" w:hAnsi="Calibri" w:cstheme="minorBidi"/>
          <w:b w:val="0"/>
          <w:color w:val="000000"/>
          <w:sz w:val="56"/>
          <w:szCs w:val="28"/>
          <w:lang w:eastAsia="ja-JP"/>
        </w:rPr>
        <w:lastRenderedPageBreak/>
        <w:t>Introduction</w:t>
      </w:r>
      <w:bookmarkEnd w:id="3"/>
    </w:p>
    <w:p w14:paraId="21D4C39A" w14:textId="050F71C4" w:rsidR="00A929D4" w:rsidRDefault="00BC3AA3" w:rsidP="00F57953">
      <w:pPr>
        <w:spacing w:before="240"/>
        <w:rPr>
          <w:rFonts w:asciiTheme="majorHAnsi" w:hAnsiTheme="majorHAnsi"/>
          <w:noProof/>
          <w:szCs w:val="22"/>
          <w:lang w:eastAsia="en-AU"/>
        </w:rPr>
      </w:pPr>
      <w:r w:rsidRPr="009C7698">
        <w:rPr>
          <w:rFonts w:asciiTheme="majorHAnsi" w:hAnsiTheme="majorHAnsi"/>
          <w:szCs w:val="22"/>
        </w:rPr>
        <w:t xml:space="preserve">During </w:t>
      </w:r>
      <w:r w:rsidR="00BE67BB" w:rsidRPr="009C7698">
        <w:rPr>
          <w:rFonts w:asciiTheme="majorHAnsi" w:hAnsiTheme="majorHAnsi"/>
          <w:szCs w:val="22"/>
        </w:rPr>
        <w:t xml:space="preserve">the period </w:t>
      </w:r>
      <w:r w:rsidR="006C01BB">
        <w:rPr>
          <w:rFonts w:asciiTheme="majorHAnsi" w:hAnsiTheme="majorHAnsi"/>
          <w:szCs w:val="22"/>
        </w:rPr>
        <w:t>leading up</w:t>
      </w:r>
      <w:r w:rsidR="006C01BB" w:rsidRPr="009C7698">
        <w:rPr>
          <w:rFonts w:asciiTheme="majorHAnsi" w:hAnsiTheme="majorHAnsi"/>
          <w:szCs w:val="22"/>
        </w:rPr>
        <w:t xml:space="preserve"> </w:t>
      </w:r>
      <w:r w:rsidRPr="009C7698">
        <w:rPr>
          <w:rFonts w:asciiTheme="majorHAnsi" w:hAnsiTheme="majorHAnsi"/>
          <w:szCs w:val="22"/>
        </w:rPr>
        <w:t>to 2001</w:t>
      </w:r>
      <w:r w:rsidR="00BE67BB" w:rsidRPr="009C7698">
        <w:rPr>
          <w:rFonts w:asciiTheme="majorHAnsi" w:hAnsiTheme="majorHAnsi"/>
          <w:szCs w:val="22"/>
        </w:rPr>
        <w:t>,</w:t>
      </w:r>
      <w:r w:rsidRPr="009C7698">
        <w:rPr>
          <w:rFonts w:asciiTheme="majorHAnsi" w:hAnsiTheme="majorHAnsi"/>
          <w:szCs w:val="22"/>
        </w:rPr>
        <w:t xml:space="preserve"> the</w:t>
      </w:r>
      <w:r w:rsidR="00914529" w:rsidRPr="009C7698">
        <w:rPr>
          <w:rFonts w:asciiTheme="majorHAnsi" w:hAnsiTheme="majorHAnsi"/>
          <w:szCs w:val="22"/>
        </w:rPr>
        <w:t xml:space="preserve"> </w:t>
      </w:r>
      <w:r w:rsidR="00763630" w:rsidRPr="009C7698">
        <w:rPr>
          <w:rFonts w:asciiTheme="majorHAnsi" w:hAnsiTheme="majorHAnsi"/>
          <w:szCs w:val="22"/>
        </w:rPr>
        <w:t>Commonwealth (</w:t>
      </w:r>
      <w:r w:rsidR="00914529" w:rsidRPr="009C7698">
        <w:rPr>
          <w:rFonts w:asciiTheme="majorHAnsi" w:hAnsiTheme="majorHAnsi"/>
          <w:szCs w:val="22"/>
        </w:rPr>
        <w:t>Australian</w:t>
      </w:r>
      <w:r w:rsidR="00763630" w:rsidRPr="009C7698">
        <w:rPr>
          <w:rFonts w:asciiTheme="majorHAnsi" w:hAnsiTheme="majorHAnsi"/>
          <w:szCs w:val="22"/>
        </w:rPr>
        <w:t>)</w:t>
      </w:r>
      <w:r w:rsidR="00914529" w:rsidRPr="009C7698">
        <w:rPr>
          <w:rFonts w:asciiTheme="majorHAnsi" w:hAnsiTheme="majorHAnsi"/>
          <w:szCs w:val="22"/>
        </w:rPr>
        <w:t xml:space="preserve"> Government </w:t>
      </w:r>
      <w:r w:rsidRPr="009C7698">
        <w:rPr>
          <w:rFonts w:asciiTheme="majorHAnsi" w:hAnsiTheme="majorHAnsi"/>
          <w:szCs w:val="22"/>
        </w:rPr>
        <w:t>developed and finalised</w:t>
      </w:r>
      <w:r w:rsidR="00914529" w:rsidRPr="009C7698">
        <w:rPr>
          <w:rFonts w:asciiTheme="majorHAnsi" w:hAnsiTheme="majorHAnsi"/>
          <w:szCs w:val="22"/>
        </w:rPr>
        <w:t xml:space="preserve"> </w:t>
      </w:r>
      <w:r w:rsidR="00B95785">
        <w:rPr>
          <w:rFonts w:asciiTheme="majorHAnsi" w:hAnsiTheme="majorHAnsi"/>
          <w:szCs w:val="22"/>
        </w:rPr>
        <w:t>R</w:t>
      </w:r>
      <w:r w:rsidR="00914529" w:rsidRPr="009C7698">
        <w:rPr>
          <w:rFonts w:asciiTheme="majorHAnsi" w:hAnsiTheme="majorHAnsi"/>
          <w:szCs w:val="22"/>
        </w:rPr>
        <w:t xml:space="preserve">egional </w:t>
      </w:r>
      <w:r w:rsidR="00B95785">
        <w:rPr>
          <w:rFonts w:asciiTheme="majorHAnsi" w:hAnsiTheme="majorHAnsi"/>
          <w:szCs w:val="22"/>
        </w:rPr>
        <w:t>F</w:t>
      </w:r>
      <w:r w:rsidR="00914529" w:rsidRPr="009C7698">
        <w:rPr>
          <w:rFonts w:asciiTheme="majorHAnsi" w:hAnsiTheme="majorHAnsi"/>
          <w:szCs w:val="22"/>
        </w:rPr>
        <w:t xml:space="preserve">orest </w:t>
      </w:r>
      <w:r w:rsidR="00B95785">
        <w:rPr>
          <w:rFonts w:asciiTheme="majorHAnsi" w:hAnsiTheme="majorHAnsi"/>
          <w:szCs w:val="22"/>
        </w:rPr>
        <w:t>A</w:t>
      </w:r>
      <w:r w:rsidR="00914529" w:rsidRPr="009C7698">
        <w:rPr>
          <w:rFonts w:asciiTheme="majorHAnsi" w:hAnsiTheme="majorHAnsi"/>
          <w:szCs w:val="22"/>
        </w:rPr>
        <w:t xml:space="preserve">greements </w:t>
      </w:r>
      <w:r w:rsidR="007E45A7" w:rsidRPr="009C7698">
        <w:rPr>
          <w:rFonts w:asciiTheme="majorHAnsi" w:hAnsiTheme="majorHAnsi"/>
          <w:szCs w:val="22"/>
        </w:rPr>
        <w:t xml:space="preserve">(RFAs) </w:t>
      </w:r>
      <w:r w:rsidR="00D73957" w:rsidRPr="009C7698">
        <w:rPr>
          <w:rFonts w:asciiTheme="majorHAnsi" w:hAnsiTheme="majorHAnsi"/>
          <w:szCs w:val="22"/>
        </w:rPr>
        <w:t xml:space="preserve">covering 39 million hectares </w:t>
      </w:r>
      <w:r w:rsidR="00480EB0" w:rsidRPr="009C7698">
        <w:rPr>
          <w:rFonts w:asciiTheme="majorHAnsi" w:hAnsiTheme="majorHAnsi"/>
          <w:szCs w:val="22"/>
        </w:rPr>
        <w:t xml:space="preserve">of land </w:t>
      </w:r>
      <w:r w:rsidR="00BE67BB" w:rsidRPr="009C7698">
        <w:rPr>
          <w:rFonts w:asciiTheme="majorHAnsi" w:hAnsiTheme="majorHAnsi"/>
          <w:szCs w:val="22"/>
        </w:rPr>
        <w:t xml:space="preserve">across </w:t>
      </w:r>
      <w:r w:rsidR="00D73957" w:rsidRPr="009C7698">
        <w:rPr>
          <w:rFonts w:asciiTheme="majorHAnsi" w:hAnsiTheme="majorHAnsi"/>
          <w:szCs w:val="22"/>
        </w:rPr>
        <w:t xml:space="preserve">the </w:t>
      </w:r>
      <w:r w:rsidR="00231477" w:rsidRPr="009C7698">
        <w:rPr>
          <w:rFonts w:asciiTheme="majorHAnsi" w:hAnsiTheme="majorHAnsi"/>
          <w:szCs w:val="22"/>
        </w:rPr>
        <w:t>ma</w:t>
      </w:r>
      <w:r w:rsidR="0058383F">
        <w:rPr>
          <w:rFonts w:asciiTheme="majorHAnsi" w:hAnsiTheme="majorHAnsi"/>
          <w:szCs w:val="22"/>
        </w:rPr>
        <w:t xml:space="preserve">jor commercial </w:t>
      </w:r>
      <w:r w:rsidR="00345C3E">
        <w:rPr>
          <w:rFonts w:asciiTheme="majorHAnsi" w:hAnsiTheme="majorHAnsi"/>
          <w:szCs w:val="22"/>
        </w:rPr>
        <w:t xml:space="preserve">native </w:t>
      </w:r>
      <w:r w:rsidR="0058383F">
        <w:rPr>
          <w:rFonts w:asciiTheme="majorHAnsi" w:hAnsiTheme="majorHAnsi"/>
          <w:szCs w:val="22"/>
        </w:rPr>
        <w:t>forest regions of</w:t>
      </w:r>
      <w:r w:rsidR="00231477" w:rsidRPr="009C7698">
        <w:rPr>
          <w:rFonts w:asciiTheme="majorHAnsi" w:hAnsiTheme="majorHAnsi"/>
          <w:szCs w:val="22"/>
        </w:rPr>
        <w:t xml:space="preserve"> Australia </w:t>
      </w:r>
      <w:r w:rsidR="00914529" w:rsidRPr="009C7698">
        <w:rPr>
          <w:rFonts w:asciiTheme="majorHAnsi" w:hAnsiTheme="majorHAnsi"/>
          <w:szCs w:val="22"/>
        </w:rPr>
        <w:t xml:space="preserve">other than </w:t>
      </w:r>
      <w:r w:rsidR="00BF30CD" w:rsidRPr="00BF30CD">
        <w:rPr>
          <w:rFonts w:asciiTheme="majorHAnsi" w:hAnsiTheme="majorHAnsi"/>
          <w:szCs w:val="22"/>
        </w:rPr>
        <w:t>Queensland (Figure 1). The</w:t>
      </w:r>
      <w:r w:rsidR="00AD5CA7" w:rsidRPr="00AD5CA7">
        <w:rPr>
          <w:rFonts w:asciiTheme="majorHAnsi" w:hAnsiTheme="majorHAnsi"/>
          <w:szCs w:val="22"/>
        </w:rPr>
        <w:t xml:space="preserve"> Commonwealth and Queensland Governments completed a Comprehensive Regional Assessment for South-East Queensland, but did not sign a</w:t>
      </w:r>
      <w:r w:rsidR="001C4752">
        <w:rPr>
          <w:rFonts w:asciiTheme="majorHAnsi" w:hAnsiTheme="majorHAnsi"/>
          <w:szCs w:val="22"/>
        </w:rPr>
        <w:t>n RFA</w:t>
      </w:r>
      <w:r w:rsidR="00AD5CA7">
        <w:rPr>
          <w:rFonts w:asciiTheme="majorHAnsi" w:hAnsiTheme="majorHAnsi"/>
          <w:szCs w:val="22"/>
        </w:rPr>
        <w:t>.</w:t>
      </w:r>
      <w:r w:rsidR="00BE67BB" w:rsidRPr="009C7698">
        <w:rPr>
          <w:rFonts w:asciiTheme="majorHAnsi" w:hAnsiTheme="majorHAnsi"/>
          <w:szCs w:val="22"/>
        </w:rPr>
        <w:t xml:space="preserve"> </w:t>
      </w:r>
      <w:r w:rsidR="00B90704">
        <w:rPr>
          <w:rFonts w:asciiTheme="majorHAnsi" w:hAnsiTheme="majorHAnsi"/>
          <w:szCs w:val="22"/>
        </w:rPr>
        <w:t>W</w:t>
      </w:r>
      <w:r w:rsidR="00BE67BB" w:rsidRPr="009C7698">
        <w:rPr>
          <w:rFonts w:asciiTheme="majorHAnsi" w:hAnsiTheme="majorHAnsi"/>
          <w:szCs w:val="22"/>
        </w:rPr>
        <w:t>hile</w:t>
      </w:r>
      <w:r w:rsidR="00DA5811" w:rsidRPr="009C7698">
        <w:rPr>
          <w:rFonts w:asciiTheme="majorHAnsi" w:hAnsiTheme="majorHAnsi"/>
          <w:szCs w:val="22"/>
        </w:rPr>
        <w:t xml:space="preserve"> </w:t>
      </w:r>
      <w:r w:rsidR="00B90704">
        <w:rPr>
          <w:rFonts w:asciiTheme="majorHAnsi" w:hAnsiTheme="majorHAnsi"/>
          <w:szCs w:val="22"/>
        </w:rPr>
        <w:t xml:space="preserve">eleven RFA regions were </w:t>
      </w:r>
      <w:r w:rsidR="001B16E3">
        <w:rPr>
          <w:rFonts w:asciiTheme="majorHAnsi" w:hAnsiTheme="majorHAnsi"/>
          <w:szCs w:val="22"/>
        </w:rPr>
        <w:t>delineated</w:t>
      </w:r>
      <w:r w:rsidR="001C4752">
        <w:rPr>
          <w:rFonts w:asciiTheme="majorHAnsi" w:hAnsiTheme="majorHAnsi"/>
          <w:szCs w:val="22"/>
        </w:rPr>
        <w:t>,</w:t>
      </w:r>
      <w:r w:rsidR="00B90704">
        <w:rPr>
          <w:rFonts w:asciiTheme="majorHAnsi" w:hAnsiTheme="majorHAnsi"/>
          <w:szCs w:val="22"/>
        </w:rPr>
        <w:t xml:space="preserve"> </w:t>
      </w:r>
      <w:r w:rsidR="00DA5811" w:rsidRPr="009C7698">
        <w:rPr>
          <w:rFonts w:asciiTheme="majorHAnsi" w:hAnsiTheme="majorHAnsi"/>
          <w:szCs w:val="22"/>
        </w:rPr>
        <w:t>t</w:t>
      </w:r>
      <w:r w:rsidR="00874761" w:rsidRPr="009C7698">
        <w:rPr>
          <w:rFonts w:asciiTheme="majorHAnsi" w:hAnsiTheme="majorHAnsi"/>
          <w:szCs w:val="22"/>
        </w:rPr>
        <w:t xml:space="preserve">he </w:t>
      </w:r>
      <w:r w:rsidR="00316BF7" w:rsidRPr="009C7698">
        <w:rPr>
          <w:rFonts w:asciiTheme="majorHAnsi" w:hAnsiTheme="majorHAnsi"/>
          <w:szCs w:val="22"/>
        </w:rPr>
        <w:t xml:space="preserve">Lower North East New South Wales and Upper North East New South Wales </w:t>
      </w:r>
      <w:r w:rsidR="00867442">
        <w:rPr>
          <w:rFonts w:asciiTheme="majorHAnsi" w:hAnsiTheme="majorHAnsi"/>
          <w:szCs w:val="22"/>
        </w:rPr>
        <w:t xml:space="preserve">RFA </w:t>
      </w:r>
      <w:r w:rsidR="00874761" w:rsidRPr="009C7698">
        <w:rPr>
          <w:rFonts w:asciiTheme="majorHAnsi" w:hAnsiTheme="majorHAnsi"/>
          <w:szCs w:val="22"/>
        </w:rPr>
        <w:t xml:space="preserve">regions </w:t>
      </w:r>
      <w:r w:rsidR="00867442">
        <w:rPr>
          <w:rFonts w:asciiTheme="majorHAnsi" w:hAnsiTheme="majorHAnsi"/>
          <w:szCs w:val="22"/>
        </w:rPr>
        <w:t>we</w:t>
      </w:r>
      <w:r w:rsidR="00316BF7" w:rsidRPr="009C7698">
        <w:rPr>
          <w:rFonts w:asciiTheme="majorHAnsi" w:hAnsiTheme="majorHAnsi"/>
          <w:szCs w:val="22"/>
        </w:rPr>
        <w:t xml:space="preserve">re covered by one </w:t>
      </w:r>
      <w:r w:rsidR="00C87770">
        <w:rPr>
          <w:rFonts w:asciiTheme="majorHAnsi" w:hAnsiTheme="majorHAnsi"/>
          <w:szCs w:val="22"/>
        </w:rPr>
        <w:t>RFA</w:t>
      </w:r>
      <w:r w:rsidR="006C01BB">
        <w:rPr>
          <w:rFonts w:asciiTheme="majorHAnsi" w:hAnsiTheme="majorHAnsi"/>
          <w:szCs w:val="22"/>
        </w:rPr>
        <w:t>, giving a total of ten RFAs</w:t>
      </w:r>
      <w:r w:rsidR="00815B6D" w:rsidRPr="009C7698">
        <w:rPr>
          <w:rFonts w:asciiTheme="majorHAnsi" w:hAnsiTheme="majorHAnsi"/>
          <w:szCs w:val="22"/>
        </w:rPr>
        <w:t xml:space="preserve">. </w:t>
      </w:r>
      <w:r w:rsidR="0058383F">
        <w:rPr>
          <w:rFonts w:asciiTheme="majorHAnsi" w:hAnsiTheme="majorHAnsi"/>
          <w:szCs w:val="22"/>
        </w:rPr>
        <w:t>From 2017 to 2020</w:t>
      </w:r>
      <w:r w:rsidR="00C357A5">
        <w:rPr>
          <w:rFonts w:asciiTheme="majorHAnsi" w:hAnsiTheme="majorHAnsi"/>
          <w:szCs w:val="22"/>
        </w:rPr>
        <w:t>,</w:t>
      </w:r>
      <w:r w:rsidR="0058383F">
        <w:rPr>
          <w:rFonts w:asciiTheme="majorHAnsi" w:hAnsiTheme="majorHAnsi"/>
          <w:szCs w:val="22"/>
        </w:rPr>
        <w:t xml:space="preserve"> all ten </w:t>
      </w:r>
      <w:r w:rsidR="00867442">
        <w:rPr>
          <w:rFonts w:asciiTheme="majorHAnsi" w:hAnsiTheme="majorHAnsi"/>
          <w:szCs w:val="22"/>
        </w:rPr>
        <w:t xml:space="preserve">RFAs </w:t>
      </w:r>
      <w:r w:rsidR="0058383F">
        <w:rPr>
          <w:rFonts w:asciiTheme="majorHAnsi" w:hAnsiTheme="majorHAnsi"/>
          <w:szCs w:val="22"/>
        </w:rPr>
        <w:t>were</w:t>
      </w:r>
      <w:r w:rsidR="00691802">
        <w:rPr>
          <w:rFonts w:asciiTheme="majorHAnsi" w:hAnsiTheme="majorHAnsi"/>
          <w:szCs w:val="22"/>
        </w:rPr>
        <w:t xml:space="preserve"> varied</w:t>
      </w:r>
      <w:r w:rsidR="00C357A5">
        <w:rPr>
          <w:rFonts w:asciiTheme="majorHAnsi" w:hAnsiTheme="majorHAnsi"/>
          <w:szCs w:val="22"/>
        </w:rPr>
        <w:t>,</w:t>
      </w:r>
      <w:r w:rsidR="00691802">
        <w:rPr>
          <w:rFonts w:asciiTheme="majorHAnsi" w:hAnsiTheme="majorHAnsi"/>
          <w:szCs w:val="22"/>
        </w:rPr>
        <w:t xml:space="preserve"> with </w:t>
      </w:r>
      <w:r w:rsidR="00345C3E">
        <w:rPr>
          <w:rFonts w:asciiTheme="majorHAnsi" w:hAnsiTheme="majorHAnsi"/>
          <w:szCs w:val="22"/>
        </w:rPr>
        <w:t xml:space="preserve">the five </w:t>
      </w:r>
      <w:r w:rsidR="00691802">
        <w:rPr>
          <w:rFonts w:asciiTheme="majorHAnsi" w:hAnsiTheme="majorHAnsi"/>
          <w:szCs w:val="22"/>
        </w:rPr>
        <w:t xml:space="preserve">Victorian RFAs extended </w:t>
      </w:r>
      <w:r w:rsidR="00345C3E">
        <w:rPr>
          <w:rFonts w:asciiTheme="majorHAnsi" w:hAnsiTheme="majorHAnsi"/>
          <w:szCs w:val="22"/>
        </w:rPr>
        <w:t>to 2030</w:t>
      </w:r>
      <w:r w:rsidR="00691802">
        <w:rPr>
          <w:rFonts w:asciiTheme="majorHAnsi" w:hAnsiTheme="majorHAnsi"/>
          <w:szCs w:val="22"/>
        </w:rPr>
        <w:t xml:space="preserve"> and all other</w:t>
      </w:r>
      <w:r w:rsidR="001C4752">
        <w:rPr>
          <w:rFonts w:asciiTheme="majorHAnsi" w:hAnsiTheme="majorHAnsi"/>
          <w:szCs w:val="22"/>
        </w:rPr>
        <w:t xml:space="preserve"> RFAs</w:t>
      </w:r>
      <w:r w:rsidR="00691802">
        <w:rPr>
          <w:rFonts w:asciiTheme="majorHAnsi" w:hAnsiTheme="majorHAnsi"/>
          <w:szCs w:val="22"/>
        </w:rPr>
        <w:t xml:space="preserve"> extended </w:t>
      </w:r>
      <w:r w:rsidR="00B95785">
        <w:rPr>
          <w:rFonts w:asciiTheme="majorHAnsi" w:hAnsiTheme="majorHAnsi"/>
          <w:szCs w:val="22"/>
        </w:rPr>
        <w:t xml:space="preserve">as </w:t>
      </w:r>
      <w:r w:rsidR="00867442">
        <w:rPr>
          <w:rFonts w:asciiTheme="majorHAnsi" w:hAnsiTheme="majorHAnsi"/>
          <w:szCs w:val="22"/>
        </w:rPr>
        <w:t>20</w:t>
      </w:r>
      <w:r w:rsidR="00176FDC">
        <w:rPr>
          <w:rFonts w:asciiTheme="majorHAnsi" w:hAnsiTheme="majorHAnsi"/>
          <w:szCs w:val="22"/>
        </w:rPr>
        <w:noBreakHyphen/>
      </w:r>
      <w:r w:rsidR="00867442">
        <w:rPr>
          <w:rFonts w:asciiTheme="majorHAnsi" w:hAnsiTheme="majorHAnsi"/>
          <w:szCs w:val="22"/>
        </w:rPr>
        <w:t>year</w:t>
      </w:r>
      <w:r w:rsidR="00B95785">
        <w:rPr>
          <w:rFonts w:asciiTheme="majorHAnsi" w:hAnsiTheme="majorHAnsi"/>
          <w:szCs w:val="22"/>
        </w:rPr>
        <w:t xml:space="preserve"> rolling agreements</w:t>
      </w:r>
      <w:r w:rsidR="00867442">
        <w:rPr>
          <w:rFonts w:asciiTheme="majorHAnsi" w:hAnsiTheme="majorHAnsi"/>
          <w:szCs w:val="22"/>
        </w:rPr>
        <w:t>.</w:t>
      </w:r>
      <w:r w:rsidR="00A929D4" w:rsidRPr="00A929D4">
        <w:rPr>
          <w:rFonts w:asciiTheme="majorHAnsi" w:hAnsiTheme="majorHAnsi"/>
          <w:noProof/>
          <w:szCs w:val="22"/>
          <w:lang w:eastAsia="en-AU"/>
        </w:rPr>
        <w:t xml:space="preserve"> </w:t>
      </w:r>
    </w:p>
    <w:p w14:paraId="38CBC954" w14:textId="66827F6B" w:rsidR="008E2DD2" w:rsidRDefault="00BF30CD" w:rsidP="00BF30CD">
      <w:pPr>
        <w:pStyle w:val="Caption"/>
        <w:ind w:firstLine="0"/>
      </w:pPr>
      <w:bookmarkStart w:id="4" w:name="_Toc58234975"/>
      <w:bookmarkStart w:id="5" w:name="_Ref57976299"/>
      <w:r>
        <w:t xml:space="preserve">  </w:t>
      </w:r>
      <w:r w:rsidR="008E2DD2">
        <w:t xml:space="preserve">Figure </w:t>
      </w:r>
      <w:r w:rsidR="00160F3D">
        <w:rPr>
          <w:noProof/>
        </w:rPr>
        <w:fldChar w:fldCharType="begin"/>
      </w:r>
      <w:r w:rsidR="00160F3D">
        <w:rPr>
          <w:noProof/>
        </w:rPr>
        <w:instrText xml:space="preserve"> SEQ Figure \* ARABIC </w:instrText>
      </w:r>
      <w:r w:rsidR="00160F3D">
        <w:rPr>
          <w:noProof/>
        </w:rPr>
        <w:fldChar w:fldCharType="separate"/>
      </w:r>
      <w:r w:rsidR="00CC3B42">
        <w:rPr>
          <w:noProof/>
        </w:rPr>
        <w:t>1</w:t>
      </w:r>
      <w:r w:rsidR="00160F3D">
        <w:rPr>
          <w:noProof/>
        </w:rPr>
        <w:fldChar w:fldCharType="end"/>
      </w:r>
      <w:r w:rsidR="008E2DD2">
        <w:t xml:space="preserve"> Regional Forest Agreement and related regions in Australia</w:t>
      </w:r>
      <w:bookmarkEnd w:id="4"/>
    </w:p>
    <w:p w14:paraId="7CF77F05" w14:textId="77777777" w:rsidR="008E2DD2" w:rsidRDefault="008E2DD2" w:rsidP="00394440">
      <w:pPr>
        <w:spacing w:before="0" w:after="0"/>
        <w:rPr>
          <w:rFonts w:asciiTheme="majorHAnsi" w:hAnsiTheme="majorHAnsi"/>
          <w:szCs w:val="22"/>
        </w:rPr>
      </w:pPr>
      <w:r>
        <w:rPr>
          <w:rFonts w:asciiTheme="majorHAnsi" w:hAnsiTheme="majorHAnsi"/>
          <w:noProof/>
          <w:szCs w:val="22"/>
          <w:lang w:eastAsia="en-AU"/>
        </w:rPr>
        <w:drawing>
          <wp:inline distT="0" distB="0" distL="0" distR="0" wp14:anchorId="3DD0D083" wp14:editId="0EDC086F">
            <wp:extent cx="5731510" cy="40519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1_Regional_Forest_Agreement_and_related_region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4114002B" w14:textId="485722DC" w:rsidR="00394440" w:rsidRPr="004448FB" w:rsidRDefault="00394440" w:rsidP="008E2DD2">
      <w:pPr>
        <w:spacing w:before="0"/>
        <w:rPr>
          <w:rFonts w:asciiTheme="majorHAnsi" w:hAnsiTheme="majorHAnsi"/>
          <w:szCs w:val="22"/>
        </w:rPr>
      </w:pPr>
      <w:r>
        <w:rPr>
          <w:rFonts w:asciiTheme="minorHAnsi" w:hAnsiTheme="minorHAnsi"/>
          <w:sz w:val="16"/>
        </w:rPr>
        <w:t xml:space="preserve">  A higher resolution version of this map is available</w:t>
      </w:r>
      <w:r w:rsidRPr="00831C40">
        <w:rPr>
          <w:rFonts w:asciiTheme="minorHAnsi" w:hAnsiTheme="minorHAnsi"/>
          <w:sz w:val="16"/>
        </w:rPr>
        <w:t xml:space="preserve"> </w:t>
      </w:r>
      <w:r>
        <w:rPr>
          <w:rFonts w:asciiTheme="minorHAnsi" w:hAnsiTheme="minorHAnsi"/>
          <w:sz w:val="16"/>
        </w:rPr>
        <w:t>at</w:t>
      </w:r>
      <w:r w:rsidRPr="00831C40">
        <w:rPr>
          <w:rFonts w:asciiTheme="minorHAnsi" w:hAnsiTheme="minorHAnsi"/>
          <w:sz w:val="16"/>
        </w:rPr>
        <w:t xml:space="preserve"> </w:t>
      </w:r>
      <w:hyperlink r:id="rId27" w:history="1">
        <w:r w:rsidRPr="0090070F">
          <w:rPr>
            <w:rStyle w:val="Hyperlink"/>
            <w:rFonts w:asciiTheme="minorHAnsi" w:hAnsiTheme="minorHAnsi"/>
            <w:color w:val="0070C0"/>
            <w:sz w:val="16"/>
          </w:rPr>
          <w:t>doi.org/10.25814/3z94-9957</w:t>
        </w:r>
      </w:hyperlink>
      <w:r>
        <w:rPr>
          <w:rFonts w:asciiTheme="minorHAnsi" w:hAnsiTheme="minorHAnsi"/>
          <w:sz w:val="16"/>
        </w:rPr>
        <w:t>.</w:t>
      </w:r>
    </w:p>
    <w:bookmarkEnd w:id="5"/>
    <w:p w14:paraId="5BB1C575" w14:textId="3D5FFD2F" w:rsidR="00867442" w:rsidRDefault="00BC3AA3" w:rsidP="00F57953">
      <w:pPr>
        <w:spacing w:before="240"/>
        <w:rPr>
          <w:rFonts w:asciiTheme="majorHAnsi" w:hAnsiTheme="majorHAnsi"/>
          <w:szCs w:val="22"/>
        </w:rPr>
      </w:pPr>
      <w:r w:rsidRPr="009C7698">
        <w:rPr>
          <w:rFonts w:asciiTheme="majorHAnsi" w:hAnsiTheme="majorHAnsi"/>
          <w:szCs w:val="22"/>
        </w:rPr>
        <w:t>Davey (201</w:t>
      </w:r>
      <w:r w:rsidR="009534E1">
        <w:rPr>
          <w:rFonts w:asciiTheme="majorHAnsi" w:hAnsiTheme="majorHAnsi"/>
          <w:szCs w:val="22"/>
        </w:rPr>
        <w:t>8</w:t>
      </w:r>
      <w:r w:rsidRPr="009C7698">
        <w:rPr>
          <w:rFonts w:asciiTheme="majorHAnsi" w:hAnsiTheme="majorHAnsi"/>
          <w:szCs w:val="22"/>
        </w:rPr>
        <w:t xml:space="preserve">) provides a review of the development of </w:t>
      </w:r>
      <w:r w:rsidR="00C87770">
        <w:rPr>
          <w:rFonts w:asciiTheme="majorHAnsi" w:hAnsiTheme="majorHAnsi"/>
          <w:szCs w:val="22"/>
        </w:rPr>
        <w:t>RFA</w:t>
      </w:r>
      <w:r w:rsidRPr="009C7698">
        <w:rPr>
          <w:rFonts w:asciiTheme="majorHAnsi" w:hAnsiTheme="majorHAnsi"/>
          <w:szCs w:val="22"/>
        </w:rPr>
        <w:t xml:space="preserve">s and the principles and concepts that underpinned them. </w:t>
      </w:r>
      <w:r w:rsidR="001416AD" w:rsidRPr="009C7698">
        <w:rPr>
          <w:rFonts w:asciiTheme="majorHAnsi" w:hAnsiTheme="majorHAnsi"/>
          <w:szCs w:val="22"/>
        </w:rPr>
        <w:t>T</w:t>
      </w:r>
      <w:r w:rsidR="00600948">
        <w:rPr>
          <w:rFonts w:asciiTheme="majorHAnsi" w:hAnsiTheme="majorHAnsi"/>
          <w:szCs w:val="22"/>
        </w:rPr>
        <w:t>hese agreements</w:t>
      </w:r>
      <w:r w:rsidR="00667975" w:rsidRPr="009C7698">
        <w:rPr>
          <w:rFonts w:asciiTheme="majorHAnsi" w:hAnsiTheme="majorHAnsi"/>
          <w:szCs w:val="22"/>
        </w:rPr>
        <w:t xml:space="preserve"> </w:t>
      </w:r>
      <w:r w:rsidR="001C4752">
        <w:rPr>
          <w:rFonts w:asciiTheme="majorHAnsi" w:hAnsiTheme="majorHAnsi"/>
          <w:szCs w:val="22"/>
        </w:rPr>
        <w:t>are long-term</w:t>
      </w:r>
      <w:r w:rsidR="00667975" w:rsidRPr="009C7698">
        <w:rPr>
          <w:rFonts w:asciiTheme="majorHAnsi" w:hAnsiTheme="majorHAnsi"/>
          <w:szCs w:val="22"/>
        </w:rPr>
        <w:t xml:space="preserve"> strategic </w:t>
      </w:r>
      <w:r w:rsidR="00BE67BB" w:rsidRPr="009C7698">
        <w:rPr>
          <w:rFonts w:asciiTheme="majorHAnsi" w:hAnsiTheme="majorHAnsi"/>
          <w:szCs w:val="22"/>
        </w:rPr>
        <w:t xml:space="preserve">and </w:t>
      </w:r>
      <w:r w:rsidR="00667975" w:rsidRPr="009C7698">
        <w:rPr>
          <w:rFonts w:asciiTheme="majorHAnsi" w:hAnsiTheme="majorHAnsi"/>
          <w:szCs w:val="22"/>
        </w:rPr>
        <w:t>holistic plans implementing the principles of ecologically sustainable development (Commonwealth of Australia 1992a)</w:t>
      </w:r>
      <w:r w:rsidR="00060F7A" w:rsidRPr="009C7698">
        <w:rPr>
          <w:rFonts w:asciiTheme="majorHAnsi" w:hAnsiTheme="majorHAnsi"/>
          <w:szCs w:val="22"/>
        </w:rPr>
        <w:t>. They</w:t>
      </w:r>
      <w:r w:rsidR="00667975" w:rsidRPr="009C7698">
        <w:rPr>
          <w:rFonts w:asciiTheme="majorHAnsi" w:hAnsiTheme="majorHAnsi"/>
          <w:szCs w:val="22"/>
        </w:rPr>
        <w:t xml:space="preserve"> </w:t>
      </w:r>
      <w:r w:rsidR="001416AD" w:rsidRPr="009C7698">
        <w:rPr>
          <w:rFonts w:asciiTheme="majorHAnsi" w:hAnsiTheme="majorHAnsi"/>
          <w:szCs w:val="22"/>
        </w:rPr>
        <w:t>were designed as</w:t>
      </w:r>
      <w:r w:rsidR="00667975" w:rsidRPr="009C7698">
        <w:rPr>
          <w:rFonts w:asciiTheme="majorHAnsi" w:hAnsiTheme="majorHAnsi"/>
          <w:szCs w:val="22"/>
        </w:rPr>
        <w:t xml:space="preserve"> the basis for an internationally competitive and ecologically sustainable forest products industry (Martyn 2002), and collectively </w:t>
      </w:r>
      <w:r w:rsidR="00CD0E20" w:rsidRPr="009C7698">
        <w:rPr>
          <w:rFonts w:asciiTheme="majorHAnsi" w:hAnsiTheme="majorHAnsi"/>
          <w:szCs w:val="22"/>
        </w:rPr>
        <w:t>provide a blueprint for the management of Australia</w:t>
      </w:r>
      <w:r w:rsidR="00691802">
        <w:rPr>
          <w:rFonts w:asciiTheme="majorHAnsi" w:hAnsiTheme="majorHAnsi"/>
          <w:szCs w:val="22"/>
        </w:rPr>
        <w:t>’s</w:t>
      </w:r>
      <w:r w:rsidR="00CD0E20" w:rsidRPr="009C7698">
        <w:rPr>
          <w:rFonts w:asciiTheme="majorHAnsi" w:hAnsiTheme="majorHAnsi"/>
          <w:szCs w:val="22"/>
        </w:rPr>
        <w:t xml:space="preserve"> forests across all tenures</w:t>
      </w:r>
      <w:r w:rsidR="005E4750" w:rsidRPr="009C7698">
        <w:rPr>
          <w:rFonts w:asciiTheme="majorHAnsi" w:hAnsiTheme="majorHAnsi"/>
          <w:szCs w:val="22"/>
        </w:rPr>
        <w:t xml:space="preserve">. </w:t>
      </w:r>
      <w:r w:rsidR="00AC7050" w:rsidRPr="009C7698">
        <w:rPr>
          <w:rFonts w:asciiTheme="majorHAnsi" w:hAnsiTheme="majorHAnsi"/>
          <w:szCs w:val="22"/>
        </w:rPr>
        <w:t>They also implement international obligations, principles and objectives (Davey 201</w:t>
      </w:r>
      <w:r w:rsidR="009534E1">
        <w:rPr>
          <w:rFonts w:asciiTheme="majorHAnsi" w:hAnsiTheme="majorHAnsi"/>
          <w:szCs w:val="22"/>
        </w:rPr>
        <w:t>8</w:t>
      </w:r>
      <w:r w:rsidR="00AC7050" w:rsidRPr="009C7698">
        <w:rPr>
          <w:rFonts w:asciiTheme="majorHAnsi" w:hAnsiTheme="majorHAnsi"/>
          <w:szCs w:val="22"/>
        </w:rPr>
        <w:t xml:space="preserve">). </w:t>
      </w:r>
      <w:r w:rsidR="00867442" w:rsidRPr="009C7698">
        <w:rPr>
          <w:rFonts w:asciiTheme="majorHAnsi" w:hAnsiTheme="majorHAnsi"/>
          <w:szCs w:val="22"/>
        </w:rPr>
        <w:t xml:space="preserve">At the time they were developed, </w:t>
      </w:r>
      <w:r w:rsidR="00867442">
        <w:rPr>
          <w:rFonts w:asciiTheme="majorHAnsi" w:hAnsiTheme="majorHAnsi"/>
          <w:szCs w:val="22"/>
        </w:rPr>
        <w:t>RFA</w:t>
      </w:r>
      <w:r w:rsidR="00867442" w:rsidRPr="009C7698">
        <w:rPr>
          <w:rFonts w:asciiTheme="majorHAnsi" w:hAnsiTheme="majorHAnsi"/>
          <w:szCs w:val="22"/>
        </w:rPr>
        <w:t>s were seen as the largest inter-governmental natural resource planning process ever undertake</w:t>
      </w:r>
      <w:r w:rsidR="00691802">
        <w:rPr>
          <w:rFonts w:asciiTheme="majorHAnsi" w:hAnsiTheme="majorHAnsi"/>
          <w:szCs w:val="22"/>
        </w:rPr>
        <w:t>n in Australia (McDonald 1999).</w:t>
      </w:r>
    </w:p>
    <w:p w14:paraId="30D4AC88" w14:textId="40AF0379" w:rsidR="00C357A5" w:rsidRDefault="008A7C07" w:rsidP="00F57953">
      <w:pPr>
        <w:spacing w:before="240"/>
        <w:rPr>
          <w:rFonts w:asciiTheme="majorHAnsi" w:hAnsiTheme="majorHAnsi" w:cs="Arial"/>
          <w:szCs w:val="22"/>
        </w:rPr>
      </w:pPr>
      <w:r w:rsidRPr="009C7698">
        <w:rPr>
          <w:rFonts w:asciiTheme="majorHAnsi" w:hAnsiTheme="majorHAnsi"/>
          <w:szCs w:val="22"/>
        </w:rPr>
        <w:t>Specific objectives of t</w:t>
      </w:r>
      <w:r w:rsidR="00BC3AA3" w:rsidRPr="009C7698">
        <w:rPr>
          <w:rFonts w:asciiTheme="majorHAnsi" w:hAnsiTheme="majorHAnsi"/>
          <w:szCs w:val="22"/>
        </w:rPr>
        <w:t>he</w:t>
      </w:r>
      <w:r w:rsidR="005E4750" w:rsidRPr="009C7698">
        <w:rPr>
          <w:rFonts w:asciiTheme="majorHAnsi" w:hAnsiTheme="majorHAnsi"/>
          <w:szCs w:val="22"/>
        </w:rPr>
        <w:t xml:space="preserve"> agreements</w:t>
      </w:r>
      <w:r w:rsidR="00D37FEC" w:rsidRPr="009C7698">
        <w:rPr>
          <w:rFonts w:asciiTheme="majorHAnsi" w:hAnsiTheme="majorHAnsi"/>
          <w:szCs w:val="22"/>
        </w:rPr>
        <w:t xml:space="preserve"> </w:t>
      </w:r>
      <w:r w:rsidR="005E4750" w:rsidRPr="009C7698">
        <w:rPr>
          <w:rFonts w:asciiTheme="majorHAnsi" w:hAnsiTheme="majorHAnsi"/>
          <w:szCs w:val="22"/>
        </w:rPr>
        <w:t xml:space="preserve">were </w:t>
      </w:r>
      <w:r w:rsidR="00D37FEC" w:rsidRPr="009C7698">
        <w:rPr>
          <w:rFonts w:asciiTheme="majorHAnsi" w:hAnsiTheme="majorHAnsi"/>
          <w:szCs w:val="22"/>
        </w:rPr>
        <w:t>creat</w:t>
      </w:r>
      <w:r w:rsidRPr="009C7698">
        <w:rPr>
          <w:rFonts w:asciiTheme="majorHAnsi" w:hAnsiTheme="majorHAnsi"/>
          <w:szCs w:val="22"/>
        </w:rPr>
        <w:t>ion of</w:t>
      </w:r>
      <w:r w:rsidR="00D37FEC" w:rsidRPr="009C7698">
        <w:rPr>
          <w:rFonts w:asciiTheme="majorHAnsi" w:hAnsiTheme="majorHAnsi"/>
          <w:szCs w:val="22"/>
        </w:rPr>
        <w:t xml:space="preserve"> a comprehensive, adequate and representative system of reserves</w:t>
      </w:r>
      <w:r w:rsidR="001C6B3F" w:rsidRPr="009C7698">
        <w:rPr>
          <w:rFonts w:asciiTheme="majorHAnsi" w:hAnsiTheme="majorHAnsi"/>
          <w:szCs w:val="22"/>
        </w:rPr>
        <w:t xml:space="preserve"> (</w:t>
      </w:r>
      <w:r w:rsidR="0087000B" w:rsidRPr="009C7698">
        <w:rPr>
          <w:rFonts w:asciiTheme="majorHAnsi" w:hAnsiTheme="majorHAnsi"/>
          <w:szCs w:val="22"/>
        </w:rPr>
        <w:t xml:space="preserve">the </w:t>
      </w:r>
      <w:r w:rsidR="001C6B3F" w:rsidRPr="009C7698">
        <w:rPr>
          <w:rFonts w:asciiTheme="majorHAnsi" w:hAnsiTheme="majorHAnsi"/>
          <w:szCs w:val="22"/>
        </w:rPr>
        <w:t>CAR reserve system)</w:t>
      </w:r>
      <w:r w:rsidR="00D37FEC" w:rsidRPr="009C7698">
        <w:rPr>
          <w:rFonts w:asciiTheme="majorHAnsi" w:hAnsiTheme="majorHAnsi"/>
          <w:szCs w:val="22"/>
        </w:rPr>
        <w:t xml:space="preserve">, </w:t>
      </w:r>
      <w:r w:rsidR="00D3534A" w:rsidRPr="009C7698">
        <w:rPr>
          <w:rFonts w:asciiTheme="majorHAnsi" w:hAnsiTheme="majorHAnsi"/>
          <w:szCs w:val="22"/>
        </w:rPr>
        <w:t>promotion</w:t>
      </w:r>
      <w:r w:rsidR="00D37FEC" w:rsidRPr="009C7698">
        <w:rPr>
          <w:rFonts w:asciiTheme="majorHAnsi" w:hAnsiTheme="majorHAnsi"/>
          <w:szCs w:val="22"/>
        </w:rPr>
        <w:t xml:space="preserve"> and implement</w:t>
      </w:r>
      <w:r w:rsidRPr="009C7698">
        <w:rPr>
          <w:rFonts w:asciiTheme="majorHAnsi" w:hAnsiTheme="majorHAnsi"/>
          <w:szCs w:val="22"/>
        </w:rPr>
        <w:t>ation of</w:t>
      </w:r>
      <w:r w:rsidR="00D37FEC" w:rsidRPr="009C7698">
        <w:rPr>
          <w:rFonts w:asciiTheme="majorHAnsi" w:hAnsiTheme="majorHAnsi"/>
          <w:szCs w:val="22"/>
        </w:rPr>
        <w:t xml:space="preserve"> improved management practices in harvested native forests, implement</w:t>
      </w:r>
      <w:r w:rsidRPr="009C7698">
        <w:rPr>
          <w:rFonts w:asciiTheme="majorHAnsi" w:hAnsiTheme="majorHAnsi"/>
          <w:szCs w:val="22"/>
        </w:rPr>
        <w:t>ation of</w:t>
      </w:r>
      <w:r w:rsidR="00D37FEC" w:rsidRPr="009C7698">
        <w:rPr>
          <w:rFonts w:asciiTheme="majorHAnsi" w:hAnsiTheme="majorHAnsi"/>
          <w:szCs w:val="22"/>
        </w:rPr>
        <w:t xml:space="preserve"> ecologically </w:t>
      </w:r>
      <w:r w:rsidR="00D37FEC" w:rsidRPr="009C7698">
        <w:rPr>
          <w:rFonts w:asciiTheme="majorHAnsi" w:hAnsiTheme="majorHAnsi"/>
          <w:szCs w:val="22"/>
        </w:rPr>
        <w:lastRenderedPageBreak/>
        <w:t xml:space="preserve">sustainable forest management </w:t>
      </w:r>
      <w:r w:rsidR="005E4750" w:rsidRPr="009C7698">
        <w:rPr>
          <w:rFonts w:asciiTheme="majorHAnsi" w:hAnsiTheme="majorHAnsi"/>
          <w:szCs w:val="22"/>
        </w:rPr>
        <w:t xml:space="preserve">for </w:t>
      </w:r>
      <w:r w:rsidR="00D37FEC" w:rsidRPr="009C7698">
        <w:rPr>
          <w:rFonts w:asciiTheme="majorHAnsi" w:hAnsiTheme="majorHAnsi"/>
          <w:szCs w:val="22"/>
        </w:rPr>
        <w:t>all forest</w:t>
      </w:r>
      <w:r w:rsidR="005E4750" w:rsidRPr="009C7698">
        <w:rPr>
          <w:rFonts w:asciiTheme="majorHAnsi" w:hAnsiTheme="majorHAnsi"/>
          <w:szCs w:val="22"/>
        </w:rPr>
        <w:t>s,</w:t>
      </w:r>
      <w:r w:rsidR="00D37FEC" w:rsidRPr="009C7698">
        <w:rPr>
          <w:rFonts w:asciiTheme="majorHAnsi" w:hAnsiTheme="majorHAnsi"/>
          <w:szCs w:val="22"/>
        </w:rPr>
        <w:t xml:space="preserve"> and </w:t>
      </w:r>
      <w:r w:rsidRPr="009C7698">
        <w:rPr>
          <w:rFonts w:asciiTheme="majorHAnsi" w:hAnsiTheme="majorHAnsi"/>
          <w:szCs w:val="22"/>
        </w:rPr>
        <w:t xml:space="preserve">provision of </w:t>
      </w:r>
      <w:r w:rsidR="00D37FEC" w:rsidRPr="009C7698">
        <w:rPr>
          <w:rFonts w:asciiTheme="majorHAnsi" w:hAnsiTheme="majorHAnsi"/>
          <w:szCs w:val="22"/>
        </w:rPr>
        <w:t>resource security</w:t>
      </w:r>
      <w:r w:rsidR="00D37FEC" w:rsidRPr="009C7698">
        <w:rPr>
          <w:rFonts w:asciiTheme="majorHAnsi" w:hAnsiTheme="majorHAnsi" w:cs="Arial"/>
          <w:szCs w:val="22"/>
        </w:rPr>
        <w:t xml:space="preserve"> for the forestry industry.</w:t>
      </w:r>
    </w:p>
    <w:p w14:paraId="3A11C9CE" w14:textId="2CF30161" w:rsidR="00DF05A5" w:rsidRDefault="00DF05A5" w:rsidP="00F57953">
      <w:pPr>
        <w:spacing w:before="240"/>
        <w:rPr>
          <w:rFonts w:asciiTheme="majorHAnsi" w:hAnsiTheme="majorHAnsi"/>
          <w:szCs w:val="22"/>
        </w:rPr>
      </w:pPr>
      <w:r w:rsidRPr="009C7698">
        <w:rPr>
          <w:rFonts w:asciiTheme="majorHAnsi" w:hAnsiTheme="majorHAnsi"/>
          <w:szCs w:val="22"/>
        </w:rPr>
        <w:t xml:space="preserve">This </w:t>
      </w:r>
      <w:r w:rsidR="005E4750" w:rsidRPr="009C7698">
        <w:rPr>
          <w:rFonts w:asciiTheme="majorHAnsi" w:hAnsiTheme="majorHAnsi"/>
          <w:szCs w:val="22"/>
        </w:rPr>
        <w:t>paper</w:t>
      </w:r>
      <w:r w:rsidR="009D70D5" w:rsidRPr="009C7698">
        <w:rPr>
          <w:rFonts w:asciiTheme="majorHAnsi" w:hAnsiTheme="majorHAnsi"/>
          <w:szCs w:val="22"/>
        </w:rPr>
        <w:t xml:space="preserve"> </w:t>
      </w:r>
      <w:r w:rsidR="008A7C07" w:rsidRPr="009C7698">
        <w:rPr>
          <w:rFonts w:asciiTheme="majorHAnsi" w:hAnsiTheme="majorHAnsi"/>
          <w:szCs w:val="22"/>
        </w:rPr>
        <w:t xml:space="preserve">presents </w:t>
      </w:r>
      <w:r w:rsidR="001C4752">
        <w:rPr>
          <w:rFonts w:asciiTheme="majorHAnsi" w:hAnsiTheme="majorHAnsi"/>
          <w:szCs w:val="22"/>
        </w:rPr>
        <w:t xml:space="preserve">the </w:t>
      </w:r>
      <w:r w:rsidR="00BC3AA3" w:rsidRPr="009C7698">
        <w:rPr>
          <w:rFonts w:asciiTheme="majorHAnsi" w:hAnsiTheme="majorHAnsi"/>
          <w:szCs w:val="22"/>
        </w:rPr>
        <w:t xml:space="preserve">outcomes </w:t>
      </w:r>
      <w:r w:rsidR="00291AFD" w:rsidRPr="009C7698">
        <w:rPr>
          <w:rFonts w:asciiTheme="majorHAnsi" w:hAnsiTheme="majorHAnsi"/>
          <w:szCs w:val="22"/>
        </w:rPr>
        <w:t xml:space="preserve">of the </w:t>
      </w:r>
      <w:r w:rsidR="00C87770">
        <w:rPr>
          <w:rFonts w:asciiTheme="majorHAnsi" w:hAnsiTheme="majorHAnsi"/>
          <w:szCs w:val="22"/>
        </w:rPr>
        <w:t>RFA</w:t>
      </w:r>
      <w:r w:rsidR="00291AFD" w:rsidRPr="009C7698">
        <w:rPr>
          <w:rFonts w:asciiTheme="majorHAnsi" w:hAnsiTheme="majorHAnsi"/>
          <w:szCs w:val="22"/>
        </w:rPr>
        <w:t>s</w:t>
      </w:r>
      <w:r w:rsidR="00867442">
        <w:rPr>
          <w:rFonts w:asciiTheme="majorHAnsi" w:hAnsiTheme="majorHAnsi"/>
          <w:szCs w:val="22"/>
        </w:rPr>
        <w:t>, both at the time of signature and subsequently,</w:t>
      </w:r>
      <w:r w:rsidR="00291AFD" w:rsidRPr="009C7698">
        <w:rPr>
          <w:rFonts w:asciiTheme="majorHAnsi" w:hAnsiTheme="majorHAnsi"/>
          <w:szCs w:val="22"/>
        </w:rPr>
        <w:t xml:space="preserve"> </w:t>
      </w:r>
      <w:r w:rsidR="009D70D5" w:rsidRPr="009C7698">
        <w:rPr>
          <w:rFonts w:asciiTheme="majorHAnsi" w:hAnsiTheme="majorHAnsi"/>
          <w:szCs w:val="22"/>
        </w:rPr>
        <w:t xml:space="preserve">in terms of </w:t>
      </w:r>
      <w:r w:rsidR="008A7C07" w:rsidRPr="009C7698">
        <w:rPr>
          <w:rFonts w:asciiTheme="majorHAnsi" w:hAnsiTheme="majorHAnsi"/>
          <w:szCs w:val="22"/>
        </w:rPr>
        <w:t xml:space="preserve">areas reserved under </w:t>
      </w:r>
      <w:r w:rsidR="009D70D5" w:rsidRPr="009C7698">
        <w:rPr>
          <w:rFonts w:asciiTheme="majorHAnsi" w:hAnsiTheme="majorHAnsi"/>
          <w:szCs w:val="22"/>
        </w:rPr>
        <w:t xml:space="preserve">the </w:t>
      </w:r>
      <w:r w:rsidR="001C6B3F" w:rsidRPr="009C7698">
        <w:rPr>
          <w:rFonts w:asciiTheme="majorHAnsi" w:hAnsiTheme="majorHAnsi"/>
          <w:szCs w:val="22"/>
        </w:rPr>
        <w:t xml:space="preserve">CAR </w:t>
      </w:r>
      <w:r w:rsidR="009D70D5" w:rsidRPr="009C7698">
        <w:rPr>
          <w:rFonts w:asciiTheme="majorHAnsi" w:hAnsiTheme="majorHAnsi"/>
          <w:szCs w:val="22"/>
        </w:rPr>
        <w:t>reserve system</w:t>
      </w:r>
      <w:r w:rsidR="008A7C07" w:rsidRPr="009C7698">
        <w:rPr>
          <w:rFonts w:asciiTheme="majorHAnsi" w:hAnsiTheme="majorHAnsi"/>
          <w:szCs w:val="22"/>
        </w:rPr>
        <w:t>,</w:t>
      </w:r>
      <w:r w:rsidR="009D70D5" w:rsidRPr="009C7698">
        <w:rPr>
          <w:rFonts w:asciiTheme="majorHAnsi" w:hAnsiTheme="majorHAnsi"/>
          <w:szCs w:val="22"/>
        </w:rPr>
        <w:t xml:space="preserve"> </w:t>
      </w:r>
      <w:r w:rsidR="001C4752">
        <w:rPr>
          <w:rFonts w:asciiTheme="majorHAnsi" w:hAnsiTheme="majorHAnsi"/>
          <w:szCs w:val="22"/>
        </w:rPr>
        <w:t xml:space="preserve">including areas of old-growth forest and wilderness, </w:t>
      </w:r>
      <w:r w:rsidR="009D70D5" w:rsidRPr="009C7698">
        <w:rPr>
          <w:rFonts w:asciiTheme="majorHAnsi" w:hAnsiTheme="majorHAnsi"/>
          <w:szCs w:val="22"/>
        </w:rPr>
        <w:t xml:space="preserve">and </w:t>
      </w:r>
      <w:r w:rsidR="008A7C07" w:rsidRPr="009C7698">
        <w:rPr>
          <w:rFonts w:asciiTheme="majorHAnsi" w:hAnsiTheme="majorHAnsi"/>
          <w:szCs w:val="22"/>
        </w:rPr>
        <w:t>changes in net harvestable area</w:t>
      </w:r>
      <w:r w:rsidR="001C4752">
        <w:rPr>
          <w:rFonts w:asciiTheme="majorHAnsi" w:hAnsiTheme="majorHAnsi"/>
          <w:szCs w:val="22"/>
        </w:rPr>
        <w:t>s</w:t>
      </w:r>
      <w:r w:rsidR="008A7C07" w:rsidRPr="009C7698">
        <w:rPr>
          <w:rFonts w:asciiTheme="majorHAnsi" w:hAnsiTheme="majorHAnsi"/>
          <w:szCs w:val="22"/>
        </w:rPr>
        <w:t xml:space="preserve"> and </w:t>
      </w:r>
      <w:r w:rsidR="009D70D5" w:rsidRPr="009C7698">
        <w:rPr>
          <w:rFonts w:asciiTheme="majorHAnsi" w:hAnsiTheme="majorHAnsi"/>
          <w:szCs w:val="22"/>
        </w:rPr>
        <w:t>sustainable yield.</w:t>
      </w:r>
    </w:p>
    <w:p w14:paraId="3437ED45" w14:textId="26771EC4" w:rsidR="00032899" w:rsidRDefault="00176FDC" w:rsidP="00032899">
      <w:pPr>
        <w:spacing w:before="240"/>
        <w:rPr>
          <w:rFonts w:asciiTheme="majorHAnsi" w:hAnsiTheme="majorHAnsi"/>
          <w:szCs w:val="22"/>
        </w:rPr>
      </w:pPr>
      <w:r>
        <w:rPr>
          <w:rFonts w:asciiTheme="majorHAnsi" w:hAnsiTheme="majorHAnsi"/>
          <w:szCs w:val="22"/>
        </w:rPr>
        <w:t>F</w:t>
      </w:r>
      <w:r w:rsidR="00032899">
        <w:rPr>
          <w:rFonts w:asciiTheme="majorHAnsi" w:hAnsiTheme="majorHAnsi"/>
          <w:szCs w:val="22"/>
        </w:rPr>
        <w:t xml:space="preserve">orest and forestry terms used in this report are </w:t>
      </w:r>
      <w:r>
        <w:rPr>
          <w:rFonts w:asciiTheme="majorHAnsi" w:hAnsiTheme="majorHAnsi"/>
          <w:szCs w:val="22"/>
        </w:rPr>
        <w:t xml:space="preserve">defined </w:t>
      </w:r>
      <w:r w:rsidR="00032899">
        <w:rPr>
          <w:rFonts w:asciiTheme="majorHAnsi" w:hAnsiTheme="majorHAnsi"/>
          <w:szCs w:val="22"/>
        </w:rPr>
        <w:t>in ABARES (2020).</w:t>
      </w:r>
    </w:p>
    <w:p w14:paraId="51E420A4" w14:textId="3A457470" w:rsidR="00B21A7B" w:rsidRPr="001924E5" w:rsidRDefault="00FC6BC7" w:rsidP="00552614">
      <w:pPr>
        <w:pStyle w:val="Heading2"/>
        <w:numPr>
          <w:ilvl w:val="0"/>
          <w:numId w:val="6"/>
        </w:numPr>
        <w:spacing w:after="240"/>
        <w:ind w:left="709" w:hanging="709"/>
        <w:jc w:val="left"/>
        <w:rPr>
          <w:rFonts w:ascii="Calibri" w:eastAsiaTheme="minorEastAsia" w:hAnsi="Calibri" w:cstheme="minorBidi"/>
          <w:b w:val="0"/>
          <w:color w:val="000000"/>
          <w:sz w:val="56"/>
          <w:szCs w:val="28"/>
          <w:lang w:eastAsia="ja-JP"/>
        </w:rPr>
      </w:pPr>
      <w:bookmarkStart w:id="6" w:name="_Toc58312576"/>
      <w:r w:rsidRPr="001924E5">
        <w:rPr>
          <w:rFonts w:ascii="Calibri" w:eastAsiaTheme="minorEastAsia" w:hAnsi="Calibri" w:cstheme="minorBidi"/>
          <w:b w:val="0"/>
          <w:color w:val="000000"/>
          <w:sz w:val="56"/>
          <w:szCs w:val="28"/>
          <w:lang w:eastAsia="ja-JP"/>
        </w:rPr>
        <w:t xml:space="preserve">Key outcomes from </w:t>
      </w:r>
      <w:r w:rsidR="00913256">
        <w:rPr>
          <w:rFonts w:ascii="Calibri" w:eastAsiaTheme="minorEastAsia" w:hAnsi="Calibri" w:cstheme="minorBidi"/>
          <w:b w:val="0"/>
          <w:color w:val="000000"/>
          <w:sz w:val="56"/>
          <w:szCs w:val="28"/>
          <w:lang w:eastAsia="ja-JP"/>
        </w:rPr>
        <w:t>r</w:t>
      </w:r>
      <w:r w:rsidR="0092092C" w:rsidRPr="001924E5">
        <w:rPr>
          <w:rFonts w:ascii="Calibri" w:eastAsiaTheme="minorEastAsia" w:hAnsi="Calibri" w:cstheme="minorBidi"/>
          <w:b w:val="0"/>
          <w:color w:val="000000"/>
          <w:sz w:val="56"/>
          <w:szCs w:val="28"/>
          <w:lang w:eastAsia="ja-JP"/>
        </w:rPr>
        <w:t xml:space="preserve">egional </w:t>
      </w:r>
      <w:r w:rsidR="00913256">
        <w:rPr>
          <w:rFonts w:ascii="Calibri" w:eastAsiaTheme="minorEastAsia" w:hAnsi="Calibri" w:cstheme="minorBidi"/>
          <w:b w:val="0"/>
          <w:color w:val="000000"/>
          <w:sz w:val="56"/>
          <w:szCs w:val="28"/>
          <w:lang w:eastAsia="ja-JP"/>
        </w:rPr>
        <w:t>f</w:t>
      </w:r>
      <w:r w:rsidR="0092092C" w:rsidRPr="001924E5">
        <w:rPr>
          <w:rFonts w:ascii="Calibri" w:eastAsiaTheme="minorEastAsia" w:hAnsi="Calibri" w:cstheme="minorBidi"/>
          <w:b w:val="0"/>
          <w:color w:val="000000"/>
          <w:sz w:val="56"/>
          <w:szCs w:val="28"/>
          <w:lang w:eastAsia="ja-JP"/>
        </w:rPr>
        <w:t xml:space="preserve">orest </w:t>
      </w:r>
      <w:r w:rsidR="00913256">
        <w:rPr>
          <w:rFonts w:ascii="Calibri" w:eastAsiaTheme="minorEastAsia" w:hAnsi="Calibri" w:cstheme="minorBidi"/>
          <w:b w:val="0"/>
          <w:color w:val="000000"/>
          <w:sz w:val="56"/>
          <w:szCs w:val="28"/>
          <w:lang w:eastAsia="ja-JP"/>
        </w:rPr>
        <w:t>a</w:t>
      </w:r>
      <w:r w:rsidR="0092092C" w:rsidRPr="001924E5">
        <w:rPr>
          <w:rFonts w:ascii="Calibri" w:eastAsiaTheme="minorEastAsia" w:hAnsi="Calibri" w:cstheme="minorBidi"/>
          <w:b w:val="0"/>
          <w:color w:val="000000"/>
          <w:sz w:val="56"/>
          <w:szCs w:val="28"/>
          <w:lang w:eastAsia="ja-JP"/>
        </w:rPr>
        <w:t>greements</w:t>
      </w:r>
      <w:bookmarkEnd w:id="6"/>
    </w:p>
    <w:p w14:paraId="42531A76" w14:textId="5809401A" w:rsidR="005A2CCF" w:rsidRDefault="006B351C" w:rsidP="0092092C">
      <w:pPr>
        <w:spacing w:before="240"/>
        <w:rPr>
          <w:rFonts w:asciiTheme="majorHAnsi" w:hAnsiTheme="majorHAnsi"/>
          <w:szCs w:val="22"/>
        </w:rPr>
      </w:pPr>
      <w:r w:rsidRPr="009C7698">
        <w:rPr>
          <w:rFonts w:asciiTheme="majorHAnsi" w:hAnsiTheme="majorHAnsi"/>
          <w:szCs w:val="22"/>
        </w:rPr>
        <w:t xml:space="preserve">Prime responsibility for management of land and forests </w:t>
      </w:r>
      <w:r w:rsidR="004935CF" w:rsidRPr="009C7698">
        <w:rPr>
          <w:rFonts w:asciiTheme="majorHAnsi" w:hAnsiTheme="majorHAnsi"/>
          <w:szCs w:val="22"/>
        </w:rPr>
        <w:t xml:space="preserve">in Australia </w:t>
      </w:r>
      <w:r w:rsidRPr="009C7698">
        <w:rPr>
          <w:rFonts w:asciiTheme="majorHAnsi" w:hAnsiTheme="majorHAnsi"/>
          <w:szCs w:val="22"/>
        </w:rPr>
        <w:t>is vested with state and territory governments</w:t>
      </w:r>
      <w:r w:rsidR="0092092C" w:rsidRPr="009C7698">
        <w:rPr>
          <w:rFonts w:asciiTheme="majorHAnsi" w:hAnsiTheme="majorHAnsi"/>
          <w:szCs w:val="22"/>
        </w:rPr>
        <w:t>. However</w:t>
      </w:r>
      <w:r w:rsidR="00C357A5">
        <w:rPr>
          <w:rFonts w:asciiTheme="majorHAnsi" w:hAnsiTheme="majorHAnsi"/>
          <w:szCs w:val="22"/>
        </w:rPr>
        <w:t>,</w:t>
      </w:r>
      <w:r w:rsidRPr="009C7698">
        <w:rPr>
          <w:rFonts w:asciiTheme="majorHAnsi" w:hAnsiTheme="majorHAnsi"/>
          <w:szCs w:val="22"/>
        </w:rPr>
        <w:t xml:space="preserve"> the </w:t>
      </w:r>
      <w:r w:rsidR="00A41C5A" w:rsidRPr="009C7698">
        <w:rPr>
          <w:rFonts w:asciiTheme="majorHAnsi" w:hAnsiTheme="majorHAnsi"/>
          <w:szCs w:val="22"/>
        </w:rPr>
        <w:t>Australian G</w:t>
      </w:r>
      <w:r w:rsidRPr="009C7698">
        <w:rPr>
          <w:rFonts w:asciiTheme="majorHAnsi" w:hAnsiTheme="majorHAnsi"/>
          <w:szCs w:val="22"/>
        </w:rPr>
        <w:t xml:space="preserve">overnment can apply its powers under the Australian Constitution </w:t>
      </w:r>
      <w:r w:rsidR="004935CF" w:rsidRPr="009C7698">
        <w:rPr>
          <w:rFonts w:asciiTheme="majorHAnsi" w:hAnsiTheme="majorHAnsi"/>
          <w:szCs w:val="22"/>
        </w:rPr>
        <w:t xml:space="preserve">indirectly </w:t>
      </w:r>
      <w:r w:rsidRPr="009C7698">
        <w:rPr>
          <w:rFonts w:asciiTheme="majorHAnsi" w:hAnsiTheme="majorHAnsi"/>
          <w:szCs w:val="22"/>
        </w:rPr>
        <w:t>to manage the use and conservation of forests and forest resources</w:t>
      </w:r>
      <w:r w:rsidR="00A41C5A" w:rsidRPr="009C7698">
        <w:rPr>
          <w:rFonts w:asciiTheme="majorHAnsi" w:hAnsiTheme="majorHAnsi"/>
          <w:szCs w:val="22"/>
        </w:rPr>
        <w:t xml:space="preserve">. </w:t>
      </w:r>
      <w:r w:rsidR="0092092C" w:rsidRPr="009C7698">
        <w:rPr>
          <w:rFonts w:asciiTheme="majorHAnsi" w:hAnsiTheme="majorHAnsi"/>
          <w:szCs w:val="22"/>
        </w:rPr>
        <w:t xml:space="preserve">As a consequence of </w:t>
      </w:r>
      <w:r w:rsidR="00602381" w:rsidRPr="009C7698">
        <w:rPr>
          <w:rFonts w:asciiTheme="majorHAnsi" w:hAnsiTheme="majorHAnsi"/>
          <w:szCs w:val="22"/>
        </w:rPr>
        <w:t xml:space="preserve">domestic </w:t>
      </w:r>
      <w:r w:rsidR="0092092C" w:rsidRPr="009C7698">
        <w:rPr>
          <w:rFonts w:asciiTheme="majorHAnsi" w:hAnsiTheme="majorHAnsi"/>
          <w:szCs w:val="22"/>
        </w:rPr>
        <w:t xml:space="preserve">and </w:t>
      </w:r>
      <w:r w:rsidR="0038762B" w:rsidRPr="009C7698">
        <w:rPr>
          <w:rFonts w:asciiTheme="majorHAnsi" w:hAnsiTheme="majorHAnsi"/>
          <w:szCs w:val="22"/>
        </w:rPr>
        <w:t>international environmental policy developments</w:t>
      </w:r>
      <w:r w:rsidR="00F113BF" w:rsidRPr="009C7698">
        <w:rPr>
          <w:rFonts w:asciiTheme="majorHAnsi" w:hAnsiTheme="majorHAnsi"/>
          <w:szCs w:val="22"/>
        </w:rPr>
        <w:t>,</w:t>
      </w:r>
      <w:r w:rsidR="0038762B" w:rsidRPr="009C7698">
        <w:rPr>
          <w:rFonts w:asciiTheme="majorHAnsi" w:hAnsiTheme="majorHAnsi"/>
          <w:szCs w:val="22"/>
        </w:rPr>
        <w:t xml:space="preserve"> </w:t>
      </w:r>
      <w:r w:rsidRPr="009C7698">
        <w:rPr>
          <w:rFonts w:asciiTheme="majorHAnsi" w:hAnsiTheme="majorHAnsi"/>
          <w:szCs w:val="22"/>
        </w:rPr>
        <w:t>the Australian Government established a number of strategic forest initiatives with s</w:t>
      </w:r>
      <w:r w:rsidR="00A41C5A" w:rsidRPr="009C7698">
        <w:rPr>
          <w:rFonts w:asciiTheme="majorHAnsi" w:hAnsiTheme="majorHAnsi"/>
          <w:szCs w:val="22"/>
        </w:rPr>
        <w:t>tate g</w:t>
      </w:r>
      <w:r w:rsidRPr="009C7698">
        <w:rPr>
          <w:rFonts w:asciiTheme="majorHAnsi" w:hAnsiTheme="majorHAnsi"/>
          <w:szCs w:val="22"/>
        </w:rPr>
        <w:t>overnments</w:t>
      </w:r>
      <w:r w:rsidR="00F113BF" w:rsidRPr="009C7698">
        <w:rPr>
          <w:rFonts w:asciiTheme="majorHAnsi" w:hAnsiTheme="majorHAnsi"/>
          <w:szCs w:val="22"/>
        </w:rPr>
        <w:t xml:space="preserve"> in the late 1980s</w:t>
      </w:r>
      <w:r w:rsidR="0092092C" w:rsidRPr="009C7698">
        <w:rPr>
          <w:rFonts w:asciiTheme="majorHAnsi" w:hAnsiTheme="majorHAnsi"/>
          <w:szCs w:val="22"/>
        </w:rPr>
        <w:t xml:space="preserve"> (Davey 201</w:t>
      </w:r>
      <w:r w:rsidR="009534E1">
        <w:rPr>
          <w:rFonts w:asciiTheme="majorHAnsi" w:hAnsiTheme="majorHAnsi"/>
          <w:szCs w:val="22"/>
        </w:rPr>
        <w:t>8</w:t>
      </w:r>
      <w:r w:rsidR="0092092C" w:rsidRPr="009C7698">
        <w:rPr>
          <w:rFonts w:asciiTheme="majorHAnsi" w:hAnsiTheme="majorHAnsi"/>
          <w:szCs w:val="22"/>
        </w:rPr>
        <w:t>)</w:t>
      </w:r>
      <w:r w:rsidRPr="009C7698">
        <w:rPr>
          <w:rFonts w:asciiTheme="majorHAnsi" w:hAnsiTheme="majorHAnsi"/>
          <w:szCs w:val="22"/>
        </w:rPr>
        <w:t xml:space="preserve">. These initiatives informed the </w:t>
      </w:r>
      <w:r w:rsidRPr="00950668">
        <w:rPr>
          <w:rFonts w:asciiTheme="majorHAnsi" w:hAnsiTheme="majorHAnsi"/>
          <w:i/>
          <w:szCs w:val="22"/>
        </w:rPr>
        <w:t>National Forest Policy Statement</w:t>
      </w:r>
      <w:r w:rsidR="0087000B" w:rsidRPr="009C7698">
        <w:rPr>
          <w:rFonts w:asciiTheme="majorHAnsi" w:hAnsiTheme="majorHAnsi"/>
          <w:szCs w:val="22"/>
        </w:rPr>
        <w:t xml:space="preserve"> (Commonwealth of Australia 1992a)</w:t>
      </w:r>
      <w:r w:rsidRPr="009C7698">
        <w:rPr>
          <w:rFonts w:asciiTheme="majorHAnsi" w:hAnsiTheme="majorHAnsi"/>
          <w:szCs w:val="22"/>
        </w:rPr>
        <w:t xml:space="preserve">, which </w:t>
      </w:r>
      <w:r w:rsidR="00867442">
        <w:rPr>
          <w:rFonts w:asciiTheme="majorHAnsi" w:hAnsiTheme="majorHAnsi"/>
          <w:szCs w:val="22"/>
        </w:rPr>
        <w:t xml:space="preserve">in turn </w:t>
      </w:r>
      <w:r w:rsidRPr="009C7698">
        <w:rPr>
          <w:rFonts w:asciiTheme="majorHAnsi" w:hAnsiTheme="majorHAnsi"/>
          <w:szCs w:val="22"/>
        </w:rPr>
        <w:t>provided the framework for ecologically sustainable development of forests based on the principles of maintaining ecological processes, maintaining biological diversity, and optimising the benefits to the community from all uses of forests within ecological constraints (Commonwealth of Australia 1992</w:t>
      </w:r>
      <w:r w:rsidR="005370FC" w:rsidRPr="009C7698">
        <w:rPr>
          <w:rFonts w:asciiTheme="majorHAnsi" w:hAnsiTheme="majorHAnsi"/>
          <w:szCs w:val="22"/>
        </w:rPr>
        <w:t>b</w:t>
      </w:r>
      <w:r w:rsidRPr="009C7698">
        <w:rPr>
          <w:rFonts w:asciiTheme="majorHAnsi" w:hAnsiTheme="majorHAnsi"/>
          <w:szCs w:val="22"/>
        </w:rPr>
        <w:t>).</w:t>
      </w:r>
      <w:r w:rsidR="0080206F">
        <w:rPr>
          <w:rFonts w:asciiTheme="majorHAnsi" w:hAnsiTheme="majorHAnsi"/>
          <w:szCs w:val="22"/>
        </w:rPr>
        <w:t xml:space="preserve"> </w:t>
      </w:r>
    </w:p>
    <w:p w14:paraId="6432FECD" w14:textId="7B91E13E" w:rsidR="006614A4" w:rsidRPr="009C7698" w:rsidRDefault="006B351C" w:rsidP="0092092C">
      <w:pPr>
        <w:spacing w:before="240"/>
        <w:rPr>
          <w:rFonts w:asciiTheme="majorHAnsi" w:hAnsiTheme="majorHAnsi"/>
          <w:szCs w:val="22"/>
        </w:rPr>
      </w:pPr>
      <w:r w:rsidRPr="009C7698">
        <w:rPr>
          <w:rFonts w:asciiTheme="majorHAnsi" w:hAnsiTheme="majorHAnsi"/>
          <w:szCs w:val="22"/>
        </w:rPr>
        <w:t xml:space="preserve">Incorporated into the </w:t>
      </w:r>
      <w:r w:rsidRPr="00950668">
        <w:rPr>
          <w:rFonts w:asciiTheme="majorHAnsi" w:hAnsiTheme="majorHAnsi"/>
          <w:i/>
          <w:szCs w:val="22"/>
        </w:rPr>
        <w:t>National Forest Policy Statement</w:t>
      </w:r>
      <w:r w:rsidRPr="009C7698">
        <w:rPr>
          <w:rFonts w:asciiTheme="majorHAnsi" w:hAnsiTheme="majorHAnsi"/>
          <w:szCs w:val="22"/>
        </w:rPr>
        <w:t xml:space="preserve"> was</w:t>
      </w:r>
      <w:r w:rsidR="00602381" w:rsidRPr="009C7698">
        <w:rPr>
          <w:rFonts w:asciiTheme="majorHAnsi" w:hAnsiTheme="majorHAnsi"/>
          <w:szCs w:val="22"/>
        </w:rPr>
        <w:t xml:space="preserve"> a strategy to develop regional agreements</w:t>
      </w:r>
      <w:r w:rsidR="00C055A7" w:rsidRPr="009C7698">
        <w:rPr>
          <w:rFonts w:asciiTheme="majorHAnsi" w:hAnsiTheme="majorHAnsi"/>
          <w:szCs w:val="22"/>
        </w:rPr>
        <w:t xml:space="preserve"> based on</w:t>
      </w:r>
      <w:r w:rsidR="00F26B22" w:rsidRPr="009C7698">
        <w:rPr>
          <w:rFonts w:asciiTheme="majorHAnsi" w:hAnsiTheme="majorHAnsi"/>
          <w:szCs w:val="22"/>
        </w:rPr>
        <w:t xml:space="preserve"> the</w:t>
      </w:r>
      <w:r w:rsidR="006614A4" w:rsidRPr="009C7698">
        <w:rPr>
          <w:rFonts w:asciiTheme="majorHAnsi" w:hAnsiTheme="majorHAnsi"/>
          <w:szCs w:val="22"/>
        </w:rPr>
        <w:t>se</w:t>
      </w:r>
      <w:r w:rsidR="00F26B22" w:rsidRPr="009C7698">
        <w:rPr>
          <w:rFonts w:asciiTheme="majorHAnsi" w:hAnsiTheme="majorHAnsi"/>
          <w:szCs w:val="22"/>
        </w:rPr>
        <w:t xml:space="preserve"> principles</w:t>
      </w:r>
      <w:r w:rsidR="009373C6" w:rsidRPr="009C7698">
        <w:rPr>
          <w:rFonts w:asciiTheme="majorHAnsi" w:hAnsiTheme="majorHAnsi"/>
          <w:szCs w:val="22"/>
        </w:rPr>
        <w:t>,</w:t>
      </w:r>
      <w:r w:rsidR="008F5154" w:rsidRPr="009C7698">
        <w:rPr>
          <w:rFonts w:asciiTheme="majorHAnsi" w:hAnsiTheme="majorHAnsi"/>
          <w:szCs w:val="22"/>
        </w:rPr>
        <w:t xml:space="preserve"> including setting a sustainable management framework for use of native forests to achieve social and environmental objectives</w:t>
      </w:r>
      <w:r w:rsidR="009373C6" w:rsidRPr="009C7698">
        <w:rPr>
          <w:rFonts w:asciiTheme="majorHAnsi" w:hAnsiTheme="majorHAnsi"/>
          <w:szCs w:val="22"/>
        </w:rPr>
        <w:t>,</w:t>
      </w:r>
      <w:r w:rsidR="008F5154" w:rsidRPr="009C7698">
        <w:rPr>
          <w:rFonts w:asciiTheme="majorHAnsi" w:hAnsiTheme="majorHAnsi"/>
          <w:szCs w:val="22"/>
        </w:rPr>
        <w:t xml:space="preserve"> and ensuring </w:t>
      </w:r>
      <w:r w:rsidR="005A2CCF">
        <w:rPr>
          <w:rFonts w:asciiTheme="majorHAnsi" w:hAnsiTheme="majorHAnsi"/>
          <w:szCs w:val="22"/>
        </w:rPr>
        <w:t xml:space="preserve">that </w:t>
      </w:r>
      <w:r w:rsidR="008F5154" w:rsidRPr="009C7698">
        <w:rPr>
          <w:rFonts w:asciiTheme="majorHAnsi" w:hAnsiTheme="majorHAnsi"/>
          <w:szCs w:val="22"/>
        </w:rPr>
        <w:t xml:space="preserve">commercial use of forests is based on ecologically sustainable practices </w:t>
      </w:r>
      <w:r w:rsidR="009373C6" w:rsidRPr="009C7698">
        <w:rPr>
          <w:rFonts w:asciiTheme="majorHAnsi" w:hAnsiTheme="majorHAnsi"/>
          <w:szCs w:val="22"/>
        </w:rPr>
        <w:t xml:space="preserve">and </w:t>
      </w:r>
      <w:r w:rsidR="008F5154" w:rsidRPr="009C7698">
        <w:rPr>
          <w:rFonts w:asciiTheme="majorHAnsi" w:hAnsiTheme="majorHAnsi"/>
          <w:szCs w:val="22"/>
        </w:rPr>
        <w:t>constraints (Commonwealth of Australia 1992a, b)</w:t>
      </w:r>
      <w:r w:rsidR="00602381" w:rsidRPr="009C7698">
        <w:rPr>
          <w:rFonts w:asciiTheme="majorHAnsi" w:hAnsiTheme="majorHAnsi"/>
          <w:szCs w:val="22"/>
        </w:rPr>
        <w:t>.</w:t>
      </w:r>
      <w:r w:rsidR="0065790C" w:rsidRPr="0065790C">
        <w:rPr>
          <w:rFonts w:asciiTheme="majorHAnsi" w:hAnsiTheme="majorHAnsi"/>
          <w:szCs w:val="22"/>
        </w:rPr>
        <w:t xml:space="preserve"> </w:t>
      </w:r>
    </w:p>
    <w:p w14:paraId="7B5391C6" w14:textId="23853621" w:rsidR="005939F4" w:rsidRDefault="00867442" w:rsidP="00CE56CA">
      <w:pPr>
        <w:spacing w:before="240"/>
        <w:rPr>
          <w:rFonts w:asciiTheme="majorHAnsi" w:hAnsiTheme="majorHAnsi"/>
          <w:szCs w:val="22"/>
        </w:rPr>
      </w:pPr>
      <w:r>
        <w:rPr>
          <w:rFonts w:asciiTheme="majorHAnsi" w:hAnsiTheme="majorHAnsi"/>
          <w:szCs w:val="22"/>
        </w:rPr>
        <w:t>I</w:t>
      </w:r>
      <w:r w:rsidR="00B322A7" w:rsidRPr="009C7698">
        <w:rPr>
          <w:rFonts w:asciiTheme="majorHAnsi" w:hAnsiTheme="majorHAnsi"/>
          <w:szCs w:val="22"/>
        </w:rPr>
        <w:t xml:space="preserve">mportant </w:t>
      </w:r>
      <w:r w:rsidR="00C6544A" w:rsidRPr="009C7698">
        <w:rPr>
          <w:rFonts w:asciiTheme="majorHAnsi" w:hAnsiTheme="majorHAnsi"/>
          <w:szCs w:val="22"/>
        </w:rPr>
        <w:t>conceptual drivers</w:t>
      </w:r>
      <w:r w:rsidR="00B322A7" w:rsidRPr="009C7698">
        <w:rPr>
          <w:rFonts w:asciiTheme="majorHAnsi" w:hAnsiTheme="majorHAnsi"/>
          <w:szCs w:val="22"/>
        </w:rPr>
        <w:t xml:space="preserve"> </w:t>
      </w:r>
      <w:r w:rsidR="00FE35FC" w:rsidRPr="009C7698">
        <w:rPr>
          <w:rFonts w:asciiTheme="majorHAnsi" w:hAnsiTheme="majorHAnsi"/>
          <w:szCs w:val="22"/>
        </w:rPr>
        <w:t xml:space="preserve">for </w:t>
      </w:r>
      <w:r w:rsidR="00C87770">
        <w:rPr>
          <w:rFonts w:asciiTheme="majorHAnsi" w:hAnsiTheme="majorHAnsi"/>
          <w:szCs w:val="22"/>
        </w:rPr>
        <w:t>RFA</w:t>
      </w:r>
      <w:r w:rsidR="00A67A99" w:rsidRPr="009C7698">
        <w:rPr>
          <w:rFonts w:asciiTheme="majorHAnsi" w:hAnsiTheme="majorHAnsi"/>
          <w:szCs w:val="22"/>
        </w:rPr>
        <w:t>s</w:t>
      </w:r>
      <w:r w:rsidR="00FE35FC" w:rsidRPr="009C7698">
        <w:rPr>
          <w:rFonts w:asciiTheme="majorHAnsi" w:hAnsiTheme="majorHAnsi"/>
          <w:szCs w:val="22"/>
        </w:rPr>
        <w:t xml:space="preserve"> </w:t>
      </w:r>
      <w:r w:rsidR="005A2CCF">
        <w:rPr>
          <w:rFonts w:asciiTheme="majorHAnsi" w:hAnsiTheme="majorHAnsi"/>
          <w:szCs w:val="22"/>
        </w:rPr>
        <w:t xml:space="preserve">(Davey 2018) </w:t>
      </w:r>
      <w:r w:rsidR="00B322A7" w:rsidRPr="009C7698">
        <w:rPr>
          <w:rFonts w:asciiTheme="majorHAnsi" w:hAnsiTheme="majorHAnsi"/>
          <w:szCs w:val="22"/>
        </w:rPr>
        <w:t>were</w:t>
      </w:r>
      <w:r w:rsidR="005939F4">
        <w:rPr>
          <w:rFonts w:asciiTheme="majorHAnsi" w:hAnsiTheme="majorHAnsi"/>
          <w:szCs w:val="22"/>
        </w:rPr>
        <w:t>:</w:t>
      </w:r>
    </w:p>
    <w:p w14:paraId="1C3B7744" w14:textId="5C2F93D3" w:rsidR="005939F4" w:rsidRDefault="00B322A7" w:rsidP="00BA70A7">
      <w:pPr>
        <w:pStyle w:val="ListParagraph"/>
        <w:numPr>
          <w:ilvl w:val="0"/>
          <w:numId w:val="3"/>
        </w:numPr>
        <w:spacing w:before="120" w:after="120" w:line="276" w:lineRule="auto"/>
        <w:ind w:left="425" w:hanging="425"/>
        <w:rPr>
          <w:rFonts w:asciiTheme="majorHAnsi" w:hAnsiTheme="majorHAnsi"/>
          <w:szCs w:val="22"/>
        </w:rPr>
      </w:pPr>
      <w:r w:rsidRPr="005939F4">
        <w:rPr>
          <w:rFonts w:asciiTheme="majorHAnsi" w:hAnsiTheme="majorHAnsi"/>
          <w:szCs w:val="22"/>
        </w:rPr>
        <w:t>managing and utilising Australia’s forest estate for all forest values on an</w:t>
      </w:r>
      <w:r w:rsidR="005939F4">
        <w:rPr>
          <w:rFonts w:asciiTheme="majorHAnsi" w:hAnsiTheme="majorHAnsi"/>
          <w:szCs w:val="22"/>
        </w:rPr>
        <w:t xml:space="preserve"> ecologically sustainable basis</w:t>
      </w:r>
      <w:r w:rsidRPr="005939F4">
        <w:rPr>
          <w:rFonts w:asciiTheme="majorHAnsi" w:hAnsiTheme="majorHAnsi"/>
          <w:szCs w:val="22"/>
        </w:rPr>
        <w:t xml:space="preserve"> </w:t>
      </w:r>
    </w:p>
    <w:p w14:paraId="4D3942CE" w14:textId="2874A47D" w:rsidR="005939F4" w:rsidRDefault="00B322A7" w:rsidP="00BA70A7">
      <w:pPr>
        <w:pStyle w:val="ListParagraph"/>
        <w:numPr>
          <w:ilvl w:val="0"/>
          <w:numId w:val="3"/>
        </w:numPr>
        <w:spacing w:before="120" w:after="120" w:line="276" w:lineRule="auto"/>
        <w:ind w:left="425" w:hanging="425"/>
        <w:rPr>
          <w:rFonts w:asciiTheme="majorHAnsi" w:hAnsiTheme="majorHAnsi"/>
          <w:szCs w:val="22"/>
        </w:rPr>
      </w:pPr>
      <w:r w:rsidRPr="005939F4">
        <w:rPr>
          <w:rFonts w:asciiTheme="majorHAnsi" w:hAnsiTheme="majorHAnsi"/>
          <w:szCs w:val="22"/>
        </w:rPr>
        <w:t>government collaboration for durable land-use decision</w:t>
      </w:r>
      <w:r w:rsidR="00FE35FC" w:rsidRPr="005939F4">
        <w:rPr>
          <w:rFonts w:asciiTheme="majorHAnsi" w:hAnsiTheme="majorHAnsi"/>
          <w:szCs w:val="22"/>
        </w:rPr>
        <w:t>-</w:t>
      </w:r>
      <w:r w:rsidRPr="005939F4">
        <w:rPr>
          <w:rFonts w:asciiTheme="majorHAnsi" w:hAnsiTheme="majorHAnsi"/>
          <w:szCs w:val="22"/>
        </w:rPr>
        <w:t>making processes associated with forest conservation</w:t>
      </w:r>
      <w:r w:rsidR="005939F4">
        <w:rPr>
          <w:rFonts w:asciiTheme="majorHAnsi" w:hAnsiTheme="majorHAnsi"/>
          <w:szCs w:val="22"/>
        </w:rPr>
        <w:t>, management and use</w:t>
      </w:r>
      <w:r w:rsidRPr="005939F4">
        <w:rPr>
          <w:rFonts w:asciiTheme="majorHAnsi" w:hAnsiTheme="majorHAnsi"/>
          <w:szCs w:val="22"/>
        </w:rPr>
        <w:t xml:space="preserve"> </w:t>
      </w:r>
    </w:p>
    <w:p w14:paraId="4FC295F4" w14:textId="6FB7A7EE" w:rsidR="005939F4" w:rsidRDefault="00B322A7" w:rsidP="00BA70A7">
      <w:pPr>
        <w:pStyle w:val="ListParagraph"/>
        <w:numPr>
          <w:ilvl w:val="0"/>
          <w:numId w:val="3"/>
        </w:numPr>
        <w:spacing w:before="120" w:after="120" w:line="276" w:lineRule="auto"/>
        <w:ind w:left="425" w:hanging="425"/>
        <w:rPr>
          <w:rFonts w:asciiTheme="majorHAnsi" w:hAnsiTheme="majorHAnsi"/>
          <w:szCs w:val="22"/>
        </w:rPr>
      </w:pPr>
      <w:r w:rsidRPr="005939F4">
        <w:rPr>
          <w:rFonts w:asciiTheme="majorHAnsi" w:hAnsiTheme="majorHAnsi"/>
          <w:szCs w:val="22"/>
        </w:rPr>
        <w:t xml:space="preserve">implementing a comprehensive, adequate and representative </w:t>
      </w:r>
      <w:r w:rsidR="00D63A84" w:rsidRPr="005939F4">
        <w:rPr>
          <w:rFonts w:asciiTheme="majorHAnsi" w:hAnsiTheme="majorHAnsi"/>
          <w:szCs w:val="22"/>
        </w:rPr>
        <w:t xml:space="preserve">(CAR) </w:t>
      </w:r>
      <w:r w:rsidRPr="005939F4">
        <w:rPr>
          <w:rFonts w:asciiTheme="majorHAnsi" w:hAnsiTheme="majorHAnsi"/>
          <w:szCs w:val="22"/>
        </w:rPr>
        <w:t>reserve system applying to</w:t>
      </w:r>
      <w:r w:rsidR="005939F4">
        <w:rPr>
          <w:rFonts w:asciiTheme="majorHAnsi" w:hAnsiTheme="majorHAnsi"/>
          <w:szCs w:val="22"/>
        </w:rPr>
        <w:t xml:space="preserve"> public and private forest land</w:t>
      </w:r>
      <w:r w:rsidRPr="005939F4">
        <w:rPr>
          <w:rFonts w:asciiTheme="majorHAnsi" w:hAnsiTheme="majorHAnsi"/>
          <w:szCs w:val="22"/>
        </w:rPr>
        <w:t xml:space="preserve"> </w:t>
      </w:r>
    </w:p>
    <w:p w14:paraId="1BC95A2E" w14:textId="76FF8136" w:rsidR="001E033D" w:rsidRPr="005939F4" w:rsidRDefault="00B322A7" w:rsidP="00BA70A7">
      <w:pPr>
        <w:pStyle w:val="ListParagraph"/>
        <w:numPr>
          <w:ilvl w:val="0"/>
          <w:numId w:val="3"/>
        </w:numPr>
        <w:spacing w:before="120" w:after="120" w:line="276" w:lineRule="auto"/>
        <w:ind w:left="425" w:hanging="425"/>
        <w:rPr>
          <w:rFonts w:asciiTheme="majorHAnsi" w:hAnsiTheme="majorHAnsi"/>
          <w:szCs w:val="22"/>
        </w:rPr>
      </w:pPr>
      <w:r w:rsidRPr="005939F4">
        <w:rPr>
          <w:rFonts w:asciiTheme="majorHAnsi" w:hAnsiTheme="majorHAnsi"/>
          <w:szCs w:val="22"/>
        </w:rPr>
        <w:t xml:space="preserve">developing an ecologically sustainable and internationally competitive forest products industry that provided national and regional benefits. </w:t>
      </w:r>
    </w:p>
    <w:p w14:paraId="09FD4E33" w14:textId="736963E7" w:rsidR="00D654DE" w:rsidRPr="009C7698" w:rsidRDefault="00F06221" w:rsidP="00315FAF">
      <w:pPr>
        <w:pStyle w:val="Header"/>
        <w:tabs>
          <w:tab w:val="clear" w:pos="4153"/>
          <w:tab w:val="clear" w:pos="8306"/>
        </w:tabs>
        <w:spacing w:before="240"/>
        <w:rPr>
          <w:rFonts w:asciiTheme="majorHAnsi" w:hAnsiTheme="majorHAnsi"/>
          <w:szCs w:val="22"/>
        </w:rPr>
      </w:pPr>
      <w:r w:rsidRPr="009C7698">
        <w:rPr>
          <w:rFonts w:asciiTheme="majorHAnsi" w:hAnsiTheme="majorHAnsi"/>
          <w:szCs w:val="22"/>
        </w:rPr>
        <w:t>A</w:t>
      </w:r>
      <w:r w:rsidR="00437354" w:rsidRPr="009C7698">
        <w:rPr>
          <w:rFonts w:asciiTheme="majorHAnsi" w:hAnsiTheme="majorHAnsi"/>
          <w:szCs w:val="22"/>
        </w:rPr>
        <w:t xml:space="preserve"> senior scientific group advised the Australian government on the best way to ensure forest biodiversity conservation while retaining a production forestry industry</w:t>
      </w:r>
      <w:r w:rsidRPr="009C7698">
        <w:rPr>
          <w:rFonts w:asciiTheme="majorHAnsi" w:hAnsiTheme="majorHAnsi"/>
          <w:szCs w:val="22"/>
        </w:rPr>
        <w:t xml:space="preserve"> (Pitman </w:t>
      </w:r>
      <w:r w:rsidRPr="00950668">
        <w:rPr>
          <w:rFonts w:asciiTheme="majorHAnsi" w:hAnsiTheme="majorHAnsi"/>
          <w:szCs w:val="22"/>
        </w:rPr>
        <w:t>et al.</w:t>
      </w:r>
      <w:r w:rsidRPr="009C7698">
        <w:rPr>
          <w:rFonts w:asciiTheme="majorHAnsi" w:hAnsiTheme="majorHAnsi"/>
          <w:szCs w:val="22"/>
        </w:rPr>
        <w:t xml:space="preserve"> 1995)</w:t>
      </w:r>
      <w:r w:rsidR="00437354" w:rsidRPr="009C7698">
        <w:rPr>
          <w:rFonts w:asciiTheme="majorHAnsi" w:hAnsiTheme="majorHAnsi"/>
          <w:szCs w:val="22"/>
        </w:rPr>
        <w:t>. Their advice</w:t>
      </w:r>
      <w:r w:rsidR="0065790C">
        <w:rPr>
          <w:rFonts w:asciiTheme="majorHAnsi" w:hAnsiTheme="majorHAnsi"/>
          <w:szCs w:val="22"/>
        </w:rPr>
        <w:t>,</w:t>
      </w:r>
      <w:r w:rsidR="00437354" w:rsidRPr="009C7698">
        <w:rPr>
          <w:rFonts w:asciiTheme="majorHAnsi" w:hAnsiTheme="majorHAnsi"/>
          <w:szCs w:val="22"/>
        </w:rPr>
        <w:t xml:space="preserve"> together with the Commonwealth’s position on forest conservation reserves (Commonwealth of Australia 1995b)</w:t>
      </w:r>
      <w:r w:rsidR="0065790C">
        <w:rPr>
          <w:rFonts w:asciiTheme="majorHAnsi" w:hAnsiTheme="majorHAnsi"/>
          <w:szCs w:val="22"/>
        </w:rPr>
        <w:t>,</w:t>
      </w:r>
      <w:r w:rsidR="00437354" w:rsidRPr="009C7698">
        <w:rPr>
          <w:rFonts w:asciiTheme="majorHAnsi" w:hAnsiTheme="majorHAnsi"/>
          <w:szCs w:val="22"/>
        </w:rPr>
        <w:t xml:space="preserve"> led to the formulation of the </w:t>
      </w:r>
      <w:r w:rsidR="005A2CCF">
        <w:rPr>
          <w:rFonts w:asciiTheme="majorHAnsi" w:hAnsiTheme="majorHAnsi"/>
          <w:szCs w:val="22"/>
        </w:rPr>
        <w:t xml:space="preserve">basis for a </w:t>
      </w:r>
      <w:r w:rsidR="00437354" w:rsidRPr="009C7698">
        <w:rPr>
          <w:rFonts w:asciiTheme="majorHAnsi" w:hAnsiTheme="majorHAnsi"/>
          <w:szCs w:val="22"/>
        </w:rPr>
        <w:t xml:space="preserve">CAR reserve system </w:t>
      </w:r>
      <w:r w:rsidR="00A41440">
        <w:rPr>
          <w:rFonts w:asciiTheme="majorHAnsi" w:hAnsiTheme="majorHAnsi"/>
          <w:szCs w:val="22"/>
        </w:rPr>
        <w:t xml:space="preserve">by the </w:t>
      </w:r>
      <w:r w:rsidR="00315FAF" w:rsidRPr="00315FAF">
        <w:rPr>
          <w:rFonts w:asciiTheme="majorHAnsi" w:hAnsiTheme="majorHAnsi"/>
          <w:szCs w:val="22"/>
        </w:rPr>
        <w:t>Joint Australian and New Zealand</w:t>
      </w:r>
      <w:r w:rsidR="00315FAF">
        <w:rPr>
          <w:rFonts w:asciiTheme="majorHAnsi" w:hAnsiTheme="majorHAnsi"/>
          <w:szCs w:val="22"/>
        </w:rPr>
        <w:t xml:space="preserve"> </w:t>
      </w:r>
      <w:r w:rsidR="00315FAF" w:rsidRPr="00315FAF">
        <w:rPr>
          <w:rFonts w:asciiTheme="majorHAnsi" w:hAnsiTheme="majorHAnsi"/>
          <w:szCs w:val="22"/>
        </w:rPr>
        <w:t>Environment and Conservation</w:t>
      </w:r>
      <w:r w:rsidR="00315FAF">
        <w:rPr>
          <w:rFonts w:asciiTheme="majorHAnsi" w:hAnsiTheme="majorHAnsi"/>
          <w:szCs w:val="22"/>
        </w:rPr>
        <w:t xml:space="preserve"> </w:t>
      </w:r>
      <w:r w:rsidR="00315FAF" w:rsidRPr="00315FAF">
        <w:rPr>
          <w:rFonts w:asciiTheme="majorHAnsi" w:hAnsiTheme="majorHAnsi"/>
          <w:szCs w:val="22"/>
        </w:rPr>
        <w:t>Council</w:t>
      </w:r>
      <w:r w:rsidR="00315FAF">
        <w:rPr>
          <w:rFonts w:asciiTheme="majorHAnsi" w:hAnsiTheme="majorHAnsi"/>
          <w:szCs w:val="22"/>
        </w:rPr>
        <w:t>/</w:t>
      </w:r>
      <w:r w:rsidR="00315FAF">
        <w:t xml:space="preserve">Ministerial Council on Forestry, Fisheries and Aquaculture </w:t>
      </w:r>
      <w:r w:rsidR="00315FAF" w:rsidRPr="00315FAF">
        <w:t>National Forest Policy Statement</w:t>
      </w:r>
      <w:r w:rsidR="00315FAF">
        <w:t xml:space="preserve"> </w:t>
      </w:r>
      <w:r w:rsidR="00315FAF" w:rsidRPr="00315FAF">
        <w:rPr>
          <w:rFonts w:asciiTheme="majorHAnsi" w:hAnsiTheme="majorHAnsi"/>
          <w:szCs w:val="22"/>
        </w:rPr>
        <w:t>Implementation Sub-Committee</w:t>
      </w:r>
      <w:r w:rsidR="00315FAF">
        <w:rPr>
          <w:rFonts w:asciiTheme="majorHAnsi" w:hAnsiTheme="majorHAnsi"/>
          <w:szCs w:val="22"/>
        </w:rPr>
        <w:t xml:space="preserve"> (</w:t>
      </w:r>
      <w:r w:rsidR="00D654DE" w:rsidRPr="009C7698">
        <w:rPr>
          <w:rFonts w:asciiTheme="majorHAnsi" w:hAnsiTheme="majorHAnsi"/>
          <w:szCs w:val="22"/>
        </w:rPr>
        <w:t>JANIS</w:t>
      </w:r>
      <w:r w:rsidR="00315FAF">
        <w:rPr>
          <w:rFonts w:asciiTheme="majorHAnsi" w:hAnsiTheme="majorHAnsi"/>
          <w:szCs w:val="22"/>
        </w:rPr>
        <w:t>)</w:t>
      </w:r>
      <w:r w:rsidR="00A41440">
        <w:rPr>
          <w:rFonts w:asciiTheme="majorHAnsi" w:hAnsiTheme="majorHAnsi"/>
          <w:szCs w:val="22"/>
        </w:rPr>
        <w:t>. The JANIS</w:t>
      </w:r>
      <w:r w:rsidR="00D654DE" w:rsidRPr="009C7698">
        <w:rPr>
          <w:rFonts w:asciiTheme="majorHAnsi" w:hAnsiTheme="majorHAnsi"/>
          <w:szCs w:val="22"/>
        </w:rPr>
        <w:t xml:space="preserve"> reserve criteria </w:t>
      </w:r>
      <w:r w:rsidR="00785125" w:rsidRPr="009C7698">
        <w:rPr>
          <w:rFonts w:asciiTheme="majorHAnsi" w:hAnsiTheme="majorHAnsi"/>
          <w:szCs w:val="22"/>
        </w:rPr>
        <w:t xml:space="preserve">(JANIS 1997) </w:t>
      </w:r>
      <w:r w:rsidR="00D654DE" w:rsidRPr="009C7698">
        <w:rPr>
          <w:rFonts w:asciiTheme="majorHAnsi" w:hAnsiTheme="majorHAnsi"/>
          <w:szCs w:val="22"/>
        </w:rPr>
        <w:t>set out area thresholds or benchmarks for forest conservation within the reserve system, including:</w:t>
      </w:r>
    </w:p>
    <w:p w14:paraId="55ADC036" w14:textId="0D5E030B" w:rsidR="00D654DE" w:rsidRPr="009C7698" w:rsidRDefault="0065790C" w:rsidP="00BA70A7">
      <w:pPr>
        <w:pStyle w:val="Header"/>
        <w:numPr>
          <w:ilvl w:val="0"/>
          <w:numId w:val="2"/>
        </w:numPr>
        <w:tabs>
          <w:tab w:val="clear" w:pos="720"/>
          <w:tab w:val="clear" w:pos="4153"/>
          <w:tab w:val="clear" w:pos="8306"/>
          <w:tab w:val="num" w:pos="426"/>
        </w:tabs>
        <w:spacing w:before="120" w:after="120" w:line="276" w:lineRule="auto"/>
        <w:ind w:left="425" w:hanging="425"/>
        <w:rPr>
          <w:rFonts w:asciiTheme="majorHAnsi" w:hAnsiTheme="majorHAnsi"/>
          <w:szCs w:val="22"/>
        </w:rPr>
      </w:pPr>
      <w:r>
        <w:rPr>
          <w:rFonts w:asciiTheme="majorHAnsi" w:hAnsiTheme="majorHAnsi"/>
          <w:szCs w:val="22"/>
        </w:rPr>
        <w:lastRenderedPageBreak/>
        <w:t>f</w:t>
      </w:r>
      <w:r w:rsidR="00D654DE" w:rsidRPr="009C7698">
        <w:rPr>
          <w:rFonts w:asciiTheme="majorHAnsi" w:hAnsiTheme="majorHAnsi"/>
          <w:szCs w:val="22"/>
        </w:rPr>
        <w:t xml:space="preserve">or biodiversity, 15% of the pre-1750 distribution of each forest ecosystem, </w:t>
      </w:r>
      <w:r>
        <w:rPr>
          <w:rFonts w:asciiTheme="majorHAnsi" w:hAnsiTheme="majorHAnsi"/>
          <w:szCs w:val="22"/>
        </w:rPr>
        <w:t>and</w:t>
      </w:r>
      <w:r w:rsidRPr="009C7698">
        <w:rPr>
          <w:rFonts w:asciiTheme="majorHAnsi" w:hAnsiTheme="majorHAnsi"/>
          <w:szCs w:val="22"/>
        </w:rPr>
        <w:t xml:space="preserve"> </w:t>
      </w:r>
      <w:r w:rsidR="00D654DE" w:rsidRPr="009C7698">
        <w:rPr>
          <w:rFonts w:asciiTheme="majorHAnsi" w:hAnsiTheme="majorHAnsi"/>
          <w:szCs w:val="22"/>
        </w:rPr>
        <w:t>at least 60% of vulnerable and 100% of rare and endangered forest ecosystems</w:t>
      </w:r>
    </w:p>
    <w:p w14:paraId="05B3AE9D" w14:textId="6F64A69C" w:rsidR="00D654DE" w:rsidRPr="009C7698" w:rsidRDefault="0065790C" w:rsidP="00BA70A7">
      <w:pPr>
        <w:pStyle w:val="Header"/>
        <w:numPr>
          <w:ilvl w:val="0"/>
          <w:numId w:val="2"/>
        </w:numPr>
        <w:tabs>
          <w:tab w:val="clear" w:pos="720"/>
          <w:tab w:val="clear" w:pos="4153"/>
          <w:tab w:val="clear" w:pos="8306"/>
          <w:tab w:val="num" w:pos="426"/>
        </w:tabs>
        <w:spacing w:before="120" w:after="120" w:line="276" w:lineRule="auto"/>
        <w:ind w:left="425" w:hanging="425"/>
        <w:rPr>
          <w:rFonts w:asciiTheme="majorHAnsi" w:hAnsiTheme="majorHAnsi"/>
          <w:szCs w:val="22"/>
        </w:rPr>
      </w:pPr>
      <w:r>
        <w:rPr>
          <w:rFonts w:asciiTheme="majorHAnsi" w:hAnsiTheme="majorHAnsi"/>
          <w:szCs w:val="22"/>
        </w:rPr>
        <w:t>f</w:t>
      </w:r>
      <w:r w:rsidR="00D654DE" w:rsidRPr="009C7698">
        <w:rPr>
          <w:rFonts w:asciiTheme="majorHAnsi" w:hAnsiTheme="majorHAnsi"/>
          <w:szCs w:val="22"/>
        </w:rPr>
        <w:t>or old-growth forest, 60% of the old-growth area of each forest ecosystem, increasing to 100% for rare or depleted old-growth forest ecosystems</w:t>
      </w:r>
    </w:p>
    <w:p w14:paraId="593E6C17" w14:textId="6DB57A23" w:rsidR="00D654DE" w:rsidRPr="009C7698" w:rsidRDefault="0065790C" w:rsidP="00BA70A7">
      <w:pPr>
        <w:pStyle w:val="Header"/>
        <w:numPr>
          <w:ilvl w:val="0"/>
          <w:numId w:val="2"/>
        </w:numPr>
        <w:tabs>
          <w:tab w:val="clear" w:pos="720"/>
          <w:tab w:val="clear" w:pos="4153"/>
          <w:tab w:val="clear" w:pos="8306"/>
          <w:tab w:val="num" w:pos="426"/>
        </w:tabs>
        <w:spacing w:before="120" w:after="120" w:line="276" w:lineRule="auto"/>
        <w:ind w:left="425" w:hanging="425"/>
        <w:rPr>
          <w:rFonts w:asciiTheme="majorHAnsi" w:hAnsiTheme="majorHAnsi"/>
          <w:szCs w:val="22"/>
        </w:rPr>
      </w:pPr>
      <w:r>
        <w:rPr>
          <w:rFonts w:asciiTheme="majorHAnsi" w:hAnsiTheme="majorHAnsi"/>
          <w:szCs w:val="22"/>
        </w:rPr>
        <w:t>f</w:t>
      </w:r>
      <w:r w:rsidR="00D654DE" w:rsidRPr="009C7698">
        <w:rPr>
          <w:rFonts w:asciiTheme="majorHAnsi" w:hAnsiTheme="majorHAnsi"/>
          <w:szCs w:val="22"/>
        </w:rPr>
        <w:t>or wilderness, 90% of the area of high-quality wilderness.</w:t>
      </w:r>
    </w:p>
    <w:p w14:paraId="562C687A" w14:textId="57345244" w:rsidR="005C7E57" w:rsidRDefault="005C7E57" w:rsidP="00241E50">
      <w:pPr>
        <w:spacing w:before="240"/>
        <w:rPr>
          <w:rFonts w:asciiTheme="majorHAnsi" w:hAnsiTheme="majorHAnsi"/>
          <w:szCs w:val="22"/>
        </w:rPr>
      </w:pPr>
      <w:r>
        <w:rPr>
          <w:rFonts w:asciiTheme="majorHAnsi" w:hAnsiTheme="majorHAnsi"/>
          <w:szCs w:val="22"/>
        </w:rPr>
        <w:t xml:space="preserve">The CAR reserve system </w:t>
      </w:r>
      <w:r w:rsidRPr="009C7698">
        <w:rPr>
          <w:rFonts w:asciiTheme="majorHAnsi" w:hAnsiTheme="majorHAnsi"/>
          <w:szCs w:val="22"/>
        </w:rPr>
        <w:t>provides a world-class protected area network for Australia’s forest biodiversity (Commonwealth of Australia 2005)</w:t>
      </w:r>
      <w:r>
        <w:rPr>
          <w:rFonts w:asciiTheme="majorHAnsi" w:hAnsiTheme="majorHAnsi"/>
          <w:szCs w:val="22"/>
        </w:rPr>
        <w:t>, and continues to provide the scientific framework for Australia’s National Reserve System</w:t>
      </w:r>
      <w:r>
        <w:rPr>
          <w:rStyle w:val="FootnoteReference"/>
          <w:rFonts w:asciiTheme="majorHAnsi" w:hAnsiTheme="majorHAnsi"/>
          <w:szCs w:val="22"/>
        </w:rPr>
        <w:footnoteReference w:id="2"/>
      </w:r>
      <w:r w:rsidRPr="009C7698">
        <w:rPr>
          <w:rFonts w:asciiTheme="majorHAnsi" w:hAnsiTheme="majorHAnsi"/>
          <w:szCs w:val="22"/>
        </w:rPr>
        <w:t xml:space="preserve">. </w:t>
      </w:r>
      <w:r w:rsidR="001C4752">
        <w:rPr>
          <w:rFonts w:asciiTheme="majorHAnsi" w:hAnsiTheme="majorHAnsi"/>
          <w:szCs w:val="22"/>
        </w:rPr>
        <w:t>Davey et al. (2002) reviews the role played by science in developing the RFAs more generally.</w:t>
      </w:r>
    </w:p>
    <w:p w14:paraId="78374C8A" w14:textId="1206DD78" w:rsidR="001C6B3F" w:rsidRPr="009C7698" w:rsidRDefault="005A2CCF" w:rsidP="00241E50">
      <w:pPr>
        <w:spacing w:before="240"/>
        <w:rPr>
          <w:rFonts w:asciiTheme="majorHAnsi" w:eastAsiaTheme="minorEastAsia" w:hAnsiTheme="majorHAnsi"/>
          <w:szCs w:val="22"/>
        </w:rPr>
      </w:pPr>
      <w:r w:rsidRPr="005A2CCF">
        <w:rPr>
          <w:rFonts w:asciiTheme="majorHAnsi" w:hAnsiTheme="majorHAnsi"/>
          <w:szCs w:val="22"/>
        </w:rPr>
        <w:t>A CAR reserve system was established across each of the regions covered by an RFA, from the</w:t>
      </w:r>
      <w:r>
        <w:rPr>
          <w:rFonts w:asciiTheme="majorHAnsi" w:hAnsiTheme="majorHAnsi"/>
          <w:szCs w:val="22"/>
        </w:rPr>
        <w:t xml:space="preserve"> date each agreement was signed.</w:t>
      </w:r>
      <w:r w:rsidRPr="009C7698">
        <w:rPr>
          <w:rFonts w:asciiTheme="majorHAnsi" w:eastAsiaTheme="minorEastAsia" w:hAnsiTheme="majorHAnsi"/>
          <w:szCs w:val="22"/>
        </w:rPr>
        <w:t xml:space="preserve"> </w:t>
      </w:r>
      <w:r w:rsidR="00410BF7">
        <w:rPr>
          <w:rFonts w:asciiTheme="majorHAnsi" w:eastAsiaTheme="minorEastAsia" w:hAnsiTheme="majorHAnsi"/>
          <w:szCs w:val="22"/>
        </w:rPr>
        <w:t>Under t</w:t>
      </w:r>
      <w:r w:rsidR="00A66A1C" w:rsidRPr="009C7698">
        <w:rPr>
          <w:rFonts w:asciiTheme="majorHAnsi" w:eastAsiaTheme="minorEastAsia" w:hAnsiTheme="majorHAnsi"/>
          <w:szCs w:val="22"/>
        </w:rPr>
        <w:t xml:space="preserve">he </w:t>
      </w:r>
      <w:r w:rsidR="004B3B0A" w:rsidRPr="009C7698">
        <w:rPr>
          <w:rFonts w:asciiTheme="majorHAnsi" w:eastAsiaTheme="minorEastAsia" w:hAnsiTheme="majorHAnsi"/>
          <w:szCs w:val="22"/>
        </w:rPr>
        <w:t>a</w:t>
      </w:r>
      <w:r w:rsidR="00A67A99" w:rsidRPr="009C7698">
        <w:rPr>
          <w:rFonts w:asciiTheme="majorHAnsi" w:eastAsiaTheme="minorEastAsia" w:hAnsiTheme="majorHAnsi"/>
          <w:szCs w:val="22"/>
        </w:rPr>
        <w:t>greements</w:t>
      </w:r>
      <w:r w:rsidR="00410BF7">
        <w:rPr>
          <w:rFonts w:asciiTheme="majorHAnsi" w:eastAsiaTheme="minorEastAsia" w:hAnsiTheme="majorHAnsi"/>
          <w:szCs w:val="22"/>
        </w:rPr>
        <w:t>, the governments</w:t>
      </w:r>
      <w:r w:rsidR="00A67A99" w:rsidRPr="009C7698">
        <w:rPr>
          <w:rFonts w:asciiTheme="majorHAnsi" w:eastAsiaTheme="minorEastAsia" w:hAnsiTheme="majorHAnsi"/>
          <w:szCs w:val="22"/>
        </w:rPr>
        <w:t xml:space="preserve"> also made commitments </w:t>
      </w:r>
      <w:r w:rsidR="003512E5">
        <w:rPr>
          <w:rFonts w:asciiTheme="majorHAnsi" w:eastAsiaTheme="minorEastAsia" w:hAnsiTheme="majorHAnsi"/>
          <w:szCs w:val="22"/>
        </w:rPr>
        <w:t>for the</w:t>
      </w:r>
      <w:r w:rsidR="003512E5" w:rsidRPr="009C7698">
        <w:rPr>
          <w:rFonts w:asciiTheme="majorHAnsi" w:eastAsiaTheme="minorEastAsia" w:hAnsiTheme="majorHAnsi"/>
          <w:szCs w:val="22"/>
        </w:rPr>
        <w:t xml:space="preserve"> </w:t>
      </w:r>
      <w:r w:rsidR="00A66A1C" w:rsidRPr="009C7698">
        <w:rPr>
          <w:rFonts w:asciiTheme="majorHAnsi" w:eastAsiaTheme="minorEastAsia" w:hAnsiTheme="majorHAnsi"/>
          <w:szCs w:val="22"/>
        </w:rPr>
        <w:t xml:space="preserve">sustainability of wood yields and </w:t>
      </w:r>
      <w:r w:rsidR="003512E5">
        <w:rPr>
          <w:rFonts w:asciiTheme="majorHAnsi" w:eastAsiaTheme="minorEastAsia" w:hAnsiTheme="majorHAnsi"/>
          <w:szCs w:val="22"/>
        </w:rPr>
        <w:t>for</w:t>
      </w:r>
      <w:r w:rsidR="00A66A1C" w:rsidRPr="009C7698">
        <w:rPr>
          <w:rFonts w:asciiTheme="majorHAnsi" w:eastAsiaTheme="minorEastAsia" w:hAnsiTheme="majorHAnsi"/>
          <w:szCs w:val="22"/>
        </w:rPr>
        <w:t xml:space="preserve"> ecologically sustainable forest management</w:t>
      </w:r>
      <w:r w:rsidR="00410BF7">
        <w:rPr>
          <w:rFonts w:asciiTheme="majorHAnsi" w:eastAsiaTheme="minorEastAsia" w:hAnsiTheme="majorHAnsi"/>
          <w:szCs w:val="22"/>
        </w:rPr>
        <w:t>,</w:t>
      </w:r>
      <w:r w:rsidR="00B6784E" w:rsidRPr="009C7698">
        <w:rPr>
          <w:rFonts w:asciiTheme="majorHAnsi" w:eastAsiaTheme="minorEastAsia" w:hAnsiTheme="majorHAnsi"/>
          <w:szCs w:val="22"/>
        </w:rPr>
        <w:t xml:space="preserve"> </w:t>
      </w:r>
      <w:r w:rsidR="00410BF7">
        <w:rPr>
          <w:rFonts w:asciiTheme="majorHAnsi" w:eastAsiaTheme="minorEastAsia" w:hAnsiTheme="majorHAnsi"/>
          <w:szCs w:val="22"/>
        </w:rPr>
        <w:t xml:space="preserve">and </w:t>
      </w:r>
      <w:r w:rsidR="00222325" w:rsidRPr="009C7698">
        <w:rPr>
          <w:rFonts w:asciiTheme="majorHAnsi" w:eastAsiaTheme="minorEastAsia" w:hAnsiTheme="majorHAnsi"/>
          <w:szCs w:val="22"/>
        </w:rPr>
        <w:t xml:space="preserve">the </w:t>
      </w:r>
      <w:r w:rsidR="00553292">
        <w:rPr>
          <w:rFonts w:asciiTheme="majorHAnsi" w:eastAsiaTheme="minorEastAsia" w:hAnsiTheme="majorHAnsi"/>
          <w:szCs w:val="22"/>
        </w:rPr>
        <w:t xml:space="preserve">associated </w:t>
      </w:r>
      <w:r w:rsidR="00222325" w:rsidRPr="009C7698">
        <w:rPr>
          <w:rFonts w:asciiTheme="majorHAnsi" w:eastAsiaTheme="minorEastAsia" w:hAnsiTheme="majorHAnsi"/>
          <w:szCs w:val="22"/>
        </w:rPr>
        <w:t>collection of information</w:t>
      </w:r>
      <w:r w:rsidR="00241E50" w:rsidRPr="009C7698">
        <w:rPr>
          <w:rFonts w:asciiTheme="majorHAnsi" w:eastAsiaTheme="minorEastAsia" w:hAnsiTheme="majorHAnsi"/>
          <w:szCs w:val="22"/>
        </w:rPr>
        <w:t xml:space="preserve"> </w:t>
      </w:r>
      <w:r w:rsidR="00CC1C70" w:rsidRPr="009C7698">
        <w:rPr>
          <w:rFonts w:asciiTheme="majorHAnsi" w:eastAsiaTheme="minorEastAsia" w:hAnsiTheme="majorHAnsi"/>
          <w:szCs w:val="22"/>
        </w:rPr>
        <w:t>about</w:t>
      </w:r>
      <w:r w:rsidR="00241E50" w:rsidRPr="009C7698">
        <w:rPr>
          <w:rFonts w:asciiTheme="majorHAnsi" w:eastAsiaTheme="minorEastAsia" w:hAnsiTheme="majorHAnsi"/>
          <w:szCs w:val="22"/>
        </w:rPr>
        <w:t xml:space="preserve"> sustainability indicators</w:t>
      </w:r>
      <w:r w:rsidR="00BE1F9C" w:rsidRPr="009C7698">
        <w:rPr>
          <w:rFonts w:asciiTheme="majorHAnsi" w:eastAsiaTheme="minorEastAsia" w:hAnsiTheme="majorHAnsi"/>
          <w:szCs w:val="22"/>
        </w:rPr>
        <w:t>.</w:t>
      </w:r>
      <w:r w:rsidR="00073C86" w:rsidRPr="009C7698">
        <w:rPr>
          <w:rFonts w:asciiTheme="majorHAnsi" w:eastAsiaTheme="minorEastAsia" w:hAnsiTheme="majorHAnsi"/>
          <w:szCs w:val="22"/>
        </w:rPr>
        <w:t xml:space="preserve"> </w:t>
      </w:r>
      <w:r w:rsidR="00CC1C70" w:rsidRPr="009C7698">
        <w:rPr>
          <w:rFonts w:asciiTheme="majorHAnsi" w:eastAsiaTheme="minorEastAsia" w:hAnsiTheme="majorHAnsi"/>
          <w:szCs w:val="22"/>
        </w:rPr>
        <w:t>These</w:t>
      </w:r>
      <w:r w:rsidR="00006AA6" w:rsidRPr="009C7698">
        <w:rPr>
          <w:rFonts w:asciiTheme="majorHAnsi" w:eastAsiaTheme="minorEastAsia" w:hAnsiTheme="majorHAnsi"/>
          <w:szCs w:val="22"/>
        </w:rPr>
        <w:t xml:space="preserve"> </w:t>
      </w:r>
      <w:r w:rsidR="00073C86" w:rsidRPr="009C7698">
        <w:rPr>
          <w:rFonts w:asciiTheme="majorHAnsi" w:eastAsiaTheme="minorEastAsia" w:hAnsiTheme="majorHAnsi"/>
          <w:szCs w:val="22"/>
        </w:rPr>
        <w:t>responsibilities originate from</w:t>
      </w:r>
      <w:r w:rsidR="00380863" w:rsidRPr="009C7698">
        <w:rPr>
          <w:rFonts w:asciiTheme="majorHAnsi" w:eastAsiaTheme="minorEastAsia" w:hAnsiTheme="majorHAnsi"/>
          <w:szCs w:val="22"/>
        </w:rPr>
        <w:t xml:space="preserve"> the </w:t>
      </w:r>
      <w:r w:rsidR="00380863" w:rsidRPr="00950668">
        <w:rPr>
          <w:rFonts w:asciiTheme="majorHAnsi" w:eastAsiaTheme="minorEastAsia" w:hAnsiTheme="majorHAnsi"/>
          <w:i/>
          <w:szCs w:val="22"/>
        </w:rPr>
        <w:t>National Forest Policy Statement</w:t>
      </w:r>
      <w:r w:rsidR="00380863" w:rsidRPr="009C7698">
        <w:rPr>
          <w:rFonts w:asciiTheme="majorHAnsi" w:eastAsiaTheme="minorEastAsia" w:hAnsiTheme="majorHAnsi"/>
          <w:szCs w:val="22"/>
        </w:rPr>
        <w:t xml:space="preserve"> and </w:t>
      </w:r>
      <w:r w:rsidR="00BE1F9C" w:rsidRPr="009C7698">
        <w:rPr>
          <w:rFonts w:asciiTheme="majorHAnsi" w:eastAsiaTheme="minorEastAsia" w:hAnsiTheme="majorHAnsi"/>
          <w:szCs w:val="22"/>
        </w:rPr>
        <w:t xml:space="preserve">the </w:t>
      </w:r>
      <w:r w:rsidR="00380863" w:rsidRPr="00950668">
        <w:rPr>
          <w:rFonts w:asciiTheme="majorHAnsi" w:eastAsiaTheme="minorEastAsia" w:hAnsiTheme="majorHAnsi"/>
          <w:i/>
          <w:szCs w:val="22"/>
        </w:rPr>
        <w:t>National Strategy for Ecologically Sustainable Development</w:t>
      </w:r>
      <w:r w:rsidR="00380863" w:rsidRPr="009C7698">
        <w:rPr>
          <w:rFonts w:asciiTheme="majorHAnsi" w:eastAsiaTheme="minorEastAsia" w:hAnsiTheme="majorHAnsi"/>
          <w:szCs w:val="22"/>
        </w:rPr>
        <w:t xml:space="preserve"> </w:t>
      </w:r>
      <w:r w:rsidR="00241E50" w:rsidRPr="009C7698">
        <w:rPr>
          <w:rFonts w:asciiTheme="majorHAnsi" w:eastAsiaTheme="minorEastAsia" w:hAnsiTheme="majorHAnsi"/>
          <w:szCs w:val="22"/>
        </w:rPr>
        <w:t>(Commonwealth of Australia 1992</w:t>
      </w:r>
      <w:r w:rsidR="00380863" w:rsidRPr="009C7698">
        <w:rPr>
          <w:rFonts w:asciiTheme="majorHAnsi" w:eastAsiaTheme="minorEastAsia" w:hAnsiTheme="majorHAnsi"/>
          <w:szCs w:val="22"/>
        </w:rPr>
        <w:t>a, b)</w:t>
      </w:r>
      <w:r w:rsidR="00BE1F9C" w:rsidRPr="009C7698">
        <w:rPr>
          <w:rFonts w:asciiTheme="majorHAnsi" w:eastAsiaTheme="minorEastAsia" w:hAnsiTheme="majorHAnsi"/>
          <w:szCs w:val="22"/>
        </w:rPr>
        <w:t>,</w:t>
      </w:r>
      <w:r w:rsidR="0032731D" w:rsidRPr="009C7698">
        <w:rPr>
          <w:rFonts w:asciiTheme="majorHAnsi" w:eastAsiaTheme="minorEastAsia" w:hAnsiTheme="majorHAnsi"/>
          <w:szCs w:val="22"/>
        </w:rPr>
        <w:t xml:space="preserve"> and were incorporated into </w:t>
      </w:r>
      <w:r w:rsidR="00C87770">
        <w:rPr>
          <w:rFonts w:asciiTheme="majorHAnsi" w:eastAsiaTheme="minorEastAsia" w:hAnsiTheme="majorHAnsi"/>
          <w:szCs w:val="22"/>
        </w:rPr>
        <w:t>RFA</w:t>
      </w:r>
      <w:r w:rsidR="0032731D" w:rsidRPr="009C7698">
        <w:rPr>
          <w:rFonts w:asciiTheme="majorHAnsi" w:eastAsiaTheme="minorEastAsia" w:hAnsiTheme="majorHAnsi"/>
          <w:szCs w:val="22"/>
        </w:rPr>
        <w:t>s</w:t>
      </w:r>
      <w:r w:rsidR="0012275A" w:rsidRPr="009C7698">
        <w:rPr>
          <w:rFonts w:asciiTheme="majorHAnsi" w:eastAsiaTheme="minorEastAsia" w:hAnsiTheme="majorHAnsi"/>
          <w:szCs w:val="22"/>
        </w:rPr>
        <w:t xml:space="preserve"> as obligations</w:t>
      </w:r>
      <w:r w:rsidR="0032731D" w:rsidRPr="009C7698">
        <w:rPr>
          <w:rFonts w:asciiTheme="majorHAnsi" w:eastAsiaTheme="minorEastAsia" w:hAnsiTheme="majorHAnsi"/>
          <w:szCs w:val="22"/>
        </w:rPr>
        <w:t xml:space="preserve"> </w:t>
      </w:r>
      <w:r w:rsidR="00B36176" w:rsidRPr="009C7698">
        <w:rPr>
          <w:rFonts w:asciiTheme="majorHAnsi" w:eastAsiaTheme="minorEastAsia" w:hAnsiTheme="majorHAnsi"/>
          <w:szCs w:val="22"/>
        </w:rPr>
        <w:t>for five-yearly reviews of performance</w:t>
      </w:r>
      <w:r w:rsidR="0066475B">
        <w:rPr>
          <w:rFonts w:asciiTheme="majorHAnsi" w:eastAsiaTheme="minorEastAsia" w:hAnsiTheme="majorHAnsi"/>
          <w:szCs w:val="22"/>
        </w:rPr>
        <w:t xml:space="preserve"> </w:t>
      </w:r>
      <w:r w:rsidR="0066475B" w:rsidRPr="009C7698">
        <w:rPr>
          <w:rFonts w:asciiTheme="majorHAnsi" w:eastAsiaTheme="minorEastAsia" w:hAnsiTheme="majorHAnsi"/>
          <w:szCs w:val="22"/>
        </w:rPr>
        <w:t>(</w:t>
      </w:r>
      <w:r w:rsidR="0066475B">
        <w:rPr>
          <w:rFonts w:asciiTheme="majorHAnsi" w:eastAsiaTheme="minorEastAsia" w:hAnsiTheme="majorHAnsi"/>
          <w:szCs w:val="22"/>
        </w:rPr>
        <w:t xml:space="preserve">see for example </w:t>
      </w:r>
      <w:r w:rsidR="0066475B" w:rsidRPr="009C7698">
        <w:rPr>
          <w:rFonts w:asciiTheme="majorHAnsi" w:eastAsiaTheme="minorEastAsia" w:hAnsiTheme="majorHAnsi"/>
          <w:szCs w:val="22"/>
        </w:rPr>
        <w:t>RPDC 2002, Ferguson et al. 2003, Ramsay 2008, Spencer 2009, Wallace 2010, Kile 2013, 2015, Wilkinson et al. 2014)</w:t>
      </w:r>
      <w:r w:rsidR="005A03D7" w:rsidRPr="009C7698">
        <w:rPr>
          <w:rFonts w:asciiTheme="majorHAnsi" w:eastAsiaTheme="minorEastAsia" w:hAnsiTheme="majorHAnsi"/>
          <w:szCs w:val="22"/>
        </w:rPr>
        <w:t>.</w:t>
      </w:r>
      <w:r w:rsidR="00073C86" w:rsidRPr="009C7698">
        <w:rPr>
          <w:rFonts w:asciiTheme="majorHAnsi" w:eastAsiaTheme="minorEastAsia" w:hAnsiTheme="majorHAnsi"/>
          <w:szCs w:val="22"/>
        </w:rPr>
        <w:t xml:space="preserve"> </w:t>
      </w:r>
      <w:r w:rsidR="00C870F0" w:rsidRPr="009C7698">
        <w:rPr>
          <w:rFonts w:asciiTheme="majorHAnsi" w:hAnsiTheme="majorHAnsi"/>
          <w:szCs w:val="22"/>
        </w:rPr>
        <w:t>Access to forest resources by the timber industry, and support provided to regional communities, were also measured through these reviews</w:t>
      </w:r>
      <w:r w:rsidR="00B36176" w:rsidRPr="009C7698">
        <w:rPr>
          <w:rFonts w:asciiTheme="majorHAnsi" w:eastAsiaTheme="minorEastAsia" w:hAnsiTheme="majorHAnsi"/>
          <w:szCs w:val="22"/>
        </w:rPr>
        <w:t xml:space="preserve">. </w:t>
      </w:r>
    </w:p>
    <w:p w14:paraId="0F9B3BCC" w14:textId="6B3A0C03" w:rsidR="002F7C22" w:rsidRDefault="00E43D3C" w:rsidP="00241E50">
      <w:pPr>
        <w:spacing w:before="240"/>
        <w:rPr>
          <w:rFonts w:asciiTheme="majorHAnsi" w:eastAsiaTheme="minorEastAsia" w:hAnsiTheme="majorHAnsi"/>
          <w:szCs w:val="22"/>
        </w:rPr>
      </w:pPr>
      <w:r w:rsidRPr="009C7698">
        <w:rPr>
          <w:rFonts w:asciiTheme="majorHAnsi" w:hAnsiTheme="majorHAnsi"/>
          <w:szCs w:val="22"/>
        </w:rPr>
        <w:t xml:space="preserve">After signing individual </w:t>
      </w:r>
      <w:r w:rsidR="00C87770">
        <w:rPr>
          <w:rFonts w:asciiTheme="majorHAnsi" w:hAnsiTheme="majorHAnsi"/>
          <w:szCs w:val="22"/>
        </w:rPr>
        <w:t>RFA</w:t>
      </w:r>
      <w:r w:rsidRPr="009C7698">
        <w:rPr>
          <w:rFonts w:asciiTheme="majorHAnsi" w:hAnsiTheme="majorHAnsi"/>
          <w:szCs w:val="22"/>
        </w:rPr>
        <w:t xml:space="preserve">s, </w:t>
      </w:r>
      <w:r w:rsidR="00A8230A">
        <w:rPr>
          <w:rFonts w:asciiTheme="majorHAnsi" w:hAnsiTheme="majorHAnsi"/>
          <w:szCs w:val="22"/>
        </w:rPr>
        <w:t xml:space="preserve">the </w:t>
      </w:r>
      <w:r w:rsidRPr="009C7698">
        <w:rPr>
          <w:rFonts w:asciiTheme="majorHAnsi" w:hAnsiTheme="majorHAnsi"/>
          <w:szCs w:val="22"/>
        </w:rPr>
        <w:t xml:space="preserve">data </w:t>
      </w:r>
      <w:r w:rsidR="00A8230A">
        <w:rPr>
          <w:rFonts w:asciiTheme="majorHAnsi" w:hAnsiTheme="majorHAnsi"/>
          <w:szCs w:val="22"/>
        </w:rPr>
        <w:t xml:space="preserve">that informed the agreements </w:t>
      </w:r>
      <w:r w:rsidR="00BB1E10">
        <w:rPr>
          <w:rFonts w:asciiTheme="majorHAnsi" w:hAnsiTheme="majorHAnsi"/>
          <w:szCs w:val="22"/>
        </w:rPr>
        <w:t>were</w:t>
      </w:r>
      <w:r w:rsidRPr="009C7698">
        <w:rPr>
          <w:rFonts w:asciiTheme="majorHAnsi" w:hAnsiTheme="majorHAnsi"/>
          <w:szCs w:val="22"/>
        </w:rPr>
        <w:t xml:space="preserve"> archived with the National Forest Inventory</w:t>
      </w:r>
      <w:r w:rsidR="008969B0">
        <w:rPr>
          <w:rFonts w:asciiTheme="majorHAnsi" w:hAnsiTheme="majorHAnsi"/>
          <w:szCs w:val="22"/>
        </w:rPr>
        <w:t xml:space="preserve"> </w:t>
      </w:r>
      <w:r w:rsidR="00A8230A">
        <w:rPr>
          <w:rFonts w:asciiTheme="majorHAnsi" w:hAnsiTheme="majorHAnsi"/>
          <w:szCs w:val="22"/>
        </w:rPr>
        <w:t>in the Bureau of Rural Sciences</w:t>
      </w:r>
      <w:r w:rsidR="008969B0">
        <w:rPr>
          <w:rFonts w:asciiTheme="majorHAnsi" w:hAnsiTheme="majorHAnsi"/>
          <w:szCs w:val="22"/>
        </w:rPr>
        <w:t xml:space="preserve"> (BRS</w:t>
      </w:r>
      <w:r w:rsidR="00A8230A">
        <w:rPr>
          <w:rFonts w:asciiTheme="majorHAnsi" w:hAnsiTheme="majorHAnsi"/>
          <w:szCs w:val="22"/>
        </w:rPr>
        <w:t xml:space="preserve">, now </w:t>
      </w:r>
      <w:r w:rsidR="008969B0" w:rsidRPr="009C7698">
        <w:rPr>
          <w:rFonts w:asciiTheme="majorHAnsi" w:hAnsiTheme="majorHAnsi" w:cs="AdvTT5235d5a9"/>
          <w:color w:val="000000"/>
          <w:szCs w:val="22"/>
        </w:rPr>
        <w:t xml:space="preserve">the </w:t>
      </w:r>
      <w:r w:rsidR="008969B0" w:rsidRPr="009C7698">
        <w:rPr>
          <w:rFonts w:asciiTheme="majorHAnsi" w:hAnsiTheme="majorHAnsi"/>
          <w:szCs w:val="22"/>
        </w:rPr>
        <w:t>Australian Bureau of Agricultural and Resource Economics and Sciences</w:t>
      </w:r>
      <w:r w:rsidR="008969B0">
        <w:rPr>
          <w:rFonts w:asciiTheme="majorHAnsi" w:hAnsiTheme="majorHAnsi"/>
          <w:szCs w:val="22"/>
        </w:rPr>
        <w:t xml:space="preserve">, </w:t>
      </w:r>
      <w:r w:rsidR="00A8230A">
        <w:rPr>
          <w:rFonts w:asciiTheme="majorHAnsi" w:hAnsiTheme="majorHAnsi"/>
          <w:szCs w:val="22"/>
        </w:rPr>
        <w:t>ABARES)</w:t>
      </w:r>
      <w:r w:rsidRPr="009C7698">
        <w:rPr>
          <w:rFonts w:asciiTheme="majorHAnsi" w:hAnsiTheme="majorHAnsi"/>
          <w:szCs w:val="22"/>
        </w:rPr>
        <w:t xml:space="preserve">, </w:t>
      </w:r>
      <w:r w:rsidR="00A8230A">
        <w:rPr>
          <w:rFonts w:asciiTheme="majorHAnsi" w:hAnsiTheme="majorHAnsi"/>
          <w:szCs w:val="22"/>
        </w:rPr>
        <w:t xml:space="preserve">the </w:t>
      </w:r>
      <w:r w:rsidRPr="009C7698">
        <w:rPr>
          <w:rFonts w:asciiTheme="majorHAnsi" w:hAnsiTheme="majorHAnsi"/>
          <w:szCs w:val="22"/>
        </w:rPr>
        <w:t xml:space="preserve">Environmental Resources Information Network </w:t>
      </w:r>
      <w:r w:rsidR="00CE685E" w:rsidRPr="009C7698">
        <w:rPr>
          <w:rFonts w:asciiTheme="majorHAnsi" w:hAnsiTheme="majorHAnsi"/>
          <w:szCs w:val="22"/>
        </w:rPr>
        <w:t>(ERIN</w:t>
      </w:r>
      <w:r w:rsidR="00AD1574" w:rsidRPr="009C7698">
        <w:rPr>
          <w:rFonts w:asciiTheme="majorHAnsi" w:hAnsiTheme="majorHAnsi"/>
          <w:szCs w:val="22"/>
        </w:rPr>
        <w:t xml:space="preserve">, </w:t>
      </w:r>
      <w:r w:rsidR="00A8230A">
        <w:rPr>
          <w:rFonts w:asciiTheme="majorHAnsi" w:hAnsiTheme="majorHAnsi"/>
          <w:szCs w:val="22"/>
        </w:rPr>
        <w:t xml:space="preserve">now </w:t>
      </w:r>
      <w:r w:rsidR="00A41440">
        <w:rPr>
          <w:rFonts w:asciiTheme="majorHAnsi" w:hAnsiTheme="majorHAnsi"/>
          <w:szCs w:val="22"/>
        </w:rPr>
        <w:t xml:space="preserve">the </w:t>
      </w:r>
      <w:r w:rsidR="00A41440">
        <w:t xml:space="preserve">Geospatial and Information Analytics Branch, </w:t>
      </w:r>
      <w:r w:rsidR="00AD1574" w:rsidRPr="009C7698">
        <w:rPr>
          <w:rFonts w:asciiTheme="majorHAnsi" w:hAnsiTheme="majorHAnsi"/>
          <w:szCs w:val="22"/>
        </w:rPr>
        <w:t xml:space="preserve">Department of </w:t>
      </w:r>
      <w:r w:rsidR="00A8230A">
        <w:rPr>
          <w:rFonts w:asciiTheme="majorHAnsi" w:hAnsiTheme="majorHAnsi"/>
          <w:szCs w:val="22"/>
        </w:rPr>
        <w:t xml:space="preserve">Agriculture, Water and </w:t>
      </w:r>
      <w:r w:rsidR="00AD1574" w:rsidRPr="009C7698">
        <w:rPr>
          <w:rFonts w:asciiTheme="majorHAnsi" w:hAnsiTheme="majorHAnsi"/>
          <w:szCs w:val="22"/>
        </w:rPr>
        <w:t>the Environment</w:t>
      </w:r>
      <w:r w:rsidR="00CE685E" w:rsidRPr="009C7698">
        <w:rPr>
          <w:rFonts w:asciiTheme="majorHAnsi" w:hAnsiTheme="majorHAnsi"/>
          <w:szCs w:val="22"/>
        </w:rPr>
        <w:t xml:space="preserve">) </w:t>
      </w:r>
      <w:r w:rsidRPr="009C7698">
        <w:rPr>
          <w:rFonts w:asciiTheme="majorHAnsi" w:hAnsiTheme="majorHAnsi"/>
          <w:szCs w:val="22"/>
        </w:rPr>
        <w:t xml:space="preserve">and state departments. Data </w:t>
      </w:r>
      <w:r w:rsidR="00BB1E10">
        <w:rPr>
          <w:rFonts w:asciiTheme="majorHAnsi" w:hAnsiTheme="majorHAnsi"/>
          <w:szCs w:val="22"/>
        </w:rPr>
        <w:t>were</w:t>
      </w:r>
      <w:r w:rsidR="00BB1E10" w:rsidRPr="009C7698">
        <w:rPr>
          <w:rFonts w:asciiTheme="majorHAnsi" w:hAnsiTheme="majorHAnsi"/>
          <w:szCs w:val="22"/>
        </w:rPr>
        <w:t xml:space="preserve"> </w:t>
      </w:r>
      <w:r w:rsidRPr="009C7698">
        <w:rPr>
          <w:rFonts w:asciiTheme="majorHAnsi" w:hAnsiTheme="majorHAnsi"/>
          <w:szCs w:val="22"/>
        </w:rPr>
        <w:t xml:space="preserve">periodically </w:t>
      </w:r>
      <w:r w:rsidR="00CF5AEA" w:rsidRPr="009C7698">
        <w:rPr>
          <w:rFonts w:asciiTheme="majorHAnsi" w:hAnsiTheme="majorHAnsi"/>
          <w:szCs w:val="22"/>
        </w:rPr>
        <w:t>exchanged between these entities following the signing of agreements</w:t>
      </w:r>
      <w:r w:rsidR="00C5531D" w:rsidRPr="009C7698">
        <w:rPr>
          <w:rFonts w:asciiTheme="majorHAnsi" w:hAnsiTheme="majorHAnsi"/>
          <w:szCs w:val="22"/>
        </w:rPr>
        <w:t xml:space="preserve"> to update or supplement archived data.</w:t>
      </w:r>
      <w:r w:rsidR="002F7C22" w:rsidRPr="002F7C22">
        <w:rPr>
          <w:rFonts w:asciiTheme="majorHAnsi" w:eastAsiaTheme="minorEastAsia" w:hAnsiTheme="majorHAnsi"/>
          <w:szCs w:val="22"/>
        </w:rPr>
        <w:t xml:space="preserve"> </w:t>
      </w:r>
    </w:p>
    <w:p w14:paraId="2393145A" w14:textId="2D9006A8" w:rsidR="003276DC" w:rsidRPr="000B7359" w:rsidRDefault="00BC4218" w:rsidP="00552614">
      <w:pPr>
        <w:pStyle w:val="Heading2"/>
        <w:numPr>
          <w:ilvl w:val="0"/>
          <w:numId w:val="6"/>
        </w:numPr>
        <w:spacing w:after="240"/>
        <w:ind w:left="709" w:hanging="709"/>
        <w:jc w:val="left"/>
        <w:rPr>
          <w:rFonts w:ascii="Calibri" w:eastAsiaTheme="minorEastAsia" w:hAnsi="Calibri" w:cstheme="minorBidi"/>
          <w:b w:val="0"/>
          <w:color w:val="000000"/>
          <w:sz w:val="56"/>
          <w:szCs w:val="28"/>
          <w:lang w:eastAsia="ja-JP"/>
        </w:rPr>
      </w:pPr>
      <w:bookmarkStart w:id="7" w:name="_Toc58312577"/>
      <w:r w:rsidRPr="000B7359">
        <w:rPr>
          <w:rFonts w:ascii="Calibri" w:eastAsiaTheme="minorEastAsia" w:hAnsi="Calibri" w:cstheme="minorBidi"/>
          <w:b w:val="0"/>
          <w:color w:val="000000"/>
          <w:sz w:val="56"/>
          <w:szCs w:val="28"/>
          <w:lang w:eastAsia="ja-JP"/>
        </w:rPr>
        <w:t>R</w:t>
      </w:r>
      <w:r w:rsidR="003276DC" w:rsidRPr="000B7359">
        <w:rPr>
          <w:rFonts w:ascii="Calibri" w:eastAsiaTheme="minorEastAsia" w:hAnsi="Calibri" w:cstheme="minorBidi"/>
          <w:b w:val="0"/>
          <w:color w:val="000000"/>
          <w:sz w:val="56"/>
          <w:szCs w:val="28"/>
          <w:lang w:eastAsia="ja-JP"/>
        </w:rPr>
        <w:t xml:space="preserve">egional </w:t>
      </w:r>
      <w:r w:rsidR="004448FB">
        <w:rPr>
          <w:rFonts w:ascii="Calibri" w:eastAsiaTheme="minorEastAsia" w:hAnsi="Calibri" w:cstheme="minorBidi"/>
          <w:b w:val="0"/>
          <w:color w:val="000000"/>
          <w:sz w:val="56"/>
          <w:szCs w:val="28"/>
          <w:lang w:eastAsia="ja-JP"/>
        </w:rPr>
        <w:t>F</w:t>
      </w:r>
      <w:r w:rsidR="003276DC" w:rsidRPr="001924E5">
        <w:rPr>
          <w:rFonts w:ascii="Calibri" w:eastAsiaTheme="minorEastAsia" w:hAnsi="Calibri" w:cstheme="minorBidi"/>
          <w:b w:val="0"/>
          <w:color w:val="000000"/>
          <w:sz w:val="56"/>
          <w:szCs w:val="28"/>
          <w:lang w:eastAsia="ja-JP"/>
        </w:rPr>
        <w:t xml:space="preserve">orest </w:t>
      </w:r>
      <w:r w:rsidR="004448FB">
        <w:rPr>
          <w:rFonts w:ascii="Calibri" w:eastAsiaTheme="minorEastAsia" w:hAnsi="Calibri" w:cstheme="minorBidi"/>
          <w:b w:val="0"/>
          <w:color w:val="000000"/>
          <w:sz w:val="56"/>
          <w:szCs w:val="28"/>
          <w:lang w:eastAsia="ja-JP"/>
        </w:rPr>
        <w:t>A</w:t>
      </w:r>
      <w:r w:rsidR="003276DC" w:rsidRPr="000B7359">
        <w:rPr>
          <w:rFonts w:ascii="Calibri" w:eastAsiaTheme="minorEastAsia" w:hAnsi="Calibri" w:cstheme="minorBidi"/>
          <w:b w:val="0"/>
          <w:color w:val="000000"/>
          <w:sz w:val="56"/>
          <w:szCs w:val="28"/>
          <w:lang w:eastAsia="ja-JP"/>
        </w:rPr>
        <w:t>greement</w:t>
      </w:r>
      <w:r w:rsidRPr="000B7359">
        <w:rPr>
          <w:rFonts w:ascii="Calibri" w:eastAsiaTheme="minorEastAsia" w:hAnsi="Calibri" w:cstheme="minorBidi"/>
          <w:b w:val="0"/>
          <w:color w:val="000000"/>
          <w:sz w:val="56"/>
          <w:szCs w:val="28"/>
          <w:lang w:eastAsia="ja-JP"/>
        </w:rPr>
        <w:t xml:space="preserve"> data held </w:t>
      </w:r>
      <w:r w:rsidR="00BE1F9C" w:rsidRPr="000B7359">
        <w:rPr>
          <w:rFonts w:ascii="Calibri" w:eastAsiaTheme="minorEastAsia" w:hAnsi="Calibri" w:cstheme="minorBidi"/>
          <w:b w:val="0"/>
          <w:color w:val="000000"/>
          <w:sz w:val="56"/>
          <w:szCs w:val="28"/>
          <w:lang w:eastAsia="ja-JP"/>
        </w:rPr>
        <w:t xml:space="preserve">in </w:t>
      </w:r>
      <w:r w:rsidRPr="000B7359">
        <w:rPr>
          <w:rFonts w:ascii="Calibri" w:eastAsiaTheme="minorEastAsia" w:hAnsi="Calibri" w:cstheme="minorBidi"/>
          <w:b w:val="0"/>
          <w:color w:val="000000"/>
          <w:sz w:val="56"/>
          <w:szCs w:val="28"/>
          <w:lang w:eastAsia="ja-JP"/>
        </w:rPr>
        <w:t>the National Forest Inventory</w:t>
      </w:r>
      <w:bookmarkEnd w:id="7"/>
    </w:p>
    <w:p w14:paraId="6A3F1ED6" w14:textId="77777777" w:rsidR="0075777B" w:rsidRDefault="005242EF" w:rsidP="00DE2888">
      <w:pPr>
        <w:rPr>
          <w:rFonts w:cs="AdvTT5235d5a9"/>
          <w:color w:val="000000"/>
        </w:rPr>
      </w:pPr>
      <w:r w:rsidRPr="009C7698">
        <w:t xml:space="preserve">The National Forest Inventory was established in 1988 for the purpose of </w:t>
      </w:r>
      <w:r w:rsidR="008368CB" w:rsidRPr="009C7698">
        <w:t xml:space="preserve">collecting, </w:t>
      </w:r>
      <w:r w:rsidRPr="009C7698">
        <w:t>collating</w:t>
      </w:r>
      <w:r w:rsidR="008368CB" w:rsidRPr="009C7698">
        <w:t xml:space="preserve"> and reporting</w:t>
      </w:r>
      <w:r w:rsidRPr="009C7698">
        <w:t xml:space="preserve"> forest information (</w:t>
      </w:r>
      <w:r w:rsidR="008368CB" w:rsidRPr="009C7698">
        <w:t xml:space="preserve">Hnatiuk et al. </w:t>
      </w:r>
      <w:r w:rsidR="00831FA7" w:rsidRPr="009C7698">
        <w:t xml:space="preserve">2003, </w:t>
      </w:r>
      <w:r w:rsidRPr="009C7698">
        <w:rPr>
          <w:rFonts w:cs="AdvTT5235d5a9"/>
          <w:color w:val="000000"/>
        </w:rPr>
        <w:t>MIG and NFISC 201</w:t>
      </w:r>
      <w:r w:rsidR="00774055">
        <w:rPr>
          <w:rFonts w:cs="AdvTT5235d5a9"/>
          <w:color w:val="000000"/>
        </w:rPr>
        <w:t>8</w:t>
      </w:r>
      <w:r w:rsidRPr="009C7698">
        <w:rPr>
          <w:rFonts w:cs="AdvTT5235d5a9"/>
          <w:color w:val="000000"/>
        </w:rPr>
        <w:t>)</w:t>
      </w:r>
      <w:r w:rsidR="00B92FB8">
        <w:rPr>
          <w:rFonts w:cs="AdvTT5235d5a9"/>
          <w:color w:val="000000"/>
        </w:rPr>
        <w:t xml:space="preserve">. It was originally housed in BRS, and is now housed </w:t>
      </w:r>
      <w:r w:rsidRPr="009C7698">
        <w:rPr>
          <w:rFonts w:cs="AdvTT5235d5a9"/>
          <w:color w:val="000000"/>
        </w:rPr>
        <w:t>in ABARES.</w:t>
      </w:r>
    </w:p>
    <w:p w14:paraId="316F3049" w14:textId="0906598A" w:rsidR="00AD1574" w:rsidRPr="009C7698" w:rsidRDefault="00871B0F" w:rsidP="00DE2888">
      <w:r w:rsidRPr="009C7698">
        <w:t xml:space="preserve">Section 10A of the </w:t>
      </w:r>
      <w:r w:rsidRPr="009C7698">
        <w:rPr>
          <w:i/>
        </w:rPr>
        <w:t>Regional Forest Agreements Act 2002</w:t>
      </w:r>
      <w:r w:rsidRPr="009C7698">
        <w:t xml:space="preserve"> requires the Minister to establish </w:t>
      </w:r>
      <w:r w:rsidR="00751BF4" w:rsidRPr="009C7698">
        <w:t>“</w:t>
      </w:r>
      <w:r w:rsidRPr="009C7698">
        <w:t xml:space="preserve">a </w:t>
      </w:r>
      <w:r w:rsidR="00751BF4" w:rsidRPr="009C7698">
        <w:t xml:space="preserve">comprehensive and publicly available </w:t>
      </w:r>
      <w:r w:rsidRPr="009C7698">
        <w:t>source of information for national and regional monitoring and reporting in relation to all of Australia’s forests</w:t>
      </w:r>
      <w:r w:rsidR="00751BF4" w:rsidRPr="009C7698">
        <w:t>;</w:t>
      </w:r>
      <w:r w:rsidRPr="009C7698">
        <w:t xml:space="preserve"> and to support decision-making in relation to all of Australia’s forests</w:t>
      </w:r>
      <w:r w:rsidR="00751BF4" w:rsidRPr="009C7698">
        <w:t>”</w:t>
      </w:r>
      <w:r w:rsidRPr="009C7698">
        <w:t xml:space="preserve">. </w:t>
      </w:r>
      <w:r w:rsidR="008B7905" w:rsidRPr="009C7698">
        <w:t xml:space="preserve">The National Forest Inventory is the mechanism </w:t>
      </w:r>
      <w:r w:rsidR="007726CA" w:rsidRPr="009C7698">
        <w:t xml:space="preserve">that </w:t>
      </w:r>
      <w:r w:rsidR="008B7905" w:rsidRPr="009C7698">
        <w:lastRenderedPageBreak/>
        <w:t>meet</w:t>
      </w:r>
      <w:r w:rsidR="007726CA" w:rsidRPr="009C7698">
        <w:t>s</w:t>
      </w:r>
      <w:r w:rsidR="008B7905" w:rsidRPr="009C7698">
        <w:t xml:space="preserve"> this legislative requirement</w:t>
      </w:r>
      <w:r w:rsidR="007726CA" w:rsidRPr="009C7698">
        <w:t>, and it</w:t>
      </w:r>
      <w:r w:rsidR="00831FA7" w:rsidRPr="009C7698">
        <w:t xml:space="preserve"> play</w:t>
      </w:r>
      <w:r w:rsidR="007726CA" w:rsidRPr="009C7698">
        <w:t>s</w:t>
      </w:r>
      <w:r w:rsidR="00831FA7" w:rsidRPr="009C7698">
        <w:t xml:space="preserve"> a critical </w:t>
      </w:r>
      <w:r w:rsidR="007726CA" w:rsidRPr="009C7698">
        <w:t xml:space="preserve">part in </w:t>
      </w:r>
      <w:r w:rsidR="00831FA7" w:rsidRPr="009C7698">
        <w:t>the national approach to measuring and monitoring</w:t>
      </w:r>
      <w:r w:rsidR="00F742E0" w:rsidRPr="009C7698">
        <w:t xml:space="preserve"> sustainable forest management (Howell et al</w:t>
      </w:r>
      <w:r w:rsidR="00FA310D">
        <w:t>.</w:t>
      </w:r>
      <w:r w:rsidR="00F742E0" w:rsidRPr="009C7698">
        <w:t xml:space="preserve"> 2008)</w:t>
      </w:r>
      <w:r w:rsidR="008B7905" w:rsidRPr="009C7698">
        <w:t>.</w:t>
      </w:r>
    </w:p>
    <w:p w14:paraId="1F15EB21" w14:textId="4502C425" w:rsidR="008B2468" w:rsidRDefault="00E22E8E" w:rsidP="00DE2888">
      <w:r w:rsidRPr="009C7698">
        <w:t xml:space="preserve">Staff </w:t>
      </w:r>
      <w:r w:rsidR="008B7905" w:rsidRPr="009C7698">
        <w:t xml:space="preserve">within the </w:t>
      </w:r>
      <w:r w:rsidR="00AD1574" w:rsidRPr="009C7698">
        <w:t xml:space="preserve">National Forest Inventory team in </w:t>
      </w:r>
      <w:r w:rsidR="00B009A5" w:rsidRPr="009C7698">
        <w:t>BRS</w:t>
      </w:r>
      <w:r w:rsidR="00AD1574" w:rsidRPr="009C7698">
        <w:t xml:space="preserve"> </w:t>
      </w:r>
      <w:r w:rsidR="00B92FB8">
        <w:t>originally</w:t>
      </w:r>
      <w:r w:rsidR="00B92FB8" w:rsidRPr="009C7698">
        <w:t xml:space="preserve"> </w:t>
      </w:r>
      <w:r w:rsidRPr="009C7698">
        <w:t>creat</w:t>
      </w:r>
      <w:r w:rsidR="00B92FB8">
        <w:t>ed</w:t>
      </w:r>
      <w:r w:rsidRPr="009C7698">
        <w:t xml:space="preserve"> summary data tables </w:t>
      </w:r>
      <w:r w:rsidR="0002730A" w:rsidRPr="009C7698">
        <w:t>based on th</w:t>
      </w:r>
      <w:r w:rsidR="008F0E04" w:rsidRPr="009C7698">
        <w:t>e</w:t>
      </w:r>
      <w:r w:rsidR="0002730A" w:rsidRPr="009C7698">
        <w:t xml:space="preserve"> </w:t>
      </w:r>
      <w:r w:rsidR="00C87770">
        <w:t>RFA</w:t>
      </w:r>
      <w:r w:rsidR="00AD1574" w:rsidRPr="009C7698">
        <w:t xml:space="preserve"> </w:t>
      </w:r>
      <w:r w:rsidR="0002730A" w:rsidRPr="009C7698">
        <w:t>data and</w:t>
      </w:r>
      <w:r w:rsidR="00871B0F" w:rsidRPr="009C7698">
        <w:t xml:space="preserve"> information</w:t>
      </w:r>
      <w:r w:rsidR="009B42B3">
        <w:t xml:space="preserve"> available after signing the RFAs.</w:t>
      </w:r>
      <w:r w:rsidR="00AD1574" w:rsidRPr="009C7698">
        <w:t xml:space="preserve"> </w:t>
      </w:r>
      <w:r w:rsidR="009B42B3">
        <w:t>E</w:t>
      </w:r>
      <w:r w:rsidRPr="009C7698">
        <w:t xml:space="preserve">xamples </w:t>
      </w:r>
      <w:r w:rsidR="004D0239" w:rsidRPr="009C7698">
        <w:t xml:space="preserve">of summary tables </w:t>
      </w:r>
      <w:r w:rsidRPr="009C7698">
        <w:t xml:space="preserve">are presented in Dunphy </w:t>
      </w:r>
      <w:r w:rsidRPr="00950668">
        <w:t>et al.</w:t>
      </w:r>
      <w:r w:rsidRPr="009C7698">
        <w:rPr>
          <w:i/>
        </w:rPr>
        <w:t xml:space="preserve"> </w:t>
      </w:r>
      <w:r w:rsidR="009B42B3">
        <w:t>(</w:t>
      </w:r>
      <w:r w:rsidRPr="009C7698">
        <w:t>2000</w:t>
      </w:r>
      <w:r w:rsidR="009B42B3">
        <w:t>)</w:t>
      </w:r>
      <w:r w:rsidR="001A7787">
        <w:t>, Keenan &amp; Ryan (2004)</w:t>
      </w:r>
      <w:r w:rsidR="00E43D3C" w:rsidRPr="009C7698">
        <w:t xml:space="preserve"> and Davidson et al. </w:t>
      </w:r>
      <w:r w:rsidR="009B42B3">
        <w:t>(</w:t>
      </w:r>
      <w:r w:rsidR="00E43D3C" w:rsidRPr="009C7698">
        <w:t>2008</w:t>
      </w:r>
      <w:r w:rsidRPr="009C7698">
        <w:t xml:space="preserve">). </w:t>
      </w:r>
      <w:r w:rsidR="00871B0F" w:rsidRPr="009C7698">
        <w:t xml:space="preserve">To meet </w:t>
      </w:r>
      <w:r w:rsidR="008F0E04" w:rsidRPr="009C7698">
        <w:t xml:space="preserve">the ongoing </w:t>
      </w:r>
      <w:r w:rsidR="00871B0F" w:rsidRPr="009C7698">
        <w:t xml:space="preserve">requirements of </w:t>
      </w:r>
      <w:r w:rsidR="008F0E04" w:rsidRPr="009C7698">
        <w:t>S</w:t>
      </w:r>
      <w:r w:rsidR="00871B0F" w:rsidRPr="009C7698">
        <w:t>ection 10A</w:t>
      </w:r>
      <w:r w:rsidR="00AD1574" w:rsidRPr="009C7698">
        <w:t xml:space="preserve"> of the </w:t>
      </w:r>
      <w:r w:rsidR="00AD1574" w:rsidRPr="009C7698">
        <w:rPr>
          <w:i/>
        </w:rPr>
        <w:t>Regional Forest Agreements Act 2002</w:t>
      </w:r>
      <w:r w:rsidR="008F0E04" w:rsidRPr="009C7698">
        <w:t>,</w:t>
      </w:r>
      <w:r w:rsidR="00871B0F" w:rsidRPr="009C7698">
        <w:t xml:space="preserve"> u</w:t>
      </w:r>
      <w:r w:rsidR="0002730A" w:rsidRPr="009C7698">
        <w:t xml:space="preserve">pdated </w:t>
      </w:r>
      <w:r w:rsidR="00C87770">
        <w:t>RFA</w:t>
      </w:r>
      <w:r w:rsidR="00871B0F" w:rsidRPr="009C7698">
        <w:t xml:space="preserve"> </w:t>
      </w:r>
      <w:r w:rsidR="0002730A" w:rsidRPr="009C7698">
        <w:t>data</w:t>
      </w:r>
      <w:r w:rsidR="00BC4218" w:rsidRPr="009C7698">
        <w:t xml:space="preserve"> </w:t>
      </w:r>
      <w:r w:rsidR="00A8696D" w:rsidRPr="009C7698">
        <w:t xml:space="preserve">were </w:t>
      </w:r>
      <w:r w:rsidR="001030CF" w:rsidRPr="009C7698">
        <w:t xml:space="preserve">then </w:t>
      </w:r>
      <w:r w:rsidR="00871B0F" w:rsidRPr="009C7698">
        <w:t xml:space="preserve">periodically </w:t>
      </w:r>
      <w:r w:rsidR="00B92FB8">
        <w:t xml:space="preserve">sourced </w:t>
      </w:r>
      <w:r w:rsidR="0002730A" w:rsidRPr="009C7698">
        <w:t xml:space="preserve">from the states </w:t>
      </w:r>
      <w:r w:rsidR="00B92FB8">
        <w:t xml:space="preserve">for </w:t>
      </w:r>
      <w:r w:rsidR="00871B0F" w:rsidRPr="009C7698">
        <w:t>the National Forest Inventory</w:t>
      </w:r>
      <w:r w:rsidR="00B92FB8">
        <w:t>, covering</w:t>
      </w:r>
      <w:r w:rsidR="00871B0F" w:rsidRPr="009C7698">
        <w:t xml:space="preserve"> </w:t>
      </w:r>
      <w:r w:rsidR="0002730A" w:rsidRPr="009C7698">
        <w:t xml:space="preserve">a range of </w:t>
      </w:r>
      <w:r w:rsidR="009B42B3">
        <w:t xml:space="preserve">RFA </w:t>
      </w:r>
      <w:r w:rsidR="0002730A" w:rsidRPr="009C7698">
        <w:t>values including forest ecosystems, old</w:t>
      </w:r>
      <w:r w:rsidR="008F0E04" w:rsidRPr="009C7698">
        <w:t>-</w:t>
      </w:r>
      <w:r w:rsidR="0002730A" w:rsidRPr="009C7698">
        <w:t>growth forest, wilderness, net harvestable area</w:t>
      </w:r>
      <w:r w:rsidR="004D0239" w:rsidRPr="009C7698">
        <w:t>,</w:t>
      </w:r>
      <w:r w:rsidR="0002730A" w:rsidRPr="009C7698">
        <w:t xml:space="preserve"> attributes associated with sustainable yield</w:t>
      </w:r>
      <w:r w:rsidR="004D0239" w:rsidRPr="009C7698">
        <w:t>, and other data associated with sustainability indicators</w:t>
      </w:r>
      <w:r w:rsidR="00871B0F" w:rsidRPr="009C7698">
        <w:t>.</w:t>
      </w:r>
    </w:p>
    <w:p w14:paraId="13FE9E30" w14:textId="7CA15599" w:rsidR="00A66A1C" w:rsidRPr="009C7698" w:rsidRDefault="008B2468" w:rsidP="00DE2888">
      <w:r>
        <w:t>Over time, t</w:t>
      </w:r>
      <w:r w:rsidRPr="009C7698">
        <w:t>he</w:t>
      </w:r>
      <w:r w:rsidR="009A59C1">
        <w:t>se</w:t>
      </w:r>
      <w:r w:rsidRPr="009C7698">
        <w:t xml:space="preserve"> data have been used for national and regional monitoring and reporting, as well as supporting decision-making, </w:t>
      </w:r>
      <w:r>
        <w:t xml:space="preserve">which were </w:t>
      </w:r>
      <w:r w:rsidRPr="009C7698">
        <w:t xml:space="preserve">the purposes established under the </w:t>
      </w:r>
      <w:r w:rsidRPr="009C7698">
        <w:rPr>
          <w:i/>
        </w:rPr>
        <w:t>Regional Forest Agreements Act 2002</w:t>
      </w:r>
      <w:r w:rsidRPr="009C7698">
        <w:t>.</w:t>
      </w:r>
      <w:r>
        <w:t xml:space="preserve"> For example, </w:t>
      </w:r>
      <w:r w:rsidR="001A7787">
        <w:t xml:space="preserve">Keenan &amp; Ryan (2004) used the RFA old-growth data to discuss the impact of reservation of old-growth forests on timber supply, and </w:t>
      </w:r>
      <w:r w:rsidR="003A224E" w:rsidRPr="009C7698">
        <w:t xml:space="preserve">Davidson et al. (2008) used </w:t>
      </w:r>
      <w:r>
        <w:t>the RFA data</w:t>
      </w:r>
      <w:r w:rsidR="00B92FB8">
        <w:t xml:space="preserve"> </w:t>
      </w:r>
      <w:r w:rsidR="00F84014" w:rsidRPr="009C7698">
        <w:t xml:space="preserve">as at 2008 </w:t>
      </w:r>
      <w:r w:rsidR="003A224E" w:rsidRPr="009C7698">
        <w:t xml:space="preserve">to discuss changes in </w:t>
      </w:r>
      <w:r w:rsidR="001030CF" w:rsidRPr="009C7698">
        <w:t>areas reserved</w:t>
      </w:r>
      <w:r w:rsidR="00C441F4" w:rsidRPr="009C7698">
        <w:t>,</w:t>
      </w:r>
      <w:r w:rsidR="003A224E" w:rsidRPr="009C7698">
        <w:t xml:space="preserve"> </w:t>
      </w:r>
      <w:r w:rsidR="001030CF" w:rsidRPr="009C7698">
        <w:t xml:space="preserve">changes in </w:t>
      </w:r>
      <w:r w:rsidR="003A224E" w:rsidRPr="009C7698">
        <w:t>area</w:t>
      </w:r>
      <w:r w:rsidR="001030CF" w:rsidRPr="009C7698">
        <w:t>s</w:t>
      </w:r>
      <w:r w:rsidR="003A224E" w:rsidRPr="009C7698">
        <w:t xml:space="preserve"> available for harvest in public native forest</w:t>
      </w:r>
      <w:r w:rsidR="00A8696D" w:rsidRPr="009C7698">
        <w:t>,</w:t>
      </w:r>
      <w:r w:rsidR="003A224E" w:rsidRPr="009C7698">
        <w:t xml:space="preserve"> and sustainable forest management in regions covered by </w:t>
      </w:r>
      <w:r w:rsidR="00C87770">
        <w:t>RFA</w:t>
      </w:r>
      <w:r w:rsidR="003A224E" w:rsidRPr="009C7698">
        <w:t>s.</w:t>
      </w:r>
      <w:r w:rsidR="00047B5F" w:rsidRPr="009C7698">
        <w:t xml:space="preserve"> </w:t>
      </w:r>
      <w:r w:rsidR="007F76A2" w:rsidRPr="009C7698">
        <w:t xml:space="preserve">Some of the </w:t>
      </w:r>
      <w:r w:rsidR="00B92FB8">
        <w:t xml:space="preserve">RFA </w:t>
      </w:r>
      <w:r w:rsidR="007F76A2" w:rsidRPr="009C7698">
        <w:t xml:space="preserve">data and information </w:t>
      </w:r>
      <w:r w:rsidR="00B92FB8">
        <w:t xml:space="preserve">held in </w:t>
      </w:r>
      <w:r w:rsidR="007F76A2" w:rsidRPr="009C7698">
        <w:t xml:space="preserve">the National Forest Inventory </w:t>
      </w:r>
      <w:r w:rsidR="00B92FB8">
        <w:t xml:space="preserve">were </w:t>
      </w:r>
      <w:r>
        <w:t xml:space="preserve">also </w:t>
      </w:r>
      <w:r w:rsidR="00B92FB8">
        <w:t xml:space="preserve">used </w:t>
      </w:r>
      <w:r w:rsidR="007F76A2" w:rsidRPr="009C7698">
        <w:t>for</w:t>
      </w:r>
      <w:r w:rsidR="001B16E3">
        <w:t xml:space="preserve"> reporting</w:t>
      </w:r>
      <w:r w:rsidR="007F76A2" w:rsidRPr="009C7698">
        <w:t xml:space="preserve"> </w:t>
      </w:r>
      <w:r w:rsidR="00913256">
        <w:t xml:space="preserve">against these </w:t>
      </w:r>
      <w:r w:rsidR="0069068C">
        <w:t>RFA</w:t>
      </w:r>
      <w:r w:rsidR="0075777B">
        <w:t>s</w:t>
      </w:r>
      <w:r w:rsidR="0069068C">
        <w:t xml:space="preserve"> </w:t>
      </w:r>
      <w:r w:rsidR="007F76A2" w:rsidRPr="009C7698">
        <w:t xml:space="preserve">in the </w:t>
      </w:r>
      <w:r w:rsidR="007F76A2" w:rsidRPr="009C7698">
        <w:rPr>
          <w:i/>
        </w:rPr>
        <w:t>Australia’s State of Forests Report</w:t>
      </w:r>
      <w:r w:rsidR="007F76A2" w:rsidRPr="009C7698">
        <w:t xml:space="preserve"> series</w:t>
      </w:r>
      <w:r w:rsidR="00B92FB8">
        <w:rPr>
          <w:rStyle w:val="FootnoteReference"/>
          <w:rFonts w:asciiTheme="majorHAnsi" w:hAnsiTheme="majorHAnsi"/>
          <w:szCs w:val="22"/>
        </w:rPr>
        <w:footnoteReference w:id="3"/>
      </w:r>
      <w:r w:rsidR="007F76A2" w:rsidRPr="009C7698">
        <w:t xml:space="preserve">. </w:t>
      </w:r>
      <w:r w:rsidR="0075777B">
        <w:t xml:space="preserve">Less </w:t>
      </w:r>
      <w:r>
        <w:t>attention has been given to p</w:t>
      </w:r>
      <w:r w:rsidR="00712BCE" w:rsidRPr="009C7698">
        <w:t>erformance reporting of conservation and heritage values in the CAR reserve system</w:t>
      </w:r>
      <w:r w:rsidR="00124106" w:rsidRPr="009C7698">
        <w:t xml:space="preserve"> </w:t>
      </w:r>
      <w:r>
        <w:t xml:space="preserve">in </w:t>
      </w:r>
      <w:r w:rsidR="00774055">
        <w:t>RFA</w:t>
      </w:r>
      <w:r w:rsidR="00E22495" w:rsidRPr="009C7698">
        <w:t xml:space="preserve"> regions</w:t>
      </w:r>
      <w:r w:rsidR="009A59C1">
        <w:t>,</w:t>
      </w:r>
      <w:r w:rsidR="00E22495" w:rsidRPr="009C7698">
        <w:t xml:space="preserve"> </w:t>
      </w:r>
      <w:r w:rsidR="00DF5180" w:rsidRPr="009C7698">
        <w:t>because</w:t>
      </w:r>
      <w:r w:rsidR="00712BCE" w:rsidRPr="009C7698">
        <w:t xml:space="preserve"> limited monitoring </w:t>
      </w:r>
      <w:r w:rsidR="00E22495" w:rsidRPr="009C7698">
        <w:t xml:space="preserve">of </w:t>
      </w:r>
      <w:r w:rsidR="00DF5180" w:rsidRPr="009C7698">
        <w:t>the</w:t>
      </w:r>
      <w:r w:rsidR="00124106" w:rsidRPr="009C7698">
        <w:t xml:space="preserve"> </w:t>
      </w:r>
      <w:r w:rsidR="00C5531D" w:rsidRPr="009C7698">
        <w:t>formal</w:t>
      </w:r>
      <w:r w:rsidR="0069068C">
        <w:t xml:space="preserve"> and informal</w:t>
      </w:r>
      <w:r w:rsidR="00C5531D" w:rsidRPr="009C7698">
        <w:t xml:space="preserve"> </w:t>
      </w:r>
      <w:r w:rsidR="00124106" w:rsidRPr="009C7698">
        <w:t xml:space="preserve">reserve system </w:t>
      </w:r>
      <w:r w:rsidR="009A59C1">
        <w:t xml:space="preserve">has occurred </w:t>
      </w:r>
      <w:r w:rsidR="00124106" w:rsidRPr="009C7698">
        <w:t>(MIG and NFISC 201</w:t>
      </w:r>
      <w:r w:rsidR="00774055">
        <w:t>3</w:t>
      </w:r>
      <w:r w:rsidR="00DF5180" w:rsidRPr="009C7698">
        <w:t>, Davey 201</w:t>
      </w:r>
      <w:r w:rsidR="009534E1">
        <w:t>8</w:t>
      </w:r>
      <w:r w:rsidR="00124106" w:rsidRPr="009C7698">
        <w:t>).</w:t>
      </w:r>
    </w:p>
    <w:p w14:paraId="1C03D58E" w14:textId="7F3A78DC" w:rsidR="009A59C1" w:rsidRDefault="0075777B" w:rsidP="00DE2888">
      <w:r>
        <w:t>RFA d</w:t>
      </w:r>
      <w:r w:rsidR="009A59C1" w:rsidRPr="009C7698">
        <w:t xml:space="preserve">ata and information </w:t>
      </w:r>
      <w:r>
        <w:t xml:space="preserve">provided over time </w:t>
      </w:r>
      <w:r w:rsidR="009A59C1" w:rsidRPr="009C7698">
        <w:t xml:space="preserve">to the National Forest Inventory, and the summary data tables developed and updated by National Forest Inventory staff, </w:t>
      </w:r>
      <w:r w:rsidR="009A59C1">
        <w:t>have been</w:t>
      </w:r>
      <w:r w:rsidR="009A59C1" w:rsidRPr="009C7698">
        <w:t xml:space="preserve"> used to determine trends over time </w:t>
      </w:r>
      <w:r>
        <w:t xml:space="preserve">for various parameters </w:t>
      </w:r>
      <w:r w:rsidR="009A59C1" w:rsidRPr="009C7698">
        <w:t xml:space="preserve">in </w:t>
      </w:r>
      <w:r w:rsidR="009A59C1">
        <w:t>RFA</w:t>
      </w:r>
      <w:r w:rsidR="009A59C1" w:rsidRPr="009C7698">
        <w:t xml:space="preserve"> </w:t>
      </w:r>
      <w:r w:rsidR="009A59C1">
        <w:t>regions</w:t>
      </w:r>
      <w:r>
        <w:t xml:space="preserve">, including </w:t>
      </w:r>
      <w:r w:rsidR="009A59C1">
        <w:t xml:space="preserve">areas in </w:t>
      </w:r>
      <w:r w:rsidR="009A59C1" w:rsidRPr="009C7698">
        <w:t>the CAR reserve system, old-growth forest and wilderness</w:t>
      </w:r>
      <w:r w:rsidR="009A59C1">
        <w:t xml:space="preserve"> areas</w:t>
      </w:r>
      <w:r w:rsidR="009A59C1" w:rsidRPr="009C7698">
        <w:t>, net harvestable area</w:t>
      </w:r>
      <w:r w:rsidR="009A59C1">
        <w:t>s</w:t>
      </w:r>
      <w:r w:rsidR="009A59C1" w:rsidRPr="009C7698">
        <w:t xml:space="preserve">, and sustainable yield. </w:t>
      </w:r>
      <w:r>
        <w:t>It is t</w:t>
      </w:r>
      <w:r w:rsidR="009A59C1" w:rsidRPr="009C7698">
        <w:t xml:space="preserve">hese </w:t>
      </w:r>
      <w:r w:rsidR="009A59C1">
        <w:t>summary data</w:t>
      </w:r>
      <w:r w:rsidR="009A59C1" w:rsidRPr="009C7698">
        <w:t xml:space="preserve"> </w:t>
      </w:r>
      <w:r>
        <w:t xml:space="preserve">that </w:t>
      </w:r>
      <w:r w:rsidR="009A59C1" w:rsidRPr="009C7698">
        <w:t xml:space="preserve">are </w:t>
      </w:r>
      <w:r>
        <w:t xml:space="preserve">collated and </w:t>
      </w:r>
      <w:r w:rsidR="009A59C1" w:rsidRPr="009C7698">
        <w:t xml:space="preserve">reported in the tables in this </w:t>
      </w:r>
      <w:r w:rsidR="009A59C1">
        <w:t>report</w:t>
      </w:r>
      <w:r w:rsidR="009A59C1" w:rsidRPr="009C7698">
        <w:t>.</w:t>
      </w:r>
    </w:p>
    <w:p w14:paraId="1D906687" w14:textId="7803A286" w:rsidR="000436AA" w:rsidRPr="006274B1" w:rsidRDefault="00215E78" w:rsidP="00552614">
      <w:pPr>
        <w:pStyle w:val="Heading2"/>
        <w:numPr>
          <w:ilvl w:val="0"/>
          <w:numId w:val="6"/>
        </w:numPr>
        <w:spacing w:after="240"/>
        <w:ind w:left="709" w:hanging="709"/>
        <w:jc w:val="left"/>
        <w:rPr>
          <w:rFonts w:ascii="Calibri" w:eastAsiaTheme="minorEastAsia" w:hAnsi="Calibri" w:cstheme="minorBidi"/>
          <w:b w:val="0"/>
          <w:color w:val="000000"/>
          <w:sz w:val="56"/>
          <w:szCs w:val="28"/>
          <w:lang w:eastAsia="ja-JP"/>
        </w:rPr>
      </w:pPr>
      <w:bookmarkStart w:id="8" w:name="_Toc58312578"/>
      <w:r w:rsidRPr="006274B1">
        <w:rPr>
          <w:rFonts w:ascii="Calibri" w:eastAsiaTheme="minorEastAsia" w:hAnsi="Calibri" w:cstheme="minorBidi"/>
          <w:b w:val="0"/>
          <w:color w:val="000000"/>
          <w:sz w:val="56"/>
          <w:szCs w:val="28"/>
          <w:lang w:eastAsia="ja-JP"/>
        </w:rPr>
        <w:t>Methodology</w:t>
      </w:r>
      <w:bookmarkEnd w:id="8"/>
    </w:p>
    <w:p w14:paraId="1CAF766B" w14:textId="605A1BDE" w:rsidR="00502F76" w:rsidRDefault="001F6065" w:rsidP="00DE2888">
      <w:r w:rsidRPr="001F6065">
        <w:t xml:space="preserve">The data </w:t>
      </w:r>
      <w:r w:rsidR="009A59C1">
        <w:t xml:space="preserve">presented in this report </w:t>
      </w:r>
      <w:r w:rsidRPr="001F6065">
        <w:t>is RFA data</w:t>
      </w:r>
      <w:r w:rsidR="00502F76">
        <w:t xml:space="preserve"> that has been validated by both the relevant state and the Commonwealth</w:t>
      </w:r>
      <w:r w:rsidR="009A59C1">
        <w:t xml:space="preserve">. </w:t>
      </w:r>
      <w:r w:rsidR="00502F76">
        <w:t>Data s</w:t>
      </w:r>
      <w:r w:rsidR="009A59C1">
        <w:t>ources include the</w:t>
      </w:r>
      <w:r w:rsidR="00477A3E">
        <w:t xml:space="preserve"> original RFA</w:t>
      </w:r>
      <w:r w:rsidR="00502F76">
        <w:t xml:space="preserve"> documentation</w:t>
      </w:r>
      <w:r w:rsidR="00477A3E">
        <w:t xml:space="preserve">, </w:t>
      </w:r>
      <w:r w:rsidR="009A59C1">
        <w:t xml:space="preserve">as well as </w:t>
      </w:r>
      <w:r w:rsidR="00477A3E">
        <w:t>five</w:t>
      </w:r>
      <w:r w:rsidR="00502F76">
        <w:noBreakHyphen/>
      </w:r>
      <w:r w:rsidR="00477A3E">
        <w:t xml:space="preserve">yearly </w:t>
      </w:r>
      <w:r w:rsidR="00C24F6D" w:rsidRPr="00C24F6D">
        <w:rPr>
          <w:i/>
        </w:rPr>
        <w:t>Progress with implementation of regional forest agreements</w:t>
      </w:r>
      <w:r w:rsidR="00C24F6D" w:rsidRPr="00C24F6D">
        <w:t xml:space="preserve"> reports and </w:t>
      </w:r>
      <w:r w:rsidR="009A59C1">
        <w:t xml:space="preserve">the </w:t>
      </w:r>
      <w:r w:rsidR="00C24F6D" w:rsidRPr="00C24F6D">
        <w:rPr>
          <w:i/>
        </w:rPr>
        <w:t>Assessment of matters pertaining to renewal of regional forest agreement</w:t>
      </w:r>
      <w:r w:rsidR="00C24F6D">
        <w:rPr>
          <w:i/>
        </w:rPr>
        <w:t xml:space="preserve">s </w:t>
      </w:r>
      <w:r w:rsidR="00C24F6D">
        <w:t>reports</w:t>
      </w:r>
      <w:r w:rsidR="00477A3E">
        <w:t xml:space="preserve">. Data </w:t>
      </w:r>
      <w:r w:rsidR="00730CED">
        <w:t>were</w:t>
      </w:r>
      <w:r w:rsidR="00730CED" w:rsidRPr="001F6065">
        <w:t xml:space="preserve"> </w:t>
      </w:r>
      <w:r w:rsidRPr="001F6065">
        <w:t>usually finalised at or within six months after signing agreements or subsequent amendments or reviews.</w:t>
      </w:r>
    </w:p>
    <w:p w14:paraId="47B9FA32" w14:textId="7C130A2F" w:rsidR="000436AA" w:rsidRDefault="00FB320B" w:rsidP="00DE2888">
      <w:r>
        <w:t>Data</w:t>
      </w:r>
      <w:r w:rsidRPr="009C7698">
        <w:t xml:space="preserve"> </w:t>
      </w:r>
      <w:r w:rsidR="000436AA" w:rsidRPr="009C7698">
        <w:t>presented in</w:t>
      </w:r>
      <w:r w:rsidR="0042049A">
        <w:t xml:space="preserve"> Table A1</w:t>
      </w:r>
      <w:r w:rsidR="0002355C" w:rsidRPr="009C7698">
        <w:t>–</w:t>
      </w:r>
      <w:r w:rsidR="00D15AE0">
        <w:t>A</w:t>
      </w:r>
      <w:r w:rsidR="00E25590" w:rsidRPr="009C7698">
        <w:t xml:space="preserve">10 </w:t>
      </w:r>
      <w:r w:rsidR="00012D66">
        <w:t xml:space="preserve">are </w:t>
      </w:r>
      <w:r w:rsidR="000436AA" w:rsidRPr="009C7698">
        <w:t>primarily derived from spatial sources</w:t>
      </w:r>
      <w:r w:rsidR="004601B2" w:rsidRPr="009C7698">
        <w:t>.</w:t>
      </w:r>
      <w:r w:rsidR="000436AA" w:rsidRPr="009C7698">
        <w:t xml:space="preserve"> </w:t>
      </w:r>
      <w:r w:rsidR="0042049A">
        <w:t xml:space="preserve">Table A1 </w:t>
      </w:r>
      <w:r w:rsidR="00BF30CD" w:rsidRPr="00BF30CD">
        <w:t xml:space="preserve">and Table A2 </w:t>
      </w:r>
      <w:r w:rsidR="000436AA" w:rsidRPr="009C7698">
        <w:t xml:space="preserve">include </w:t>
      </w:r>
      <w:r>
        <w:t xml:space="preserve">modelled </w:t>
      </w:r>
      <w:r w:rsidR="000436AA" w:rsidRPr="009C7698">
        <w:t xml:space="preserve">pre-1750 </w:t>
      </w:r>
      <w:r w:rsidR="00715297" w:rsidRPr="009C7698">
        <w:t>terrestrial ecosystem areas</w:t>
      </w:r>
      <w:r>
        <w:t>,</w:t>
      </w:r>
      <w:r w:rsidR="00DF72F1" w:rsidRPr="009C7698">
        <w:t xml:space="preserve"> </w:t>
      </w:r>
      <w:r w:rsidR="00E44E8A" w:rsidRPr="009C7698">
        <w:t xml:space="preserve">as </w:t>
      </w:r>
      <w:r w:rsidR="00CF5AEA" w:rsidRPr="009C7698">
        <w:t>reported in environmental assessments and used to inform reserve design decisions and JANIS targets prior to</w:t>
      </w:r>
      <w:r w:rsidR="00DF72F1" w:rsidRPr="009C7698">
        <w:t xml:space="preserve"> signing </w:t>
      </w:r>
      <w:r w:rsidR="00BE491B" w:rsidRPr="009C7698">
        <w:t xml:space="preserve">the </w:t>
      </w:r>
      <w:r>
        <w:t>RFAs</w:t>
      </w:r>
      <w:r w:rsidR="000436AA" w:rsidRPr="009C7698">
        <w:t xml:space="preserve">. </w:t>
      </w:r>
      <w:r w:rsidR="00502F76">
        <w:t>E</w:t>
      </w:r>
      <w:r w:rsidR="00880355" w:rsidRPr="00880355">
        <w:t>stuarine waterbodies are included in the land area statements for terrestrial native ecosystems</w:t>
      </w:r>
      <w:r w:rsidR="00502F76">
        <w:t>, but other m</w:t>
      </w:r>
      <w:r w:rsidR="00880355" w:rsidRPr="00880355">
        <w:t>ajor waterbodies, non-native communities and cleared land are not</w:t>
      </w:r>
      <w:r w:rsidR="00880355">
        <w:t xml:space="preserve">. </w:t>
      </w:r>
      <w:r w:rsidR="00BF0131">
        <w:t>Plantation</w:t>
      </w:r>
      <w:r w:rsidR="001B16E3">
        <w:t>s</w:t>
      </w:r>
      <w:r w:rsidR="00BF0131">
        <w:t xml:space="preserve"> are not included in area statements for native or non-native ecosystems. </w:t>
      </w:r>
      <w:r w:rsidR="00715297" w:rsidRPr="009C7698">
        <w:t>Region area</w:t>
      </w:r>
      <w:r w:rsidR="000436AA" w:rsidRPr="009C7698">
        <w:t xml:space="preserve">s are the terrestrial land </w:t>
      </w:r>
      <w:r w:rsidR="00715297" w:rsidRPr="009C7698">
        <w:t>area</w:t>
      </w:r>
      <w:r w:rsidR="000436AA" w:rsidRPr="009C7698">
        <w:t xml:space="preserve"> for the </w:t>
      </w:r>
      <w:r>
        <w:t xml:space="preserve">RFA </w:t>
      </w:r>
      <w:r w:rsidR="000436AA" w:rsidRPr="009C7698">
        <w:t>region</w:t>
      </w:r>
      <w:r w:rsidR="004601B2" w:rsidRPr="009C7698">
        <w:t>, calculated</w:t>
      </w:r>
      <w:r w:rsidR="000436AA" w:rsidRPr="009C7698">
        <w:t xml:space="preserve"> using the same geographical projection</w:t>
      </w:r>
      <w:r w:rsidR="00715297" w:rsidRPr="009C7698">
        <w:t xml:space="preserve"> nationally</w:t>
      </w:r>
      <w:r w:rsidR="000436AA" w:rsidRPr="009C7698">
        <w:t xml:space="preserve"> and the standardised national coastline </w:t>
      </w:r>
      <w:r w:rsidR="00715297" w:rsidRPr="009C7698">
        <w:t xml:space="preserve">used by the National Forest </w:t>
      </w:r>
      <w:r w:rsidR="00715297" w:rsidRPr="009C7698">
        <w:lastRenderedPageBreak/>
        <w:t xml:space="preserve">Inventory </w:t>
      </w:r>
      <w:r w:rsidR="000436AA" w:rsidRPr="009C7698">
        <w:t>in 2000</w:t>
      </w:r>
      <w:r w:rsidR="000413C2" w:rsidRPr="009C7698">
        <w:rPr>
          <w:rStyle w:val="FootnoteReference"/>
          <w:rFonts w:asciiTheme="majorHAnsi" w:hAnsiTheme="majorHAnsi"/>
          <w:szCs w:val="22"/>
        </w:rPr>
        <w:footnoteReference w:id="4"/>
      </w:r>
      <w:r w:rsidR="000436AA" w:rsidRPr="009C7698">
        <w:t xml:space="preserve">. As </w:t>
      </w:r>
      <w:r w:rsidR="00715297" w:rsidRPr="009C7698">
        <w:t>a consequence</w:t>
      </w:r>
      <w:r w:rsidR="004601B2" w:rsidRPr="009C7698">
        <w:t>,</w:t>
      </w:r>
      <w:r w:rsidR="00715297" w:rsidRPr="009C7698">
        <w:t xml:space="preserve"> area</w:t>
      </w:r>
      <w:r w:rsidR="004601B2" w:rsidRPr="009C7698">
        <w:t>s</w:t>
      </w:r>
      <w:r w:rsidR="000436AA" w:rsidRPr="009C7698">
        <w:t xml:space="preserve"> may differ </w:t>
      </w:r>
      <w:r w:rsidR="009A5525" w:rsidRPr="009C7698">
        <w:t xml:space="preserve">slightly </w:t>
      </w:r>
      <w:r w:rsidR="000436AA" w:rsidRPr="009C7698">
        <w:t xml:space="preserve">to </w:t>
      </w:r>
      <w:r w:rsidR="004601B2" w:rsidRPr="009C7698">
        <w:t xml:space="preserve">those </w:t>
      </w:r>
      <w:r w:rsidR="000436AA" w:rsidRPr="009C7698">
        <w:t xml:space="preserve">previously reported in </w:t>
      </w:r>
      <w:r>
        <w:t>C</w:t>
      </w:r>
      <w:r w:rsidR="000436AA" w:rsidRPr="009C7698">
        <w:t xml:space="preserve">omprehensive </w:t>
      </w:r>
      <w:r>
        <w:t>R</w:t>
      </w:r>
      <w:r w:rsidR="000436AA" w:rsidRPr="009C7698">
        <w:t xml:space="preserve">egional </w:t>
      </w:r>
      <w:r>
        <w:t>A</w:t>
      </w:r>
      <w:r w:rsidR="000436AA" w:rsidRPr="009C7698">
        <w:t>ssessment reports</w:t>
      </w:r>
      <w:r w:rsidR="004601B2" w:rsidRPr="009C7698">
        <w:t>,</w:t>
      </w:r>
      <w:r w:rsidR="000436AA" w:rsidRPr="009C7698">
        <w:t xml:space="preserve"> </w:t>
      </w:r>
      <w:r w:rsidR="00520927" w:rsidRPr="009C7698">
        <w:t>which</w:t>
      </w:r>
      <w:r w:rsidR="000436AA" w:rsidRPr="009C7698">
        <w:t xml:space="preserve"> included</w:t>
      </w:r>
      <w:r>
        <w:t xml:space="preserve"> some</w:t>
      </w:r>
      <w:r w:rsidR="000436AA" w:rsidRPr="009C7698">
        <w:t xml:space="preserve"> areas of sea, and in some cases used different coastline data and geographical projections. </w:t>
      </w:r>
    </w:p>
    <w:p w14:paraId="4571DC80" w14:textId="03AB166C" w:rsidR="00502F76" w:rsidRDefault="00502F76" w:rsidP="00502F76">
      <w:r>
        <w:t>The si</w:t>
      </w:r>
      <w:r w:rsidRPr="001F6065">
        <w:t xml:space="preserve">gning dates </w:t>
      </w:r>
      <w:r>
        <w:t>of the original RFAs</w:t>
      </w:r>
      <w:r>
        <w:rPr>
          <w:rStyle w:val="FootnoteReference"/>
          <w:rFonts w:asciiTheme="majorHAnsi" w:hAnsiTheme="majorHAnsi"/>
          <w:szCs w:val="22"/>
        </w:rPr>
        <w:footnoteReference w:id="5"/>
      </w:r>
      <w:r>
        <w:t xml:space="preserve"> are</w:t>
      </w:r>
      <w:r w:rsidRPr="00502F76">
        <w:t xml:space="preserve"> </w:t>
      </w:r>
      <w:r>
        <w:t>the dates used for the original RFA data, and are:</w:t>
      </w:r>
    </w:p>
    <w:p w14:paraId="3C24EB7F" w14:textId="61F4688E" w:rsidR="00502F76"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 xml:space="preserve">East Gippsland, 3 February 1997 </w:t>
      </w:r>
    </w:p>
    <w:p w14:paraId="6F6B4E89" w14:textId="2AD067C7" w:rsidR="00502F76" w:rsidRPr="001F6065"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Tasmanian, 8 November 1997</w:t>
      </w:r>
    </w:p>
    <w:p w14:paraId="02B0D117" w14:textId="76ED4010" w:rsidR="00502F76"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 xml:space="preserve">Central Highlands, 27 March 1998 </w:t>
      </w:r>
    </w:p>
    <w:p w14:paraId="54520172" w14:textId="27769F42" w:rsidR="00502F76"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 xml:space="preserve">South-West Forest Region of Western Australia, 4 May 1999 </w:t>
      </w:r>
    </w:p>
    <w:p w14:paraId="690E650E" w14:textId="379B93CB" w:rsidR="00502F76"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 xml:space="preserve">North East, 9 August 1999 </w:t>
      </w:r>
    </w:p>
    <w:p w14:paraId="6847B77B" w14:textId="277EEF8C" w:rsidR="00502F76"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 xml:space="preserve">Eden, 26 August 1999 </w:t>
      </w:r>
    </w:p>
    <w:p w14:paraId="2256CB05" w14:textId="3574E41D" w:rsidR="00502F76"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 xml:space="preserve">Gippsland, 31 March 2000 </w:t>
      </w:r>
    </w:p>
    <w:p w14:paraId="76B7306A" w14:textId="479E455C" w:rsidR="00502F76"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 xml:space="preserve">West Victoria, 31 March 2000 </w:t>
      </w:r>
    </w:p>
    <w:p w14:paraId="6CC95C26" w14:textId="67BD3074" w:rsidR="00502F76"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North East N</w:t>
      </w:r>
      <w:r>
        <w:rPr>
          <w:rFonts w:asciiTheme="majorHAnsi" w:hAnsiTheme="majorHAnsi"/>
          <w:szCs w:val="22"/>
        </w:rPr>
        <w:t xml:space="preserve">ew </w:t>
      </w:r>
      <w:r w:rsidRPr="001F6065">
        <w:rPr>
          <w:rFonts w:asciiTheme="majorHAnsi" w:hAnsiTheme="majorHAnsi"/>
          <w:szCs w:val="22"/>
        </w:rPr>
        <w:t>S</w:t>
      </w:r>
      <w:r>
        <w:rPr>
          <w:rFonts w:asciiTheme="majorHAnsi" w:hAnsiTheme="majorHAnsi"/>
          <w:szCs w:val="22"/>
        </w:rPr>
        <w:t xml:space="preserve">outh </w:t>
      </w:r>
      <w:r w:rsidRPr="001F6065">
        <w:rPr>
          <w:rFonts w:asciiTheme="majorHAnsi" w:hAnsiTheme="majorHAnsi"/>
          <w:szCs w:val="22"/>
        </w:rPr>
        <w:t>W</w:t>
      </w:r>
      <w:r>
        <w:rPr>
          <w:rFonts w:asciiTheme="majorHAnsi" w:hAnsiTheme="majorHAnsi"/>
          <w:szCs w:val="22"/>
        </w:rPr>
        <w:t>ales</w:t>
      </w:r>
      <w:r w:rsidRPr="001F6065">
        <w:rPr>
          <w:rFonts w:asciiTheme="majorHAnsi" w:hAnsiTheme="majorHAnsi"/>
          <w:szCs w:val="22"/>
        </w:rPr>
        <w:t xml:space="preserve">, 31 March 2000 </w:t>
      </w:r>
    </w:p>
    <w:p w14:paraId="03E11193" w14:textId="77777777" w:rsidR="00502F76" w:rsidRDefault="00502F76" w:rsidP="00502F76">
      <w:pPr>
        <w:pStyle w:val="ListParagraph"/>
        <w:numPr>
          <w:ilvl w:val="0"/>
          <w:numId w:val="4"/>
        </w:numPr>
        <w:spacing w:before="120" w:after="120" w:line="276" w:lineRule="auto"/>
        <w:ind w:left="425" w:hanging="425"/>
        <w:rPr>
          <w:rFonts w:asciiTheme="majorHAnsi" w:hAnsiTheme="majorHAnsi"/>
          <w:szCs w:val="22"/>
        </w:rPr>
      </w:pPr>
      <w:r w:rsidRPr="001F6065">
        <w:rPr>
          <w:rFonts w:asciiTheme="majorHAnsi" w:hAnsiTheme="majorHAnsi"/>
          <w:szCs w:val="22"/>
        </w:rPr>
        <w:t>Southern N</w:t>
      </w:r>
      <w:r>
        <w:rPr>
          <w:rFonts w:asciiTheme="majorHAnsi" w:hAnsiTheme="majorHAnsi"/>
          <w:szCs w:val="22"/>
        </w:rPr>
        <w:t xml:space="preserve">ew </w:t>
      </w:r>
      <w:r w:rsidRPr="001F6065">
        <w:rPr>
          <w:rFonts w:asciiTheme="majorHAnsi" w:hAnsiTheme="majorHAnsi"/>
          <w:szCs w:val="22"/>
        </w:rPr>
        <w:t>S</w:t>
      </w:r>
      <w:r>
        <w:rPr>
          <w:rFonts w:asciiTheme="majorHAnsi" w:hAnsiTheme="majorHAnsi"/>
          <w:szCs w:val="22"/>
        </w:rPr>
        <w:t xml:space="preserve">outh </w:t>
      </w:r>
      <w:r w:rsidRPr="001F6065">
        <w:rPr>
          <w:rFonts w:asciiTheme="majorHAnsi" w:hAnsiTheme="majorHAnsi"/>
          <w:szCs w:val="22"/>
        </w:rPr>
        <w:t>W</w:t>
      </w:r>
      <w:r>
        <w:rPr>
          <w:rFonts w:asciiTheme="majorHAnsi" w:hAnsiTheme="majorHAnsi"/>
          <w:szCs w:val="22"/>
        </w:rPr>
        <w:t>ales</w:t>
      </w:r>
      <w:r w:rsidRPr="001F6065">
        <w:rPr>
          <w:rFonts w:asciiTheme="majorHAnsi" w:hAnsiTheme="majorHAnsi"/>
          <w:szCs w:val="22"/>
        </w:rPr>
        <w:t>, 24 A</w:t>
      </w:r>
      <w:r>
        <w:rPr>
          <w:rFonts w:asciiTheme="majorHAnsi" w:hAnsiTheme="majorHAnsi"/>
          <w:szCs w:val="22"/>
        </w:rPr>
        <w:t>pril 2001.</w:t>
      </w:r>
    </w:p>
    <w:p w14:paraId="48D3D055" w14:textId="59E5630B" w:rsidR="00012D66" w:rsidRDefault="00012D66" w:rsidP="00DE2888">
      <w:pPr>
        <w:rPr>
          <w:rFonts w:eastAsiaTheme="minorEastAsia"/>
        </w:rPr>
      </w:pPr>
      <w:r w:rsidRPr="00012D66">
        <w:rPr>
          <w:rFonts w:eastAsiaTheme="minorEastAsia"/>
        </w:rPr>
        <w:t xml:space="preserve">The most recent data available for this paper for RFA regions in </w:t>
      </w:r>
      <w:r w:rsidR="00E17E47">
        <w:rPr>
          <w:rFonts w:eastAsiaTheme="minorEastAsia"/>
        </w:rPr>
        <w:t>New South Wales</w:t>
      </w:r>
      <w:r w:rsidR="00E17E47" w:rsidRPr="00012D66">
        <w:rPr>
          <w:rFonts w:eastAsiaTheme="minorEastAsia"/>
        </w:rPr>
        <w:t xml:space="preserve"> </w:t>
      </w:r>
      <w:r w:rsidRPr="00012D66">
        <w:rPr>
          <w:rFonts w:eastAsiaTheme="minorEastAsia"/>
        </w:rPr>
        <w:t>is 2016, for the Tasmanian RFA is 2017 for forest ecosystems and 1998 for non-forest ecosystems, for RFA regions in Victoria is 2019, and for the South-West Forest Region of W</w:t>
      </w:r>
      <w:r w:rsidR="00E17E47">
        <w:rPr>
          <w:rFonts w:eastAsiaTheme="minorEastAsia"/>
        </w:rPr>
        <w:t xml:space="preserve">estern </w:t>
      </w:r>
      <w:r w:rsidRPr="00012D66">
        <w:rPr>
          <w:rFonts w:eastAsiaTheme="minorEastAsia"/>
        </w:rPr>
        <w:t>A</w:t>
      </w:r>
      <w:r w:rsidR="00E17E47">
        <w:rPr>
          <w:rFonts w:eastAsiaTheme="minorEastAsia"/>
        </w:rPr>
        <w:t>ustralia</w:t>
      </w:r>
      <w:r w:rsidRPr="00012D66">
        <w:rPr>
          <w:rFonts w:eastAsiaTheme="minorEastAsia"/>
        </w:rPr>
        <w:t xml:space="preserve"> RFA is 2018. These</w:t>
      </w:r>
      <w:r w:rsidR="00E17E47">
        <w:rPr>
          <w:rFonts w:eastAsiaTheme="minorEastAsia"/>
        </w:rPr>
        <w:t xml:space="preserve"> most recent</w:t>
      </w:r>
      <w:r w:rsidRPr="00012D66">
        <w:rPr>
          <w:rFonts w:eastAsiaTheme="minorEastAsia"/>
        </w:rPr>
        <w:t xml:space="preserve"> data are derived from the assessment of matters report</w:t>
      </w:r>
      <w:r w:rsidR="00E17E47">
        <w:rPr>
          <w:rFonts w:eastAsiaTheme="minorEastAsia"/>
        </w:rPr>
        <w:t>s</w:t>
      </w:r>
      <w:r w:rsidRPr="00012D66">
        <w:rPr>
          <w:rFonts w:eastAsiaTheme="minorEastAsia"/>
        </w:rPr>
        <w:t xml:space="preserve"> for all states </w:t>
      </w:r>
      <w:r w:rsidR="00E17E47">
        <w:rPr>
          <w:rFonts w:eastAsiaTheme="minorEastAsia"/>
        </w:rPr>
        <w:t>(</w:t>
      </w:r>
      <w:r w:rsidR="008E29C7" w:rsidRPr="007954F6">
        <w:t xml:space="preserve">Australian and </w:t>
      </w:r>
      <w:r w:rsidR="008E29C7">
        <w:t xml:space="preserve">Tasmanian </w:t>
      </w:r>
      <w:r w:rsidR="008E29C7" w:rsidRPr="007954F6">
        <w:t>Governments</w:t>
      </w:r>
      <w:r w:rsidR="008E29C7">
        <w:t xml:space="preserve"> 2017, </w:t>
      </w:r>
      <w:r w:rsidR="00E17E47" w:rsidRPr="007954F6">
        <w:t>Australian and New South Wales Governments</w:t>
      </w:r>
      <w:r w:rsidR="00E17E47">
        <w:t xml:space="preserve"> 2018, </w:t>
      </w:r>
      <w:r w:rsidR="00E17E47" w:rsidRPr="007954F6">
        <w:t>Australian and Victorian Government</w:t>
      </w:r>
      <w:r w:rsidR="00E17E47">
        <w:t xml:space="preserve">s 2019, </w:t>
      </w:r>
      <w:r w:rsidR="00E17E47" w:rsidRPr="007954F6">
        <w:t>Australian and Western Australian Governments</w:t>
      </w:r>
      <w:r w:rsidR="00E17E47">
        <w:t xml:space="preserve"> 2019)</w:t>
      </w:r>
      <w:r w:rsidR="008E29C7">
        <w:t>,</w:t>
      </w:r>
      <w:r w:rsidR="00E17E47">
        <w:rPr>
          <w:rFonts w:eastAsiaTheme="minorEastAsia"/>
        </w:rPr>
        <w:t xml:space="preserve"> </w:t>
      </w:r>
      <w:r w:rsidR="008E29C7">
        <w:rPr>
          <w:rFonts w:eastAsiaTheme="minorEastAsia"/>
        </w:rPr>
        <w:t xml:space="preserve">supplemented </w:t>
      </w:r>
      <w:r w:rsidRPr="00012D66">
        <w:rPr>
          <w:rFonts w:eastAsiaTheme="minorEastAsia"/>
        </w:rPr>
        <w:t xml:space="preserve">for Tasmania </w:t>
      </w:r>
      <w:r w:rsidR="008E29C7">
        <w:rPr>
          <w:rFonts w:eastAsiaTheme="minorEastAsia"/>
        </w:rPr>
        <w:t xml:space="preserve">with </w:t>
      </w:r>
      <w:r w:rsidR="00E17E47">
        <w:rPr>
          <w:rFonts w:eastAsiaTheme="minorEastAsia"/>
        </w:rPr>
        <w:t xml:space="preserve">data </w:t>
      </w:r>
      <w:r w:rsidRPr="00012D66">
        <w:rPr>
          <w:rFonts w:eastAsiaTheme="minorEastAsia"/>
        </w:rPr>
        <w:t xml:space="preserve">derived from </w:t>
      </w:r>
      <w:r w:rsidRPr="00012D66">
        <w:rPr>
          <w:rFonts w:eastAsiaTheme="minorEastAsia"/>
          <w:i/>
        </w:rPr>
        <w:t>State of the forests Tasmania 2017</w:t>
      </w:r>
      <w:r w:rsidRPr="00012D66">
        <w:rPr>
          <w:rFonts w:eastAsiaTheme="minorEastAsia"/>
        </w:rPr>
        <w:t xml:space="preserve"> (FPA 2017).</w:t>
      </w:r>
    </w:p>
    <w:p w14:paraId="4EBB08F3" w14:textId="6B6F8C4B" w:rsidR="001B16E3" w:rsidRPr="00CA198D" w:rsidRDefault="001B16E3" w:rsidP="001B16E3">
      <w:pPr>
        <w:rPr>
          <w:rFonts w:eastAsiaTheme="minorEastAsia"/>
        </w:rPr>
      </w:pPr>
      <w:r>
        <w:rPr>
          <w:rFonts w:eastAsiaTheme="minorEastAsia"/>
        </w:rPr>
        <w:t xml:space="preserve">The forest cover datasets used throughout this report </w:t>
      </w:r>
      <w:r w:rsidR="004F65C6">
        <w:rPr>
          <w:rFonts w:eastAsiaTheme="minorEastAsia"/>
        </w:rPr>
        <w:t>present data according to</w:t>
      </w:r>
      <w:r>
        <w:rPr>
          <w:rFonts w:eastAsiaTheme="minorEastAsia"/>
        </w:rPr>
        <w:t xml:space="preserve"> the </w:t>
      </w:r>
      <w:r w:rsidR="004F65C6">
        <w:rPr>
          <w:rFonts w:eastAsiaTheme="minorEastAsia"/>
        </w:rPr>
        <w:t xml:space="preserve">sum of the </w:t>
      </w:r>
      <w:r>
        <w:rPr>
          <w:rFonts w:eastAsiaTheme="minorEastAsia"/>
        </w:rPr>
        <w:t>forest ecosystem</w:t>
      </w:r>
      <w:r w:rsidR="004F65C6">
        <w:rPr>
          <w:rFonts w:eastAsiaTheme="minorEastAsia"/>
        </w:rPr>
        <w:t>s</w:t>
      </w:r>
      <w:r>
        <w:rPr>
          <w:rFonts w:eastAsiaTheme="minorEastAsia"/>
        </w:rPr>
        <w:t xml:space="preserve"> reported in the original RFAs and </w:t>
      </w:r>
      <w:r w:rsidR="00A1445D">
        <w:rPr>
          <w:rFonts w:eastAsiaTheme="minorEastAsia"/>
        </w:rPr>
        <w:t xml:space="preserve">(for Victoria) </w:t>
      </w:r>
      <w:r>
        <w:rPr>
          <w:rFonts w:eastAsiaTheme="minorEastAsia"/>
        </w:rPr>
        <w:t xml:space="preserve">subsequent RFA-related reporting. This </w:t>
      </w:r>
      <w:r w:rsidR="004F65C6">
        <w:rPr>
          <w:rFonts w:eastAsiaTheme="minorEastAsia"/>
        </w:rPr>
        <w:t xml:space="preserve">coverage </w:t>
      </w:r>
      <w:r>
        <w:rPr>
          <w:rFonts w:eastAsiaTheme="minorEastAsia"/>
        </w:rPr>
        <w:t xml:space="preserve">differs from the forest cover dataset that is assembled </w:t>
      </w:r>
      <w:r w:rsidR="004F65C6">
        <w:rPr>
          <w:rFonts w:eastAsiaTheme="minorEastAsia"/>
        </w:rPr>
        <w:t xml:space="preserve">and updated every five years </w:t>
      </w:r>
      <w:r>
        <w:rPr>
          <w:rFonts w:eastAsiaTheme="minorEastAsia"/>
        </w:rPr>
        <w:t xml:space="preserve">for the </w:t>
      </w:r>
      <w:r>
        <w:rPr>
          <w:rFonts w:eastAsiaTheme="minorEastAsia"/>
          <w:i/>
        </w:rPr>
        <w:t>Australia’s State of the Forests Report</w:t>
      </w:r>
      <w:r>
        <w:rPr>
          <w:rFonts w:eastAsiaTheme="minorEastAsia"/>
        </w:rPr>
        <w:t xml:space="preserve"> series (Mutendeudzi et al. 2013).</w:t>
      </w:r>
    </w:p>
    <w:p w14:paraId="68BBB10F" w14:textId="16A67F9F" w:rsidR="0081176E" w:rsidRPr="009D3DC5" w:rsidRDefault="0081176E" w:rsidP="008E2DD2">
      <w:pPr>
        <w:pStyle w:val="Heading3"/>
        <w:keepLines/>
        <w:numPr>
          <w:ilvl w:val="0"/>
          <w:numId w:val="33"/>
        </w:numPr>
        <w:spacing w:before="0" w:after="0"/>
        <w:ind w:left="964" w:hanging="964"/>
        <w:rPr>
          <w:bCs/>
          <w:color w:val="FF7900"/>
          <w:sz w:val="36"/>
        </w:rPr>
      </w:pPr>
      <w:bookmarkStart w:id="9" w:name="_Toc58312579"/>
      <w:r w:rsidRPr="009D3DC5">
        <w:rPr>
          <w:bCs/>
          <w:color w:val="FF7900"/>
          <w:sz w:val="36"/>
        </w:rPr>
        <w:t>Ecosystem</w:t>
      </w:r>
      <w:r w:rsidR="000C17B1" w:rsidRPr="009D3DC5">
        <w:rPr>
          <w:bCs/>
          <w:color w:val="FF7900"/>
          <w:sz w:val="36"/>
        </w:rPr>
        <w:t>s and ecosystem</w:t>
      </w:r>
      <w:r w:rsidRPr="009D3DC5">
        <w:rPr>
          <w:bCs/>
          <w:color w:val="FF7900"/>
          <w:sz w:val="36"/>
        </w:rPr>
        <w:t xml:space="preserve"> reservation and protection</w:t>
      </w:r>
      <w:bookmarkEnd w:id="9"/>
    </w:p>
    <w:p w14:paraId="05C5E592" w14:textId="3FF57DD9" w:rsidR="00D27E46" w:rsidRPr="009C7698" w:rsidRDefault="009A5525" w:rsidP="00DE2888">
      <w:r w:rsidRPr="009C7698">
        <w:t>Mapped f</w:t>
      </w:r>
      <w:r w:rsidR="00ED66B0" w:rsidRPr="009C7698">
        <w:t>orest ecosystems are those ecosystems used to develop</w:t>
      </w:r>
      <w:r w:rsidR="00467CEC" w:rsidRPr="009C7698">
        <w:t xml:space="preserve"> the </w:t>
      </w:r>
      <w:r w:rsidR="00C87770">
        <w:t>RFA</w:t>
      </w:r>
      <w:r w:rsidR="00467CEC" w:rsidRPr="009C7698">
        <w:t>s</w:t>
      </w:r>
      <w:r w:rsidR="00D27E46" w:rsidRPr="009C7698">
        <w:t>.</w:t>
      </w:r>
      <w:r w:rsidR="00ED66B0" w:rsidRPr="009C7698">
        <w:t xml:space="preserve"> </w:t>
      </w:r>
      <w:r w:rsidR="00FB320B">
        <w:t>U</w:t>
      </w:r>
      <w:r w:rsidR="00536205" w:rsidRPr="009C7698">
        <w:t>nmapped</w:t>
      </w:r>
      <w:r w:rsidR="00467CEC" w:rsidRPr="009C7698">
        <w:t xml:space="preserve"> </w:t>
      </w:r>
      <w:r w:rsidR="00FB320B">
        <w:t xml:space="preserve">areas of </w:t>
      </w:r>
      <w:r w:rsidR="00467CEC" w:rsidRPr="009C7698">
        <w:t>n</w:t>
      </w:r>
      <w:r w:rsidR="00ED66B0" w:rsidRPr="009C7698">
        <w:t xml:space="preserve">on-forest </w:t>
      </w:r>
      <w:r w:rsidR="00D27E46" w:rsidRPr="009C7698">
        <w:t xml:space="preserve">can occur </w:t>
      </w:r>
      <w:r w:rsidR="00ED66B0" w:rsidRPr="009C7698">
        <w:t xml:space="preserve">within these </w:t>
      </w:r>
      <w:r w:rsidR="00595577" w:rsidRPr="009C7698">
        <w:t>mapped areas</w:t>
      </w:r>
      <w:r w:rsidR="00FB320B">
        <w:t xml:space="preserve"> of forest</w:t>
      </w:r>
      <w:r w:rsidR="00ED66B0" w:rsidRPr="009C7698">
        <w:t xml:space="preserve">. </w:t>
      </w:r>
      <w:r w:rsidR="00F8394D">
        <w:t>N</w:t>
      </w:r>
      <w:r w:rsidR="00ED66B0" w:rsidRPr="009C7698">
        <w:t xml:space="preserve">ative non-forest ecosystems </w:t>
      </w:r>
      <w:r w:rsidR="00F8394D">
        <w:t xml:space="preserve">were also </w:t>
      </w:r>
      <w:r w:rsidR="00ED66B0" w:rsidRPr="009C7698">
        <w:t xml:space="preserve">mapped and typed in the development of the </w:t>
      </w:r>
      <w:r w:rsidR="00073657" w:rsidRPr="009C7698">
        <w:t>agreements</w:t>
      </w:r>
      <w:r w:rsidR="00F8394D">
        <w:t>, and</w:t>
      </w:r>
      <w:r w:rsidR="00ED66B0" w:rsidRPr="009C7698">
        <w:t xml:space="preserve"> may include </w:t>
      </w:r>
      <w:r w:rsidR="00FB320B" w:rsidRPr="009C7698">
        <w:t xml:space="preserve">unmapped </w:t>
      </w:r>
      <w:r w:rsidR="001E2746" w:rsidRPr="009C7698">
        <w:t xml:space="preserve">areas of </w:t>
      </w:r>
      <w:r w:rsidR="00ED66B0" w:rsidRPr="009C7698">
        <w:t xml:space="preserve">forest. </w:t>
      </w:r>
      <w:r w:rsidR="00D27E46" w:rsidRPr="009C7698">
        <w:t xml:space="preserve">Native non-forest </w:t>
      </w:r>
      <w:r w:rsidR="00BE491B" w:rsidRPr="009C7698">
        <w:t xml:space="preserve">vegetation </w:t>
      </w:r>
      <w:r w:rsidR="00D27E46" w:rsidRPr="009C7698">
        <w:t xml:space="preserve">communities include </w:t>
      </w:r>
      <w:r w:rsidR="005939F4">
        <w:t>those</w:t>
      </w:r>
      <w:r w:rsidR="00CE685E" w:rsidRPr="009C7698">
        <w:t xml:space="preserve"> described as heathlands, shrublands, open</w:t>
      </w:r>
      <w:r w:rsidR="00BE491B" w:rsidRPr="009C7698">
        <w:t xml:space="preserve"> </w:t>
      </w:r>
      <w:r w:rsidR="00CE685E" w:rsidRPr="009C7698">
        <w:t>woodlands</w:t>
      </w:r>
      <w:r w:rsidR="00F8394D">
        <w:t xml:space="preserve"> or</w:t>
      </w:r>
      <w:r w:rsidR="00CE685E" w:rsidRPr="009C7698">
        <w:t xml:space="preserve"> grasslands</w:t>
      </w:r>
      <w:r w:rsidR="00073657" w:rsidRPr="009C7698">
        <w:t xml:space="preserve">, </w:t>
      </w:r>
      <w:r w:rsidR="00F8394D">
        <w:t xml:space="preserve">as well as </w:t>
      </w:r>
      <w:r w:rsidR="00D27E46" w:rsidRPr="009C7698">
        <w:t>modified communities dominated by native species, naturally occurring bare ground (mudflats and beach)</w:t>
      </w:r>
      <w:r w:rsidR="005B50A8" w:rsidRPr="009C7698">
        <w:t>,</w:t>
      </w:r>
      <w:r w:rsidR="00D27E46" w:rsidRPr="009C7698">
        <w:t xml:space="preserve"> and dune systems.</w:t>
      </w:r>
      <w:r w:rsidR="00F8394D" w:rsidRPr="00F8394D">
        <w:t xml:space="preserve"> </w:t>
      </w:r>
      <w:r w:rsidR="005E0A6C">
        <w:t xml:space="preserve">For the purposes of reporting old-growth forest ecosystems, </w:t>
      </w:r>
      <w:r w:rsidR="005E0A6C" w:rsidRPr="00C71D30">
        <w:t>a</w:t>
      </w:r>
      <w:r w:rsidR="00F8394D" w:rsidRPr="00A16216">
        <w:t>ny areas of non-forest ecosystems reported as containing old-growth forest are reported as forest.</w:t>
      </w:r>
    </w:p>
    <w:p w14:paraId="524CA964" w14:textId="1AD5CB24" w:rsidR="00ED66B0" w:rsidRPr="009C7698" w:rsidRDefault="00B55270" w:rsidP="00DE2888">
      <w:r w:rsidRPr="009C7698">
        <w:t>‘</w:t>
      </w:r>
      <w:r w:rsidR="00ED66B0" w:rsidRPr="009C7698">
        <w:t>Count of types</w:t>
      </w:r>
      <w:r w:rsidRPr="009C7698">
        <w:t>’ refers to</w:t>
      </w:r>
      <w:r w:rsidR="00ED66B0" w:rsidRPr="009C7698">
        <w:t xml:space="preserve"> the number of</w:t>
      </w:r>
      <w:r w:rsidR="009C3465">
        <w:t xml:space="preserve"> unique</w:t>
      </w:r>
      <w:r w:rsidR="00ED66B0" w:rsidRPr="009C7698">
        <w:t xml:space="preserve"> </w:t>
      </w:r>
      <w:r w:rsidR="00851047">
        <w:t>ecosystems</w:t>
      </w:r>
      <w:r w:rsidR="00C43466" w:rsidRPr="009C7698">
        <w:t xml:space="preserve"> </w:t>
      </w:r>
      <w:r w:rsidR="009C3465">
        <w:t>with</w:t>
      </w:r>
      <w:r w:rsidR="00C43466" w:rsidRPr="009C7698">
        <w:t>in an area or region</w:t>
      </w:r>
      <w:r w:rsidR="00ED66B0" w:rsidRPr="009C7698">
        <w:t xml:space="preserve">. Counts for Victoria and New South Wales are the number of </w:t>
      </w:r>
      <w:r w:rsidR="009C3465">
        <w:t>unique</w:t>
      </w:r>
      <w:r w:rsidRPr="009C7698">
        <w:t xml:space="preserve"> </w:t>
      </w:r>
      <w:r w:rsidR="00ED66B0" w:rsidRPr="009C7698">
        <w:t xml:space="preserve">forest and non-forest </w:t>
      </w:r>
      <w:r w:rsidR="00851047">
        <w:t>ecosystems</w:t>
      </w:r>
      <w:r w:rsidR="00ED66B0" w:rsidRPr="009C7698">
        <w:t xml:space="preserve"> used </w:t>
      </w:r>
      <w:r w:rsidR="00ED66B0" w:rsidRPr="009C7698">
        <w:lastRenderedPageBreak/>
        <w:t xml:space="preserve">in </w:t>
      </w:r>
      <w:r w:rsidR="00C87770">
        <w:t>RFA</w:t>
      </w:r>
      <w:r w:rsidR="00C43466" w:rsidRPr="009C7698">
        <w:t xml:space="preserve"> mapping</w:t>
      </w:r>
      <w:r w:rsidR="009C3465">
        <w:t xml:space="preserve"> projects</w:t>
      </w:r>
      <w:r w:rsidR="00ED66B0" w:rsidRPr="009C7698">
        <w:t xml:space="preserve"> in these states. </w:t>
      </w:r>
      <w:r w:rsidR="00FB320B">
        <w:t>Where n</w:t>
      </w:r>
      <w:r w:rsidR="00C67558" w:rsidRPr="009C7698">
        <w:t xml:space="preserve">on-forest </w:t>
      </w:r>
      <w:r w:rsidR="00851047">
        <w:t>ecosystems</w:t>
      </w:r>
      <w:r w:rsidR="00ED66B0" w:rsidRPr="009C7698">
        <w:t xml:space="preserve"> </w:t>
      </w:r>
      <w:r w:rsidR="002C477B">
        <w:t xml:space="preserve">were </w:t>
      </w:r>
      <w:r w:rsidR="00ED66B0" w:rsidRPr="009C7698">
        <w:t xml:space="preserve">reported </w:t>
      </w:r>
      <w:r w:rsidR="002C477B">
        <w:t xml:space="preserve">as non-forest </w:t>
      </w:r>
      <w:r w:rsidR="00ED66B0" w:rsidRPr="009C7698">
        <w:t xml:space="preserve">in one </w:t>
      </w:r>
      <w:r w:rsidR="002C477B">
        <w:t xml:space="preserve">RFA </w:t>
      </w:r>
      <w:r w:rsidR="00ED66B0" w:rsidRPr="009C7698">
        <w:t>region</w:t>
      </w:r>
      <w:r w:rsidR="002C477B">
        <w:t>, but as forest in another RFA region</w:t>
      </w:r>
      <w:r w:rsidR="00ED66B0" w:rsidRPr="009C7698">
        <w:t xml:space="preserve"> </w:t>
      </w:r>
      <w:r w:rsidR="002C477B">
        <w:t>due to</w:t>
      </w:r>
      <w:r w:rsidR="00ED66B0" w:rsidRPr="009C7698">
        <w:t xml:space="preserve"> contain</w:t>
      </w:r>
      <w:r w:rsidR="002C477B">
        <w:t>ing</w:t>
      </w:r>
      <w:r w:rsidR="00ED66B0" w:rsidRPr="009C7698">
        <w:t xml:space="preserve"> old-growth </w:t>
      </w:r>
      <w:r w:rsidRPr="009C7698">
        <w:t>forest</w:t>
      </w:r>
      <w:r w:rsidR="000A739E" w:rsidRPr="009C7698">
        <w:t xml:space="preserve"> in that region</w:t>
      </w:r>
      <w:r w:rsidRPr="009C7698">
        <w:t>,</w:t>
      </w:r>
      <w:r w:rsidR="00ED66B0" w:rsidRPr="009C7698">
        <w:t xml:space="preserve"> </w:t>
      </w:r>
      <w:r w:rsidR="00FB320B">
        <w:t>the</w:t>
      </w:r>
      <w:r w:rsidR="002C477B">
        <w:t>y</w:t>
      </w:r>
      <w:r w:rsidR="00FB320B">
        <w:t xml:space="preserve"> </w:t>
      </w:r>
      <w:r w:rsidR="00ED66B0" w:rsidRPr="009C7698">
        <w:t>are included as separate counts in state</w:t>
      </w:r>
      <w:r w:rsidR="00D27E46" w:rsidRPr="009C7698">
        <w:t xml:space="preserve"> totals</w:t>
      </w:r>
      <w:r w:rsidR="00ED66B0" w:rsidRPr="009C7698">
        <w:t xml:space="preserve">. </w:t>
      </w:r>
    </w:p>
    <w:p w14:paraId="365B3D9B" w14:textId="643B8C59" w:rsidR="00874645" w:rsidRDefault="00D27E46" w:rsidP="00DE2888">
      <w:r w:rsidRPr="009C7698">
        <w:t>Area f</w:t>
      </w:r>
      <w:r w:rsidR="000436AA" w:rsidRPr="009C7698">
        <w:t>igures for total reserves pre-RFA (</w:t>
      </w:r>
      <w:r w:rsidR="0042049A">
        <w:t>Table A1</w:t>
      </w:r>
      <w:r w:rsidR="000436AA" w:rsidRPr="009C7698">
        <w:t xml:space="preserve">) are </w:t>
      </w:r>
      <w:r w:rsidR="003662E5" w:rsidRPr="009C7698">
        <w:t xml:space="preserve">for </w:t>
      </w:r>
      <w:r w:rsidR="000436AA" w:rsidRPr="009C7698">
        <w:t>native forest and native non-forest communities in formal and informal reserves</w:t>
      </w:r>
      <w:r w:rsidR="001F4A54">
        <w:t xml:space="preserve"> on public land (including Commonwealth land)</w:t>
      </w:r>
      <w:r w:rsidR="003662E5" w:rsidRPr="009C7698">
        <w:t>, as</w:t>
      </w:r>
      <w:r w:rsidR="000436AA" w:rsidRPr="009C7698">
        <w:t xml:space="preserve"> reported by the state before </w:t>
      </w:r>
      <w:r w:rsidR="00FB320B">
        <w:t>each</w:t>
      </w:r>
      <w:r w:rsidR="00FB320B" w:rsidRPr="009C7698">
        <w:t xml:space="preserve"> </w:t>
      </w:r>
      <w:r w:rsidR="00C87770">
        <w:t>RFA</w:t>
      </w:r>
      <w:r w:rsidR="000436AA" w:rsidRPr="009C7698">
        <w:t xml:space="preserve"> was signed.</w:t>
      </w:r>
    </w:p>
    <w:p w14:paraId="44C02FFF" w14:textId="448AD283" w:rsidR="000436AA" w:rsidRPr="009C7698" w:rsidRDefault="000436AA" w:rsidP="00DE2888">
      <w:r w:rsidRPr="009C7698">
        <w:t>Figures for total reserves post-RFA (</w:t>
      </w:r>
      <w:r w:rsidR="0042049A">
        <w:t>Table A1</w:t>
      </w:r>
      <w:r w:rsidR="0002355C" w:rsidRPr="009C7698">
        <w:t>–</w:t>
      </w:r>
      <w:r w:rsidR="00D15AE0">
        <w:t>A</w:t>
      </w:r>
      <w:r w:rsidR="006E724E" w:rsidRPr="009C7698">
        <w:t>5</w:t>
      </w:r>
      <w:r w:rsidRPr="009C7698">
        <w:t xml:space="preserve">) include native forest and native non-forest </w:t>
      </w:r>
      <w:r w:rsidR="008D22C7">
        <w:t>ecosystems</w:t>
      </w:r>
      <w:r w:rsidRPr="009C7698">
        <w:t xml:space="preserve"> in formal and informal reserves </w:t>
      </w:r>
      <w:r w:rsidR="00551DCA">
        <w:t>as agreed</w:t>
      </w:r>
      <w:r w:rsidR="00551DCA" w:rsidRPr="009C7698">
        <w:t xml:space="preserve"> </w:t>
      </w:r>
      <w:r w:rsidRPr="009C7698">
        <w:t xml:space="preserve">by the </w:t>
      </w:r>
      <w:r w:rsidR="00551DCA">
        <w:t>Commonwealth and relevant state g</w:t>
      </w:r>
      <w:r w:rsidRPr="009C7698">
        <w:t xml:space="preserve">overnment </w:t>
      </w:r>
      <w:r w:rsidR="00551DCA">
        <w:t xml:space="preserve">at </w:t>
      </w:r>
      <w:r w:rsidRPr="009C7698">
        <w:t xml:space="preserve">the signing of the </w:t>
      </w:r>
      <w:r w:rsidR="00C87770">
        <w:t>RFA</w:t>
      </w:r>
      <w:r w:rsidR="00551DCA">
        <w:t xml:space="preserve"> under an accreditation process</w:t>
      </w:r>
      <w:r w:rsidR="00EA1905">
        <w:t xml:space="preserve"> (Davey 2018)</w:t>
      </w:r>
      <w:r w:rsidRPr="009C7698">
        <w:t xml:space="preserve">. Similarly, </w:t>
      </w:r>
      <w:r w:rsidR="00FC1520" w:rsidRPr="009C7698">
        <w:t xml:space="preserve">figures </w:t>
      </w:r>
      <w:r w:rsidR="009C3465">
        <w:t>for</w:t>
      </w:r>
      <w:r w:rsidR="003662E5" w:rsidRPr="009C7698">
        <w:t xml:space="preserve"> areas of </w:t>
      </w:r>
      <w:r w:rsidRPr="009C7698">
        <w:t>old</w:t>
      </w:r>
      <w:r w:rsidR="003662E5" w:rsidRPr="009C7698">
        <w:t>-</w:t>
      </w:r>
      <w:r w:rsidRPr="009C7698">
        <w:t>growth forest</w:t>
      </w:r>
      <w:r w:rsidR="009C3465">
        <w:t xml:space="preserve"> in reserves</w:t>
      </w:r>
      <w:r w:rsidRPr="009C7698">
        <w:t xml:space="preserve"> </w:t>
      </w:r>
      <w:r w:rsidR="00FC1520" w:rsidRPr="009C7698">
        <w:t xml:space="preserve">after </w:t>
      </w:r>
      <w:r w:rsidR="00980457" w:rsidRPr="009C7698">
        <w:t xml:space="preserve">the signing of </w:t>
      </w:r>
      <w:r w:rsidR="00BF30CD" w:rsidRPr="00BF30CD">
        <w:t xml:space="preserve">RFAs (Table A6) refer to old-growth forest in formal and informal reserves agreed by the Commonwealth </w:t>
      </w:r>
      <w:r w:rsidR="00551DCA">
        <w:t>and relevant state</w:t>
      </w:r>
      <w:r w:rsidR="00551DCA" w:rsidRPr="009C7698">
        <w:t xml:space="preserve"> </w:t>
      </w:r>
      <w:r w:rsidR="00551DCA">
        <w:t>g</w:t>
      </w:r>
      <w:r w:rsidR="00FC1520" w:rsidRPr="009C7698">
        <w:t>overnment</w:t>
      </w:r>
      <w:r w:rsidR="006E724E" w:rsidRPr="009C7698">
        <w:t xml:space="preserve"> </w:t>
      </w:r>
      <w:r w:rsidR="00FC1520" w:rsidRPr="009C7698">
        <w:t>at the signing of the agreement</w:t>
      </w:r>
      <w:r w:rsidR="00551DCA">
        <w:t xml:space="preserve"> under the accreditation process</w:t>
      </w:r>
      <w:r w:rsidR="00A5689A" w:rsidRPr="009C7698">
        <w:t>.</w:t>
      </w:r>
      <w:r w:rsidR="00FC1520" w:rsidRPr="009C7698">
        <w:t xml:space="preserve"> </w:t>
      </w:r>
      <w:r w:rsidR="00A5689A" w:rsidRPr="009C7698">
        <w:t>Figures for</w:t>
      </w:r>
      <w:r w:rsidR="00FC1520" w:rsidRPr="009C7698">
        <w:t xml:space="preserve"> old-growth forest </w:t>
      </w:r>
      <w:r w:rsidR="008532B1" w:rsidRPr="009C7698">
        <w:t xml:space="preserve">areas </w:t>
      </w:r>
      <w:r w:rsidR="00FC1520" w:rsidRPr="009C7698">
        <w:t xml:space="preserve">in formal and informal reserves </w:t>
      </w:r>
      <w:r w:rsidR="00A5689A" w:rsidRPr="009C7698">
        <w:t>subsequent to the</w:t>
      </w:r>
      <w:r w:rsidR="009C3465">
        <w:t xml:space="preserve"> signing of</w:t>
      </w:r>
      <w:r w:rsidR="00A5689A" w:rsidRPr="009C7698">
        <w:t xml:space="preserve"> </w:t>
      </w:r>
      <w:r w:rsidR="00C87770">
        <w:t>RFA</w:t>
      </w:r>
      <w:r w:rsidR="009C3465">
        <w:t>s</w:t>
      </w:r>
      <w:r w:rsidR="007E45A7" w:rsidRPr="009C7698">
        <w:t xml:space="preserve"> </w:t>
      </w:r>
      <w:r w:rsidR="00FC1520" w:rsidRPr="009C7698">
        <w:t>(</w:t>
      </w:r>
      <w:r w:rsidR="00BF30CD" w:rsidRPr="00BF30CD">
        <w:t xml:space="preserve">Table A7) are </w:t>
      </w:r>
      <w:r w:rsidR="00A5689A" w:rsidRPr="009C7698">
        <w:t>based on data</w:t>
      </w:r>
      <w:r w:rsidR="003662E5" w:rsidRPr="009C7698">
        <w:t xml:space="preserve"> </w:t>
      </w:r>
      <w:r w:rsidR="002B7C84" w:rsidRPr="009C7698">
        <w:t xml:space="preserve">subsequently </w:t>
      </w:r>
      <w:r w:rsidRPr="009C7698">
        <w:t xml:space="preserve">reported by </w:t>
      </w:r>
      <w:r w:rsidR="00FC79FE">
        <w:t>each</w:t>
      </w:r>
      <w:r w:rsidR="00FC79FE" w:rsidRPr="009C7698">
        <w:t xml:space="preserve"> </w:t>
      </w:r>
      <w:r w:rsidRPr="009C7698">
        <w:t xml:space="preserve">state. </w:t>
      </w:r>
      <w:r w:rsidR="005E06CF" w:rsidRPr="009C7698">
        <w:t xml:space="preserve">The terms ‘formal reserves’ and ‘informal reserves’ are used and defined in the same </w:t>
      </w:r>
      <w:r w:rsidR="00513432" w:rsidRPr="009C7698">
        <w:t xml:space="preserve">manner </w:t>
      </w:r>
      <w:r w:rsidR="005E06CF" w:rsidRPr="009C7698">
        <w:t>as in MIG and NFISC (201</w:t>
      </w:r>
      <w:r w:rsidR="00774055">
        <w:t>8</w:t>
      </w:r>
      <w:r w:rsidR="00BD4856" w:rsidRPr="009C7698">
        <w:t>)</w:t>
      </w:r>
      <w:r w:rsidR="00EA757C">
        <w:t xml:space="preserve"> and</w:t>
      </w:r>
      <w:r w:rsidR="00DE7B07" w:rsidRPr="009C7698">
        <w:t xml:space="preserve"> </w:t>
      </w:r>
      <w:r w:rsidR="00EA757C">
        <w:t>ABARES (2020)</w:t>
      </w:r>
      <w:r w:rsidR="00FC79FE">
        <w:rPr>
          <w:rStyle w:val="FootnoteReference"/>
          <w:rFonts w:asciiTheme="majorHAnsi" w:hAnsiTheme="majorHAnsi"/>
          <w:szCs w:val="22"/>
        </w:rPr>
        <w:footnoteReference w:id="6"/>
      </w:r>
      <w:r w:rsidR="00BD4856" w:rsidRPr="009C7698">
        <w:t>.</w:t>
      </w:r>
    </w:p>
    <w:p w14:paraId="4D3F9B96" w14:textId="325CA9F6" w:rsidR="001F4A54" w:rsidRDefault="001F4A54" w:rsidP="00DE2888">
      <w:r>
        <w:t xml:space="preserve">Other mapped areas of forest and non-forest on public land </w:t>
      </w:r>
      <w:r w:rsidR="00421F11">
        <w:t xml:space="preserve">not in formal or informal reserves </w:t>
      </w:r>
      <w:r>
        <w:t xml:space="preserve">are included in the CAR </w:t>
      </w:r>
      <w:r w:rsidR="001321D6" w:rsidRPr="009C7698">
        <w:t>reserve</w:t>
      </w:r>
      <w:r>
        <w:t xml:space="preserve"> system</w:t>
      </w:r>
      <w:r w:rsidR="00421F11">
        <w:t xml:space="preserve"> </w:t>
      </w:r>
      <w:r w:rsidR="00DE4640">
        <w:t>where</w:t>
      </w:r>
      <w:r w:rsidR="00421F11">
        <w:t xml:space="preserve"> values</w:t>
      </w:r>
      <w:r w:rsidR="00DE4640">
        <w:t xml:space="preserve"> are</w:t>
      </w:r>
      <w:r w:rsidR="00421F11">
        <w:t xml:space="preserve"> managed for protect</w:t>
      </w:r>
      <w:r w:rsidR="00155AFB">
        <w:t>ion</w:t>
      </w:r>
      <w:r w:rsidR="00421F11">
        <w:t xml:space="preserve"> by prescription</w:t>
      </w:r>
      <w:r w:rsidR="00155AFB">
        <w:t xml:space="preserve">. </w:t>
      </w:r>
      <w:r w:rsidR="00DE4640">
        <w:t>These p</w:t>
      </w:r>
      <w:r w:rsidR="00155AFB">
        <w:t>rescription</w:t>
      </w:r>
      <w:r w:rsidR="00DE4640">
        <w:t>s</w:t>
      </w:r>
      <w:r w:rsidR="00155AFB">
        <w:t xml:space="preserve"> can occur</w:t>
      </w:r>
      <w:r w:rsidR="00421F11">
        <w:t xml:space="preserve"> where inclusion as a </w:t>
      </w:r>
      <w:r w:rsidR="002624C2">
        <w:t xml:space="preserve">reserve is </w:t>
      </w:r>
      <w:r w:rsidR="007207A6">
        <w:t xml:space="preserve">not </w:t>
      </w:r>
      <w:r w:rsidR="002624C2">
        <w:t>practical</w:t>
      </w:r>
      <w:r w:rsidR="007207A6">
        <w:t xml:space="preserve"> due to, for example, </w:t>
      </w:r>
      <w:r w:rsidR="00421F11">
        <w:t xml:space="preserve">naturally </w:t>
      </w:r>
      <w:r w:rsidR="007207A6">
        <w:t>fragmented distribution</w:t>
      </w:r>
      <w:r w:rsidR="00D63ED6">
        <w:t>,</w:t>
      </w:r>
      <w:r w:rsidR="00D408AE">
        <w:t xml:space="preserve"> </w:t>
      </w:r>
      <w:r w:rsidR="00DD4F4F">
        <w:t xml:space="preserve">cannot be </w:t>
      </w:r>
      <w:r w:rsidR="00D63ED6">
        <w:t>mapp</w:t>
      </w:r>
      <w:r w:rsidR="00DD4F4F">
        <w:t>ed</w:t>
      </w:r>
      <w:r w:rsidR="00C22F13">
        <w:t xml:space="preserve">, </w:t>
      </w:r>
      <w:r w:rsidR="00DD4F4F">
        <w:t xml:space="preserve">have </w:t>
      </w:r>
      <w:r w:rsidR="007207A6">
        <w:t>very rare values</w:t>
      </w:r>
      <w:r w:rsidR="00B23BEB">
        <w:t xml:space="preserve">, </w:t>
      </w:r>
      <w:r w:rsidR="008767AD">
        <w:t xml:space="preserve">or </w:t>
      </w:r>
      <w:r w:rsidR="00B23BEB">
        <w:t>areas</w:t>
      </w:r>
      <w:r w:rsidR="00B23BEB" w:rsidRPr="009C7698">
        <w:t xml:space="preserve"> where harvesting is not permitted (as identified by the state) </w:t>
      </w:r>
      <w:r w:rsidR="008767AD">
        <w:t xml:space="preserve">but </w:t>
      </w:r>
      <w:r w:rsidR="00B23BEB" w:rsidRPr="009C7698">
        <w:t>that contribute to CAR values (biodiversity, old-growth forest, wilderness</w:t>
      </w:r>
      <w:r w:rsidR="00B23BEB">
        <w:t>)</w:t>
      </w:r>
      <w:r w:rsidR="00421F11">
        <w:t>.</w:t>
      </w:r>
      <w:r w:rsidR="001321D6" w:rsidRPr="009C7698">
        <w:t xml:space="preserve"> </w:t>
      </w:r>
      <w:r w:rsidR="00874645" w:rsidRPr="009C7698">
        <w:t>The total area of the CAR reserve system on public land</w:t>
      </w:r>
      <w:r w:rsidR="00874645">
        <w:t xml:space="preserve"> therefore</w:t>
      </w:r>
      <w:r w:rsidR="00874645" w:rsidRPr="009C7698">
        <w:t xml:space="preserve"> includes areas of formal reserves, </w:t>
      </w:r>
      <w:r w:rsidR="00874645">
        <w:t xml:space="preserve">areas of </w:t>
      </w:r>
      <w:r w:rsidR="00874645" w:rsidRPr="009C7698">
        <w:t>informal reserves</w:t>
      </w:r>
      <w:r w:rsidR="00874645">
        <w:t>, and</w:t>
      </w:r>
      <w:r w:rsidR="00874645" w:rsidRPr="009C7698">
        <w:t xml:space="preserve"> areas</w:t>
      </w:r>
      <w:r w:rsidR="00874645">
        <w:t xml:space="preserve"> with values</w:t>
      </w:r>
      <w:r w:rsidR="00874645" w:rsidRPr="009C7698">
        <w:t xml:space="preserve"> protected by prescription</w:t>
      </w:r>
      <w:r w:rsidR="00874645">
        <w:t>.</w:t>
      </w:r>
      <w:r w:rsidR="008767AD">
        <w:t xml:space="preserve"> </w:t>
      </w:r>
      <w:r w:rsidR="00421F11">
        <w:t>A</w:t>
      </w:r>
      <w:r w:rsidR="001321D6" w:rsidRPr="009C7698">
        <w:t>reas</w:t>
      </w:r>
      <w:r w:rsidR="00421F11">
        <w:t xml:space="preserve"> with values protected by prescription</w:t>
      </w:r>
      <w:r w:rsidR="008767AD">
        <w:t>,</w:t>
      </w:r>
      <w:r w:rsidR="000436AA" w:rsidRPr="009C7698">
        <w:t xml:space="preserve"> </w:t>
      </w:r>
      <w:r w:rsidR="008767AD">
        <w:t xml:space="preserve">as </w:t>
      </w:r>
      <w:r w:rsidR="00CB51EC" w:rsidRPr="009C7698">
        <w:t xml:space="preserve">accredited as such </w:t>
      </w:r>
      <w:r w:rsidR="000436AA" w:rsidRPr="009C7698">
        <w:t>by the Australian Government at signing</w:t>
      </w:r>
      <w:r w:rsidR="00421F11">
        <w:t xml:space="preserve"> of</w:t>
      </w:r>
      <w:r w:rsidR="000436AA" w:rsidRPr="009C7698">
        <w:t xml:space="preserve"> the </w:t>
      </w:r>
      <w:r w:rsidR="00C87770">
        <w:t>RFA</w:t>
      </w:r>
      <w:r w:rsidR="004B159B" w:rsidRPr="009C7698">
        <w:t>s</w:t>
      </w:r>
      <w:r w:rsidR="00874645">
        <w:t xml:space="preserve">, are included in </w:t>
      </w:r>
      <w:r w:rsidR="0042049A">
        <w:t xml:space="preserve">Table A1 </w:t>
      </w:r>
      <w:r w:rsidR="00BF30CD" w:rsidRPr="00BF30CD">
        <w:t>and Table A2</w:t>
      </w:r>
      <w:r w:rsidR="000436AA" w:rsidRPr="009C7698">
        <w:t>.</w:t>
      </w:r>
    </w:p>
    <w:p w14:paraId="1C3B8B50" w14:textId="1D008FBF" w:rsidR="008767AD" w:rsidRDefault="0044190D" w:rsidP="00DE2888">
      <w:r w:rsidRPr="009C7698">
        <w:t>The area</w:t>
      </w:r>
      <w:r w:rsidR="001F4A54">
        <w:t>s</w:t>
      </w:r>
      <w:r w:rsidRPr="009C7698">
        <w:t xml:space="preserve"> of</w:t>
      </w:r>
      <w:r w:rsidR="008E173F" w:rsidRPr="009C7698">
        <w:t xml:space="preserve"> </w:t>
      </w:r>
      <w:r w:rsidR="008767AD">
        <w:t xml:space="preserve">formal and informal </w:t>
      </w:r>
      <w:r w:rsidR="000436AA" w:rsidRPr="009C7698">
        <w:t xml:space="preserve">reserves </w:t>
      </w:r>
      <w:r w:rsidR="008E173F" w:rsidRPr="009C7698">
        <w:t xml:space="preserve">in </w:t>
      </w:r>
      <w:r w:rsidR="00E00BC4">
        <w:t xml:space="preserve">the </w:t>
      </w:r>
      <w:r w:rsidR="008E173F" w:rsidRPr="009C7698">
        <w:t>most recent data</w:t>
      </w:r>
      <w:r w:rsidR="000436AA" w:rsidRPr="009C7698">
        <w:t xml:space="preserve"> </w:t>
      </w:r>
      <w:r w:rsidR="008767AD">
        <w:t xml:space="preserve">do not </w:t>
      </w:r>
      <w:r w:rsidR="000436AA" w:rsidRPr="009C7698">
        <w:t xml:space="preserve">include </w:t>
      </w:r>
      <w:r w:rsidR="00D476EB" w:rsidRPr="009C7698">
        <w:t xml:space="preserve">areas </w:t>
      </w:r>
      <w:r w:rsidR="00DE4640">
        <w:t xml:space="preserve">with values </w:t>
      </w:r>
      <w:r w:rsidR="00D476EB" w:rsidRPr="009C7698">
        <w:t>protected by prescription</w:t>
      </w:r>
      <w:r w:rsidR="008767AD">
        <w:t>, but those are included in t</w:t>
      </w:r>
      <w:r w:rsidR="00EE3492" w:rsidRPr="009C7698">
        <w:t xml:space="preserve">he </w:t>
      </w:r>
      <w:r w:rsidR="000436AA" w:rsidRPr="009C7698">
        <w:t xml:space="preserve">total </w:t>
      </w:r>
      <w:r w:rsidR="00EE3492" w:rsidRPr="009C7698">
        <w:t>area of</w:t>
      </w:r>
      <w:r w:rsidR="00387E0E">
        <w:t xml:space="preserve"> the</w:t>
      </w:r>
      <w:r w:rsidR="00EE3492" w:rsidRPr="009C7698">
        <w:t xml:space="preserve"> </w:t>
      </w:r>
      <w:r w:rsidR="00157437" w:rsidRPr="009C7698">
        <w:t xml:space="preserve">CAR </w:t>
      </w:r>
      <w:r w:rsidR="000436AA" w:rsidRPr="009C7698">
        <w:t>reserv</w:t>
      </w:r>
      <w:r w:rsidR="00387E0E">
        <w:t xml:space="preserve">e </w:t>
      </w:r>
      <w:r w:rsidR="00BF30CD" w:rsidRPr="00BF30CD">
        <w:t>system (Table A3 and Table A4</w:t>
      </w:r>
      <w:r w:rsidR="008767AD">
        <w:t>)</w:t>
      </w:r>
      <w:r w:rsidR="00B23BEB">
        <w:t>.</w:t>
      </w:r>
    </w:p>
    <w:p w14:paraId="1BFE2FB1" w14:textId="456BFE28" w:rsidR="000436AA" w:rsidRPr="009C7698" w:rsidRDefault="000436AA" w:rsidP="00DE2888">
      <w:r w:rsidRPr="009C7698">
        <w:t xml:space="preserve">The </w:t>
      </w:r>
      <w:r w:rsidR="001F4A54">
        <w:t xml:space="preserve">date of the </w:t>
      </w:r>
      <w:r w:rsidR="00645822" w:rsidRPr="009C7698">
        <w:t xml:space="preserve">most recent </w:t>
      </w:r>
      <w:r w:rsidR="00BF30CD" w:rsidRPr="00BF30CD">
        <w:t>data in Table A3 and Table A4</w:t>
      </w:r>
      <w:r w:rsidR="00A5689A" w:rsidRPr="009C7698">
        <w:t xml:space="preserve"> </w:t>
      </w:r>
      <w:r w:rsidR="001F4A54">
        <w:t xml:space="preserve">is </w:t>
      </w:r>
      <w:r w:rsidR="009954A7" w:rsidRPr="009C7698">
        <w:t xml:space="preserve">the </w:t>
      </w:r>
      <w:r w:rsidR="00C047D4">
        <w:t xml:space="preserve">most recent </w:t>
      </w:r>
      <w:r w:rsidR="009954A7" w:rsidRPr="009C7698">
        <w:t xml:space="preserve">reporting </w:t>
      </w:r>
      <w:r w:rsidR="00C047D4">
        <w:t xml:space="preserve">data </w:t>
      </w:r>
      <w:r w:rsidR="009954A7" w:rsidRPr="009C7698">
        <w:t>date</w:t>
      </w:r>
      <w:r w:rsidR="00C047D4">
        <w:t>, namely</w:t>
      </w:r>
      <w:r w:rsidR="009954A7" w:rsidRPr="009C7698">
        <w:t xml:space="preserve"> </w:t>
      </w:r>
      <w:r w:rsidR="00D21DD6">
        <w:t xml:space="preserve">2016 for </w:t>
      </w:r>
      <w:r w:rsidR="00513432" w:rsidRPr="009C7698">
        <w:t xml:space="preserve">New South Wales, </w:t>
      </w:r>
      <w:r w:rsidR="00D21DD6">
        <w:t xml:space="preserve">2015 for </w:t>
      </w:r>
      <w:r w:rsidRPr="009C7698">
        <w:t xml:space="preserve">Tasmania, </w:t>
      </w:r>
      <w:r w:rsidR="00D21DD6">
        <w:t xml:space="preserve">2019 for </w:t>
      </w:r>
      <w:r w:rsidRPr="009C7698">
        <w:t xml:space="preserve">Victoria, </w:t>
      </w:r>
      <w:r w:rsidR="00D21DD6">
        <w:t xml:space="preserve">and 2018 for </w:t>
      </w:r>
      <w:r w:rsidRPr="009C7698">
        <w:t>Western Australia</w:t>
      </w:r>
      <w:r w:rsidR="00C047D4">
        <w:t>,</w:t>
      </w:r>
      <w:r w:rsidR="00ED66B0" w:rsidRPr="009C7698">
        <w:t xml:space="preserve"> </w:t>
      </w:r>
      <w:r w:rsidR="00133779" w:rsidRPr="009C7698">
        <w:t xml:space="preserve">as </w:t>
      </w:r>
      <w:r w:rsidR="00ED66B0" w:rsidRPr="009C7698">
        <w:t xml:space="preserve">reported in </w:t>
      </w:r>
      <w:r w:rsidR="00513432" w:rsidRPr="009C7698">
        <w:t>Australian and New South Wales Government</w:t>
      </w:r>
      <w:r w:rsidR="005856F2">
        <w:t>s</w:t>
      </w:r>
      <w:r w:rsidR="00513432" w:rsidRPr="009C7698">
        <w:t xml:space="preserve"> (</w:t>
      </w:r>
      <w:r w:rsidR="0062759A">
        <w:t>2018</w:t>
      </w:r>
      <w:r w:rsidR="00513432" w:rsidRPr="009C7698">
        <w:t xml:space="preserve">), </w:t>
      </w:r>
      <w:r w:rsidR="00ED66B0" w:rsidRPr="009C7698">
        <w:t>Australian and Tasmanian Governments (</w:t>
      </w:r>
      <w:r w:rsidR="0062759A">
        <w:t>2017</w:t>
      </w:r>
      <w:r w:rsidR="00ED66B0" w:rsidRPr="009C7698">
        <w:t>), Australian and Victorian Governments (</w:t>
      </w:r>
      <w:r w:rsidR="0041658F">
        <w:t>20</w:t>
      </w:r>
      <w:r w:rsidR="005856F2">
        <w:t>19</w:t>
      </w:r>
      <w:r w:rsidR="00ED66B0" w:rsidRPr="009C7698">
        <w:t>) and Australian and Western Australian Governments (</w:t>
      </w:r>
      <w:r w:rsidR="0062759A">
        <w:t>2019</w:t>
      </w:r>
      <w:r w:rsidR="00ED66B0" w:rsidRPr="009C7698">
        <w:t>)</w:t>
      </w:r>
      <w:r w:rsidR="00950668">
        <w:t>.</w:t>
      </w:r>
    </w:p>
    <w:p w14:paraId="01785BEB" w14:textId="0E43105B" w:rsidR="000436AA" w:rsidRPr="009C7698" w:rsidRDefault="000436AA" w:rsidP="00DE2888">
      <w:r w:rsidRPr="009C7698">
        <w:t xml:space="preserve">Private land contributing to the CAR reserve system </w:t>
      </w:r>
      <w:r w:rsidR="00404D3A" w:rsidRPr="009C7698">
        <w:t xml:space="preserve">is </w:t>
      </w:r>
      <w:r w:rsidR="00E8410D">
        <w:t>only</w:t>
      </w:r>
      <w:r w:rsidRPr="009C7698">
        <w:t xml:space="preserve"> included in </w:t>
      </w:r>
      <w:r w:rsidR="001F4A54">
        <w:t xml:space="preserve">tables </w:t>
      </w:r>
      <w:r w:rsidRPr="009C7698">
        <w:t>for Tasmania</w:t>
      </w:r>
      <w:r w:rsidR="00E8410D">
        <w:t xml:space="preserve"> and Victoria</w:t>
      </w:r>
      <w:r w:rsidR="003E052C" w:rsidRPr="009C7698">
        <w:t xml:space="preserve"> </w:t>
      </w:r>
      <w:r w:rsidR="00BF30CD" w:rsidRPr="00BF30CD">
        <w:t>(Table A3, Table A4 and Table A7</w:t>
      </w:r>
      <w:r w:rsidR="00404D3A" w:rsidRPr="009C7698">
        <w:t>)</w:t>
      </w:r>
      <w:r w:rsidR="00D408AE">
        <w:t>.</w:t>
      </w:r>
      <w:r w:rsidR="00E8410D">
        <w:t xml:space="preserve"> </w:t>
      </w:r>
      <w:r w:rsidR="00923843">
        <w:t xml:space="preserve">It </w:t>
      </w:r>
      <w:r w:rsidR="00E8410D">
        <w:t>is not included for all areas and regions</w:t>
      </w:r>
      <w:r w:rsidR="003E052C" w:rsidRPr="009C7698">
        <w:t xml:space="preserve"> </w:t>
      </w:r>
      <w:r w:rsidR="00387E0E">
        <w:t>due to</w:t>
      </w:r>
      <w:r w:rsidR="00735081" w:rsidRPr="009C7698">
        <w:t xml:space="preserve"> </w:t>
      </w:r>
      <w:r w:rsidR="00E241C8" w:rsidRPr="009C7698">
        <w:t xml:space="preserve">incomplete </w:t>
      </w:r>
      <w:r w:rsidR="001F4A54">
        <w:t xml:space="preserve">or </w:t>
      </w:r>
      <w:r w:rsidR="00E241C8" w:rsidRPr="009C7698">
        <w:t xml:space="preserve">uncertain </w:t>
      </w:r>
      <w:r w:rsidR="00735081" w:rsidRPr="009C7698">
        <w:t>data</w:t>
      </w:r>
      <w:r w:rsidR="001F4A54">
        <w:t>, or data that are only partly reported</w:t>
      </w:r>
      <w:r w:rsidR="00404D3A" w:rsidRPr="009C7698">
        <w:t xml:space="preserve">. </w:t>
      </w:r>
      <w:r w:rsidR="00E241C8" w:rsidRPr="009C7698">
        <w:t>Some d</w:t>
      </w:r>
      <w:r w:rsidR="00404D3A" w:rsidRPr="009C7698">
        <w:t>ata on</w:t>
      </w:r>
      <w:r w:rsidR="00735081" w:rsidRPr="009C7698">
        <w:t xml:space="preserve"> </w:t>
      </w:r>
      <w:r w:rsidR="003E052C" w:rsidRPr="009C7698">
        <w:t xml:space="preserve">private reserves </w:t>
      </w:r>
      <w:r w:rsidR="00735081" w:rsidRPr="009C7698">
        <w:t xml:space="preserve">and covenanted land </w:t>
      </w:r>
      <w:r w:rsidR="00404D3A" w:rsidRPr="009C7698">
        <w:t xml:space="preserve">for </w:t>
      </w:r>
      <w:r w:rsidR="008767AD">
        <w:t xml:space="preserve">New South Wales and Western Australia </w:t>
      </w:r>
      <w:r w:rsidR="00D408AE">
        <w:t>is</w:t>
      </w:r>
      <w:r w:rsidR="00735081" w:rsidRPr="009C7698">
        <w:t xml:space="preserve"> reported in MIG and NFISC (201</w:t>
      </w:r>
      <w:r w:rsidR="00774055">
        <w:t>8</w:t>
      </w:r>
      <w:r w:rsidR="00735081" w:rsidRPr="009C7698">
        <w:t>)</w:t>
      </w:r>
      <w:r w:rsidR="00133779" w:rsidRPr="009C7698">
        <w:t>.</w:t>
      </w:r>
    </w:p>
    <w:p w14:paraId="0CAA1F20" w14:textId="54D6BF82" w:rsidR="000C17B1" w:rsidRPr="0005648D" w:rsidRDefault="008E2DD2" w:rsidP="0005648D">
      <w:pPr>
        <w:pStyle w:val="Heading3"/>
        <w:keepLines/>
        <w:spacing w:before="0" w:after="0"/>
        <w:ind w:left="964" w:hanging="964"/>
        <w:rPr>
          <w:bCs/>
          <w:color w:val="FF7900"/>
          <w:sz w:val="36"/>
        </w:rPr>
      </w:pPr>
      <w:bookmarkStart w:id="10" w:name="_Toc58312580"/>
      <w:r>
        <w:rPr>
          <w:bCs/>
          <w:color w:val="FF7900"/>
          <w:sz w:val="36"/>
        </w:rPr>
        <w:t>3</w:t>
      </w:r>
      <w:r w:rsidR="0005648D">
        <w:rPr>
          <w:bCs/>
          <w:color w:val="FF7900"/>
          <w:sz w:val="36"/>
        </w:rPr>
        <w:t>.2</w:t>
      </w:r>
      <w:r w:rsidR="0005648D">
        <w:rPr>
          <w:bCs/>
          <w:color w:val="FF7900"/>
          <w:sz w:val="36"/>
        </w:rPr>
        <w:tab/>
      </w:r>
      <w:r w:rsidR="000C17B1" w:rsidRPr="0005648D">
        <w:rPr>
          <w:bCs/>
          <w:color w:val="FF7900"/>
          <w:sz w:val="36"/>
        </w:rPr>
        <w:t>Old-growth forest</w:t>
      </w:r>
      <w:bookmarkEnd w:id="10"/>
    </w:p>
    <w:p w14:paraId="2CB76249" w14:textId="7B4919C2" w:rsidR="006C47EB" w:rsidRDefault="006C47EB" w:rsidP="006C47EB">
      <w:r>
        <w:t>Old-growth forest is defined as e</w:t>
      </w:r>
      <w:r w:rsidRPr="00692156">
        <w:t>cologically mature forest where the effects of past disturbances are now negligible</w:t>
      </w:r>
      <w:r w:rsidR="00A16216">
        <w:t xml:space="preserve"> (</w:t>
      </w:r>
      <w:r w:rsidR="004F65C6">
        <w:t xml:space="preserve">see </w:t>
      </w:r>
      <w:r w:rsidR="00A16216">
        <w:t>ABARES 2020). C</w:t>
      </w:r>
      <w:r>
        <w:t xml:space="preserve">onservation and protection of old-growth forest is a </w:t>
      </w:r>
      <w:r>
        <w:lastRenderedPageBreak/>
        <w:t xml:space="preserve">requirement of the </w:t>
      </w:r>
      <w:r w:rsidRPr="00692156">
        <w:rPr>
          <w:i/>
        </w:rPr>
        <w:t>National Forest Policy Statement</w:t>
      </w:r>
      <w:r>
        <w:t xml:space="preserve"> (Commonwealth of Australia 1992) and is incorporated in the RFAs.</w:t>
      </w:r>
    </w:p>
    <w:p w14:paraId="0C85011F" w14:textId="6E30AF03" w:rsidR="009754AA" w:rsidRDefault="009754AA" w:rsidP="00DE2888">
      <w:r>
        <w:t>Data for areas of r</w:t>
      </w:r>
      <w:r w:rsidR="000436AA" w:rsidRPr="009C7698">
        <w:t>eserved old</w:t>
      </w:r>
      <w:r w:rsidR="00404D3A" w:rsidRPr="009C7698">
        <w:t>-</w:t>
      </w:r>
      <w:r w:rsidR="000436AA" w:rsidRPr="009C7698">
        <w:t>growth forest include only old</w:t>
      </w:r>
      <w:r w:rsidR="00404D3A" w:rsidRPr="009C7698">
        <w:t>-</w:t>
      </w:r>
      <w:r w:rsidR="000436AA" w:rsidRPr="009C7698">
        <w:t xml:space="preserve">growth </w:t>
      </w:r>
      <w:r w:rsidR="00404D3A" w:rsidRPr="009C7698">
        <w:t xml:space="preserve">forest </w:t>
      </w:r>
      <w:r w:rsidR="000436AA" w:rsidRPr="009C7698">
        <w:t xml:space="preserve">in formal and informal </w:t>
      </w:r>
      <w:r w:rsidR="00BF30CD" w:rsidRPr="00BF30CD">
        <w:t>reserves (Table A6</w:t>
      </w:r>
      <w:r w:rsidR="004B1DDD">
        <w:t>)</w:t>
      </w:r>
      <w:r w:rsidR="00404D3A" w:rsidRPr="009C7698">
        <w:t>. T</w:t>
      </w:r>
      <w:r>
        <w:t>he t</w:t>
      </w:r>
      <w:r w:rsidR="000436AA" w:rsidRPr="009C7698">
        <w:t xml:space="preserve">otal </w:t>
      </w:r>
      <w:r>
        <w:t xml:space="preserve">area of </w:t>
      </w:r>
      <w:r w:rsidR="00404D3A" w:rsidRPr="009C7698">
        <w:t xml:space="preserve">old-growth forest </w:t>
      </w:r>
      <w:r w:rsidR="00092F66" w:rsidRPr="009C7698">
        <w:t>in the CAR reserve system</w:t>
      </w:r>
      <w:r w:rsidR="00364920">
        <w:t xml:space="preserve"> </w:t>
      </w:r>
      <w:r w:rsidR="00404D3A" w:rsidRPr="009C7698">
        <w:t xml:space="preserve">also </w:t>
      </w:r>
      <w:r w:rsidR="000436AA" w:rsidRPr="009C7698">
        <w:t xml:space="preserve">includes </w:t>
      </w:r>
      <w:r w:rsidR="00404D3A" w:rsidRPr="009C7698">
        <w:t xml:space="preserve">old-growth forest protected by harvesting </w:t>
      </w:r>
      <w:r w:rsidR="000436AA" w:rsidRPr="009C7698">
        <w:t xml:space="preserve">code prescriptions and </w:t>
      </w:r>
      <w:r w:rsidR="00404D3A" w:rsidRPr="009C7698">
        <w:t xml:space="preserve">in </w:t>
      </w:r>
      <w:r w:rsidR="000436AA" w:rsidRPr="009C7698">
        <w:t xml:space="preserve">other </w:t>
      </w:r>
      <w:r w:rsidR="00387E0E">
        <w:t>areas</w:t>
      </w:r>
      <w:r w:rsidR="000436AA" w:rsidRPr="009C7698">
        <w:t xml:space="preserve"> </w:t>
      </w:r>
      <w:r w:rsidR="005F3CC0" w:rsidRPr="009C7698">
        <w:t xml:space="preserve">(as identified by the state) </w:t>
      </w:r>
      <w:r w:rsidR="000436AA" w:rsidRPr="009C7698">
        <w:t xml:space="preserve">where harvesting is not </w:t>
      </w:r>
      <w:r w:rsidR="00BF30CD" w:rsidRPr="00BF30CD">
        <w:t>permitted (Table A7</w:t>
      </w:r>
      <w:r w:rsidR="00387E0E" w:rsidRPr="009C7698">
        <w:t>)</w:t>
      </w:r>
      <w:r w:rsidR="000436AA" w:rsidRPr="009C7698">
        <w:t>.</w:t>
      </w:r>
    </w:p>
    <w:p w14:paraId="7D004E08" w14:textId="038B347B" w:rsidR="000436AA" w:rsidRPr="009C7698" w:rsidRDefault="000436AA" w:rsidP="00DE2888">
      <w:r w:rsidRPr="009C7698">
        <w:t>The</w:t>
      </w:r>
      <w:r w:rsidR="00D21DD6">
        <w:t xml:space="preserve"> dates of the</w:t>
      </w:r>
      <w:r w:rsidRPr="009C7698">
        <w:t xml:space="preserve"> </w:t>
      </w:r>
      <w:r w:rsidR="00404D3A" w:rsidRPr="009C7698">
        <w:t xml:space="preserve">most recent </w:t>
      </w:r>
      <w:r w:rsidRPr="009C7698">
        <w:t>data used for reporting old</w:t>
      </w:r>
      <w:r w:rsidR="00404D3A" w:rsidRPr="009C7698">
        <w:t>-</w:t>
      </w:r>
      <w:r w:rsidRPr="009C7698">
        <w:t xml:space="preserve">growth </w:t>
      </w:r>
      <w:r w:rsidR="00404D3A" w:rsidRPr="009C7698">
        <w:t xml:space="preserve">forest areas </w:t>
      </w:r>
      <w:r w:rsidR="005F3CC0" w:rsidRPr="009C7698">
        <w:t>(</w:t>
      </w:r>
      <w:r w:rsidR="00BF30CD" w:rsidRPr="00BF30CD">
        <w:t xml:space="preserve">Table A7 and Table A8) </w:t>
      </w:r>
      <w:r w:rsidR="001466BF" w:rsidRPr="009C7698">
        <w:t>are</w:t>
      </w:r>
      <w:r w:rsidR="00771F15" w:rsidRPr="009C7698">
        <w:t xml:space="preserve"> </w:t>
      </w:r>
      <w:r w:rsidR="00D21DD6">
        <w:t xml:space="preserve">2016 for </w:t>
      </w:r>
      <w:r w:rsidR="00771F15" w:rsidRPr="009C7698">
        <w:t>New South Wales,</w:t>
      </w:r>
      <w:r w:rsidRPr="009C7698">
        <w:t xml:space="preserve"> </w:t>
      </w:r>
      <w:r w:rsidR="00D21DD6">
        <w:t xml:space="preserve">2015 for </w:t>
      </w:r>
      <w:r w:rsidRPr="009C7698">
        <w:t xml:space="preserve">Tasmania, </w:t>
      </w:r>
      <w:r w:rsidR="00D21DD6">
        <w:t xml:space="preserve">2019 for </w:t>
      </w:r>
      <w:r w:rsidRPr="009C7698">
        <w:t xml:space="preserve">Victoria and </w:t>
      </w:r>
      <w:r w:rsidR="00D21DD6">
        <w:t xml:space="preserve">2018 for </w:t>
      </w:r>
      <w:r w:rsidRPr="009C7698">
        <w:t>Western Australia</w:t>
      </w:r>
      <w:r w:rsidR="0095481D" w:rsidRPr="009C7698">
        <w:t>, as</w:t>
      </w:r>
      <w:r w:rsidRPr="009C7698">
        <w:t xml:space="preserve"> reported in</w:t>
      </w:r>
      <w:r w:rsidR="00771F15" w:rsidRPr="009C7698">
        <w:t xml:space="preserve"> Australian and New South Wales Governments (</w:t>
      </w:r>
      <w:r w:rsidR="0024497F">
        <w:t>2018</w:t>
      </w:r>
      <w:r w:rsidR="00771F15" w:rsidRPr="009C7698">
        <w:t>),</w:t>
      </w:r>
      <w:r w:rsidRPr="009C7698">
        <w:t xml:space="preserve"> Australia</w:t>
      </w:r>
      <w:r w:rsidR="0024497F">
        <w:t>n and Tasmanian Governments (201</w:t>
      </w:r>
      <w:r w:rsidRPr="009C7698">
        <w:t>7), Australian and Victorian Governments (20</w:t>
      </w:r>
      <w:r w:rsidR="0024497F">
        <w:t>1</w:t>
      </w:r>
      <w:r w:rsidR="00140138">
        <w:t>9</w:t>
      </w:r>
      <w:r w:rsidRPr="009C7698">
        <w:t>)</w:t>
      </w:r>
      <w:r w:rsidR="00140138">
        <w:t>,</w:t>
      </w:r>
      <w:r w:rsidRPr="009C7698">
        <w:t xml:space="preserve"> and Australian and Western Australian Governments (201</w:t>
      </w:r>
      <w:r w:rsidR="0024497F">
        <w:t>9</w:t>
      </w:r>
      <w:r w:rsidRPr="009C7698">
        <w:t>)</w:t>
      </w:r>
      <w:r w:rsidR="00140138">
        <w:t>,</w:t>
      </w:r>
      <w:r w:rsidR="0095481D" w:rsidRPr="009C7698">
        <w:t xml:space="preserve"> respectively</w:t>
      </w:r>
      <w:r w:rsidRPr="009C7698">
        <w:t xml:space="preserve">. Victorian </w:t>
      </w:r>
      <w:r w:rsidR="0095481D" w:rsidRPr="009C7698">
        <w:t xml:space="preserve">data on </w:t>
      </w:r>
      <w:r w:rsidRPr="009C7698">
        <w:t xml:space="preserve">old-growth </w:t>
      </w:r>
      <w:r w:rsidR="0095481D" w:rsidRPr="009C7698">
        <w:t xml:space="preserve">forests </w:t>
      </w:r>
      <w:r w:rsidRPr="009C7698">
        <w:t xml:space="preserve">incorporate </w:t>
      </w:r>
      <w:r w:rsidR="0095481D" w:rsidRPr="009C7698">
        <w:t xml:space="preserve">the effects of </w:t>
      </w:r>
      <w:r w:rsidRPr="009C7698">
        <w:t xml:space="preserve">fire </w:t>
      </w:r>
      <w:r w:rsidR="0095481D" w:rsidRPr="009C7698">
        <w:t xml:space="preserve">up </w:t>
      </w:r>
      <w:r w:rsidRPr="009C7698">
        <w:t>to March 2009</w:t>
      </w:r>
      <w:r w:rsidR="009754AA">
        <w:t>; o</w:t>
      </w:r>
      <w:r w:rsidR="0095481D" w:rsidRPr="009C7698">
        <w:t xml:space="preserve">ld-growth forest </w:t>
      </w:r>
      <w:r w:rsidRPr="009C7698">
        <w:t xml:space="preserve">not in reserves </w:t>
      </w:r>
      <w:r w:rsidR="0095481D" w:rsidRPr="009C7698">
        <w:t>is all other old-growth forest on</w:t>
      </w:r>
      <w:r w:rsidRPr="009C7698">
        <w:t xml:space="preserve"> public and private land</w:t>
      </w:r>
      <w:r w:rsidR="003853FE" w:rsidRPr="009C7698">
        <w:t>, whether protected by prescription or not</w:t>
      </w:r>
      <w:r w:rsidRPr="009C7698">
        <w:t>.</w:t>
      </w:r>
      <w:r w:rsidR="001A66F4" w:rsidRPr="009C7698">
        <w:t xml:space="preserve"> The </w:t>
      </w:r>
      <w:r w:rsidR="005F3CC0" w:rsidRPr="009C7698">
        <w:t>data</w:t>
      </w:r>
      <w:r w:rsidR="001A66F4" w:rsidRPr="009C7698">
        <w:t xml:space="preserve"> </w:t>
      </w:r>
      <w:r w:rsidR="008C347D" w:rsidRPr="009C7698">
        <w:t xml:space="preserve">used for reporting </w:t>
      </w:r>
      <w:r w:rsidR="00BF30CD" w:rsidRPr="00BF30CD">
        <w:t>in Table A8</w:t>
      </w:r>
      <w:r w:rsidR="00140138">
        <w:t xml:space="preserve"> </w:t>
      </w:r>
      <w:r w:rsidR="00D21DD6">
        <w:t xml:space="preserve">were </w:t>
      </w:r>
      <w:r w:rsidR="00140138">
        <w:t>reported in 201</w:t>
      </w:r>
      <w:r w:rsidR="001A66F4" w:rsidRPr="009C7698">
        <w:t>9</w:t>
      </w:r>
      <w:r w:rsidR="00140138">
        <w:t xml:space="preserve"> (Australian and Victoria</w:t>
      </w:r>
      <w:r w:rsidR="00EF33E3">
        <w:t>n</w:t>
      </w:r>
      <w:r w:rsidR="00140138">
        <w:t xml:space="preserve"> Governments 2019)</w:t>
      </w:r>
      <w:r w:rsidR="001A66F4" w:rsidRPr="009C7698">
        <w:t>.</w:t>
      </w:r>
    </w:p>
    <w:p w14:paraId="12478E5C" w14:textId="1787EE42" w:rsidR="00F22B44" w:rsidRPr="009C7698" w:rsidRDefault="00F13388" w:rsidP="00DE2888">
      <w:r>
        <w:t>For the</w:t>
      </w:r>
      <w:r w:rsidR="00364920">
        <w:t xml:space="preserve"> Victorian RFAs</w:t>
      </w:r>
      <w:r w:rsidR="009754AA">
        <w:t>,</w:t>
      </w:r>
      <w:r w:rsidR="00364920">
        <w:t xml:space="preserve"> the</w:t>
      </w:r>
      <w:r w:rsidR="00387E0E">
        <w:t xml:space="preserve"> </w:t>
      </w:r>
      <w:r w:rsidR="00F22B44" w:rsidRPr="009C7698">
        <w:t>Ecological Vegetation Class (EVC) vegetation classification system</w:t>
      </w:r>
      <w:r w:rsidR="00364920">
        <w:t xml:space="preserve"> is</w:t>
      </w:r>
      <w:r w:rsidR="00F22B44" w:rsidRPr="009C7698">
        <w:t xml:space="preserve"> used to describe forest</w:t>
      </w:r>
      <w:r w:rsidR="00D408AE">
        <w:t xml:space="preserve"> ecosystems</w:t>
      </w:r>
      <w:r>
        <w:t>, including old-growth forest</w:t>
      </w:r>
      <w:r w:rsidR="00D408AE">
        <w:t xml:space="preserve"> ecosystems</w:t>
      </w:r>
      <w:r w:rsidR="00F22B44" w:rsidRPr="009C7698">
        <w:t xml:space="preserve"> and non-forest ecosystems. Since the agreements were signed, changes have been made to the list</w:t>
      </w:r>
      <w:r w:rsidR="00364920">
        <w:t xml:space="preserve"> o</w:t>
      </w:r>
      <w:r w:rsidR="009754AA">
        <w:t>f</w:t>
      </w:r>
      <w:r w:rsidR="00364920">
        <w:t xml:space="preserve"> unique classes</w:t>
      </w:r>
      <w:r w:rsidR="00F22B44" w:rsidRPr="009C7698">
        <w:t xml:space="preserve"> and classification of EVCs in Victoria; EVCs have been added, removed and merged</w:t>
      </w:r>
      <w:r w:rsidR="00C322DC" w:rsidRPr="009C7698">
        <w:t>, and</w:t>
      </w:r>
      <w:r w:rsidR="00F22B44" w:rsidRPr="009C7698">
        <w:t xml:space="preserve"> Australian and Victorian Governments (2009) </w:t>
      </w:r>
      <w:r w:rsidR="00C322DC" w:rsidRPr="009C7698">
        <w:t xml:space="preserve">caution about comparing </w:t>
      </w:r>
      <w:r w:rsidR="00F22B44" w:rsidRPr="009C7698">
        <w:t xml:space="preserve">tables presented in Australian and Victorian Governments (2009) and those </w:t>
      </w:r>
      <w:r w:rsidR="00C90940" w:rsidRPr="009C7698">
        <w:t xml:space="preserve">presented </w:t>
      </w:r>
      <w:r w:rsidR="00241514">
        <w:t xml:space="preserve">as attachments </w:t>
      </w:r>
      <w:r w:rsidR="00F22B44" w:rsidRPr="009C7698">
        <w:t xml:space="preserve">in the </w:t>
      </w:r>
      <w:r w:rsidR="00C87770">
        <w:t>RFA</w:t>
      </w:r>
      <w:r w:rsidR="00F22B44" w:rsidRPr="009C7698">
        <w:t xml:space="preserve">s. Victorian </w:t>
      </w:r>
      <w:r w:rsidR="00C322DC" w:rsidRPr="009C7698">
        <w:t xml:space="preserve">data </w:t>
      </w:r>
      <w:r w:rsidR="00F22B44" w:rsidRPr="009C7698">
        <w:t xml:space="preserve">presented </w:t>
      </w:r>
      <w:r w:rsidR="00BF30CD" w:rsidRPr="00BF30CD">
        <w:t>in Table A1, Table A2 and Table A6 are based on the EVCs used at the time of signing RFAs, while Victorian data presented in Table A3, Table A4, Table A5, Table A7 and Table A8 are</w:t>
      </w:r>
      <w:r w:rsidR="00F22B44" w:rsidRPr="009C7698">
        <w:t xml:space="preserve"> based on </w:t>
      </w:r>
      <w:r w:rsidR="00C90940" w:rsidRPr="009C7698">
        <w:t xml:space="preserve">a reconciliation of </w:t>
      </w:r>
      <w:r w:rsidR="00C322DC" w:rsidRPr="009C7698">
        <w:t xml:space="preserve">the </w:t>
      </w:r>
      <w:r w:rsidR="00F22B44" w:rsidRPr="009C7698">
        <w:t xml:space="preserve">EVC classification at </w:t>
      </w:r>
      <w:r w:rsidR="00C322DC" w:rsidRPr="009C7698">
        <w:t xml:space="preserve">the date of </w:t>
      </w:r>
      <w:r w:rsidR="00F22B44" w:rsidRPr="009C7698">
        <w:t xml:space="preserve">signing </w:t>
      </w:r>
      <w:r w:rsidR="00C87770">
        <w:t>RFA</w:t>
      </w:r>
      <w:r w:rsidR="00F22B44" w:rsidRPr="009C7698">
        <w:t xml:space="preserve">s </w:t>
      </w:r>
      <w:r w:rsidR="00D43D10">
        <w:t>with</w:t>
      </w:r>
      <w:r w:rsidR="00D43D10" w:rsidRPr="009C7698">
        <w:t xml:space="preserve"> </w:t>
      </w:r>
      <w:r w:rsidR="00F22B44" w:rsidRPr="009C7698">
        <w:t xml:space="preserve">the </w:t>
      </w:r>
      <w:r w:rsidR="0041658F">
        <w:t>updated</w:t>
      </w:r>
      <w:r w:rsidR="00F22B44" w:rsidRPr="009C7698">
        <w:t xml:space="preserve"> EVC classification </w:t>
      </w:r>
      <w:r w:rsidR="00C322DC" w:rsidRPr="009C7698">
        <w:t xml:space="preserve">as </w:t>
      </w:r>
      <w:r w:rsidR="00F22B44" w:rsidRPr="009C7698">
        <w:t>at 20</w:t>
      </w:r>
      <w:r w:rsidR="0041658F">
        <w:t>1</w:t>
      </w:r>
      <w:r w:rsidR="00F22B44" w:rsidRPr="009C7698">
        <w:t xml:space="preserve">9. </w:t>
      </w:r>
      <w:r w:rsidR="00C322DC" w:rsidRPr="009C7698">
        <w:t>T</w:t>
      </w:r>
      <w:r w:rsidR="00F22B44" w:rsidRPr="009C7698">
        <w:t xml:space="preserve">his reconciliation was not </w:t>
      </w:r>
      <w:r w:rsidR="005534AC" w:rsidRPr="009C7698">
        <w:t xml:space="preserve">checked </w:t>
      </w:r>
      <w:r w:rsidR="00F22B44" w:rsidRPr="009C7698">
        <w:t>spatially</w:t>
      </w:r>
      <w:r w:rsidR="00C322DC" w:rsidRPr="009C7698">
        <w:t>, but</w:t>
      </w:r>
      <w:r w:rsidR="00F22B44" w:rsidRPr="009C7698">
        <w:t xml:space="preserve"> was </w:t>
      </w:r>
      <w:r w:rsidR="00C322DC" w:rsidRPr="009C7698">
        <w:t xml:space="preserve">sufficiently </w:t>
      </w:r>
      <w:r w:rsidR="00F22B44" w:rsidRPr="009C7698">
        <w:t xml:space="preserve">accurate for grouping </w:t>
      </w:r>
      <w:r w:rsidR="005534AC" w:rsidRPr="009C7698">
        <w:t xml:space="preserve">and </w:t>
      </w:r>
      <w:r w:rsidR="00C322DC" w:rsidRPr="009C7698">
        <w:t xml:space="preserve">categorising areas as </w:t>
      </w:r>
      <w:r w:rsidR="00F22B44" w:rsidRPr="009C7698">
        <w:t>forest</w:t>
      </w:r>
      <w:r w:rsidR="009754AA">
        <w:t xml:space="preserve"> and</w:t>
      </w:r>
      <w:r w:rsidR="00F22B44" w:rsidRPr="009C7698">
        <w:t xml:space="preserve"> non-forest</w:t>
      </w:r>
      <w:r w:rsidR="009754AA">
        <w:t>,</w:t>
      </w:r>
      <w:r w:rsidR="00F22B44" w:rsidRPr="009C7698">
        <w:t xml:space="preserve"> and </w:t>
      </w:r>
      <w:r w:rsidR="009754AA">
        <w:t xml:space="preserve">as </w:t>
      </w:r>
      <w:r w:rsidR="00F22B44" w:rsidRPr="009C7698">
        <w:t>old</w:t>
      </w:r>
      <w:r w:rsidR="00C322DC" w:rsidRPr="009C7698">
        <w:t>-</w:t>
      </w:r>
      <w:r w:rsidR="00F22B44" w:rsidRPr="009C7698">
        <w:t xml:space="preserve">growth </w:t>
      </w:r>
      <w:r w:rsidR="00C322DC" w:rsidRPr="009C7698">
        <w:t>forest</w:t>
      </w:r>
      <w:r w:rsidR="00F22B44" w:rsidRPr="009C7698">
        <w:t>.</w:t>
      </w:r>
      <w:r w:rsidR="005023EF" w:rsidRPr="009C7698">
        <w:t xml:space="preserve"> </w:t>
      </w:r>
      <w:r w:rsidR="009574B6" w:rsidRPr="009C7698">
        <w:t>A</w:t>
      </w:r>
      <w:r w:rsidR="005023EF" w:rsidRPr="009C7698">
        <w:t>rea</w:t>
      </w:r>
      <w:r w:rsidR="00D43D10">
        <w:t xml:space="preserve"> figure</w:t>
      </w:r>
      <w:r w:rsidR="001521EA" w:rsidRPr="009C7698">
        <w:t>s</w:t>
      </w:r>
      <w:r w:rsidR="005023EF" w:rsidRPr="009C7698">
        <w:t xml:space="preserve"> </w:t>
      </w:r>
      <w:r w:rsidR="009574B6" w:rsidRPr="009C7698">
        <w:t xml:space="preserve">for forest ecosystems and old-growth forest </w:t>
      </w:r>
      <w:r w:rsidR="005023EF" w:rsidRPr="009C7698">
        <w:t>at 20</w:t>
      </w:r>
      <w:r w:rsidR="0041658F">
        <w:t>1</w:t>
      </w:r>
      <w:r w:rsidR="005023EF" w:rsidRPr="009C7698">
        <w:t xml:space="preserve">9 </w:t>
      </w:r>
      <w:r w:rsidR="001521EA" w:rsidRPr="009C7698">
        <w:t xml:space="preserve">were </w:t>
      </w:r>
      <w:r w:rsidR="005023EF" w:rsidRPr="009C7698">
        <w:t xml:space="preserve">determined in a comparable way to </w:t>
      </w:r>
      <w:r w:rsidR="001521EA" w:rsidRPr="009C7698">
        <w:t>area</w:t>
      </w:r>
      <w:r w:rsidR="00D43D10">
        <w:t xml:space="preserve"> figure</w:t>
      </w:r>
      <w:r w:rsidR="001521EA" w:rsidRPr="009C7698">
        <w:t xml:space="preserve">s </w:t>
      </w:r>
      <w:r w:rsidR="00D43D10">
        <w:t xml:space="preserve">for </w:t>
      </w:r>
      <w:r w:rsidR="005023EF" w:rsidRPr="009C7698">
        <w:t xml:space="preserve">forest </w:t>
      </w:r>
      <w:r w:rsidR="005534AC" w:rsidRPr="009C7698">
        <w:t xml:space="preserve">and old-growth </w:t>
      </w:r>
      <w:r w:rsidR="005023EF" w:rsidRPr="009C7698">
        <w:t xml:space="preserve">at </w:t>
      </w:r>
      <w:r w:rsidR="00C87770">
        <w:t>RFA</w:t>
      </w:r>
      <w:r w:rsidR="007E45A7" w:rsidRPr="009C7698">
        <w:t xml:space="preserve"> </w:t>
      </w:r>
      <w:r w:rsidR="009574B6" w:rsidRPr="009C7698">
        <w:t xml:space="preserve">signing </w:t>
      </w:r>
      <w:r w:rsidR="005023EF" w:rsidRPr="009C7698">
        <w:t>(</w:t>
      </w:r>
      <w:r w:rsidR="00BF30CD" w:rsidRPr="00BF30CD">
        <w:t>Table A3–A8</w:t>
      </w:r>
      <w:r w:rsidR="005023EF" w:rsidRPr="009C7698">
        <w:t>).</w:t>
      </w:r>
    </w:p>
    <w:p w14:paraId="77F5579C" w14:textId="7B71C99F" w:rsidR="005E6E2D" w:rsidRPr="0005648D" w:rsidRDefault="008E2DD2" w:rsidP="0005648D">
      <w:pPr>
        <w:pStyle w:val="Heading3"/>
        <w:keepLines/>
        <w:spacing w:before="0" w:after="0"/>
        <w:ind w:left="964" w:hanging="964"/>
        <w:rPr>
          <w:bCs/>
          <w:color w:val="FF7900"/>
          <w:sz w:val="36"/>
        </w:rPr>
      </w:pPr>
      <w:bookmarkStart w:id="11" w:name="_Toc58312581"/>
      <w:r>
        <w:rPr>
          <w:bCs/>
          <w:color w:val="FF7900"/>
          <w:sz w:val="36"/>
        </w:rPr>
        <w:t>3</w:t>
      </w:r>
      <w:r w:rsidR="0005648D" w:rsidRPr="0005648D">
        <w:rPr>
          <w:bCs/>
          <w:color w:val="FF7900"/>
          <w:sz w:val="36"/>
        </w:rPr>
        <w:t>.3</w:t>
      </w:r>
      <w:r w:rsidR="0005648D" w:rsidRPr="0005648D">
        <w:rPr>
          <w:bCs/>
          <w:color w:val="FF7900"/>
          <w:sz w:val="36"/>
        </w:rPr>
        <w:tab/>
      </w:r>
      <w:r w:rsidR="005E6E2D" w:rsidRPr="0005648D">
        <w:rPr>
          <w:bCs/>
          <w:color w:val="FF7900"/>
          <w:sz w:val="36"/>
        </w:rPr>
        <w:t>Wilderness</w:t>
      </w:r>
      <w:bookmarkEnd w:id="11"/>
    </w:p>
    <w:p w14:paraId="0FBE87F3" w14:textId="32C529BB" w:rsidR="000436AA" w:rsidRPr="009C7698" w:rsidRDefault="000436AA" w:rsidP="00DE2888">
      <w:r w:rsidRPr="009C7698">
        <w:t>Area</w:t>
      </w:r>
      <w:r w:rsidR="00212557" w:rsidRPr="009C7698">
        <w:t>s</w:t>
      </w:r>
      <w:r w:rsidRPr="009C7698">
        <w:t xml:space="preserve"> of </w:t>
      </w:r>
      <w:r w:rsidR="00BF30CD" w:rsidRPr="00BF30CD">
        <w:t xml:space="preserve">wilderness (Table A9) include </w:t>
      </w:r>
      <w:r w:rsidR="00C322DC" w:rsidRPr="009C7698">
        <w:t xml:space="preserve">native </w:t>
      </w:r>
      <w:r w:rsidRPr="009C7698">
        <w:t xml:space="preserve">forest </w:t>
      </w:r>
      <w:r w:rsidR="00C322DC" w:rsidRPr="009C7698">
        <w:t xml:space="preserve">communities </w:t>
      </w:r>
      <w:r w:rsidRPr="009C7698">
        <w:t>and native non-forest communities</w:t>
      </w:r>
      <w:r w:rsidR="00C322DC" w:rsidRPr="009C7698">
        <w:t>, but not areas of sea</w:t>
      </w:r>
      <w:r w:rsidR="004B76F7" w:rsidRPr="009C7698">
        <w:t>. W</w:t>
      </w:r>
      <w:r w:rsidR="003C6900" w:rsidRPr="009C7698">
        <w:t xml:space="preserve">ilderness value has not been reassessed </w:t>
      </w:r>
      <w:r w:rsidR="004B76F7" w:rsidRPr="009C7698">
        <w:t xml:space="preserve">since signing of </w:t>
      </w:r>
      <w:r w:rsidR="00C87770">
        <w:t>RFA</w:t>
      </w:r>
      <w:r w:rsidR="007E45A7" w:rsidRPr="009C7698">
        <w:t xml:space="preserve">s </w:t>
      </w:r>
      <w:r w:rsidR="004B76F7" w:rsidRPr="009C7698">
        <w:t>other than in Tasmania</w:t>
      </w:r>
      <w:r w:rsidR="009A7F42" w:rsidRPr="009C7698">
        <w:t>, when it was reassessed</w:t>
      </w:r>
      <w:r w:rsidR="004B76F7" w:rsidRPr="009C7698">
        <w:t xml:space="preserve"> in association with the </w:t>
      </w:r>
      <w:r w:rsidR="004B76F7" w:rsidRPr="009C7698">
        <w:rPr>
          <w:rFonts w:eastAsiaTheme="minorEastAsia"/>
        </w:rPr>
        <w:t>2005 Tasmanian Community Forest Agreement (</w:t>
      </w:r>
      <w:r w:rsidR="001D2B5E" w:rsidRPr="009C7698">
        <w:rPr>
          <w:rFonts w:eastAsiaTheme="minorEastAsia"/>
        </w:rPr>
        <w:t xml:space="preserve">a Supplementary Regional Forest Agreement; </w:t>
      </w:r>
      <w:r w:rsidR="004B76F7" w:rsidRPr="009C7698">
        <w:rPr>
          <w:rFonts w:eastAsiaTheme="minorEastAsia"/>
        </w:rPr>
        <w:t>Australian and Tasmanian Governments 2007)</w:t>
      </w:r>
      <w:r w:rsidR="004B76F7" w:rsidRPr="009C7698">
        <w:t>.</w:t>
      </w:r>
    </w:p>
    <w:p w14:paraId="5F94E524" w14:textId="1CB57DC2" w:rsidR="005E6E2D" w:rsidRPr="0005648D" w:rsidRDefault="008E2DD2" w:rsidP="0005648D">
      <w:pPr>
        <w:pStyle w:val="Heading3"/>
        <w:keepLines/>
        <w:spacing w:before="0" w:after="0"/>
        <w:ind w:left="964" w:hanging="964"/>
        <w:rPr>
          <w:bCs/>
          <w:color w:val="FF7900"/>
          <w:sz w:val="36"/>
        </w:rPr>
      </w:pPr>
      <w:bookmarkStart w:id="12" w:name="_Toc58312582"/>
      <w:r>
        <w:rPr>
          <w:bCs/>
          <w:color w:val="FF7900"/>
          <w:sz w:val="36"/>
        </w:rPr>
        <w:t>3</w:t>
      </w:r>
      <w:r w:rsidR="0005648D" w:rsidRPr="0005648D">
        <w:rPr>
          <w:bCs/>
          <w:color w:val="FF7900"/>
          <w:sz w:val="36"/>
        </w:rPr>
        <w:t>.4</w:t>
      </w:r>
      <w:r w:rsidR="0005648D" w:rsidRPr="0005648D">
        <w:rPr>
          <w:bCs/>
          <w:color w:val="FF7900"/>
          <w:sz w:val="36"/>
        </w:rPr>
        <w:tab/>
      </w:r>
      <w:r w:rsidR="00702F90" w:rsidRPr="0005648D">
        <w:rPr>
          <w:bCs/>
          <w:color w:val="FF7900"/>
          <w:sz w:val="36"/>
        </w:rPr>
        <w:t>Changes in n</w:t>
      </w:r>
      <w:r w:rsidR="005E6E2D" w:rsidRPr="0005648D">
        <w:rPr>
          <w:bCs/>
          <w:color w:val="FF7900"/>
          <w:sz w:val="36"/>
        </w:rPr>
        <w:t>et harvestable area</w:t>
      </w:r>
      <w:bookmarkEnd w:id="12"/>
    </w:p>
    <w:p w14:paraId="2CCF92C0" w14:textId="1BFB689B" w:rsidR="00F22B44" w:rsidRPr="009C7698" w:rsidRDefault="003B304E" w:rsidP="00DE2888">
      <w:r w:rsidRPr="009C7698">
        <w:t xml:space="preserve">Net harvestable area </w:t>
      </w:r>
      <w:r w:rsidR="00CA569F" w:rsidRPr="009C7698">
        <w:t xml:space="preserve">(NHA) </w:t>
      </w:r>
      <w:r w:rsidRPr="009C7698">
        <w:t xml:space="preserve">estimates prior to </w:t>
      </w:r>
      <w:r w:rsidR="00C87770">
        <w:t>RFA</w:t>
      </w:r>
      <w:r w:rsidR="00C24D37">
        <w:t xml:space="preserve"> </w:t>
      </w:r>
      <w:r w:rsidR="00BF30CD" w:rsidRPr="00BF30CD">
        <w:t xml:space="preserve">signing (Table A10) are </w:t>
      </w:r>
      <w:r w:rsidRPr="009C7698">
        <w:t xml:space="preserve">state estimates of </w:t>
      </w:r>
      <w:r w:rsidR="000A489F" w:rsidRPr="009C7698">
        <w:t>area</w:t>
      </w:r>
      <w:r w:rsidR="009A7F42" w:rsidRPr="009C7698">
        <w:t>s</w:t>
      </w:r>
      <w:r w:rsidR="000A489F" w:rsidRPr="009C7698">
        <w:t xml:space="preserve"> available </w:t>
      </w:r>
      <w:r w:rsidR="00C24D37">
        <w:t xml:space="preserve">and suitable </w:t>
      </w:r>
      <w:r w:rsidR="000A489F" w:rsidRPr="009C7698">
        <w:t xml:space="preserve">for </w:t>
      </w:r>
      <w:r w:rsidRPr="009C7698">
        <w:t xml:space="preserve">harvesting for sawlogs </w:t>
      </w:r>
      <w:r w:rsidR="000A489F" w:rsidRPr="009C7698">
        <w:t xml:space="preserve">in </w:t>
      </w:r>
      <w:r w:rsidRPr="009C7698">
        <w:t xml:space="preserve">native forests. These </w:t>
      </w:r>
      <w:r w:rsidR="004F203F">
        <w:t>NHA areas</w:t>
      </w:r>
      <w:r w:rsidR="004F203F" w:rsidRPr="009C7698">
        <w:t xml:space="preserve"> </w:t>
      </w:r>
      <w:r w:rsidR="00FC68F6" w:rsidRPr="009C7698">
        <w:t xml:space="preserve">include </w:t>
      </w:r>
      <w:r w:rsidR="009A7F42" w:rsidRPr="009C7698">
        <w:t xml:space="preserve">the </w:t>
      </w:r>
      <w:r w:rsidR="00FC68F6" w:rsidRPr="009C7698">
        <w:t xml:space="preserve">areas </w:t>
      </w:r>
      <w:r w:rsidR="000A489F" w:rsidRPr="009C7698">
        <w:t>subject to a</w:t>
      </w:r>
      <w:r w:rsidR="00FC68F6" w:rsidRPr="009C7698">
        <w:t xml:space="preserve"> moratorium from harvesting during the process leading to signing </w:t>
      </w:r>
      <w:r w:rsidR="00C87770">
        <w:t>RFA</w:t>
      </w:r>
      <w:r w:rsidR="00FC68F6" w:rsidRPr="009C7698">
        <w:t xml:space="preserve">s. </w:t>
      </w:r>
      <w:r w:rsidR="00CA569F" w:rsidRPr="009C7698">
        <w:t>NHA figures</w:t>
      </w:r>
      <w:r w:rsidR="0010075D" w:rsidRPr="009C7698">
        <w:t xml:space="preserve"> </w:t>
      </w:r>
      <w:r w:rsidR="00323F54">
        <w:t xml:space="preserve">immediately following the signing of the </w:t>
      </w:r>
      <w:r w:rsidR="00AB426A" w:rsidRPr="009C7698">
        <w:t>RFA</w:t>
      </w:r>
      <w:r w:rsidR="00323F54">
        <w:t>s</w:t>
      </w:r>
      <w:r w:rsidR="00AB426A" w:rsidRPr="009C7698">
        <w:t xml:space="preserve"> </w:t>
      </w:r>
      <w:r w:rsidR="0010075D" w:rsidRPr="009C7698">
        <w:t>and for the three subsequent period</w:t>
      </w:r>
      <w:r w:rsidR="00AB426A" w:rsidRPr="009C7698">
        <w:t>s</w:t>
      </w:r>
      <w:r w:rsidR="00CA569F" w:rsidRPr="009C7698">
        <w:t xml:space="preserve"> presented </w:t>
      </w:r>
      <w:r w:rsidR="00BF30CD" w:rsidRPr="00BF30CD">
        <w:t xml:space="preserve">in Table A10 are based </w:t>
      </w:r>
      <w:r w:rsidR="0010075D" w:rsidRPr="009C7698">
        <w:t xml:space="preserve">on state government data provided to the National Forest Inventory. </w:t>
      </w:r>
      <w:r w:rsidR="00975F2A" w:rsidRPr="009C7698">
        <w:t xml:space="preserve">Victorian </w:t>
      </w:r>
      <w:r w:rsidR="000A489F" w:rsidRPr="009C7698">
        <w:t xml:space="preserve">area </w:t>
      </w:r>
      <w:r w:rsidR="00975F2A" w:rsidRPr="009C7698">
        <w:t xml:space="preserve">estimates </w:t>
      </w:r>
      <w:r w:rsidR="000A489F" w:rsidRPr="009C7698">
        <w:t xml:space="preserve">prior to </w:t>
      </w:r>
      <w:r w:rsidR="00C87770">
        <w:t>RFA</w:t>
      </w:r>
      <w:r w:rsidR="000A489F" w:rsidRPr="009C7698">
        <w:t xml:space="preserve">s </w:t>
      </w:r>
      <w:r w:rsidR="00975F2A" w:rsidRPr="009C7698">
        <w:t xml:space="preserve">are based on </w:t>
      </w:r>
      <w:r w:rsidR="007C6B67" w:rsidRPr="009C7698">
        <w:t xml:space="preserve">Victoria’s </w:t>
      </w:r>
      <w:r w:rsidR="007C6B67" w:rsidRPr="009C7698">
        <w:rPr>
          <w:rFonts w:eastAsiaTheme="minorHAnsi" w:cs="Verdana"/>
        </w:rPr>
        <w:t>Hardwood Area Resource Information System (HARIS)</w:t>
      </w:r>
      <w:r w:rsidR="007C6B67" w:rsidRPr="009C7698">
        <w:t xml:space="preserve"> </w:t>
      </w:r>
      <w:r w:rsidR="00975F2A" w:rsidRPr="009C7698">
        <w:t>data</w:t>
      </w:r>
      <w:r w:rsidR="000A489F" w:rsidRPr="009C7698">
        <w:rPr>
          <w:rStyle w:val="CommentReference"/>
          <w:rFonts w:asciiTheme="majorHAnsi" w:hAnsiTheme="majorHAnsi"/>
          <w:sz w:val="22"/>
          <w:szCs w:val="22"/>
        </w:rPr>
        <w:t>;</w:t>
      </w:r>
      <w:r w:rsidR="00975F2A" w:rsidRPr="009C7698">
        <w:t xml:space="preserve"> figures after that date are based on estimates and methodology</w:t>
      </w:r>
      <w:r w:rsidR="00E83F3D" w:rsidRPr="009C7698">
        <w:t xml:space="preserve"> used </w:t>
      </w:r>
      <w:r w:rsidR="00C24D37">
        <w:t xml:space="preserve">over time </w:t>
      </w:r>
      <w:r w:rsidR="00E83F3D" w:rsidRPr="009C7698">
        <w:t>to calculate wood resources from Victorian public forests</w:t>
      </w:r>
      <w:r w:rsidR="00975F2A" w:rsidRPr="009C7698">
        <w:t xml:space="preserve">. </w:t>
      </w:r>
      <w:r w:rsidR="000A489F" w:rsidRPr="009C7698">
        <w:t xml:space="preserve">New South Wales </w:t>
      </w:r>
      <w:r w:rsidR="00422FE7" w:rsidRPr="009C7698">
        <w:t xml:space="preserve">NHA </w:t>
      </w:r>
      <w:r w:rsidR="00975F2A" w:rsidRPr="009C7698">
        <w:t xml:space="preserve">estimates </w:t>
      </w:r>
      <w:r w:rsidR="000A489F" w:rsidRPr="009C7698">
        <w:t xml:space="preserve">prior to </w:t>
      </w:r>
      <w:r w:rsidR="00C87770">
        <w:t>RFA</w:t>
      </w:r>
      <w:r w:rsidR="000A489F" w:rsidRPr="009C7698">
        <w:t xml:space="preserve">s </w:t>
      </w:r>
      <w:r w:rsidR="00975F2A" w:rsidRPr="009C7698">
        <w:t xml:space="preserve">are </w:t>
      </w:r>
      <w:r w:rsidR="00C24D37">
        <w:t xml:space="preserve">similarly </w:t>
      </w:r>
      <w:r w:rsidR="00975F2A" w:rsidRPr="009C7698">
        <w:t>based on old</w:t>
      </w:r>
      <w:r w:rsidR="000A489F" w:rsidRPr="009C7698">
        <w:t>er</w:t>
      </w:r>
      <w:r w:rsidR="00975F2A" w:rsidRPr="009C7698">
        <w:t xml:space="preserve"> inventory data and figures</w:t>
      </w:r>
      <w:r w:rsidR="000A489F" w:rsidRPr="009C7698">
        <w:t>,</w:t>
      </w:r>
      <w:r w:rsidR="00FC68F6" w:rsidRPr="009C7698">
        <w:t xml:space="preserve"> </w:t>
      </w:r>
      <w:r w:rsidR="000A489F" w:rsidRPr="009C7698">
        <w:t xml:space="preserve">while figures </w:t>
      </w:r>
      <w:r w:rsidR="00975F2A" w:rsidRPr="009C7698">
        <w:t>after that date include net harvestable area modifier estimates</w:t>
      </w:r>
      <w:r w:rsidR="00495F28" w:rsidRPr="009C7698">
        <w:t xml:space="preserve"> (Forests NSW 2012).</w:t>
      </w:r>
      <w:r w:rsidRPr="009C7698">
        <w:t xml:space="preserve"> </w:t>
      </w:r>
    </w:p>
    <w:p w14:paraId="22F0BA5E" w14:textId="64E468AA" w:rsidR="00702F90" w:rsidRPr="00DE2888" w:rsidRDefault="008E2DD2" w:rsidP="00DE2888">
      <w:pPr>
        <w:pStyle w:val="Heading3"/>
        <w:keepLines/>
        <w:spacing w:before="0" w:after="0"/>
        <w:ind w:left="964" w:hanging="964"/>
        <w:rPr>
          <w:bCs/>
          <w:color w:val="FF7900"/>
          <w:sz w:val="36"/>
        </w:rPr>
      </w:pPr>
      <w:bookmarkStart w:id="13" w:name="_Toc58312583"/>
      <w:r>
        <w:rPr>
          <w:bCs/>
          <w:color w:val="FF7900"/>
          <w:sz w:val="36"/>
        </w:rPr>
        <w:lastRenderedPageBreak/>
        <w:t>3</w:t>
      </w:r>
      <w:r w:rsidR="0005648D" w:rsidRPr="00DE2888">
        <w:rPr>
          <w:bCs/>
          <w:color w:val="FF7900"/>
          <w:sz w:val="36"/>
        </w:rPr>
        <w:t>.5</w:t>
      </w:r>
      <w:r w:rsidR="0005648D" w:rsidRPr="00DE2888">
        <w:rPr>
          <w:bCs/>
          <w:color w:val="FF7900"/>
          <w:sz w:val="36"/>
        </w:rPr>
        <w:tab/>
      </w:r>
      <w:r w:rsidR="00702F90" w:rsidRPr="00DE2888">
        <w:rPr>
          <w:bCs/>
          <w:color w:val="FF7900"/>
          <w:sz w:val="36"/>
        </w:rPr>
        <w:t>Sustainable and actual yields</w:t>
      </w:r>
      <w:bookmarkEnd w:id="13"/>
    </w:p>
    <w:p w14:paraId="346CB41E" w14:textId="54A775C7" w:rsidR="004B1DDD" w:rsidRDefault="00702F90" w:rsidP="00DE2888">
      <w:r>
        <w:t>Sustainable</w:t>
      </w:r>
      <w:r w:rsidR="00975F2A" w:rsidRPr="009C7698">
        <w:t xml:space="preserve"> yield and </w:t>
      </w:r>
      <w:r>
        <w:t xml:space="preserve">actual </w:t>
      </w:r>
      <w:r w:rsidR="00975F2A" w:rsidRPr="009C7698">
        <w:t xml:space="preserve">yield </w:t>
      </w:r>
      <w:r w:rsidR="00364CBE" w:rsidRPr="009C7698">
        <w:t xml:space="preserve">data for </w:t>
      </w:r>
      <w:r w:rsidR="00C24D37">
        <w:t xml:space="preserve">RFA </w:t>
      </w:r>
      <w:r w:rsidR="00BF30CD" w:rsidRPr="00BF30CD">
        <w:t xml:space="preserve">regions (Figure 1) are for </w:t>
      </w:r>
      <w:r w:rsidR="00364CBE" w:rsidRPr="009C7698">
        <w:t>the following log categories</w:t>
      </w:r>
      <w:r w:rsidR="00E62B56" w:rsidRPr="009C7698">
        <w:t xml:space="preserve"> (MIG and NFISC 201</w:t>
      </w:r>
      <w:r w:rsidR="00774055">
        <w:t>8</w:t>
      </w:r>
      <w:r w:rsidR="00E62B56" w:rsidRPr="009C7698">
        <w:t>)</w:t>
      </w:r>
      <w:r w:rsidR="00975F2A" w:rsidRPr="009C7698">
        <w:t>: New South Wales</w:t>
      </w:r>
      <w:r w:rsidR="00E62B56" w:rsidRPr="009C7698">
        <w:t>,</w:t>
      </w:r>
      <w:r w:rsidR="00975F2A" w:rsidRPr="009C7698">
        <w:t xml:space="preserve"> high-quality sawlogs and equivalents from native forest</w:t>
      </w:r>
      <w:r w:rsidR="00E62B56" w:rsidRPr="009C7698">
        <w:t>;</w:t>
      </w:r>
      <w:r w:rsidR="00975F2A" w:rsidRPr="009C7698">
        <w:t xml:space="preserve"> Tasmania</w:t>
      </w:r>
      <w:r w:rsidR="00E62B56" w:rsidRPr="009C7698">
        <w:t>,</w:t>
      </w:r>
      <w:r w:rsidR="00975F2A" w:rsidRPr="009C7698">
        <w:t xml:space="preserve"> category 1 and 3 sawlogs and veneer logs</w:t>
      </w:r>
      <w:r w:rsidR="00E62B56" w:rsidRPr="009C7698">
        <w:t>;</w:t>
      </w:r>
      <w:r w:rsidR="00975F2A" w:rsidRPr="009C7698">
        <w:t xml:space="preserve"> Victoria</w:t>
      </w:r>
      <w:r w:rsidR="00E62B56" w:rsidRPr="009C7698">
        <w:t>,</w:t>
      </w:r>
      <w:r w:rsidR="00975F2A" w:rsidRPr="009C7698">
        <w:t xml:space="preserve"> D+ sawlogs and equivalents</w:t>
      </w:r>
      <w:r w:rsidR="00E62B56" w:rsidRPr="009C7698">
        <w:t>;</w:t>
      </w:r>
      <w:r w:rsidR="00975F2A" w:rsidRPr="009C7698">
        <w:t xml:space="preserve"> Western Australia</w:t>
      </w:r>
      <w:r w:rsidR="00E62B56" w:rsidRPr="009C7698">
        <w:t>,</w:t>
      </w:r>
      <w:r w:rsidR="00975F2A" w:rsidRPr="009C7698">
        <w:t xml:space="preserve"> 1</w:t>
      </w:r>
      <w:r w:rsidR="00975F2A" w:rsidRPr="009C7698">
        <w:rPr>
          <w:vertAlign w:val="superscript"/>
        </w:rPr>
        <w:t>st</w:t>
      </w:r>
      <w:r w:rsidR="00975F2A" w:rsidRPr="009C7698">
        <w:t xml:space="preserve"> and 2</w:t>
      </w:r>
      <w:r w:rsidR="00975F2A" w:rsidRPr="009C7698">
        <w:rPr>
          <w:vertAlign w:val="superscript"/>
        </w:rPr>
        <w:t>nd</w:t>
      </w:r>
      <w:r w:rsidR="00975F2A" w:rsidRPr="009C7698">
        <w:t xml:space="preserve"> grade sawlogs</w:t>
      </w:r>
      <w:r w:rsidR="00E62B56" w:rsidRPr="009C7698">
        <w:t>.</w:t>
      </w:r>
      <w:r w:rsidR="00FC68F6" w:rsidRPr="009C7698">
        <w:t xml:space="preserve"> </w:t>
      </w:r>
      <w:r w:rsidR="00E62B56" w:rsidRPr="009C7698">
        <w:t>T</w:t>
      </w:r>
      <w:r w:rsidR="00E860E3" w:rsidRPr="009C7698">
        <w:t>he accuracy of the data increase</w:t>
      </w:r>
      <w:r w:rsidR="00E62B56" w:rsidRPr="009C7698">
        <w:t>s</w:t>
      </w:r>
      <w:r w:rsidR="00E860E3" w:rsidRPr="009C7698">
        <w:t xml:space="preserve"> with each reporting period.</w:t>
      </w:r>
    </w:p>
    <w:p w14:paraId="3F65B745" w14:textId="24639B00" w:rsidR="00975F2A" w:rsidRPr="009C7698" w:rsidRDefault="0011591A" w:rsidP="00DE2888">
      <w:r>
        <w:t>H</w:t>
      </w:r>
      <w:r w:rsidR="00BD65A6" w:rsidRPr="009C7698">
        <w:t>igh-quality sawlogs</w:t>
      </w:r>
      <w:r w:rsidR="00BD65A6">
        <w:t xml:space="preserve"> </w:t>
      </w:r>
      <w:r w:rsidR="004F65C6">
        <w:t xml:space="preserve">purchased </w:t>
      </w:r>
      <w:r w:rsidR="00BD65A6">
        <w:t xml:space="preserve">from private native forests </w:t>
      </w:r>
      <w:r>
        <w:t>are incorporated into</w:t>
      </w:r>
      <w:r w:rsidR="00BD65A6">
        <w:t xml:space="preserve"> the sustainable yields in north-eastern New South Wales</w:t>
      </w:r>
      <w:r w:rsidR="006F0CE2">
        <w:t xml:space="preserve"> (</w:t>
      </w:r>
      <w:r w:rsidR="006F0CE2" w:rsidRPr="009C7698">
        <w:t>MIG and NFISC 201</w:t>
      </w:r>
      <w:r w:rsidR="006F0CE2">
        <w:t>8</w:t>
      </w:r>
      <w:r w:rsidR="006F0CE2" w:rsidRPr="009C7698">
        <w:t>)</w:t>
      </w:r>
      <w:r w:rsidR="00BD65A6">
        <w:t xml:space="preserve">. </w:t>
      </w:r>
      <w:r>
        <w:t>Sustainable yield estimates in New South Wales and Tasmania include h</w:t>
      </w:r>
      <w:r w:rsidR="00BD65A6" w:rsidRPr="009C7698">
        <w:t>igh-quality sawlog</w:t>
      </w:r>
      <w:r>
        <w:t xml:space="preserve"> supplementation</w:t>
      </w:r>
      <w:r w:rsidR="00BD65A6">
        <w:t xml:space="preserve"> from </w:t>
      </w:r>
      <w:r>
        <w:t xml:space="preserve">public </w:t>
      </w:r>
      <w:r w:rsidR="00BD65A6">
        <w:t>hardwood plantation</w:t>
      </w:r>
      <w:r w:rsidR="006C47EB">
        <w:t>s</w:t>
      </w:r>
      <w:r w:rsidR="006F0CE2">
        <w:t xml:space="preserve"> (</w:t>
      </w:r>
      <w:r w:rsidR="006F0CE2" w:rsidRPr="009C7698">
        <w:t>MIG and NFISC 201</w:t>
      </w:r>
      <w:r w:rsidR="006F0CE2">
        <w:t>8</w:t>
      </w:r>
      <w:r w:rsidR="006F0CE2" w:rsidRPr="009C7698">
        <w:t>)</w:t>
      </w:r>
      <w:r>
        <w:t>.</w:t>
      </w:r>
    </w:p>
    <w:p w14:paraId="1027B614" w14:textId="4E3F9B83" w:rsidR="00437354" w:rsidRPr="006274B1" w:rsidRDefault="00437354" w:rsidP="00552614">
      <w:pPr>
        <w:pStyle w:val="Heading2"/>
        <w:keepNext/>
        <w:keepLines/>
        <w:numPr>
          <w:ilvl w:val="0"/>
          <w:numId w:val="6"/>
        </w:numPr>
        <w:spacing w:after="240"/>
        <w:ind w:left="709" w:hanging="709"/>
        <w:jc w:val="left"/>
        <w:rPr>
          <w:rFonts w:ascii="Calibri" w:eastAsiaTheme="minorEastAsia" w:hAnsi="Calibri" w:cstheme="minorBidi"/>
          <w:b w:val="0"/>
          <w:color w:val="000000"/>
          <w:sz w:val="56"/>
          <w:szCs w:val="28"/>
          <w:lang w:eastAsia="ja-JP"/>
        </w:rPr>
      </w:pPr>
      <w:bookmarkStart w:id="14" w:name="_Toc58312584"/>
      <w:r w:rsidRPr="006274B1">
        <w:rPr>
          <w:rFonts w:ascii="Calibri" w:eastAsiaTheme="minorEastAsia" w:hAnsi="Calibri" w:cstheme="minorBidi"/>
          <w:b w:val="0"/>
          <w:color w:val="000000"/>
          <w:sz w:val="56"/>
          <w:szCs w:val="28"/>
          <w:lang w:eastAsia="ja-JP"/>
        </w:rPr>
        <w:t xml:space="preserve">Outcomes of </w:t>
      </w:r>
      <w:r w:rsidR="00A10046">
        <w:rPr>
          <w:rFonts w:ascii="Calibri" w:eastAsiaTheme="minorEastAsia" w:hAnsi="Calibri" w:cstheme="minorBidi"/>
          <w:b w:val="0"/>
          <w:color w:val="000000"/>
          <w:sz w:val="56"/>
          <w:szCs w:val="28"/>
          <w:lang w:eastAsia="ja-JP"/>
        </w:rPr>
        <w:t>R</w:t>
      </w:r>
      <w:r w:rsidRPr="006274B1">
        <w:rPr>
          <w:rFonts w:ascii="Calibri" w:eastAsiaTheme="minorEastAsia" w:hAnsi="Calibri" w:cstheme="minorBidi"/>
          <w:b w:val="0"/>
          <w:color w:val="000000"/>
          <w:sz w:val="56"/>
          <w:szCs w:val="28"/>
          <w:lang w:eastAsia="ja-JP"/>
        </w:rPr>
        <w:t xml:space="preserve">egional </w:t>
      </w:r>
      <w:r w:rsidR="00A10046">
        <w:rPr>
          <w:rFonts w:ascii="Calibri" w:eastAsiaTheme="minorEastAsia" w:hAnsi="Calibri" w:cstheme="minorBidi"/>
          <w:b w:val="0"/>
          <w:color w:val="000000"/>
          <w:sz w:val="56"/>
          <w:szCs w:val="28"/>
          <w:lang w:eastAsia="ja-JP"/>
        </w:rPr>
        <w:t>F</w:t>
      </w:r>
      <w:r w:rsidRPr="006274B1">
        <w:rPr>
          <w:rFonts w:ascii="Calibri" w:eastAsiaTheme="minorEastAsia" w:hAnsi="Calibri" w:cstheme="minorBidi"/>
          <w:b w:val="0"/>
          <w:color w:val="000000"/>
          <w:sz w:val="56"/>
          <w:szCs w:val="28"/>
          <w:lang w:eastAsia="ja-JP"/>
        </w:rPr>
        <w:t xml:space="preserve">orest </w:t>
      </w:r>
      <w:r w:rsidR="00A10046">
        <w:rPr>
          <w:rFonts w:ascii="Calibri" w:eastAsiaTheme="minorEastAsia" w:hAnsi="Calibri" w:cstheme="minorBidi"/>
          <w:b w:val="0"/>
          <w:color w:val="000000"/>
          <w:sz w:val="56"/>
          <w:szCs w:val="28"/>
          <w:lang w:eastAsia="ja-JP"/>
        </w:rPr>
        <w:t>A</w:t>
      </w:r>
      <w:r w:rsidRPr="006274B1">
        <w:rPr>
          <w:rFonts w:ascii="Calibri" w:eastAsiaTheme="minorEastAsia" w:hAnsi="Calibri" w:cstheme="minorBidi"/>
          <w:b w:val="0"/>
          <w:color w:val="000000"/>
          <w:sz w:val="56"/>
          <w:szCs w:val="28"/>
          <w:lang w:eastAsia="ja-JP"/>
        </w:rPr>
        <w:t>greements</w:t>
      </w:r>
      <w:bookmarkEnd w:id="14"/>
    </w:p>
    <w:p w14:paraId="0A845E2C" w14:textId="4E025669" w:rsidR="00D01F77" w:rsidRPr="00DE2888" w:rsidRDefault="008E2DD2" w:rsidP="00DE2888">
      <w:pPr>
        <w:pStyle w:val="Heading3"/>
        <w:keepLines/>
        <w:spacing w:before="0" w:after="0"/>
        <w:ind w:left="964" w:hanging="964"/>
        <w:rPr>
          <w:bCs/>
          <w:color w:val="FF7900"/>
          <w:sz w:val="36"/>
        </w:rPr>
      </w:pPr>
      <w:bookmarkStart w:id="15" w:name="_Toc58312585"/>
      <w:r>
        <w:rPr>
          <w:bCs/>
          <w:color w:val="FF7900"/>
          <w:sz w:val="36"/>
        </w:rPr>
        <w:t>4</w:t>
      </w:r>
      <w:r w:rsidR="00DE2888">
        <w:rPr>
          <w:bCs/>
          <w:color w:val="FF7900"/>
          <w:sz w:val="36"/>
        </w:rPr>
        <w:t>.1</w:t>
      </w:r>
      <w:r w:rsidR="00DE2888">
        <w:rPr>
          <w:bCs/>
          <w:color w:val="FF7900"/>
          <w:sz w:val="36"/>
        </w:rPr>
        <w:tab/>
      </w:r>
      <w:r w:rsidR="00DF5180" w:rsidRPr="00DE2888">
        <w:rPr>
          <w:bCs/>
          <w:color w:val="FF7900"/>
          <w:sz w:val="36"/>
        </w:rPr>
        <w:t>C</w:t>
      </w:r>
      <w:r w:rsidR="00D01F77" w:rsidRPr="00DE2888">
        <w:rPr>
          <w:bCs/>
          <w:color w:val="FF7900"/>
          <w:sz w:val="36"/>
        </w:rPr>
        <w:t>omprehensive, adequate and representative reserve system</w:t>
      </w:r>
      <w:bookmarkEnd w:id="15"/>
      <w:r w:rsidR="00D01F77" w:rsidRPr="00DE2888">
        <w:rPr>
          <w:bCs/>
          <w:color w:val="FF7900"/>
          <w:sz w:val="36"/>
        </w:rPr>
        <w:t xml:space="preserve"> </w:t>
      </w:r>
    </w:p>
    <w:p w14:paraId="77DA9DCC" w14:textId="34794F7B" w:rsidR="002A2F3F" w:rsidRDefault="00267206" w:rsidP="00DE2888">
      <w:r w:rsidRPr="009C7698">
        <w:t>T</w:t>
      </w:r>
      <w:r w:rsidR="005E4DA6" w:rsidRPr="009C7698">
        <w:t xml:space="preserve">he </w:t>
      </w:r>
      <w:r w:rsidRPr="009C7698">
        <w:t xml:space="preserve">nationally agreed </w:t>
      </w:r>
      <w:r w:rsidR="005E4DA6" w:rsidRPr="009C7698">
        <w:t xml:space="preserve">criteria for </w:t>
      </w:r>
      <w:r w:rsidR="00DE244E" w:rsidRPr="009C7698">
        <w:t xml:space="preserve">a </w:t>
      </w:r>
      <w:r w:rsidR="005E4DA6" w:rsidRPr="009C7698">
        <w:t xml:space="preserve">comprehensive, adequate and representative </w:t>
      </w:r>
      <w:r w:rsidR="00E83F3D" w:rsidRPr="009C7698">
        <w:t xml:space="preserve">(CAR) </w:t>
      </w:r>
      <w:r w:rsidR="005E4DA6" w:rsidRPr="009C7698">
        <w:t xml:space="preserve">reserve system (JANIS 1997) </w:t>
      </w:r>
      <w:r w:rsidRPr="009C7698">
        <w:t xml:space="preserve">were based on assessment of regional biodiversity, old-growth forest and heritage values, </w:t>
      </w:r>
      <w:r w:rsidR="005E4DA6" w:rsidRPr="009C7698">
        <w:t xml:space="preserve">and </w:t>
      </w:r>
      <w:r w:rsidRPr="009C7698">
        <w:t xml:space="preserve">were </w:t>
      </w:r>
      <w:r w:rsidR="005E4DA6" w:rsidRPr="009C7698">
        <w:t xml:space="preserve">implemented </w:t>
      </w:r>
      <w:r w:rsidRPr="009C7698">
        <w:t xml:space="preserve">as a direct consequence of </w:t>
      </w:r>
      <w:r w:rsidR="00AC2BF5">
        <w:t xml:space="preserve">the </w:t>
      </w:r>
      <w:r w:rsidR="00C87770">
        <w:t>RFA</w:t>
      </w:r>
      <w:r w:rsidRPr="009C7698">
        <w:t xml:space="preserve">s </w:t>
      </w:r>
      <w:r w:rsidR="005E4DA6" w:rsidRPr="009C7698">
        <w:t>(Australian Government 2000, Commonwealth of Australia 2000).</w:t>
      </w:r>
      <w:r w:rsidR="00E83F3D" w:rsidRPr="009C7698">
        <w:t xml:space="preserve"> The CAR reserve system on public land </w:t>
      </w:r>
      <w:r w:rsidR="00AC2BF5">
        <w:t xml:space="preserve">created at RFA signing </w:t>
      </w:r>
      <w:r w:rsidR="00E83F3D" w:rsidRPr="009C7698">
        <w:t xml:space="preserve">comprises formal and informal reserves </w:t>
      </w:r>
      <w:r w:rsidR="002A2F3F">
        <w:t xml:space="preserve">as well as </w:t>
      </w:r>
      <w:r w:rsidR="00E83F3D" w:rsidRPr="009C7698">
        <w:t>areas managed by prescription to protect biodiversity, old-growth and wilderness values.</w:t>
      </w:r>
      <w:r w:rsidR="005E4DA6" w:rsidRPr="009C7698">
        <w:t xml:space="preserve"> </w:t>
      </w:r>
      <w:r w:rsidR="00AC2BF5">
        <w:t>Protected areas on private land also form part of the CAR reserve system.</w:t>
      </w:r>
    </w:p>
    <w:p w14:paraId="6091E52B" w14:textId="4AFA154B" w:rsidR="000A2CB8" w:rsidRPr="009C7698" w:rsidRDefault="00AC6164" w:rsidP="00DE2888">
      <w:r w:rsidRPr="009C7698">
        <w:t>Th</w:t>
      </w:r>
      <w:r w:rsidR="00267206" w:rsidRPr="009C7698">
        <w:t>is</w:t>
      </w:r>
      <w:r w:rsidRPr="009C7698">
        <w:t xml:space="preserve"> process led to m</w:t>
      </w:r>
      <w:r w:rsidR="005E4DA6" w:rsidRPr="009C7698">
        <w:t>ajor advances in regional approaches to ecologically sustainable forest management</w:t>
      </w:r>
      <w:r w:rsidRPr="009C7698">
        <w:t>,</w:t>
      </w:r>
      <w:r w:rsidR="005E4DA6" w:rsidRPr="009C7698">
        <w:t xml:space="preserve"> particularly systems applying </w:t>
      </w:r>
      <w:r w:rsidRPr="009C7698">
        <w:t xml:space="preserve">involving management by prescription </w:t>
      </w:r>
      <w:r w:rsidR="000A2CB8" w:rsidRPr="009C7698">
        <w:t>(</w:t>
      </w:r>
      <w:r w:rsidR="00EF0B15" w:rsidRPr="009C7698">
        <w:t xml:space="preserve">Koch et al. 2012, </w:t>
      </w:r>
      <w:r w:rsidR="000A2CB8" w:rsidRPr="009C7698">
        <w:t>Davey 201</w:t>
      </w:r>
      <w:r w:rsidR="009534E1">
        <w:t>8</w:t>
      </w:r>
      <w:r w:rsidR="000A2CB8" w:rsidRPr="009C7698">
        <w:t>)</w:t>
      </w:r>
      <w:r w:rsidR="005E4DA6" w:rsidRPr="009C7698">
        <w:t>.</w:t>
      </w:r>
      <w:r w:rsidR="00FE4D07" w:rsidRPr="009C7698">
        <w:t xml:space="preserve"> </w:t>
      </w:r>
    </w:p>
    <w:p w14:paraId="5CB9ECD2" w14:textId="58480239" w:rsidR="00B115C7" w:rsidRPr="00B71F68" w:rsidRDefault="008E2DD2" w:rsidP="00B71F68">
      <w:pPr>
        <w:pStyle w:val="Heading3"/>
        <w:ind w:left="993" w:hanging="993"/>
        <w:rPr>
          <w:iCs/>
          <w:color w:val="DE3831"/>
          <w:sz w:val="28"/>
        </w:rPr>
      </w:pPr>
      <w:bookmarkStart w:id="16" w:name="_Toc58312586"/>
      <w:r>
        <w:rPr>
          <w:iCs/>
          <w:color w:val="DE3831"/>
          <w:sz w:val="28"/>
        </w:rPr>
        <w:t>4</w:t>
      </w:r>
      <w:r w:rsidR="00B71F68" w:rsidRPr="00B71F68">
        <w:rPr>
          <w:iCs/>
          <w:color w:val="DE3831"/>
          <w:sz w:val="28"/>
        </w:rPr>
        <w:t>.1.1</w:t>
      </w:r>
      <w:r w:rsidR="00B71F68" w:rsidRPr="00B71F68">
        <w:rPr>
          <w:iCs/>
          <w:color w:val="DE3831"/>
          <w:sz w:val="28"/>
        </w:rPr>
        <w:tab/>
      </w:r>
      <w:r w:rsidR="0012275A" w:rsidRPr="00B71F68">
        <w:rPr>
          <w:iCs/>
          <w:color w:val="DE3831"/>
          <w:sz w:val="28"/>
        </w:rPr>
        <w:t xml:space="preserve">Ecosystem </w:t>
      </w:r>
      <w:r w:rsidR="00B115C7" w:rsidRPr="00B71F68">
        <w:rPr>
          <w:iCs/>
          <w:color w:val="DE3831"/>
          <w:sz w:val="28"/>
        </w:rPr>
        <w:t>reservation and protection</w:t>
      </w:r>
      <w:bookmarkEnd w:id="16"/>
    </w:p>
    <w:p w14:paraId="09B6D1F2" w14:textId="2EBEF89C" w:rsidR="00F612D0" w:rsidRDefault="0042049A" w:rsidP="00F612D0">
      <w:pPr>
        <w:rPr>
          <w:rFonts w:eastAsiaTheme="minorEastAsia"/>
        </w:rPr>
      </w:pPr>
      <w:r>
        <w:t>Table A1</w:t>
      </w:r>
      <w:r w:rsidR="00702F90">
        <w:t>–</w:t>
      </w:r>
      <w:r w:rsidR="000429F0">
        <w:t>A</w:t>
      </w:r>
      <w:r w:rsidR="0010075D" w:rsidRPr="009C7698">
        <w:t>5</w:t>
      </w:r>
      <w:r w:rsidR="00563EB2" w:rsidRPr="009C7698">
        <w:t xml:space="preserve"> pr</w:t>
      </w:r>
      <w:r w:rsidR="002D3956" w:rsidRPr="009C7698">
        <w:t>ovide</w:t>
      </w:r>
      <w:r w:rsidR="00563EB2" w:rsidRPr="009C7698">
        <w:t xml:space="preserve"> collated statistics </w:t>
      </w:r>
      <w:r w:rsidR="00D606B4" w:rsidRPr="009C7698">
        <w:t>on</w:t>
      </w:r>
      <w:r w:rsidR="009A58A8" w:rsidRPr="009C7698">
        <w:t xml:space="preserve"> </w:t>
      </w:r>
      <w:r w:rsidR="00AC2BF5">
        <w:t xml:space="preserve">the reservation of </w:t>
      </w:r>
      <w:r w:rsidR="006C47EB">
        <w:t xml:space="preserve">terrestrial ecosystems (comprising </w:t>
      </w:r>
      <w:r w:rsidR="009A58A8" w:rsidRPr="009C7698">
        <w:t>native</w:t>
      </w:r>
      <w:r w:rsidR="00D606B4" w:rsidRPr="009C7698">
        <w:t xml:space="preserve"> forest and non-forest </w:t>
      </w:r>
      <w:r w:rsidR="00AC2BF5">
        <w:t>ecosystems</w:t>
      </w:r>
      <w:r w:rsidR="006C47EB">
        <w:t>)</w:t>
      </w:r>
      <w:r w:rsidR="00AC2BF5">
        <w:t xml:space="preserve"> </w:t>
      </w:r>
      <w:r w:rsidR="00563EB2" w:rsidRPr="009C7698">
        <w:t xml:space="preserve">for all </w:t>
      </w:r>
      <w:r w:rsidR="008E67BF">
        <w:t>RFA</w:t>
      </w:r>
      <w:r w:rsidR="00D606B4" w:rsidRPr="009C7698">
        <w:t xml:space="preserve"> </w:t>
      </w:r>
      <w:r w:rsidR="00274905">
        <w:t>regions</w:t>
      </w:r>
      <w:r w:rsidR="00274905" w:rsidRPr="009C7698">
        <w:t xml:space="preserve"> </w:t>
      </w:r>
      <w:r w:rsidR="00563EB2" w:rsidRPr="009C7698">
        <w:t>before and after</w:t>
      </w:r>
      <w:r w:rsidR="00563EB2" w:rsidRPr="009C7698">
        <w:rPr>
          <w:rFonts w:eastAsiaTheme="minorEastAsia"/>
        </w:rPr>
        <w:t xml:space="preserve"> the signing of </w:t>
      </w:r>
      <w:r w:rsidR="008E67BF">
        <w:rPr>
          <w:rFonts w:eastAsiaTheme="minorEastAsia"/>
        </w:rPr>
        <w:t>RFA</w:t>
      </w:r>
      <w:r w:rsidR="00563EB2" w:rsidRPr="009C7698">
        <w:rPr>
          <w:rFonts w:eastAsiaTheme="minorEastAsia"/>
        </w:rPr>
        <w:t>s</w:t>
      </w:r>
      <w:r w:rsidR="00113855">
        <w:rPr>
          <w:rFonts w:eastAsiaTheme="minorEastAsia"/>
        </w:rPr>
        <w:t xml:space="preserve">, and in most recent </w:t>
      </w:r>
      <w:r w:rsidR="00BF30CD" w:rsidRPr="00BF30CD">
        <w:rPr>
          <w:rFonts w:eastAsiaTheme="minorEastAsia"/>
        </w:rPr>
        <w:t xml:space="preserve">data. Figure 2 summarises </w:t>
      </w:r>
      <w:r w:rsidR="00F612D0">
        <w:rPr>
          <w:rFonts w:eastAsiaTheme="minorEastAsia"/>
        </w:rPr>
        <w:t xml:space="preserve">the total area of terrestrial ecosystems in RFA regions by state, and the area in reserves </w:t>
      </w:r>
      <w:r w:rsidR="009352C5">
        <w:rPr>
          <w:rFonts w:eastAsiaTheme="minorEastAsia"/>
        </w:rPr>
        <w:t xml:space="preserve">or </w:t>
      </w:r>
      <w:r w:rsidR="00F612D0">
        <w:rPr>
          <w:rFonts w:eastAsiaTheme="minorEastAsia"/>
        </w:rPr>
        <w:t>the CAR reserve system at different periods before and after signing of the RFAs.</w:t>
      </w:r>
    </w:p>
    <w:p w14:paraId="4F0F5E45" w14:textId="422A763C" w:rsidR="00831C40" w:rsidRDefault="009352C5" w:rsidP="00BF30CD">
      <w:pPr>
        <w:pStyle w:val="Caption"/>
        <w:ind w:firstLine="0"/>
      </w:pPr>
      <w:bookmarkStart w:id="17" w:name="_Ref55396009"/>
      <w:bookmarkStart w:id="18" w:name="_Toc58234976"/>
      <w:r>
        <w:lastRenderedPageBreak/>
        <w:t xml:space="preserve">Figure </w:t>
      </w:r>
      <w:r w:rsidR="00211232">
        <w:rPr>
          <w:noProof/>
        </w:rPr>
        <w:fldChar w:fldCharType="begin"/>
      </w:r>
      <w:r w:rsidR="00211232">
        <w:rPr>
          <w:noProof/>
        </w:rPr>
        <w:instrText xml:space="preserve"> SEQ Figure \* ARABIC </w:instrText>
      </w:r>
      <w:r w:rsidR="00211232">
        <w:rPr>
          <w:noProof/>
        </w:rPr>
        <w:fldChar w:fldCharType="separate"/>
      </w:r>
      <w:r w:rsidR="00CC3B42">
        <w:rPr>
          <w:noProof/>
        </w:rPr>
        <w:t>2</w:t>
      </w:r>
      <w:r w:rsidR="00211232">
        <w:rPr>
          <w:noProof/>
        </w:rPr>
        <w:fldChar w:fldCharType="end"/>
      </w:r>
      <w:bookmarkEnd w:id="17"/>
      <w:r>
        <w:t xml:space="preserve"> </w:t>
      </w:r>
      <w:r w:rsidR="00295FA6" w:rsidRPr="00A65626">
        <w:t>Total area of terrestrial native ecosystems in RFA regions and the area in reserves</w:t>
      </w:r>
      <w:r w:rsidR="00295FA6">
        <w:t xml:space="preserve"> or the </w:t>
      </w:r>
      <w:r w:rsidR="00295FA6" w:rsidRPr="00A65626">
        <w:t>CAR reserve system at different periods before and after signing of RFAs, by state</w:t>
      </w:r>
      <w:bookmarkEnd w:id="18"/>
    </w:p>
    <w:p w14:paraId="74A2758A" w14:textId="7CBFEB67" w:rsidR="009352C5" w:rsidRPr="00831C40" w:rsidRDefault="004F5535" w:rsidP="00831C40">
      <w:pPr>
        <w:pStyle w:val="FootnoteText"/>
        <w:spacing w:before="0"/>
        <w:rPr>
          <w:rFonts w:asciiTheme="minorHAnsi" w:hAnsiTheme="minorHAnsi"/>
          <w:sz w:val="16"/>
        </w:rPr>
      </w:pPr>
      <w:r w:rsidRPr="004F5535">
        <w:rPr>
          <w:noProof/>
          <w:lang w:eastAsia="en-AU"/>
        </w:rPr>
        <w:drawing>
          <wp:inline distT="0" distB="0" distL="0" distR="0" wp14:anchorId="6EB7A909" wp14:editId="0E68D6B5">
            <wp:extent cx="5731510" cy="481442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814425"/>
                    </a:xfrm>
                    <a:prstGeom prst="rect">
                      <a:avLst/>
                    </a:prstGeom>
                    <a:noFill/>
                    <a:ln>
                      <a:noFill/>
                    </a:ln>
                  </pic:spPr>
                </pic:pic>
              </a:graphicData>
            </a:graphic>
          </wp:inline>
        </w:drawing>
      </w:r>
      <w:r w:rsidR="00831C40" w:rsidRPr="00831C40">
        <w:rPr>
          <w:rFonts w:asciiTheme="minorHAnsi" w:hAnsiTheme="minorHAnsi"/>
          <w:sz w:val="16"/>
        </w:rPr>
        <w:t xml:space="preserve">The data used to create this figure, together with other data in this report, </w:t>
      </w:r>
      <w:r w:rsidR="00E425A6">
        <w:rPr>
          <w:rFonts w:asciiTheme="minorHAnsi" w:hAnsiTheme="minorHAnsi"/>
          <w:sz w:val="16"/>
        </w:rPr>
        <w:t>are</w:t>
      </w:r>
      <w:r w:rsidR="00E425A6" w:rsidRPr="00831C40">
        <w:rPr>
          <w:rFonts w:asciiTheme="minorHAnsi" w:hAnsiTheme="minorHAnsi"/>
          <w:sz w:val="16"/>
        </w:rPr>
        <w:t xml:space="preserve"> </w:t>
      </w:r>
      <w:r w:rsidR="00831C40" w:rsidRPr="00831C40">
        <w:rPr>
          <w:rFonts w:asciiTheme="minorHAnsi" w:hAnsiTheme="minorHAnsi"/>
          <w:sz w:val="16"/>
        </w:rPr>
        <w:t xml:space="preserve">available in Microsoft Excel </w:t>
      </w:r>
      <w:r w:rsidR="00DB0CD3">
        <w:rPr>
          <w:rFonts w:asciiTheme="minorHAnsi" w:hAnsiTheme="minorHAnsi"/>
          <w:sz w:val="16"/>
        </w:rPr>
        <w:t>at</w:t>
      </w:r>
      <w:r w:rsidR="00831C40" w:rsidRPr="00831C40">
        <w:rPr>
          <w:rFonts w:asciiTheme="minorHAnsi" w:hAnsiTheme="minorHAnsi"/>
          <w:sz w:val="16"/>
        </w:rPr>
        <w:t xml:space="preserve"> </w:t>
      </w:r>
      <w:hyperlink r:id="rId29" w:history="1">
        <w:r w:rsidR="0090070F" w:rsidRPr="0090070F">
          <w:rPr>
            <w:rStyle w:val="Hyperlink"/>
            <w:rFonts w:asciiTheme="minorHAnsi" w:hAnsiTheme="minorHAnsi"/>
            <w:color w:val="0070C0"/>
            <w:sz w:val="16"/>
          </w:rPr>
          <w:t>doi.org/10.25814/3z94-9957</w:t>
        </w:r>
      </w:hyperlink>
      <w:r w:rsidR="0090070F">
        <w:rPr>
          <w:rFonts w:asciiTheme="minorHAnsi" w:hAnsiTheme="minorHAnsi"/>
          <w:sz w:val="16"/>
        </w:rPr>
        <w:t>.</w:t>
      </w:r>
    </w:p>
    <w:p w14:paraId="30541FD3" w14:textId="62C77E92" w:rsidR="00500348" w:rsidRDefault="00500348" w:rsidP="00DE2888">
      <w:pPr>
        <w:rPr>
          <w:rFonts w:eastAsiaTheme="minorEastAsia"/>
        </w:rPr>
      </w:pPr>
      <w:r w:rsidRPr="009C7698">
        <w:rPr>
          <w:rFonts w:eastAsiaTheme="minorEastAsia"/>
        </w:rPr>
        <w:t xml:space="preserve">A total of 738 forest ecosystem types were distinguished during the development of the </w:t>
      </w:r>
      <w:r>
        <w:rPr>
          <w:rFonts w:eastAsiaTheme="minorEastAsia"/>
        </w:rPr>
        <w:t>RFA</w:t>
      </w:r>
      <w:r w:rsidRPr="009C7698">
        <w:rPr>
          <w:rFonts w:eastAsiaTheme="minorEastAsia"/>
        </w:rPr>
        <w:t xml:space="preserve">s, varying from </w:t>
      </w:r>
      <w:r>
        <w:rPr>
          <w:rFonts w:eastAsiaTheme="minorEastAsia"/>
        </w:rPr>
        <w:t xml:space="preserve">as few as </w:t>
      </w:r>
      <w:r w:rsidRPr="009C7698">
        <w:rPr>
          <w:rFonts w:eastAsiaTheme="minorEastAsia"/>
        </w:rPr>
        <w:t>21</w:t>
      </w:r>
      <w:r>
        <w:rPr>
          <w:rFonts w:eastAsiaTheme="minorEastAsia"/>
        </w:rPr>
        <w:t xml:space="preserve"> </w:t>
      </w:r>
      <w:r w:rsidRPr="009C7698">
        <w:rPr>
          <w:rFonts w:eastAsiaTheme="minorEastAsia"/>
        </w:rPr>
        <w:t xml:space="preserve">in the </w:t>
      </w:r>
      <w:r>
        <w:rPr>
          <w:rFonts w:eastAsiaTheme="minorEastAsia"/>
        </w:rPr>
        <w:t xml:space="preserve">South-West Forest Region of </w:t>
      </w:r>
      <w:r w:rsidR="00851047">
        <w:rPr>
          <w:rFonts w:eastAsiaTheme="minorEastAsia"/>
        </w:rPr>
        <w:t xml:space="preserve">Western Australia </w:t>
      </w:r>
      <w:r>
        <w:rPr>
          <w:rFonts w:eastAsiaTheme="minorEastAsia"/>
        </w:rPr>
        <w:t xml:space="preserve">RFA region </w:t>
      </w:r>
      <w:r w:rsidRPr="009C7698">
        <w:rPr>
          <w:rFonts w:eastAsiaTheme="minorEastAsia"/>
        </w:rPr>
        <w:t xml:space="preserve">to 190 in the Lower North East </w:t>
      </w:r>
      <w:r>
        <w:rPr>
          <w:rFonts w:eastAsiaTheme="minorEastAsia"/>
        </w:rPr>
        <w:t>(</w:t>
      </w:r>
      <w:r w:rsidRPr="009C7698">
        <w:rPr>
          <w:rFonts w:eastAsiaTheme="minorEastAsia"/>
        </w:rPr>
        <w:t>NSW</w:t>
      </w:r>
      <w:r>
        <w:rPr>
          <w:rFonts w:eastAsiaTheme="minorEastAsia"/>
        </w:rPr>
        <w:t>)</w:t>
      </w:r>
      <w:r w:rsidRPr="009C7698">
        <w:rPr>
          <w:rFonts w:eastAsiaTheme="minorEastAsia"/>
        </w:rPr>
        <w:t xml:space="preserve"> </w:t>
      </w:r>
      <w:r>
        <w:rPr>
          <w:rFonts w:eastAsiaTheme="minorEastAsia"/>
        </w:rPr>
        <w:t>RFA region</w:t>
      </w:r>
      <w:r w:rsidRPr="009C7698">
        <w:rPr>
          <w:rFonts w:eastAsiaTheme="minorEastAsia"/>
        </w:rPr>
        <w:t xml:space="preserve">. A total of </w:t>
      </w:r>
      <w:r>
        <w:rPr>
          <w:rFonts w:eastAsiaTheme="minorEastAsia"/>
        </w:rPr>
        <w:t>406 forest ecosystem types were present in N</w:t>
      </w:r>
      <w:r w:rsidR="00BF0131">
        <w:rPr>
          <w:rFonts w:eastAsiaTheme="minorEastAsia"/>
        </w:rPr>
        <w:t xml:space="preserve">ew </w:t>
      </w:r>
      <w:r>
        <w:rPr>
          <w:rFonts w:eastAsiaTheme="minorEastAsia"/>
        </w:rPr>
        <w:t>S</w:t>
      </w:r>
      <w:r w:rsidR="00BF0131">
        <w:rPr>
          <w:rFonts w:eastAsiaTheme="minorEastAsia"/>
        </w:rPr>
        <w:t xml:space="preserve">outh </w:t>
      </w:r>
      <w:r>
        <w:rPr>
          <w:rFonts w:eastAsiaTheme="minorEastAsia"/>
        </w:rPr>
        <w:t>W</w:t>
      </w:r>
      <w:r w:rsidR="00BF0131">
        <w:rPr>
          <w:rFonts w:eastAsiaTheme="minorEastAsia"/>
        </w:rPr>
        <w:t>ales</w:t>
      </w:r>
      <w:r>
        <w:rPr>
          <w:rFonts w:eastAsiaTheme="minorEastAsia"/>
        </w:rPr>
        <w:t xml:space="preserve"> RFA</w:t>
      </w:r>
      <w:r w:rsidR="009352C5">
        <w:rPr>
          <w:rFonts w:eastAsiaTheme="minorEastAsia"/>
        </w:rPr>
        <w:t xml:space="preserve"> region</w:t>
      </w:r>
      <w:r>
        <w:rPr>
          <w:rFonts w:eastAsiaTheme="minorEastAsia"/>
        </w:rPr>
        <w:t>s, 261 in Victorian RFA</w:t>
      </w:r>
      <w:r w:rsidR="009352C5">
        <w:rPr>
          <w:rFonts w:eastAsiaTheme="minorEastAsia"/>
        </w:rPr>
        <w:t xml:space="preserve"> region</w:t>
      </w:r>
      <w:r>
        <w:rPr>
          <w:rFonts w:eastAsiaTheme="minorEastAsia"/>
        </w:rPr>
        <w:t xml:space="preserve">s and 50 in the Tasmanian RFA </w:t>
      </w:r>
      <w:r w:rsidR="009352C5">
        <w:rPr>
          <w:rFonts w:eastAsiaTheme="minorEastAsia"/>
        </w:rPr>
        <w:t xml:space="preserve">region </w:t>
      </w:r>
      <w:r>
        <w:rPr>
          <w:rFonts w:eastAsiaTheme="minorEastAsia"/>
        </w:rPr>
        <w:t>(</w:t>
      </w:r>
      <w:r w:rsidR="0042049A">
        <w:rPr>
          <w:rFonts w:eastAsiaTheme="minorEastAsia"/>
        </w:rPr>
        <w:t>Table A1</w:t>
      </w:r>
      <w:r>
        <w:rPr>
          <w:rFonts w:eastAsiaTheme="minorEastAsia"/>
        </w:rPr>
        <w:t xml:space="preserve">). </w:t>
      </w:r>
    </w:p>
    <w:p w14:paraId="01F7E992" w14:textId="190A3848" w:rsidR="00C92C75" w:rsidRPr="00B71F68" w:rsidRDefault="008E2DD2" w:rsidP="00B71F68">
      <w:pPr>
        <w:pStyle w:val="Heading3"/>
        <w:ind w:left="993" w:hanging="993"/>
        <w:rPr>
          <w:iCs/>
          <w:color w:val="DE3831"/>
          <w:sz w:val="28"/>
        </w:rPr>
      </w:pPr>
      <w:bookmarkStart w:id="19" w:name="_Toc58312587"/>
      <w:r>
        <w:rPr>
          <w:iCs/>
          <w:color w:val="DE3831"/>
          <w:sz w:val="28"/>
        </w:rPr>
        <w:t>4</w:t>
      </w:r>
      <w:r w:rsidR="00B71F68" w:rsidRPr="00B71F68">
        <w:rPr>
          <w:iCs/>
          <w:color w:val="DE3831"/>
          <w:sz w:val="28"/>
        </w:rPr>
        <w:t>.1.2</w:t>
      </w:r>
      <w:r w:rsidR="00B71F68" w:rsidRPr="00B71F68">
        <w:rPr>
          <w:iCs/>
          <w:color w:val="DE3831"/>
          <w:sz w:val="28"/>
        </w:rPr>
        <w:tab/>
      </w:r>
      <w:r w:rsidR="00C92C75" w:rsidRPr="00B71F68">
        <w:rPr>
          <w:iCs/>
          <w:color w:val="DE3831"/>
          <w:sz w:val="28"/>
        </w:rPr>
        <w:t>Creation of the CAR reserve system at RFA signing</w:t>
      </w:r>
      <w:bookmarkEnd w:id="19"/>
    </w:p>
    <w:p w14:paraId="0728F2A6" w14:textId="35EEC508" w:rsidR="009352C5" w:rsidRDefault="00773DFF" w:rsidP="00DE2888">
      <w:pPr>
        <w:rPr>
          <w:rFonts w:eastAsiaTheme="minorEastAsia"/>
        </w:rPr>
      </w:pPr>
      <w:r>
        <w:rPr>
          <w:rFonts w:eastAsiaTheme="minorEastAsia"/>
        </w:rPr>
        <w:t>Environmental assessments completed p</w:t>
      </w:r>
      <w:r w:rsidR="00EF3F54">
        <w:rPr>
          <w:rFonts w:eastAsiaTheme="minorEastAsia"/>
        </w:rPr>
        <w:t>rior to the signing of the RFAs</w:t>
      </w:r>
      <w:r>
        <w:rPr>
          <w:rFonts w:eastAsiaTheme="minorEastAsia"/>
        </w:rPr>
        <w:t xml:space="preserve"> modelled </w:t>
      </w:r>
      <w:r w:rsidR="004E08DB">
        <w:rPr>
          <w:rFonts w:eastAsiaTheme="minorEastAsia"/>
        </w:rPr>
        <w:t xml:space="preserve">the extent of </w:t>
      </w:r>
      <w:r>
        <w:rPr>
          <w:rFonts w:eastAsiaTheme="minorEastAsia"/>
        </w:rPr>
        <w:t>pre-1750 terrestrial ecosystem</w:t>
      </w:r>
      <w:r w:rsidR="00FD3742">
        <w:rPr>
          <w:rFonts w:eastAsiaTheme="minorEastAsia"/>
        </w:rPr>
        <w:t>s</w:t>
      </w:r>
      <w:r w:rsidR="004E08DB">
        <w:rPr>
          <w:rFonts w:eastAsiaTheme="minorEastAsia"/>
        </w:rPr>
        <w:t>.</w:t>
      </w:r>
      <w:r w:rsidR="00113855">
        <w:rPr>
          <w:rFonts w:eastAsiaTheme="minorEastAsia"/>
        </w:rPr>
        <w:t xml:space="preserve"> </w:t>
      </w:r>
      <w:r w:rsidR="004E08DB">
        <w:rPr>
          <w:rFonts w:eastAsiaTheme="minorEastAsia"/>
        </w:rPr>
        <w:t xml:space="preserve">These </w:t>
      </w:r>
      <w:r w:rsidR="00113855">
        <w:rPr>
          <w:rFonts w:eastAsiaTheme="minorEastAsia"/>
        </w:rPr>
        <w:t>were assessed as</w:t>
      </w:r>
      <w:r w:rsidR="00FD3742">
        <w:rPr>
          <w:rFonts w:eastAsiaTheme="minorEastAsia"/>
        </w:rPr>
        <w:t xml:space="preserve"> cover</w:t>
      </w:r>
      <w:r w:rsidR="00113855">
        <w:rPr>
          <w:rFonts w:eastAsiaTheme="minorEastAsia"/>
        </w:rPr>
        <w:t>ing</w:t>
      </w:r>
      <w:r>
        <w:rPr>
          <w:rFonts w:eastAsiaTheme="minorEastAsia"/>
        </w:rPr>
        <w:t xml:space="preserve"> 39 million hectares </w:t>
      </w:r>
      <w:r w:rsidR="009352C5">
        <w:rPr>
          <w:rFonts w:eastAsiaTheme="minorEastAsia"/>
        </w:rPr>
        <w:t xml:space="preserve">in </w:t>
      </w:r>
      <w:r w:rsidR="00FD3742">
        <w:rPr>
          <w:rFonts w:eastAsiaTheme="minorEastAsia"/>
        </w:rPr>
        <w:t>the area that would form the RFA regions</w:t>
      </w:r>
      <w:r w:rsidR="00113855">
        <w:rPr>
          <w:rFonts w:eastAsiaTheme="minorEastAsia"/>
        </w:rPr>
        <w:t>,</w:t>
      </w:r>
      <w:r w:rsidR="00FD3742">
        <w:rPr>
          <w:rFonts w:eastAsiaTheme="minorEastAsia"/>
        </w:rPr>
        <w:t xml:space="preserve"> </w:t>
      </w:r>
      <w:r>
        <w:rPr>
          <w:rFonts w:eastAsiaTheme="minorEastAsia"/>
        </w:rPr>
        <w:t>including 35 million hectares of forest ecosystems and 4.1 million hectares of non-forest ecosy</w:t>
      </w:r>
      <w:r w:rsidR="004E08DB">
        <w:rPr>
          <w:rFonts w:eastAsiaTheme="minorEastAsia"/>
        </w:rPr>
        <w:t>s</w:t>
      </w:r>
      <w:r>
        <w:rPr>
          <w:rFonts w:eastAsiaTheme="minorEastAsia"/>
        </w:rPr>
        <w:t>tems.</w:t>
      </w:r>
    </w:p>
    <w:p w14:paraId="0BACE9E8" w14:textId="79F5A80A" w:rsidR="00AC2BF5" w:rsidRDefault="009352C5" w:rsidP="00DE2888">
      <w:pPr>
        <w:rPr>
          <w:rFonts w:eastAsiaTheme="minorEastAsia"/>
        </w:rPr>
      </w:pPr>
      <w:r>
        <w:rPr>
          <w:rFonts w:eastAsiaTheme="minorEastAsia"/>
        </w:rPr>
        <w:t xml:space="preserve">Environmental </w:t>
      </w:r>
      <w:r w:rsidR="00773DFF">
        <w:rPr>
          <w:rFonts w:eastAsiaTheme="minorEastAsia"/>
        </w:rPr>
        <w:t xml:space="preserve">assessments prior to the signing of the RFAs </w:t>
      </w:r>
      <w:r>
        <w:rPr>
          <w:rFonts w:eastAsiaTheme="minorEastAsia"/>
        </w:rPr>
        <w:t xml:space="preserve">identified </w:t>
      </w:r>
      <w:r w:rsidR="00EF3F54">
        <w:rPr>
          <w:rFonts w:eastAsiaTheme="minorEastAsia"/>
        </w:rPr>
        <w:t xml:space="preserve">22 million hectares of </w:t>
      </w:r>
      <w:r w:rsidR="00773DFF">
        <w:rPr>
          <w:rFonts w:eastAsiaTheme="minorEastAsia"/>
        </w:rPr>
        <w:t>terrestrial</w:t>
      </w:r>
      <w:r w:rsidR="00EF3F54">
        <w:rPr>
          <w:rFonts w:eastAsiaTheme="minorEastAsia"/>
        </w:rPr>
        <w:t xml:space="preserve"> ecosystems</w:t>
      </w:r>
      <w:r>
        <w:rPr>
          <w:rFonts w:eastAsiaTheme="minorEastAsia"/>
        </w:rPr>
        <w:t xml:space="preserve"> extant </w:t>
      </w:r>
      <w:r w:rsidR="00CD552B">
        <w:rPr>
          <w:rFonts w:eastAsiaTheme="minorEastAsia"/>
        </w:rPr>
        <w:t>by</w:t>
      </w:r>
      <w:r>
        <w:rPr>
          <w:rFonts w:eastAsiaTheme="minorEastAsia"/>
        </w:rPr>
        <w:t xml:space="preserve"> that time</w:t>
      </w:r>
      <w:r w:rsidR="00773DFF">
        <w:rPr>
          <w:rFonts w:eastAsiaTheme="minorEastAsia"/>
        </w:rPr>
        <w:t>, includ</w:t>
      </w:r>
      <w:r w:rsidR="00EF3F54">
        <w:rPr>
          <w:rFonts w:eastAsiaTheme="minorEastAsia"/>
        </w:rPr>
        <w:t>ing 19 million hectares of forest ecosystems and 2.5 million hectares of non-forest ecosystems.</w:t>
      </w:r>
      <w:r w:rsidR="00773DFF">
        <w:rPr>
          <w:rFonts w:eastAsiaTheme="minorEastAsia"/>
        </w:rPr>
        <w:t xml:space="preserve"> The </w:t>
      </w:r>
      <w:r w:rsidR="00FD3742">
        <w:rPr>
          <w:rFonts w:eastAsiaTheme="minorEastAsia"/>
        </w:rPr>
        <w:t>decrease</w:t>
      </w:r>
      <w:r w:rsidR="004E08DB">
        <w:rPr>
          <w:rFonts w:eastAsiaTheme="minorEastAsia"/>
        </w:rPr>
        <w:t>s</w:t>
      </w:r>
      <w:r w:rsidR="00FD3742">
        <w:rPr>
          <w:rFonts w:eastAsiaTheme="minorEastAsia"/>
        </w:rPr>
        <w:t xml:space="preserve"> </w:t>
      </w:r>
      <w:r>
        <w:rPr>
          <w:rFonts w:eastAsiaTheme="minorEastAsia"/>
        </w:rPr>
        <w:t xml:space="preserve">in area from the modelled pre-1750 areas </w:t>
      </w:r>
      <w:r w:rsidR="00FD3742">
        <w:rPr>
          <w:rFonts w:eastAsiaTheme="minorEastAsia"/>
        </w:rPr>
        <w:t>w</w:t>
      </w:r>
      <w:r w:rsidR="004E08DB">
        <w:rPr>
          <w:rFonts w:eastAsiaTheme="minorEastAsia"/>
        </w:rPr>
        <w:t>ere</w:t>
      </w:r>
      <w:r w:rsidR="00773DFF">
        <w:rPr>
          <w:rFonts w:eastAsiaTheme="minorEastAsia"/>
        </w:rPr>
        <w:t xml:space="preserve"> due to clearing of terrestrial ecosystems </w:t>
      </w:r>
      <w:r w:rsidR="00FD3742">
        <w:rPr>
          <w:rFonts w:eastAsiaTheme="minorEastAsia"/>
        </w:rPr>
        <w:t>since</w:t>
      </w:r>
      <w:r w:rsidR="00773DFF">
        <w:rPr>
          <w:rFonts w:eastAsiaTheme="minorEastAsia"/>
        </w:rPr>
        <w:t xml:space="preserve"> </w:t>
      </w:r>
      <w:r w:rsidR="00CD552B">
        <w:rPr>
          <w:rFonts w:eastAsiaTheme="minorEastAsia"/>
        </w:rPr>
        <w:t>that time</w:t>
      </w:r>
      <w:r w:rsidR="00FD3742">
        <w:rPr>
          <w:rFonts w:eastAsiaTheme="minorEastAsia"/>
        </w:rPr>
        <w:t xml:space="preserve">. </w:t>
      </w:r>
      <w:r w:rsidR="00773DFF">
        <w:rPr>
          <w:rFonts w:eastAsiaTheme="minorEastAsia"/>
        </w:rPr>
        <w:t>Prior to signing of the RFAs</w:t>
      </w:r>
      <w:r w:rsidR="004E08DB">
        <w:rPr>
          <w:rFonts w:eastAsiaTheme="minorEastAsia"/>
        </w:rPr>
        <w:t>,</w:t>
      </w:r>
      <w:r w:rsidR="00773DFF">
        <w:rPr>
          <w:rFonts w:eastAsiaTheme="minorEastAsia"/>
        </w:rPr>
        <w:t xml:space="preserve"> a total of 5.4 million hectares of </w:t>
      </w:r>
      <w:r w:rsidR="00CD552B">
        <w:rPr>
          <w:rFonts w:eastAsiaTheme="minorEastAsia"/>
        </w:rPr>
        <w:t xml:space="preserve">these </w:t>
      </w:r>
      <w:r w:rsidR="00773DFF">
        <w:rPr>
          <w:rFonts w:eastAsiaTheme="minorEastAsia"/>
        </w:rPr>
        <w:t>forest ecosystems were in formal and informal reserves (</w:t>
      </w:r>
      <w:r w:rsidR="0042049A">
        <w:rPr>
          <w:rFonts w:eastAsiaTheme="minorEastAsia"/>
        </w:rPr>
        <w:t>Table A1</w:t>
      </w:r>
      <w:r w:rsidR="00773DFF">
        <w:rPr>
          <w:rFonts w:eastAsiaTheme="minorEastAsia"/>
        </w:rPr>
        <w:t>).</w:t>
      </w:r>
    </w:p>
    <w:p w14:paraId="7198CCF5" w14:textId="371C982D" w:rsidR="00DA0F4F" w:rsidRPr="009C7698" w:rsidRDefault="00CD552B" w:rsidP="00DE2888">
      <w:pPr>
        <w:rPr>
          <w:rFonts w:asciiTheme="majorHAnsi" w:hAnsiTheme="majorHAnsi"/>
          <w:szCs w:val="22"/>
        </w:rPr>
      </w:pPr>
      <w:r>
        <w:rPr>
          <w:rFonts w:asciiTheme="majorHAnsi" w:hAnsiTheme="majorHAnsi"/>
          <w:szCs w:val="22"/>
        </w:rPr>
        <w:t>In total, the</w:t>
      </w:r>
      <w:r w:rsidR="00DA0F4F" w:rsidRPr="009C7698">
        <w:rPr>
          <w:rFonts w:asciiTheme="majorHAnsi" w:hAnsiTheme="majorHAnsi"/>
          <w:szCs w:val="22"/>
        </w:rPr>
        <w:t xml:space="preserve"> </w:t>
      </w:r>
      <w:r w:rsidR="008E67BF">
        <w:rPr>
          <w:rFonts w:asciiTheme="majorHAnsi" w:hAnsiTheme="majorHAnsi"/>
          <w:szCs w:val="22"/>
        </w:rPr>
        <w:t>RFA</w:t>
      </w:r>
      <w:r w:rsidR="00DA0F4F" w:rsidRPr="009C7698">
        <w:rPr>
          <w:rFonts w:asciiTheme="majorHAnsi" w:hAnsiTheme="majorHAnsi"/>
          <w:szCs w:val="22"/>
        </w:rPr>
        <w:t xml:space="preserve">s </w:t>
      </w:r>
      <w:r w:rsidR="005E06CF" w:rsidRPr="009C7698">
        <w:rPr>
          <w:rFonts w:asciiTheme="majorHAnsi" w:hAnsiTheme="majorHAnsi"/>
          <w:szCs w:val="22"/>
        </w:rPr>
        <w:t xml:space="preserve">at their signing </w:t>
      </w:r>
      <w:r w:rsidR="00DA0F4F" w:rsidRPr="009C7698">
        <w:rPr>
          <w:rFonts w:asciiTheme="majorHAnsi" w:hAnsiTheme="majorHAnsi"/>
          <w:szCs w:val="22"/>
        </w:rPr>
        <w:t>added 2.</w:t>
      </w:r>
      <w:r w:rsidR="006337E7">
        <w:rPr>
          <w:rFonts w:asciiTheme="majorHAnsi" w:hAnsiTheme="majorHAnsi"/>
          <w:szCs w:val="22"/>
        </w:rPr>
        <w:t>6</w:t>
      </w:r>
      <w:r w:rsidR="00DA0F4F" w:rsidRPr="009C7698">
        <w:rPr>
          <w:rFonts w:asciiTheme="majorHAnsi" w:hAnsiTheme="majorHAnsi"/>
          <w:szCs w:val="22"/>
        </w:rPr>
        <w:t xml:space="preserve"> million hectares to </w:t>
      </w:r>
      <w:r>
        <w:rPr>
          <w:rFonts w:asciiTheme="majorHAnsi" w:hAnsiTheme="majorHAnsi"/>
          <w:szCs w:val="22"/>
        </w:rPr>
        <w:t>Australia’s</w:t>
      </w:r>
      <w:r w:rsidRPr="009C7698">
        <w:rPr>
          <w:rFonts w:asciiTheme="majorHAnsi" w:hAnsiTheme="majorHAnsi"/>
          <w:szCs w:val="22"/>
        </w:rPr>
        <w:t xml:space="preserve"> </w:t>
      </w:r>
      <w:r w:rsidR="00DA0F4F" w:rsidRPr="009C7698">
        <w:rPr>
          <w:rFonts w:asciiTheme="majorHAnsi" w:hAnsiTheme="majorHAnsi"/>
          <w:szCs w:val="22"/>
        </w:rPr>
        <w:t>formal and informal reserves</w:t>
      </w:r>
      <w:r w:rsidR="00F21642" w:rsidRPr="009C7698">
        <w:rPr>
          <w:rFonts w:asciiTheme="majorHAnsi" w:hAnsiTheme="majorHAnsi"/>
          <w:szCs w:val="22"/>
        </w:rPr>
        <w:t>, including 2.</w:t>
      </w:r>
      <w:r w:rsidR="006337E7">
        <w:rPr>
          <w:rFonts w:asciiTheme="majorHAnsi" w:hAnsiTheme="majorHAnsi"/>
          <w:szCs w:val="22"/>
        </w:rPr>
        <w:t>4</w:t>
      </w:r>
      <w:r w:rsidR="00F21642" w:rsidRPr="009C7698">
        <w:rPr>
          <w:rFonts w:asciiTheme="majorHAnsi" w:hAnsiTheme="majorHAnsi"/>
          <w:szCs w:val="22"/>
        </w:rPr>
        <w:t xml:space="preserve"> million hectares of native forest ecosystems</w:t>
      </w:r>
      <w:r w:rsidR="005E06CF" w:rsidRPr="009C7698">
        <w:rPr>
          <w:rFonts w:asciiTheme="majorHAnsi" w:hAnsiTheme="majorHAnsi"/>
          <w:szCs w:val="22"/>
        </w:rPr>
        <w:t xml:space="preserve"> (</w:t>
      </w:r>
      <w:r w:rsidR="0042049A">
        <w:rPr>
          <w:rFonts w:asciiTheme="majorHAnsi" w:hAnsiTheme="majorHAnsi"/>
          <w:szCs w:val="22"/>
        </w:rPr>
        <w:t>Table A1</w:t>
      </w:r>
      <w:r w:rsidR="005E06CF" w:rsidRPr="009C7698">
        <w:rPr>
          <w:rFonts w:asciiTheme="majorHAnsi" w:hAnsiTheme="majorHAnsi"/>
          <w:szCs w:val="22"/>
        </w:rPr>
        <w:t>)</w:t>
      </w:r>
      <w:r w:rsidR="00156D2E" w:rsidRPr="009C7698">
        <w:rPr>
          <w:rFonts w:asciiTheme="majorHAnsi" w:hAnsiTheme="majorHAnsi"/>
          <w:szCs w:val="22"/>
        </w:rPr>
        <w:t>.</w:t>
      </w:r>
      <w:r w:rsidR="00DA0F4F" w:rsidRPr="009C7698">
        <w:rPr>
          <w:rFonts w:asciiTheme="majorHAnsi" w:hAnsiTheme="majorHAnsi"/>
          <w:szCs w:val="22"/>
        </w:rPr>
        <w:t xml:space="preserve"> </w:t>
      </w:r>
      <w:r w:rsidR="00156D2E" w:rsidRPr="009C7698">
        <w:rPr>
          <w:rFonts w:asciiTheme="majorHAnsi" w:hAnsiTheme="majorHAnsi"/>
          <w:szCs w:val="22"/>
        </w:rPr>
        <w:t xml:space="preserve">This brought the </w:t>
      </w:r>
      <w:r w:rsidR="00156D2E" w:rsidRPr="009C7698">
        <w:rPr>
          <w:rFonts w:asciiTheme="majorHAnsi" w:hAnsiTheme="majorHAnsi"/>
          <w:szCs w:val="22"/>
        </w:rPr>
        <w:lastRenderedPageBreak/>
        <w:t xml:space="preserve">area of </w:t>
      </w:r>
      <w:r>
        <w:rPr>
          <w:rFonts w:asciiTheme="majorHAnsi" w:hAnsiTheme="majorHAnsi"/>
          <w:szCs w:val="22"/>
        </w:rPr>
        <w:t xml:space="preserve">the </w:t>
      </w:r>
      <w:r w:rsidR="00DA0F4F" w:rsidRPr="009C7698">
        <w:rPr>
          <w:rFonts w:asciiTheme="majorHAnsi" w:hAnsiTheme="majorHAnsi"/>
          <w:szCs w:val="22"/>
        </w:rPr>
        <w:t>formal and informal reserve</w:t>
      </w:r>
      <w:r w:rsidR="00830653" w:rsidRPr="009C7698">
        <w:rPr>
          <w:rFonts w:asciiTheme="majorHAnsi" w:eastAsiaTheme="minorEastAsia" w:hAnsiTheme="majorHAnsi"/>
          <w:szCs w:val="22"/>
        </w:rPr>
        <w:t xml:space="preserve"> components of the CAR reserve system</w:t>
      </w:r>
      <w:r w:rsidR="00830653" w:rsidRPr="009C7698">
        <w:rPr>
          <w:rFonts w:asciiTheme="majorHAnsi" w:hAnsiTheme="majorHAnsi"/>
          <w:szCs w:val="22"/>
        </w:rPr>
        <w:t xml:space="preserve"> </w:t>
      </w:r>
      <w:r w:rsidR="00DA0F4F" w:rsidRPr="009C7698">
        <w:rPr>
          <w:rFonts w:asciiTheme="majorHAnsi" w:hAnsiTheme="majorHAnsi"/>
          <w:szCs w:val="22"/>
        </w:rPr>
        <w:t xml:space="preserve">on public land to </w:t>
      </w:r>
      <w:r w:rsidR="00AC2BF5">
        <w:rPr>
          <w:rFonts w:asciiTheme="majorHAnsi" w:hAnsiTheme="majorHAnsi"/>
          <w:szCs w:val="22"/>
        </w:rPr>
        <w:t xml:space="preserve">a total of </w:t>
      </w:r>
      <w:r w:rsidR="00DA0F4F" w:rsidRPr="009C7698">
        <w:rPr>
          <w:rFonts w:asciiTheme="majorHAnsi" w:hAnsiTheme="majorHAnsi"/>
          <w:szCs w:val="22"/>
        </w:rPr>
        <w:t>10</w:t>
      </w:r>
      <w:r w:rsidR="00183B91">
        <w:rPr>
          <w:rFonts w:asciiTheme="majorHAnsi" w:hAnsiTheme="majorHAnsi"/>
          <w:szCs w:val="22"/>
        </w:rPr>
        <w:t>.0</w:t>
      </w:r>
      <w:r w:rsidR="00DA0F4F" w:rsidRPr="009C7698">
        <w:rPr>
          <w:rFonts w:asciiTheme="majorHAnsi" w:hAnsiTheme="majorHAnsi"/>
          <w:szCs w:val="22"/>
        </w:rPr>
        <w:t xml:space="preserve"> million hectares</w:t>
      </w:r>
      <w:r w:rsidR="00156D2E" w:rsidRPr="009C7698">
        <w:rPr>
          <w:rFonts w:asciiTheme="majorHAnsi" w:hAnsiTheme="majorHAnsi"/>
          <w:szCs w:val="22"/>
        </w:rPr>
        <w:t>,</w:t>
      </w:r>
      <w:r w:rsidR="00DA0F4F" w:rsidRPr="009C7698">
        <w:rPr>
          <w:rFonts w:asciiTheme="majorHAnsi" w:hAnsiTheme="majorHAnsi"/>
          <w:szCs w:val="22"/>
        </w:rPr>
        <w:t xml:space="preserve"> </w:t>
      </w:r>
      <w:r w:rsidR="00BB4DD1" w:rsidRPr="009C7698">
        <w:rPr>
          <w:rFonts w:asciiTheme="majorHAnsi" w:hAnsiTheme="majorHAnsi"/>
          <w:szCs w:val="22"/>
        </w:rPr>
        <w:t xml:space="preserve">comprising </w:t>
      </w:r>
      <w:r w:rsidR="00225779" w:rsidRPr="009C7698">
        <w:rPr>
          <w:rFonts w:asciiTheme="majorHAnsi" w:hAnsiTheme="majorHAnsi"/>
          <w:szCs w:val="22"/>
        </w:rPr>
        <w:t>7.</w:t>
      </w:r>
      <w:r w:rsidR="006337E7">
        <w:rPr>
          <w:rFonts w:asciiTheme="majorHAnsi" w:hAnsiTheme="majorHAnsi"/>
          <w:szCs w:val="22"/>
        </w:rPr>
        <w:t>8</w:t>
      </w:r>
      <w:r w:rsidR="00BB4DD1" w:rsidRPr="009C7698">
        <w:rPr>
          <w:rFonts w:asciiTheme="majorHAnsi" w:hAnsiTheme="majorHAnsi"/>
          <w:szCs w:val="22"/>
        </w:rPr>
        <w:t xml:space="preserve"> million hectares of </w:t>
      </w:r>
      <w:r w:rsidR="00EA11CB">
        <w:rPr>
          <w:rFonts w:asciiTheme="majorHAnsi" w:hAnsiTheme="majorHAnsi"/>
          <w:szCs w:val="22"/>
        </w:rPr>
        <w:t xml:space="preserve">native </w:t>
      </w:r>
      <w:r w:rsidR="00BB4DD1" w:rsidRPr="009C7698">
        <w:rPr>
          <w:rFonts w:asciiTheme="majorHAnsi" w:hAnsiTheme="majorHAnsi"/>
          <w:szCs w:val="22"/>
        </w:rPr>
        <w:t>forest ecosystems and 2.</w:t>
      </w:r>
      <w:r w:rsidR="00225779" w:rsidRPr="009C7698">
        <w:rPr>
          <w:rFonts w:asciiTheme="majorHAnsi" w:hAnsiTheme="majorHAnsi"/>
          <w:szCs w:val="22"/>
        </w:rPr>
        <w:t>2</w:t>
      </w:r>
      <w:r w:rsidR="00BB4DD1" w:rsidRPr="009C7698">
        <w:rPr>
          <w:rFonts w:asciiTheme="majorHAnsi" w:hAnsiTheme="majorHAnsi"/>
          <w:szCs w:val="22"/>
        </w:rPr>
        <w:t xml:space="preserve"> million hectares of native non-forest ecosystems </w:t>
      </w:r>
      <w:r w:rsidR="00DA0F4F" w:rsidRPr="009C7698">
        <w:rPr>
          <w:rFonts w:asciiTheme="majorHAnsi" w:hAnsiTheme="majorHAnsi"/>
          <w:szCs w:val="22"/>
        </w:rPr>
        <w:t>(</w:t>
      </w:r>
      <w:r w:rsidR="0042049A">
        <w:rPr>
          <w:rFonts w:asciiTheme="majorHAnsi" w:hAnsiTheme="majorHAnsi"/>
          <w:szCs w:val="22"/>
        </w:rPr>
        <w:t>Table A1</w:t>
      </w:r>
      <w:r w:rsidR="00DA0F4F" w:rsidRPr="009C7698">
        <w:rPr>
          <w:rFonts w:asciiTheme="majorHAnsi" w:hAnsiTheme="majorHAnsi"/>
          <w:szCs w:val="22"/>
        </w:rPr>
        <w:t>).</w:t>
      </w:r>
      <w:r w:rsidR="001B3138" w:rsidRPr="009C7698">
        <w:rPr>
          <w:rFonts w:asciiTheme="majorHAnsi" w:hAnsiTheme="majorHAnsi"/>
          <w:szCs w:val="22"/>
        </w:rPr>
        <w:t xml:space="preserve"> </w:t>
      </w:r>
      <w:r w:rsidR="00255307" w:rsidRPr="009C7698">
        <w:rPr>
          <w:rFonts w:asciiTheme="majorHAnsi" w:eastAsiaTheme="minorEastAsia" w:hAnsiTheme="majorHAnsi"/>
          <w:szCs w:val="22"/>
        </w:rPr>
        <w:t xml:space="preserve">The area of </w:t>
      </w:r>
      <w:r w:rsidR="00FD6FC5" w:rsidRPr="009C7698">
        <w:rPr>
          <w:rFonts w:asciiTheme="majorHAnsi" w:eastAsiaTheme="minorEastAsia" w:hAnsiTheme="majorHAnsi"/>
          <w:szCs w:val="22"/>
        </w:rPr>
        <w:t xml:space="preserve">native forest </w:t>
      </w:r>
      <w:r w:rsidR="00255307" w:rsidRPr="009C7698">
        <w:rPr>
          <w:rFonts w:asciiTheme="majorHAnsi" w:eastAsiaTheme="minorEastAsia" w:hAnsiTheme="majorHAnsi"/>
          <w:szCs w:val="22"/>
        </w:rPr>
        <w:t xml:space="preserve">in </w:t>
      </w:r>
      <w:r w:rsidR="00FD6FC5" w:rsidRPr="009C7698">
        <w:rPr>
          <w:rFonts w:asciiTheme="majorHAnsi" w:eastAsiaTheme="minorEastAsia" w:hAnsiTheme="majorHAnsi"/>
          <w:szCs w:val="22"/>
        </w:rPr>
        <w:t>formal and informal reserves</w:t>
      </w:r>
      <w:r w:rsidR="00255307" w:rsidRPr="009C7698">
        <w:rPr>
          <w:rFonts w:asciiTheme="majorHAnsi" w:eastAsiaTheme="minorEastAsia" w:hAnsiTheme="majorHAnsi"/>
          <w:szCs w:val="22"/>
        </w:rPr>
        <w:t xml:space="preserve"> in </w:t>
      </w:r>
      <w:r w:rsidR="008E67BF">
        <w:rPr>
          <w:rFonts w:asciiTheme="majorHAnsi" w:eastAsiaTheme="minorEastAsia" w:hAnsiTheme="majorHAnsi"/>
          <w:szCs w:val="22"/>
        </w:rPr>
        <w:t>RFA</w:t>
      </w:r>
      <w:r w:rsidR="00255307" w:rsidRPr="009C7698">
        <w:rPr>
          <w:rFonts w:asciiTheme="majorHAnsi" w:eastAsiaTheme="minorEastAsia" w:hAnsiTheme="majorHAnsi"/>
          <w:szCs w:val="22"/>
        </w:rPr>
        <w:t xml:space="preserve"> regions</w:t>
      </w:r>
      <w:r w:rsidR="00FD6FC5" w:rsidRPr="009C7698">
        <w:rPr>
          <w:rFonts w:asciiTheme="majorHAnsi" w:eastAsiaTheme="minorEastAsia" w:hAnsiTheme="majorHAnsi"/>
          <w:szCs w:val="22"/>
        </w:rPr>
        <w:t xml:space="preserve"> was</w:t>
      </w:r>
      <w:r w:rsidR="00FF6403" w:rsidRPr="009C7698">
        <w:rPr>
          <w:rFonts w:asciiTheme="majorHAnsi" w:eastAsiaTheme="minorEastAsia" w:hAnsiTheme="majorHAnsi"/>
          <w:szCs w:val="22"/>
        </w:rPr>
        <w:t xml:space="preserve"> </w:t>
      </w:r>
      <w:r>
        <w:rPr>
          <w:rFonts w:asciiTheme="majorHAnsi" w:eastAsiaTheme="minorEastAsia" w:hAnsiTheme="majorHAnsi"/>
          <w:szCs w:val="22"/>
        </w:rPr>
        <w:t>thereby</w:t>
      </w:r>
      <w:r w:rsidRPr="009C7698">
        <w:rPr>
          <w:rFonts w:asciiTheme="majorHAnsi" w:eastAsiaTheme="minorEastAsia" w:hAnsiTheme="majorHAnsi"/>
          <w:szCs w:val="22"/>
        </w:rPr>
        <w:t xml:space="preserve"> </w:t>
      </w:r>
      <w:r w:rsidR="00FD6FC5" w:rsidRPr="009C7698">
        <w:rPr>
          <w:rFonts w:asciiTheme="majorHAnsi" w:eastAsiaTheme="minorEastAsia" w:hAnsiTheme="majorHAnsi"/>
          <w:szCs w:val="22"/>
        </w:rPr>
        <w:t>increased by 44</w:t>
      </w:r>
      <w:r w:rsidR="00BF30CD" w:rsidRPr="00BF30CD">
        <w:rPr>
          <w:rFonts w:asciiTheme="majorHAnsi" w:eastAsiaTheme="minorEastAsia" w:hAnsiTheme="majorHAnsi"/>
          <w:szCs w:val="22"/>
        </w:rPr>
        <w:t xml:space="preserve">% (Table A2). </w:t>
      </w:r>
      <w:r w:rsidR="00FD6FC5" w:rsidRPr="009C7698">
        <w:rPr>
          <w:rFonts w:asciiTheme="majorHAnsi" w:eastAsiaTheme="minorEastAsia" w:hAnsiTheme="majorHAnsi"/>
          <w:szCs w:val="22"/>
        </w:rPr>
        <w:t xml:space="preserve">As a result of </w:t>
      </w:r>
      <w:r w:rsidR="00AC2BF5">
        <w:rPr>
          <w:rFonts w:asciiTheme="majorHAnsi" w:eastAsiaTheme="minorEastAsia" w:hAnsiTheme="majorHAnsi"/>
          <w:szCs w:val="22"/>
        </w:rPr>
        <w:t xml:space="preserve">the </w:t>
      </w:r>
      <w:r w:rsidR="008E67BF">
        <w:rPr>
          <w:rFonts w:asciiTheme="majorHAnsi" w:eastAsiaTheme="minorEastAsia" w:hAnsiTheme="majorHAnsi"/>
          <w:szCs w:val="22"/>
        </w:rPr>
        <w:t>RFA</w:t>
      </w:r>
      <w:r w:rsidR="00FD6FC5" w:rsidRPr="009C7698">
        <w:rPr>
          <w:rFonts w:asciiTheme="majorHAnsi" w:eastAsiaTheme="minorEastAsia" w:hAnsiTheme="majorHAnsi"/>
          <w:szCs w:val="22"/>
        </w:rPr>
        <w:t>s</w:t>
      </w:r>
      <w:r w:rsidR="00F21642" w:rsidRPr="009C7698">
        <w:rPr>
          <w:rFonts w:asciiTheme="majorHAnsi" w:eastAsiaTheme="minorEastAsia" w:hAnsiTheme="majorHAnsi"/>
          <w:szCs w:val="22"/>
        </w:rPr>
        <w:t>,</w:t>
      </w:r>
      <w:r w:rsidR="00FD6FC5" w:rsidRPr="009C7698">
        <w:rPr>
          <w:rFonts w:asciiTheme="majorHAnsi" w:eastAsiaTheme="minorEastAsia" w:hAnsiTheme="majorHAnsi"/>
          <w:szCs w:val="22"/>
        </w:rPr>
        <w:t xml:space="preserve"> </w:t>
      </w:r>
      <w:r w:rsidR="00542D4F" w:rsidRPr="009C7698">
        <w:rPr>
          <w:rFonts w:asciiTheme="majorHAnsi" w:eastAsiaTheme="minorEastAsia" w:hAnsiTheme="majorHAnsi"/>
          <w:szCs w:val="22"/>
        </w:rPr>
        <w:t>57</w:t>
      </w:r>
      <w:r w:rsidR="00794B79" w:rsidRPr="009C7698">
        <w:rPr>
          <w:rFonts w:asciiTheme="majorHAnsi" w:eastAsiaTheme="minorEastAsia" w:hAnsiTheme="majorHAnsi"/>
          <w:szCs w:val="22"/>
        </w:rPr>
        <w:t xml:space="preserve">% of </w:t>
      </w:r>
      <w:r w:rsidR="00F21642" w:rsidRPr="009C7698">
        <w:rPr>
          <w:rFonts w:asciiTheme="majorHAnsi" w:eastAsiaTheme="minorEastAsia" w:hAnsiTheme="majorHAnsi"/>
          <w:szCs w:val="22"/>
        </w:rPr>
        <w:t xml:space="preserve">the area of </w:t>
      </w:r>
      <w:r w:rsidR="00794B79" w:rsidRPr="009C7698">
        <w:rPr>
          <w:rFonts w:asciiTheme="majorHAnsi" w:eastAsiaTheme="minorEastAsia" w:hAnsiTheme="majorHAnsi"/>
          <w:szCs w:val="22"/>
        </w:rPr>
        <w:t xml:space="preserve">public forests </w:t>
      </w:r>
      <w:r w:rsidR="00AC2BF5">
        <w:rPr>
          <w:rFonts w:asciiTheme="majorHAnsi" w:eastAsiaTheme="minorEastAsia" w:hAnsiTheme="majorHAnsi"/>
          <w:szCs w:val="22"/>
        </w:rPr>
        <w:t xml:space="preserve">in RFA regions </w:t>
      </w:r>
      <w:r w:rsidR="00FF6403" w:rsidRPr="009C7698">
        <w:rPr>
          <w:rFonts w:asciiTheme="majorHAnsi" w:eastAsiaTheme="minorEastAsia" w:hAnsiTheme="majorHAnsi"/>
          <w:szCs w:val="22"/>
        </w:rPr>
        <w:t xml:space="preserve">was </w:t>
      </w:r>
      <w:r w:rsidR="00794B79" w:rsidRPr="009C7698">
        <w:rPr>
          <w:rFonts w:asciiTheme="majorHAnsi" w:eastAsiaTheme="minorEastAsia" w:hAnsiTheme="majorHAnsi"/>
          <w:szCs w:val="22"/>
        </w:rPr>
        <w:t xml:space="preserve">in the formal and informal </w:t>
      </w:r>
      <w:r w:rsidR="00F21642" w:rsidRPr="009C7698">
        <w:rPr>
          <w:rFonts w:asciiTheme="majorHAnsi" w:eastAsiaTheme="minorEastAsia" w:hAnsiTheme="majorHAnsi"/>
          <w:szCs w:val="22"/>
        </w:rPr>
        <w:t xml:space="preserve">reserves </w:t>
      </w:r>
      <w:r w:rsidR="00794B79" w:rsidRPr="009C7698">
        <w:rPr>
          <w:rFonts w:asciiTheme="majorHAnsi" w:eastAsiaTheme="minorEastAsia" w:hAnsiTheme="majorHAnsi"/>
          <w:szCs w:val="22"/>
        </w:rPr>
        <w:t xml:space="preserve">component of the </w:t>
      </w:r>
      <w:r w:rsidR="001E73B8" w:rsidRPr="009C7698">
        <w:rPr>
          <w:rFonts w:asciiTheme="majorHAnsi" w:eastAsiaTheme="minorEastAsia" w:hAnsiTheme="majorHAnsi"/>
          <w:szCs w:val="22"/>
        </w:rPr>
        <w:t>CAR</w:t>
      </w:r>
      <w:r w:rsidR="00794B79" w:rsidRPr="009C7698">
        <w:rPr>
          <w:rFonts w:asciiTheme="majorHAnsi" w:eastAsiaTheme="minorEastAsia" w:hAnsiTheme="majorHAnsi"/>
          <w:szCs w:val="22"/>
        </w:rPr>
        <w:t xml:space="preserve"> reserve system</w:t>
      </w:r>
      <w:r w:rsidR="0024497F">
        <w:rPr>
          <w:rFonts w:asciiTheme="majorHAnsi" w:eastAsiaTheme="minorEastAsia" w:hAnsiTheme="majorHAnsi"/>
          <w:szCs w:val="22"/>
        </w:rPr>
        <w:t>, compared to 40</w:t>
      </w:r>
      <w:r w:rsidR="008574C5" w:rsidRPr="009C7698">
        <w:rPr>
          <w:rFonts w:asciiTheme="majorHAnsi" w:eastAsiaTheme="minorEastAsia" w:hAnsiTheme="majorHAnsi"/>
          <w:szCs w:val="22"/>
        </w:rPr>
        <w:t xml:space="preserve">% prior to these </w:t>
      </w:r>
      <w:r w:rsidR="00BF30CD" w:rsidRPr="00BF30CD">
        <w:rPr>
          <w:rFonts w:asciiTheme="majorHAnsi" w:eastAsiaTheme="minorEastAsia" w:hAnsiTheme="majorHAnsi"/>
          <w:szCs w:val="22"/>
        </w:rPr>
        <w:t>agreements (Table A2).</w:t>
      </w:r>
    </w:p>
    <w:p w14:paraId="7520DFD8" w14:textId="3FFFBB71" w:rsidR="00B71653" w:rsidRPr="009C7698" w:rsidRDefault="00B71653" w:rsidP="00DE2888">
      <w:pPr>
        <w:rPr>
          <w:rFonts w:asciiTheme="majorHAnsi" w:eastAsiaTheme="minorEastAsia" w:hAnsiTheme="majorHAnsi"/>
          <w:szCs w:val="22"/>
        </w:rPr>
      </w:pPr>
      <w:r w:rsidRPr="009C7698">
        <w:rPr>
          <w:rFonts w:asciiTheme="majorHAnsi" w:eastAsiaTheme="minorEastAsia" w:hAnsiTheme="majorHAnsi"/>
          <w:szCs w:val="22"/>
        </w:rPr>
        <w:t xml:space="preserve">The </w:t>
      </w:r>
      <w:r w:rsidR="00AB426A" w:rsidRPr="009C7698">
        <w:rPr>
          <w:rFonts w:asciiTheme="majorHAnsi" w:eastAsiaTheme="minorEastAsia" w:hAnsiTheme="majorHAnsi"/>
          <w:szCs w:val="22"/>
        </w:rPr>
        <w:t xml:space="preserve">area </w:t>
      </w:r>
      <w:r w:rsidR="00F4159C" w:rsidRPr="009C7698">
        <w:rPr>
          <w:rFonts w:asciiTheme="majorHAnsi" w:eastAsiaTheme="minorEastAsia" w:hAnsiTheme="majorHAnsi"/>
          <w:szCs w:val="22"/>
        </w:rPr>
        <w:t xml:space="preserve">of </w:t>
      </w:r>
      <w:r w:rsidRPr="009C7698">
        <w:rPr>
          <w:rFonts w:asciiTheme="majorHAnsi" w:eastAsiaTheme="minorEastAsia" w:hAnsiTheme="majorHAnsi"/>
          <w:szCs w:val="22"/>
        </w:rPr>
        <w:t>forest added to formal and informal reserve</w:t>
      </w:r>
      <w:r w:rsidR="009E3B1E" w:rsidRPr="009C7698">
        <w:rPr>
          <w:rFonts w:asciiTheme="majorHAnsi" w:eastAsiaTheme="minorEastAsia" w:hAnsiTheme="majorHAnsi"/>
          <w:szCs w:val="22"/>
        </w:rPr>
        <w:t>s</w:t>
      </w:r>
      <w:r w:rsidR="00AB426A" w:rsidRPr="009C7698">
        <w:rPr>
          <w:rFonts w:asciiTheme="majorHAnsi" w:eastAsiaTheme="minorEastAsia" w:hAnsiTheme="majorHAnsi"/>
          <w:szCs w:val="22"/>
        </w:rPr>
        <w:t xml:space="preserve">, as a proportion of the area of </w:t>
      </w:r>
      <w:r w:rsidR="00FA1A1A" w:rsidRPr="009C7698">
        <w:rPr>
          <w:rFonts w:asciiTheme="majorHAnsi" w:eastAsiaTheme="minorEastAsia" w:hAnsiTheme="majorHAnsi"/>
          <w:szCs w:val="22"/>
        </w:rPr>
        <w:t xml:space="preserve">forest in </w:t>
      </w:r>
      <w:r w:rsidR="00AB426A" w:rsidRPr="009C7698">
        <w:rPr>
          <w:rFonts w:asciiTheme="majorHAnsi" w:eastAsiaTheme="minorEastAsia" w:hAnsiTheme="majorHAnsi"/>
          <w:szCs w:val="22"/>
        </w:rPr>
        <w:t>reserve</w:t>
      </w:r>
      <w:r w:rsidR="00FA1A1A" w:rsidRPr="009C7698">
        <w:rPr>
          <w:rFonts w:asciiTheme="majorHAnsi" w:eastAsiaTheme="minorEastAsia" w:hAnsiTheme="majorHAnsi"/>
          <w:szCs w:val="22"/>
        </w:rPr>
        <w:t>s before the RFA process</w:t>
      </w:r>
      <w:r w:rsidR="00AB426A" w:rsidRPr="009C7698">
        <w:rPr>
          <w:rFonts w:asciiTheme="majorHAnsi" w:eastAsiaTheme="minorEastAsia" w:hAnsiTheme="majorHAnsi"/>
          <w:szCs w:val="22"/>
        </w:rPr>
        <w:t>,</w:t>
      </w:r>
      <w:r w:rsidRPr="009C7698">
        <w:rPr>
          <w:rFonts w:asciiTheme="majorHAnsi" w:eastAsiaTheme="minorEastAsia" w:hAnsiTheme="majorHAnsi"/>
          <w:szCs w:val="22"/>
        </w:rPr>
        <w:t xml:space="preserve"> varied from </w:t>
      </w:r>
      <w:r w:rsidR="00C77199" w:rsidRPr="009C7698">
        <w:rPr>
          <w:rFonts w:asciiTheme="majorHAnsi" w:eastAsiaTheme="minorEastAsia" w:hAnsiTheme="majorHAnsi"/>
          <w:szCs w:val="22"/>
        </w:rPr>
        <w:t>2</w:t>
      </w:r>
      <w:r w:rsidRPr="009C7698">
        <w:rPr>
          <w:rFonts w:asciiTheme="majorHAnsi" w:eastAsiaTheme="minorEastAsia" w:hAnsiTheme="majorHAnsi"/>
          <w:szCs w:val="22"/>
        </w:rPr>
        <w:t xml:space="preserve">% in the East Gippsland </w:t>
      </w:r>
      <w:r w:rsidR="008E67BF">
        <w:rPr>
          <w:rFonts w:asciiTheme="majorHAnsi" w:eastAsiaTheme="minorEastAsia" w:hAnsiTheme="majorHAnsi"/>
          <w:szCs w:val="22"/>
        </w:rPr>
        <w:t>RFA</w:t>
      </w:r>
      <w:r w:rsidR="00B008D1" w:rsidRPr="009C7698">
        <w:rPr>
          <w:rFonts w:asciiTheme="majorHAnsi" w:eastAsiaTheme="minorEastAsia" w:hAnsiTheme="majorHAnsi"/>
          <w:szCs w:val="22"/>
        </w:rPr>
        <w:t xml:space="preserve"> </w:t>
      </w:r>
      <w:r w:rsidR="00B235EA" w:rsidRPr="009C7698">
        <w:rPr>
          <w:rFonts w:asciiTheme="majorHAnsi" w:eastAsiaTheme="minorEastAsia" w:hAnsiTheme="majorHAnsi"/>
          <w:szCs w:val="22"/>
        </w:rPr>
        <w:t xml:space="preserve">region </w:t>
      </w:r>
      <w:r w:rsidR="00B008D1" w:rsidRPr="009C7698">
        <w:rPr>
          <w:rFonts w:asciiTheme="majorHAnsi" w:eastAsiaTheme="minorEastAsia" w:hAnsiTheme="majorHAnsi"/>
          <w:szCs w:val="22"/>
        </w:rPr>
        <w:t>to</w:t>
      </w:r>
      <w:r w:rsidR="000F60F5" w:rsidRPr="009C7698">
        <w:rPr>
          <w:rFonts w:asciiTheme="majorHAnsi" w:eastAsiaTheme="minorEastAsia" w:hAnsiTheme="majorHAnsi"/>
          <w:szCs w:val="22"/>
        </w:rPr>
        <w:t xml:space="preserve"> </w:t>
      </w:r>
      <w:r w:rsidR="00B008D1" w:rsidRPr="009C7698">
        <w:rPr>
          <w:rFonts w:asciiTheme="majorHAnsi" w:eastAsiaTheme="minorEastAsia" w:hAnsiTheme="majorHAnsi"/>
          <w:szCs w:val="22"/>
        </w:rPr>
        <w:t>151%</w:t>
      </w:r>
      <w:r w:rsidR="000F60F5" w:rsidRPr="009C7698">
        <w:rPr>
          <w:rFonts w:asciiTheme="majorHAnsi" w:eastAsiaTheme="minorEastAsia" w:hAnsiTheme="majorHAnsi"/>
          <w:szCs w:val="22"/>
        </w:rPr>
        <w:t xml:space="preserve"> </w:t>
      </w:r>
      <w:r w:rsidR="00B008D1" w:rsidRPr="009C7698">
        <w:rPr>
          <w:rFonts w:asciiTheme="majorHAnsi" w:eastAsiaTheme="minorEastAsia" w:hAnsiTheme="majorHAnsi"/>
          <w:szCs w:val="22"/>
        </w:rPr>
        <w:t xml:space="preserve">in the Upper North East New South Wales </w:t>
      </w:r>
      <w:r w:rsidR="008E67BF">
        <w:rPr>
          <w:rFonts w:asciiTheme="majorHAnsi" w:eastAsiaTheme="minorEastAsia" w:hAnsiTheme="majorHAnsi"/>
          <w:szCs w:val="22"/>
        </w:rPr>
        <w:t>RFA</w:t>
      </w:r>
      <w:r w:rsidR="00B235EA" w:rsidRPr="009C7698">
        <w:rPr>
          <w:rFonts w:asciiTheme="majorHAnsi" w:eastAsiaTheme="minorEastAsia" w:hAnsiTheme="majorHAnsi"/>
          <w:szCs w:val="22"/>
        </w:rPr>
        <w:t xml:space="preserve"> region</w:t>
      </w:r>
      <w:r w:rsidR="00B008D1" w:rsidRPr="009C7698">
        <w:rPr>
          <w:rFonts w:asciiTheme="majorHAnsi" w:eastAsiaTheme="minorEastAsia" w:hAnsiTheme="majorHAnsi"/>
          <w:szCs w:val="22"/>
        </w:rPr>
        <w:t xml:space="preserve">. Significant increases in </w:t>
      </w:r>
      <w:r w:rsidR="006605F0" w:rsidRPr="009C7698">
        <w:rPr>
          <w:rFonts w:asciiTheme="majorHAnsi" w:eastAsiaTheme="minorEastAsia" w:hAnsiTheme="majorHAnsi"/>
          <w:szCs w:val="22"/>
        </w:rPr>
        <w:t xml:space="preserve">forest </w:t>
      </w:r>
      <w:r w:rsidR="00B008D1" w:rsidRPr="009C7698">
        <w:rPr>
          <w:rFonts w:asciiTheme="majorHAnsi" w:eastAsiaTheme="minorEastAsia" w:hAnsiTheme="majorHAnsi"/>
          <w:szCs w:val="22"/>
        </w:rPr>
        <w:t xml:space="preserve">reservation </w:t>
      </w:r>
      <w:r w:rsidR="0024497F">
        <w:rPr>
          <w:rFonts w:asciiTheme="majorHAnsi" w:eastAsiaTheme="minorEastAsia" w:hAnsiTheme="majorHAnsi"/>
          <w:szCs w:val="22"/>
        </w:rPr>
        <w:t>occurred</w:t>
      </w:r>
      <w:r w:rsidR="00B008D1" w:rsidRPr="009C7698">
        <w:rPr>
          <w:rFonts w:asciiTheme="majorHAnsi" w:eastAsiaTheme="minorEastAsia" w:hAnsiTheme="majorHAnsi"/>
          <w:szCs w:val="22"/>
        </w:rPr>
        <w:t xml:space="preserve"> </w:t>
      </w:r>
      <w:r w:rsidR="000158D9" w:rsidRPr="009C7698">
        <w:rPr>
          <w:rFonts w:asciiTheme="majorHAnsi" w:eastAsiaTheme="minorEastAsia" w:hAnsiTheme="majorHAnsi"/>
          <w:szCs w:val="22"/>
        </w:rPr>
        <w:t>across</w:t>
      </w:r>
      <w:r w:rsidR="00B008D1" w:rsidRPr="009C7698">
        <w:rPr>
          <w:rFonts w:asciiTheme="majorHAnsi" w:eastAsiaTheme="minorEastAsia" w:hAnsiTheme="majorHAnsi"/>
          <w:szCs w:val="22"/>
        </w:rPr>
        <w:t xml:space="preserve"> all New South Wales </w:t>
      </w:r>
      <w:r w:rsidR="008E67BF">
        <w:rPr>
          <w:rFonts w:asciiTheme="majorHAnsi" w:eastAsiaTheme="minorEastAsia" w:hAnsiTheme="majorHAnsi"/>
          <w:szCs w:val="22"/>
        </w:rPr>
        <w:t>RFA</w:t>
      </w:r>
      <w:r w:rsidR="0086045E" w:rsidRPr="009C7698">
        <w:rPr>
          <w:rFonts w:asciiTheme="majorHAnsi" w:eastAsiaTheme="minorEastAsia" w:hAnsiTheme="majorHAnsi"/>
          <w:szCs w:val="22"/>
        </w:rPr>
        <w:t xml:space="preserve"> </w:t>
      </w:r>
      <w:r w:rsidR="008E67BF">
        <w:rPr>
          <w:rFonts w:asciiTheme="majorHAnsi" w:eastAsiaTheme="minorEastAsia" w:hAnsiTheme="majorHAnsi"/>
          <w:szCs w:val="22"/>
        </w:rPr>
        <w:t>regions</w:t>
      </w:r>
      <w:r w:rsidR="0086045E" w:rsidRPr="009C7698">
        <w:rPr>
          <w:rFonts w:asciiTheme="majorHAnsi" w:eastAsiaTheme="minorEastAsia" w:hAnsiTheme="majorHAnsi"/>
          <w:szCs w:val="22"/>
        </w:rPr>
        <w:t>, with</w:t>
      </w:r>
      <w:r w:rsidR="00B008D1" w:rsidRPr="009C7698">
        <w:rPr>
          <w:rFonts w:asciiTheme="majorHAnsi" w:eastAsiaTheme="minorEastAsia" w:hAnsiTheme="majorHAnsi"/>
          <w:szCs w:val="22"/>
        </w:rPr>
        <w:t xml:space="preserve"> collectively a 65% increase </w:t>
      </w:r>
      <w:r w:rsidR="00AC409E" w:rsidRPr="009C7698">
        <w:rPr>
          <w:rFonts w:asciiTheme="majorHAnsi" w:eastAsiaTheme="minorEastAsia" w:hAnsiTheme="majorHAnsi"/>
          <w:szCs w:val="22"/>
        </w:rPr>
        <w:t xml:space="preserve">in </w:t>
      </w:r>
      <w:r w:rsidR="00AC2BF5">
        <w:rPr>
          <w:rFonts w:asciiTheme="majorHAnsi" w:eastAsiaTheme="minorEastAsia" w:hAnsiTheme="majorHAnsi"/>
          <w:szCs w:val="22"/>
        </w:rPr>
        <w:t xml:space="preserve">forest </w:t>
      </w:r>
      <w:r w:rsidR="00AC409E" w:rsidRPr="009C7698">
        <w:rPr>
          <w:rFonts w:asciiTheme="majorHAnsi" w:eastAsiaTheme="minorEastAsia" w:hAnsiTheme="majorHAnsi"/>
          <w:szCs w:val="22"/>
        </w:rPr>
        <w:t>reserve</w:t>
      </w:r>
      <w:r w:rsidR="0086045E" w:rsidRPr="009C7698">
        <w:rPr>
          <w:rFonts w:asciiTheme="majorHAnsi" w:eastAsiaTheme="minorEastAsia" w:hAnsiTheme="majorHAnsi"/>
          <w:szCs w:val="22"/>
        </w:rPr>
        <w:t xml:space="preserve"> </w:t>
      </w:r>
      <w:r w:rsidR="00BF30CD" w:rsidRPr="00BF30CD">
        <w:rPr>
          <w:rFonts w:asciiTheme="majorHAnsi" w:eastAsiaTheme="minorEastAsia" w:hAnsiTheme="majorHAnsi"/>
          <w:szCs w:val="22"/>
        </w:rPr>
        <w:t>area (Table A2</w:t>
      </w:r>
      <w:r w:rsidR="00B008D1" w:rsidRPr="009C7698">
        <w:rPr>
          <w:rFonts w:asciiTheme="majorHAnsi" w:eastAsiaTheme="minorEastAsia" w:hAnsiTheme="majorHAnsi"/>
          <w:szCs w:val="22"/>
        </w:rPr>
        <w:t xml:space="preserve">). </w:t>
      </w:r>
      <w:r w:rsidR="009A58A8" w:rsidRPr="009C7698">
        <w:rPr>
          <w:rFonts w:asciiTheme="majorHAnsi" w:eastAsiaTheme="minorEastAsia" w:hAnsiTheme="majorHAnsi"/>
          <w:szCs w:val="22"/>
        </w:rPr>
        <w:t>Similarly,</w:t>
      </w:r>
      <w:r w:rsidR="0036370F" w:rsidRPr="009C7698">
        <w:rPr>
          <w:rFonts w:asciiTheme="majorHAnsi" w:eastAsiaTheme="minorEastAsia" w:hAnsiTheme="majorHAnsi"/>
          <w:szCs w:val="22"/>
        </w:rPr>
        <w:t xml:space="preserve"> all</w:t>
      </w:r>
      <w:r w:rsidR="009A58A8" w:rsidRPr="009C7698">
        <w:rPr>
          <w:rFonts w:asciiTheme="majorHAnsi" w:eastAsiaTheme="minorEastAsia" w:hAnsiTheme="majorHAnsi"/>
          <w:szCs w:val="22"/>
        </w:rPr>
        <w:t xml:space="preserve"> </w:t>
      </w:r>
      <w:r w:rsidR="00B008D1" w:rsidRPr="009C7698">
        <w:rPr>
          <w:rFonts w:asciiTheme="majorHAnsi" w:eastAsiaTheme="minorEastAsia" w:hAnsiTheme="majorHAnsi"/>
          <w:szCs w:val="22"/>
        </w:rPr>
        <w:t xml:space="preserve">Victorian </w:t>
      </w:r>
      <w:r w:rsidR="008E67BF">
        <w:rPr>
          <w:rFonts w:asciiTheme="majorHAnsi" w:eastAsiaTheme="minorEastAsia" w:hAnsiTheme="majorHAnsi"/>
          <w:szCs w:val="22"/>
        </w:rPr>
        <w:t>RFA</w:t>
      </w:r>
      <w:r w:rsidR="0086045E" w:rsidRPr="009C7698">
        <w:rPr>
          <w:rFonts w:asciiTheme="majorHAnsi" w:eastAsiaTheme="minorEastAsia" w:hAnsiTheme="majorHAnsi"/>
          <w:szCs w:val="22"/>
        </w:rPr>
        <w:t xml:space="preserve"> </w:t>
      </w:r>
      <w:r w:rsidR="008E67BF">
        <w:rPr>
          <w:rFonts w:asciiTheme="majorHAnsi" w:eastAsiaTheme="minorEastAsia" w:hAnsiTheme="majorHAnsi"/>
          <w:szCs w:val="22"/>
        </w:rPr>
        <w:t>regions</w:t>
      </w:r>
      <w:r w:rsidR="00B008D1" w:rsidRPr="009C7698">
        <w:rPr>
          <w:rFonts w:asciiTheme="majorHAnsi" w:eastAsiaTheme="minorEastAsia" w:hAnsiTheme="majorHAnsi"/>
          <w:szCs w:val="22"/>
        </w:rPr>
        <w:t xml:space="preserve"> </w:t>
      </w:r>
      <w:r w:rsidR="0036370F" w:rsidRPr="009C7698">
        <w:rPr>
          <w:rFonts w:asciiTheme="majorHAnsi" w:eastAsiaTheme="minorEastAsia" w:hAnsiTheme="majorHAnsi"/>
          <w:szCs w:val="22"/>
        </w:rPr>
        <w:t xml:space="preserve">other than </w:t>
      </w:r>
      <w:r w:rsidR="004F6551" w:rsidRPr="009C7698">
        <w:rPr>
          <w:rFonts w:asciiTheme="majorHAnsi" w:eastAsiaTheme="minorEastAsia" w:hAnsiTheme="majorHAnsi"/>
          <w:szCs w:val="22"/>
        </w:rPr>
        <w:t>E</w:t>
      </w:r>
      <w:r w:rsidR="0036370F" w:rsidRPr="009C7698">
        <w:rPr>
          <w:rFonts w:asciiTheme="majorHAnsi" w:eastAsiaTheme="minorEastAsia" w:hAnsiTheme="majorHAnsi"/>
          <w:szCs w:val="22"/>
        </w:rPr>
        <w:t xml:space="preserve">ast Gippsland </w:t>
      </w:r>
      <w:r w:rsidR="00B008D1" w:rsidRPr="009C7698">
        <w:rPr>
          <w:rFonts w:asciiTheme="majorHAnsi" w:eastAsiaTheme="minorEastAsia" w:hAnsiTheme="majorHAnsi"/>
          <w:szCs w:val="22"/>
        </w:rPr>
        <w:t xml:space="preserve">had </w:t>
      </w:r>
      <w:r w:rsidR="0086045E" w:rsidRPr="009C7698">
        <w:rPr>
          <w:rFonts w:asciiTheme="majorHAnsi" w:eastAsiaTheme="minorEastAsia" w:hAnsiTheme="majorHAnsi"/>
          <w:szCs w:val="22"/>
        </w:rPr>
        <w:t>si</w:t>
      </w:r>
      <w:r w:rsidR="009A58A8" w:rsidRPr="009C7698">
        <w:rPr>
          <w:rFonts w:asciiTheme="majorHAnsi" w:eastAsiaTheme="minorEastAsia" w:hAnsiTheme="majorHAnsi"/>
          <w:szCs w:val="22"/>
        </w:rPr>
        <w:t>gnificant</w:t>
      </w:r>
      <w:r w:rsidR="0086045E" w:rsidRPr="009C7698">
        <w:rPr>
          <w:rFonts w:asciiTheme="majorHAnsi" w:eastAsiaTheme="minorEastAsia" w:hAnsiTheme="majorHAnsi"/>
          <w:szCs w:val="22"/>
        </w:rPr>
        <w:t xml:space="preserve"> </w:t>
      </w:r>
      <w:r w:rsidR="00B008D1" w:rsidRPr="009C7698">
        <w:rPr>
          <w:rFonts w:asciiTheme="majorHAnsi" w:eastAsiaTheme="minorEastAsia" w:hAnsiTheme="majorHAnsi"/>
          <w:szCs w:val="22"/>
        </w:rPr>
        <w:t>increases in</w:t>
      </w:r>
      <w:r w:rsidR="006605F0" w:rsidRPr="009C7698">
        <w:rPr>
          <w:rFonts w:asciiTheme="majorHAnsi" w:eastAsiaTheme="minorEastAsia" w:hAnsiTheme="majorHAnsi"/>
          <w:szCs w:val="22"/>
        </w:rPr>
        <w:t xml:space="preserve"> forest</w:t>
      </w:r>
      <w:r w:rsidR="00B008D1" w:rsidRPr="009C7698">
        <w:rPr>
          <w:rFonts w:asciiTheme="majorHAnsi" w:eastAsiaTheme="minorEastAsia" w:hAnsiTheme="majorHAnsi"/>
          <w:szCs w:val="22"/>
        </w:rPr>
        <w:t xml:space="preserve"> reservation</w:t>
      </w:r>
      <w:r w:rsidR="0086045E" w:rsidRPr="009C7698">
        <w:rPr>
          <w:rFonts w:asciiTheme="majorHAnsi" w:eastAsiaTheme="minorEastAsia" w:hAnsiTheme="majorHAnsi"/>
          <w:szCs w:val="22"/>
        </w:rPr>
        <w:t>,</w:t>
      </w:r>
      <w:r w:rsidR="00B008D1" w:rsidRPr="009C7698">
        <w:rPr>
          <w:rFonts w:asciiTheme="majorHAnsi" w:eastAsiaTheme="minorEastAsia" w:hAnsiTheme="majorHAnsi"/>
          <w:szCs w:val="22"/>
        </w:rPr>
        <w:t xml:space="preserve"> varying from </w:t>
      </w:r>
      <w:r w:rsidR="00225779" w:rsidRPr="009C7698">
        <w:rPr>
          <w:rFonts w:asciiTheme="majorHAnsi" w:eastAsiaTheme="minorEastAsia" w:hAnsiTheme="majorHAnsi"/>
          <w:szCs w:val="22"/>
        </w:rPr>
        <w:t>42</w:t>
      </w:r>
      <w:r w:rsidR="00B008D1" w:rsidRPr="009C7698">
        <w:rPr>
          <w:rFonts w:asciiTheme="majorHAnsi" w:eastAsiaTheme="minorEastAsia" w:hAnsiTheme="majorHAnsi"/>
          <w:szCs w:val="22"/>
        </w:rPr>
        <w:t>% (West</w:t>
      </w:r>
      <w:r w:rsidR="00397B95">
        <w:rPr>
          <w:rFonts w:asciiTheme="majorHAnsi" w:eastAsiaTheme="minorEastAsia" w:hAnsiTheme="majorHAnsi"/>
          <w:szCs w:val="22"/>
        </w:rPr>
        <w:t xml:space="preserve"> Victoria</w:t>
      </w:r>
      <w:r w:rsidR="00B008D1" w:rsidRPr="009C7698">
        <w:rPr>
          <w:rFonts w:asciiTheme="majorHAnsi" w:eastAsiaTheme="minorEastAsia" w:hAnsiTheme="majorHAnsi"/>
          <w:szCs w:val="22"/>
        </w:rPr>
        <w:t xml:space="preserve">) to </w:t>
      </w:r>
      <w:r w:rsidR="00225779" w:rsidRPr="009C7698">
        <w:rPr>
          <w:rFonts w:asciiTheme="majorHAnsi" w:eastAsiaTheme="minorEastAsia" w:hAnsiTheme="majorHAnsi"/>
          <w:szCs w:val="22"/>
        </w:rPr>
        <w:t>60</w:t>
      </w:r>
      <w:r w:rsidR="00B008D1" w:rsidRPr="009C7698">
        <w:rPr>
          <w:rFonts w:asciiTheme="majorHAnsi" w:eastAsiaTheme="minorEastAsia" w:hAnsiTheme="majorHAnsi"/>
          <w:szCs w:val="22"/>
        </w:rPr>
        <w:t>% (Gippsland)</w:t>
      </w:r>
      <w:r w:rsidR="0086045E" w:rsidRPr="009C7698">
        <w:rPr>
          <w:rFonts w:asciiTheme="majorHAnsi" w:eastAsiaTheme="minorEastAsia" w:hAnsiTheme="majorHAnsi"/>
          <w:szCs w:val="22"/>
        </w:rPr>
        <w:t>,</w:t>
      </w:r>
      <w:r w:rsidR="00B008D1" w:rsidRPr="009C7698">
        <w:rPr>
          <w:rFonts w:asciiTheme="majorHAnsi" w:eastAsiaTheme="minorEastAsia" w:hAnsiTheme="majorHAnsi"/>
          <w:szCs w:val="22"/>
        </w:rPr>
        <w:t xml:space="preserve"> with collectively a 37% increase in </w:t>
      </w:r>
      <w:r w:rsidR="00C77199" w:rsidRPr="009C7698">
        <w:rPr>
          <w:rFonts w:asciiTheme="majorHAnsi" w:eastAsiaTheme="minorEastAsia" w:hAnsiTheme="majorHAnsi"/>
          <w:szCs w:val="22"/>
        </w:rPr>
        <w:t xml:space="preserve">forest </w:t>
      </w:r>
      <w:r w:rsidR="00B008D1" w:rsidRPr="009C7698">
        <w:rPr>
          <w:rFonts w:asciiTheme="majorHAnsi" w:eastAsiaTheme="minorEastAsia" w:hAnsiTheme="majorHAnsi"/>
          <w:szCs w:val="22"/>
        </w:rPr>
        <w:t>reserv</w:t>
      </w:r>
      <w:r w:rsidR="0086045E" w:rsidRPr="009C7698">
        <w:rPr>
          <w:rFonts w:asciiTheme="majorHAnsi" w:eastAsiaTheme="minorEastAsia" w:hAnsiTheme="majorHAnsi"/>
          <w:szCs w:val="22"/>
        </w:rPr>
        <w:t>e area</w:t>
      </w:r>
      <w:r w:rsidR="0036370F" w:rsidRPr="009C7698">
        <w:rPr>
          <w:rFonts w:asciiTheme="majorHAnsi" w:eastAsiaTheme="minorEastAsia" w:hAnsiTheme="majorHAnsi"/>
          <w:szCs w:val="22"/>
        </w:rPr>
        <w:t xml:space="preserve"> in Victoria</w:t>
      </w:r>
      <w:r w:rsidR="00AC2BF5">
        <w:rPr>
          <w:rFonts w:asciiTheme="majorHAnsi" w:eastAsiaTheme="minorEastAsia" w:hAnsiTheme="majorHAnsi"/>
          <w:szCs w:val="22"/>
        </w:rPr>
        <w:t>n RFA regions</w:t>
      </w:r>
      <w:r w:rsidR="00B008D1" w:rsidRPr="009C7698">
        <w:rPr>
          <w:rFonts w:asciiTheme="majorHAnsi" w:eastAsiaTheme="minorEastAsia" w:hAnsiTheme="majorHAnsi"/>
          <w:szCs w:val="22"/>
        </w:rPr>
        <w:t>.</w:t>
      </w:r>
      <w:r w:rsidR="00157681" w:rsidRPr="009C7698">
        <w:rPr>
          <w:rFonts w:asciiTheme="majorHAnsi" w:eastAsiaTheme="minorEastAsia" w:hAnsiTheme="majorHAnsi"/>
          <w:szCs w:val="22"/>
        </w:rPr>
        <w:t xml:space="preserve"> The Tasmanian and </w:t>
      </w:r>
      <w:r w:rsidR="007A4D33" w:rsidRPr="009C7698">
        <w:rPr>
          <w:rFonts w:asciiTheme="majorHAnsi" w:eastAsiaTheme="minorEastAsia" w:hAnsiTheme="majorHAnsi"/>
          <w:szCs w:val="22"/>
        </w:rPr>
        <w:t xml:space="preserve">South-West </w:t>
      </w:r>
      <w:r w:rsidR="00397B95">
        <w:rPr>
          <w:rFonts w:asciiTheme="majorHAnsi" w:eastAsiaTheme="minorEastAsia" w:hAnsiTheme="majorHAnsi"/>
          <w:szCs w:val="22"/>
        </w:rPr>
        <w:t xml:space="preserve">Forest Region of </w:t>
      </w:r>
      <w:r w:rsidR="00157681" w:rsidRPr="009C7698">
        <w:rPr>
          <w:rFonts w:asciiTheme="majorHAnsi" w:eastAsiaTheme="minorEastAsia" w:hAnsiTheme="majorHAnsi"/>
          <w:szCs w:val="22"/>
        </w:rPr>
        <w:t>Western Australi</w:t>
      </w:r>
      <w:r w:rsidR="00397B95">
        <w:rPr>
          <w:rFonts w:asciiTheme="majorHAnsi" w:eastAsiaTheme="minorEastAsia" w:hAnsiTheme="majorHAnsi"/>
          <w:szCs w:val="22"/>
        </w:rPr>
        <w:t xml:space="preserve">an </w:t>
      </w:r>
      <w:r w:rsidR="008E67BF">
        <w:rPr>
          <w:rFonts w:asciiTheme="majorHAnsi" w:eastAsiaTheme="minorEastAsia" w:hAnsiTheme="majorHAnsi"/>
          <w:szCs w:val="22"/>
        </w:rPr>
        <w:t>RFA</w:t>
      </w:r>
      <w:r w:rsidR="00157681" w:rsidRPr="009C7698">
        <w:rPr>
          <w:rFonts w:asciiTheme="majorHAnsi" w:eastAsiaTheme="minorEastAsia" w:hAnsiTheme="majorHAnsi"/>
          <w:szCs w:val="22"/>
        </w:rPr>
        <w:t xml:space="preserve">s resulted in a 29% and </w:t>
      </w:r>
      <w:r w:rsidR="00AC2BF5">
        <w:rPr>
          <w:rFonts w:asciiTheme="majorHAnsi" w:eastAsiaTheme="minorEastAsia" w:hAnsiTheme="majorHAnsi"/>
          <w:szCs w:val="22"/>
        </w:rPr>
        <w:t xml:space="preserve">a </w:t>
      </w:r>
      <w:r w:rsidR="00157681" w:rsidRPr="009C7698">
        <w:rPr>
          <w:rFonts w:asciiTheme="majorHAnsi" w:eastAsiaTheme="minorEastAsia" w:hAnsiTheme="majorHAnsi"/>
          <w:szCs w:val="22"/>
        </w:rPr>
        <w:t xml:space="preserve">16% increase in </w:t>
      </w:r>
      <w:r w:rsidR="006605F0" w:rsidRPr="009C7698">
        <w:rPr>
          <w:rFonts w:asciiTheme="majorHAnsi" w:eastAsiaTheme="minorEastAsia" w:hAnsiTheme="majorHAnsi"/>
          <w:szCs w:val="22"/>
        </w:rPr>
        <w:t xml:space="preserve">forest </w:t>
      </w:r>
      <w:r w:rsidR="00157681" w:rsidRPr="009C7698">
        <w:rPr>
          <w:rFonts w:asciiTheme="majorHAnsi" w:eastAsiaTheme="minorEastAsia" w:hAnsiTheme="majorHAnsi"/>
          <w:szCs w:val="22"/>
        </w:rPr>
        <w:t>reserv</w:t>
      </w:r>
      <w:r w:rsidR="00467616" w:rsidRPr="009C7698">
        <w:rPr>
          <w:rFonts w:asciiTheme="majorHAnsi" w:eastAsiaTheme="minorEastAsia" w:hAnsiTheme="majorHAnsi"/>
          <w:szCs w:val="22"/>
        </w:rPr>
        <w:t>e areas</w:t>
      </w:r>
      <w:r w:rsidR="0055165E">
        <w:rPr>
          <w:rFonts w:asciiTheme="majorHAnsi" w:eastAsiaTheme="minorEastAsia" w:hAnsiTheme="majorHAnsi"/>
          <w:szCs w:val="22"/>
        </w:rPr>
        <w:t xml:space="preserve"> in these regions</w:t>
      </w:r>
      <w:r w:rsidR="00157681" w:rsidRPr="009C7698">
        <w:rPr>
          <w:rFonts w:asciiTheme="majorHAnsi" w:eastAsiaTheme="minorEastAsia" w:hAnsiTheme="majorHAnsi"/>
          <w:szCs w:val="22"/>
        </w:rPr>
        <w:t>, respectively.</w:t>
      </w:r>
    </w:p>
    <w:p w14:paraId="24418A8B" w14:textId="7A4019C2" w:rsidR="00BE7BC7" w:rsidRPr="009C7698" w:rsidRDefault="00AC2BF5" w:rsidP="00DE2888">
      <w:pPr>
        <w:rPr>
          <w:rFonts w:asciiTheme="majorHAnsi" w:hAnsiTheme="majorHAnsi"/>
          <w:szCs w:val="22"/>
        </w:rPr>
      </w:pPr>
      <w:r>
        <w:rPr>
          <w:rFonts w:asciiTheme="majorHAnsi" w:eastAsiaTheme="minorEastAsia" w:hAnsiTheme="majorHAnsi"/>
          <w:szCs w:val="22"/>
        </w:rPr>
        <w:t>However, t</w:t>
      </w:r>
      <w:r w:rsidR="00CF3776" w:rsidRPr="009C7698">
        <w:rPr>
          <w:rFonts w:asciiTheme="majorHAnsi" w:eastAsiaTheme="minorEastAsia" w:hAnsiTheme="majorHAnsi"/>
          <w:szCs w:val="22"/>
        </w:rPr>
        <w:t xml:space="preserve">he total area of the CAR reserve system on public land established through the RFA process is larger than the areas of formal and informal reserves described above, as it also includes </w:t>
      </w:r>
      <w:r w:rsidR="0086045E" w:rsidRPr="009C7698">
        <w:rPr>
          <w:rFonts w:asciiTheme="majorHAnsi" w:eastAsiaTheme="minorEastAsia" w:hAnsiTheme="majorHAnsi"/>
          <w:szCs w:val="22"/>
        </w:rPr>
        <w:t xml:space="preserve">areas managed by </w:t>
      </w:r>
      <w:r w:rsidR="00AC409E" w:rsidRPr="009C7698">
        <w:rPr>
          <w:rFonts w:asciiTheme="majorHAnsi" w:eastAsiaTheme="minorEastAsia" w:hAnsiTheme="majorHAnsi"/>
          <w:szCs w:val="22"/>
        </w:rPr>
        <w:t>prescription</w:t>
      </w:r>
      <w:r>
        <w:rPr>
          <w:rFonts w:asciiTheme="majorHAnsi" w:eastAsiaTheme="minorEastAsia" w:hAnsiTheme="majorHAnsi"/>
          <w:szCs w:val="22"/>
        </w:rPr>
        <w:t xml:space="preserve"> for </w:t>
      </w:r>
      <w:r w:rsidRPr="009C7698">
        <w:rPr>
          <w:rFonts w:asciiTheme="majorHAnsi" w:hAnsiTheme="majorHAnsi"/>
          <w:szCs w:val="22"/>
        </w:rPr>
        <w:t>protect</w:t>
      </w:r>
      <w:r>
        <w:rPr>
          <w:rFonts w:asciiTheme="majorHAnsi" w:hAnsiTheme="majorHAnsi"/>
          <w:szCs w:val="22"/>
        </w:rPr>
        <w:t>ion of</w:t>
      </w:r>
      <w:r w:rsidRPr="009C7698">
        <w:rPr>
          <w:rFonts w:asciiTheme="majorHAnsi" w:hAnsiTheme="majorHAnsi"/>
          <w:szCs w:val="22"/>
        </w:rPr>
        <w:t xml:space="preserve"> biodiversity</w:t>
      </w:r>
      <w:r w:rsidR="00787375">
        <w:rPr>
          <w:rFonts w:asciiTheme="majorHAnsi" w:hAnsiTheme="majorHAnsi"/>
          <w:szCs w:val="22"/>
        </w:rPr>
        <w:t xml:space="preserve"> and</w:t>
      </w:r>
      <w:r w:rsidR="00787375" w:rsidRPr="009C7698">
        <w:rPr>
          <w:rFonts w:asciiTheme="majorHAnsi" w:hAnsiTheme="majorHAnsi"/>
          <w:szCs w:val="22"/>
        </w:rPr>
        <w:t xml:space="preserve"> </w:t>
      </w:r>
      <w:r w:rsidRPr="009C7698">
        <w:rPr>
          <w:rFonts w:asciiTheme="majorHAnsi" w:hAnsiTheme="majorHAnsi"/>
          <w:szCs w:val="22"/>
        </w:rPr>
        <w:t>old-growth values</w:t>
      </w:r>
      <w:r w:rsidR="0086045E" w:rsidRPr="009C7698">
        <w:rPr>
          <w:rFonts w:asciiTheme="majorHAnsi" w:eastAsiaTheme="minorEastAsia" w:hAnsiTheme="majorHAnsi"/>
          <w:szCs w:val="22"/>
        </w:rPr>
        <w:t>.</w:t>
      </w:r>
      <w:r w:rsidR="00AC409E" w:rsidRPr="009C7698">
        <w:rPr>
          <w:rFonts w:asciiTheme="majorHAnsi" w:eastAsiaTheme="minorEastAsia" w:hAnsiTheme="majorHAnsi"/>
          <w:szCs w:val="22"/>
        </w:rPr>
        <w:t xml:space="preserve"> </w:t>
      </w:r>
      <w:r w:rsidR="00EA11CB">
        <w:rPr>
          <w:rFonts w:asciiTheme="majorHAnsi" w:eastAsiaTheme="minorEastAsia" w:hAnsiTheme="majorHAnsi"/>
          <w:szCs w:val="22"/>
        </w:rPr>
        <w:t>Following signing the RFAs, b</w:t>
      </w:r>
      <w:r w:rsidR="00106F61" w:rsidRPr="009C7698">
        <w:rPr>
          <w:rFonts w:asciiTheme="majorHAnsi" w:eastAsiaTheme="minorEastAsia" w:hAnsiTheme="majorHAnsi"/>
          <w:szCs w:val="22"/>
        </w:rPr>
        <w:t>etween</w:t>
      </w:r>
      <w:r w:rsidR="0086045E" w:rsidRPr="009C7698">
        <w:rPr>
          <w:rFonts w:asciiTheme="majorHAnsi" w:eastAsiaTheme="minorEastAsia" w:hAnsiTheme="majorHAnsi"/>
          <w:szCs w:val="22"/>
        </w:rPr>
        <w:t xml:space="preserve"> </w:t>
      </w:r>
      <w:r w:rsidR="00AC409E" w:rsidRPr="009C7698">
        <w:rPr>
          <w:rFonts w:asciiTheme="majorHAnsi" w:eastAsiaTheme="minorEastAsia" w:hAnsiTheme="majorHAnsi"/>
          <w:szCs w:val="22"/>
        </w:rPr>
        <w:t>95</w:t>
      </w:r>
      <w:r w:rsidR="00FE656A">
        <w:rPr>
          <w:rFonts w:asciiTheme="majorHAnsi" w:eastAsiaTheme="minorEastAsia" w:hAnsiTheme="majorHAnsi"/>
          <w:szCs w:val="22"/>
        </w:rPr>
        <w:t xml:space="preserve"> thousand</w:t>
      </w:r>
      <w:r w:rsidR="00AC409E" w:rsidRPr="009C7698">
        <w:rPr>
          <w:rFonts w:asciiTheme="majorHAnsi" w:eastAsiaTheme="minorEastAsia" w:hAnsiTheme="majorHAnsi"/>
          <w:szCs w:val="22"/>
        </w:rPr>
        <w:t xml:space="preserve"> </w:t>
      </w:r>
      <w:r w:rsidR="00335BEA" w:rsidRPr="009C7698">
        <w:rPr>
          <w:rFonts w:asciiTheme="majorHAnsi" w:eastAsiaTheme="minorEastAsia" w:hAnsiTheme="majorHAnsi"/>
          <w:szCs w:val="22"/>
        </w:rPr>
        <w:t>and</w:t>
      </w:r>
      <w:r w:rsidR="00FE656A">
        <w:rPr>
          <w:rFonts w:asciiTheme="majorHAnsi" w:eastAsiaTheme="minorEastAsia" w:hAnsiTheme="majorHAnsi"/>
          <w:szCs w:val="22"/>
        </w:rPr>
        <w:t xml:space="preserve"> 110 thousand</w:t>
      </w:r>
      <w:r w:rsidR="00106F61" w:rsidRPr="009C7698">
        <w:rPr>
          <w:rFonts w:asciiTheme="majorHAnsi" w:eastAsiaTheme="minorEastAsia" w:hAnsiTheme="majorHAnsi"/>
          <w:szCs w:val="22"/>
        </w:rPr>
        <w:t xml:space="preserve"> </w:t>
      </w:r>
      <w:r w:rsidR="00AC409E" w:rsidRPr="009C7698">
        <w:rPr>
          <w:rFonts w:asciiTheme="majorHAnsi" w:eastAsiaTheme="minorEastAsia" w:hAnsiTheme="majorHAnsi"/>
          <w:szCs w:val="22"/>
        </w:rPr>
        <w:t xml:space="preserve">hectares of </w:t>
      </w:r>
      <w:r w:rsidR="004865E7" w:rsidRPr="009C7698">
        <w:rPr>
          <w:rFonts w:asciiTheme="majorHAnsi" w:eastAsiaTheme="minorEastAsia" w:hAnsiTheme="majorHAnsi"/>
          <w:szCs w:val="22"/>
        </w:rPr>
        <w:t>forest</w:t>
      </w:r>
      <w:r w:rsidR="0086045E" w:rsidRPr="009C7698">
        <w:rPr>
          <w:rFonts w:asciiTheme="majorHAnsi" w:eastAsiaTheme="minorEastAsia" w:hAnsiTheme="majorHAnsi"/>
          <w:szCs w:val="22"/>
        </w:rPr>
        <w:t xml:space="preserve"> </w:t>
      </w:r>
      <w:r w:rsidR="00EA11CB">
        <w:rPr>
          <w:rFonts w:asciiTheme="majorHAnsi" w:eastAsiaTheme="minorEastAsia" w:hAnsiTheme="majorHAnsi"/>
          <w:szCs w:val="22"/>
        </w:rPr>
        <w:t>were</w:t>
      </w:r>
      <w:r w:rsidR="00EA11CB" w:rsidRPr="009C7698">
        <w:rPr>
          <w:rFonts w:asciiTheme="majorHAnsi" w:eastAsiaTheme="minorEastAsia" w:hAnsiTheme="majorHAnsi"/>
          <w:szCs w:val="22"/>
        </w:rPr>
        <w:t xml:space="preserve"> </w:t>
      </w:r>
      <w:r w:rsidR="0086045E" w:rsidRPr="009C7698">
        <w:rPr>
          <w:rFonts w:asciiTheme="majorHAnsi" w:eastAsiaTheme="minorEastAsia" w:hAnsiTheme="majorHAnsi"/>
          <w:szCs w:val="22"/>
        </w:rPr>
        <w:t>managed by</w:t>
      </w:r>
      <w:r w:rsidR="004865E7" w:rsidRPr="009C7698">
        <w:rPr>
          <w:rFonts w:asciiTheme="majorHAnsi" w:eastAsiaTheme="minorEastAsia" w:hAnsiTheme="majorHAnsi"/>
          <w:szCs w:val="22"/>
        </w:rPr>
        <w:t xml:space="preserve"> </w:t>
      </w:r>
      <w:r w:rsidR="00AC409E" w:rsidRPr="009C7698">
        <w:rPr>
          <w:rFonts w:asciiTheme="majorHAnsi" w:eastAsiaTheme="minorEastAsia" w:hAnsiTheme="majorHAnsi"/>
          <w:szCs w:val="22"/>
        </w:rPr>
        <w:t xml:space="preserve">prescription </w:t>
      </w:r>
      <w:r w:rsidR="004865E7" w:rsidRPr="009C7698">
        <w:rPr>
          <w:rFonts w:asciiTheme="majorHAnsi" w:eastAsiaTheme="minorEastAsia" w:hAnsiTheme="majorHAnsi"/>
          <w:szCs w:val="22"/>
        </w:rPr>
        <w:t xml:space="preserve">in each of the Gippsland </w:t>
      </w:r>
      <w:r w:rsidR="00783FE9" w:rsidRPr="009C7698">
        <w:rPr>
          <w:rFonts w:asciiTheme="majorHAnsi" w:eastAsiaTheme="minorEastAsia" w:hAnsiTheme="majorHAnsi"/>
          <w:szCs w:val="22"/>
        </w:rPr>
        <w:t xml:space="preserve">and North East </w:t>
      </w:r>
      <w:r w:rsidR="000038CC" w:rsidRPr="009C7698">
        <w:rPr>
          <w:rFonts w:asciiTheme="majorHAnsi" w:eastAsiaTheme="minorEastAsia" w:hAnsiTheme="majorHAnsi"/>
          <w:szCs w:val="22"/>
        </w:rPr>
        <w:t>region</w:t>
      </w:r>
      <w:r w:rsidR="00783FE9" w:rsidRPr="009C7698">
        <w:rPr>
          <w:rFonts w:asciiTheme="majorHAnsi" w:eastAsiaTheme="minorEastAsia" w:hAnsiTheme="majorHAnsi"/>
          <w:szCs w:val="22"/>
        </w:rPr>
        <w:t>s</w:t>
      </w:r>
      <w:r w:rsidR="0086045E" w:rsidRPr="009C7698">
        <w:rPr>
          <w:rFonts w:asciiTheme="majorHAnsi" w:eastAsiaTheme="minorEastAsia" w:hAnsiTheme="majorHAnsi"/>
          <w:szCs w:val="22"/>
        </w:rPr>
        <w:t xml:space="preserve"> in Victoria</w:t>
      </w:r>
      <w:r w:rsidR="004865E7" w:rsidRPr="009C7698">
        <w:rPr>
          <w:rFonts w:asciiTheme="majorHAnsi" w:eastAsiaTheme="minorEastAsia" w:hAnsiTheme="majorHAnsi"/>
          <w:szCs w:val="22"/>
        </w:rPr>
        <w:t xml:space="preserve">, </w:t>
      </w:r>
      <w:r w:rsidR="0086045E" w:rsidRPr="009C7698">
        <w:rPr>
          <w:rFonts w:asciiTheme="majorHAnsi" w:eastAsiaTheme="minorEastAsia" w:hAnsiTheme="majorHAnsi"/>
          <w:szCs w:val="22"/>
        </w:rPr>
        <w:t xml:space="preserve">the </w:t>
      </w:r>
      <w:r w:rsidR="004865E7" w:rsidRPr="009C7698">
        <w:rPr>
          <w:rFonts w:asciiTheme="majorHAnsi" w:eastAsiaTheme="minorEastAsia" w:hAnsiTheme="majorHAnsi"/>
          <w:szCs w:val="22"/>
        </w:rPr>
        <w:t xml:space="preserve">Lower and Upper North East </w:t>
      </w:r>
      <w:r w:rsidR="000038CC" w:rsidRPr="009C7698">
        <w:rPr>
          <w:rFonts w:asciiTheme="majorHAnsi" w:eastAsiaTheme="minorEastAsia" w:hAnsiTheme="majorHAnsi"/>
          <w:szCs w:val="22"/>
        </w:rPr>
        <w:t>region</w:t>
      </w:r>
      <w:r w:rsidR="0086045E" w:rsidRPr="009C7698">
        <w:rPr>
          <w:rFonts w:asciiTheme="majorHAnsi" w:eastAsiaTheme="minorEastAsia" w:hAnsiTheme="majorHAnsi"/>
          <w:szCs w:val="22"/>
        </w:rPr>
        <w:t xml:space="preserve">s in </w:t>
      </w:r>
      <w:r w:rsidR="00106F61" w:rsidRPr="009C7698">
        <w:rPr>
          <w:rFonts w:asciiTheme="majorHAnsi" w:eastAsiaTheme="minorEastAsia" w:hAnsiTheme="majorHAnsi"/>
          <w:szCs w:val="22"/>
        </w:rPr>
        <w:t>New South Wales</w:t>
      </w:r>
      <w:r w:rsidR="0086045E" w:rsidRPr="009C7698">
        <w:rPr>
          <w:rFonts w:asciiTheme="majorHAnsi" w:eastAsiaTheme="minorEastAsia" w:hAnsiTheme="majorHAnsi"/>
          <w:szCs w:val="22"/>
        </w:rPr>
        <w:t>,</w:t>
      </w:r>
      <w:r w:rsidR="004865E7" w:rsidRPr="009C7698">
        <w:rPr>
          <w:rFonts w:asciiTheme="majorHAnsi" w:eastAsiaTheme="minorEastAsia" w:hAnsiTheme="majorHAnsi"/>
          <w:szCs w:val="22"/>
        </w:rPr>
        <w:t xml:space="preserve"> and </w:t>
      </w:r>
      <w:r w:rsidR="0086045E" w:rsidRPr="009C7698">
        <w:rPr>
          <w:rFonts w:asciiTheme="majorHAnsi" w:eastAsiaTheme="minorEastAsia" w:hAnsiTheme="majorHAnsi"/>
          <w:szCs w:val="22"/>
        </w:rPr>
        <w:t xml:space="preserve">the </w:t>
      </w:r>
      <w:r w:rsidR="004865E7" w:rsidRPr="009C7698">
        <w:rPr>
          <w:rFonts w:asciiTheme="majorHAnsi" w:eastAsiaTheme="minorEastAsia" w:hAnsiTheme="majorHAnsi"/>
          <w:szCs w:val="22"/>
        </w:rPr>
        <w:t>South-W</w:t>
      </w:r>
      <w:r w:rsidR="00BD3D47" w:rsidRPr="009C7698">
        <w:rPr>
          <w:rFonts w:asciiTheme="majorHAnsi" w:eastAsiaTheme="minorEastAsia" w:hAnsiTheme="majorHAnsi"/>
          <w:szCs w:val="22"/>
        </w:rPr>
        <w:t xml:space="preserve">est </w:t>
      </w:r>
      <w:r w:rsidR="0091706C">
        <w:rPr>
          <w:rFonts w:asciiTheme="majorHAnsi" w:eastAsiaTheme="minorEastAsia" w:hAnsiTheme="majorHAnsi"/>
          <w:szCs w:val="22"/>
        </w:rPr>
        <w:t xml:space="preserve">Forest Region of </w:t>
      </w:r>
      <w:r w:rsidR="00851047">
        <w:rPr>
          <w:rFonts w:asciiTheme="majorHAnsi" w:eastAsiaTheme="minorEastAsia" w:hAnsiTheme="majorHAnsi"/>
          <w:szCs w:val="22"/>
        </w:rPr>
        <w:t>Western Australia</w:t>
      </w:r>
      <w:r w:rsidR="00851047" w:rsidRPr="009C7698">
        <w:rPr>
          <w:rFonts w:asciiTheme="majorHAnsi" w:eastAsiaTheme="minorEastAsia" w:hAnsiTheme="majorHAnsi"/>
          <w:szCs w:val="22"/>
        </w:rPr>
        <w:t xml:space="preserve"> </w:t>
      </w:r>
      <w:r w:rsidR="00474F7E" w:rsidRPr="009C7698">
        <w:rPr>
          <w:rFonts w:asciiTheme="majorHAnsi" w:eastAsiaTheme="minorEastAsia" w:hAnsiTheme="majorHAnsi"/>
          <w:szCs w:val="22"/>
        </w:rPr>
        <w:t>(</w:t>
      </w:r>
      <w:r w:rsidR="0042049A">
        <w:rPr>
          <w:rFonts w:asciiTheme="majorHAnsi" w:eastAsiaTheme="minorEastAsia" w:hAnsiTheme="majorHAnsi"/>
          <w:szCs w:val="22"/>
        </w:rPr>
        <w:t>Table A1</w:t>
      </w:r>
      <w:r w:rsidR="00474F7E" w:rsidRPr="009C7698">
        <w:rPr>
          <w:rFonts w:asciiTheme="majorHAnsi" w:eastAsiaTheme="minorEastAsia" w:hAnsiTheme="majorHAnsi"/>
          <w:szCs w:val="22"/>
        </w:rPr>
        <w:t>)</w:t>
      </w:r>
      <w:r w:rsidR="004865E7" w:rsidRPr="009C7698">
        <w:rPr>
          <w:rFonts w:asciiTheme="majorHAnsi" w:eastAsiaTheme="minorEastAsia" w:hAnsiTheme="majorHAnsi"/>
          <w:szCs w:val="22"/>
        </w:rPr>
        <w:t>. Collectively</w:t>
      </w:r>
      <w:r w:rsidR="0086045E" w:rsidRPr="009C7698">
        <w:rPr>
          <w:rFonts w:asciiTheme="majorHAnsi" w:eastAsiaTheme="minorEastAsia" w:hAnsiTheme="majorHAnsi"/>
          <w:szCs w:val="22"/>
        </w:rPr>
        <w:t>, the ten</w:t>
      </w:r>
      <w:r w:rsidR="004865E7" w:rsidRPr="009C7698">
        <w:rPr>
          <w:rFonts w:asciiTheme="majorHAnsi" w:eastAsiaTheme="minorEastAsia" w:hAnsiTheme="majorHAnsi"/>
          <w:szCs w:val="22"/>
        </w:rPr>
        <w:t xml:space="preserve"> </w:t>
      </w:r>
      <w:r w:rsidR="008E67BF">
        <w:rPr>
          <w:rFonts w:asciiTheme="majorHAnsi" w:eastAsiaTheme="minorEastAsia" w:hAnsiTheme="majorHAnsi"/>
          <w:szCs w:val="22"/>
        </w:rPr>
        <w:t>RFA</w:t>
      </w:r>
      <w:r w:rsidR="004865E7" w:rsidRPr="009C7698">
        <w:rPr>
          <w:rFonts w:asciiTheme="majorHAnsi" w:eastAsiaTheme="minorEastAsia" w:hAnsiTheme="majorHAnsi"/>
          <w:szCs w:val="22"/>
        </w:rPr>
        <w:t>s</w:t>
      </w:r>
      <w:r w:rsidR="00C85301" w:rsidRPr="009C7698">
        <w:rPr>
          <w:rFonts w:asciiTheme="majorHAnsi" w:eastAsiaTheme="minorEastAsia" w:hAnsiTheme="majorHAnsi"/>
          <w:szCs w:val="22"/>
        </w:rPr>
        <w:t xml:space="preserve"> resulted in </w:t>
      </w:r>
      <w:r w:rsidR="00047FEA">
        <w:rPr>
          <w:rFonts w:asciiTheme="majorHAnsi" w:eastAsiaTheme="minorEastAsia" w:hAnsiTheme="majorHAnsi"/>
          <w:szCs w:val="22"/>
        </w:rPr>
        <w:t>0.</w:t>
      </w:r>
      <w:r w:rsidR="00C85301" w:rsidRPr="009C7698">
        <w:rPr>
          <w:rFonts w:asciiTheme="majorHAnsi" w:eastAsiaTheme="minorEastAsia" w:hAnsiTheme="majorHAnsi"/>
          <w:szCs w:val="22"/>
        </w:rPr>
        <w:t>6</w:t>
      </w:r>
      <w:r w:rsidR="00FE656A">
        <w:rPr>
          <w:rFonts w:asciiTheme="majorHAnsi" w:eastAsiaTheme="minorEastAsia" w:hAnsiTheme="majorHAnsi"/>
          <w:szCs w:val="22"/>
        </w:rPr>
        <w:t>3</w:t>
      </w:r>
      <w:r w:rsidR="00047FEA">
        <w:rPr>
          <w:rFonts w:asciiTheme="majorHAnsi" w:eastAsiaTheme="minorEastAsia" w:hAnsiTheme="majorHAnsi"/>
          <w:szCs w:val="22"/>
        </w:rPr>
        <w:t xml:space="preserve"> million he</w:t>
      </w:r>
      <w:r w:rsidR="00783FE9" w:rsidRPr="009C7698">
        <w:rPr>
          <w:rFonts w:asciiTheme="majorHAnsi" w:eastAsiaTheme="minorEastAsia" w:hAnsiTheme="majorHAnsi"/>
          <w:szCs w:val="22"/>
        </w:rPr>
        <w:t>ctares of forest</w:t>
      </w:r>
      <w:r w:rsidR="00047FEA">
        <w:rPr>
          <w:rFonts w:asciiTheme="majorHAnsi" w:eastAsiaTheme="minorEastAsia" w:hAnsiTheme="majorHAnsi"/>
          <w:szCs w:val="22"/>
        </w:rPr>
        <w:t xml:space="preserve"> ecosystems</w:t>
      </w:r>
      <w:r w:rsidR="00783FE9" w:rsidRPr="009C7698">
        <w:rPr>
          <w:rFonts w:asciiTheme="majorHAnsi" w:eastAsiaTheme="minorEastAsia" w:hAnsiTheme="majorHAnsi"/>
          <w:szCs w:val="22"/>
        </w:rPr>
        <w:t xml:space="preserve"> and 45</w:t>
      </w:r>
      <w:r w:rsidR="00FE656A">
        <w:rPr>
          <w:rFonts w:asciiTheme="majorHAnsi" w:eastAsiaTheme="minorEastAsia" w:hAnsiTheme="majorHAnsi"/>
          <w:szCs w:val="22"/>
        </w:rPr>
        <w:t xml:space="preserve"> thousand</w:t>
      </w:r>
      <w:r w:rsidR="00C85301" w:rsidRPr="009C7698">
        <w:rPr>
          <w:rFonts w:asciiTheme="majorHAnsi" w:eastAsiaTheme="minorEastAsia" w:hAnsiTheme="majorHAnsi"/>
          <w:szCs w:val="22"/>
        </w:rPr>
        <w:t xml:space="preserve"> hectares of non-forest </w:t>
      </w:r>
      <w:r w:rsidR="00047FEA">
        <w:rPr>
          <w:rFonts w:asciiTheme="majorHAnsi" w:eastAsiaTheme="minorEastAsia" w:hAnsiTheme="majorHAnsi"/>
          <w:szCs w:val="22"/>
        </w:rPr>
        <w:t xml:space="preserve">ecosystems </w:t>
      </w:r>
      <w:r w:rsidR="00C85301" w:rsidRPr="009C7698">
        <w:rPr>
          <w:rFonts w:asciiTheme="majorHAnsi" w:eastAsiaTheme="minorEastAsia" w:hAnsiTheme="majorHAnsi"/>
          <w:szCs w:val="22"/>
        </w:rPr>
        <w:t>being protected th</w:t>
      </w:r>
      <w:r w:rsidR="00783FE9" w:rsidRPr="009C7698">
        <w:rPr>
          <w:rFonts w:asciiTheme="majorHAnsi" w:eastAsiaTheme="minorEastAsia" w:hAnsiTheme="majorHAnsi"/>
          <w:szCs w:val="22"/>
        </w:rPr>
        <w:t xml:space="preserve">rough </w:t>
      </w:r>
      <w:r w:rsidR="0086045E" w:rsidRPr="009C7698">
        <w:rPr>
          <w:rFonts w:asciiTheme="majorHAnsi" w:eastAsiaTheme="minorEastAsia" w:hAnsiTheme="majorHAnsi"/>
          <w:szCs w:val="22"/>
        </w:rPr>
        <w:t xml:space="preserve">management </w:t>
      </w:r>
      <w:r w:rsidR="00783FE9" w:rsidRPr="009C7698">
        <w:rPr>
          <w:rFonts w:asciiTheme="majorHAnsi" w:eastAsiaTheme="minorEastAsia" w:hAnsiTheme="majorHAnsi"/>
          <w:szCs w:val="22"/>
        </w:rPr>
        <w:t>prescriptions</w:t>
      </w:r>
      <w:r w:rsidR="0086045E" w:rsidRPr="009C7698">
        <w:rPr>
          <w:rFonts w:asciiTheme="majorHAnsi" w:eastAsiaTheme="minorEastAsia" w:hAnsiTheme="majorHAnsi"/>
          <w:szCs w:val="22"/>
        </w:rPr>
        <w:t xml:space="preserve">. Inclusion of </w:t>
      </w:r>
      <w:r w:rsidR="002441E5" w:rsidRPr="009C7698">
        <w:rPr>
          <w:rFonts w:asciiTheme="majorHAnsi" w:eastAsiaTheme="minorEastAsia" w:hAnsiTheme="majorHAnsi"/>
          <w:szCs w:val="22"/>
        </w:rPr>
        <w:t xml:space="preserve">these areas </w:t>
      </w:r>
      <w:r w:rsidR="00C85301" w:rsidRPr="009C7698">
        <w:rPr>
          <w:rFonts w:asciiTheme="majorHAnsi" w:eastAsiaTheme="minorEastAsia" w:hAnsiTheme="majorHAnsi"/>
          <w:szCs w:val="22"/>
        </w:rPr>
        <w:t xml:space="preserve">in </w:t>
      </w:r>
      <w:r w:rsidR="002441E5" w:rsidRPr="009C7698">
        <w:rPr>
          <w:rFonts w:asciiTheme="majorHAnsi" w:eastAsiaTheme="minorEastAsia" w:hAnsiTheme="majorHAnsi"/>
          <w:szCs w:val="22"/>
        </w:rPr>
        <w:t xml:space="preserve">the </w:t>
      </w:r>
      <w:r w:rsidR="0086045E" w:rsidRPr="009C7698">
        <w:rPr>
          <w:rFonts w:asciiTheme="majorHAnsi" w:hAnsiTheme="majorHAnsi"/>
          <w:szCs w:val="22"/>
        </w:rPr>
        <w:t xml:space="preserve">CAR </w:t>
      </w:r>
      <w:r w:rsidR="00C32AC0" w:rsidRPr="009C7698">
        <w:rPr>
          <w:rFonts w:asciiTheme="majorHAnsi" w:hAnsiTheme="majorHAnsi"/>
          <w:szCs w:val="22"/>
        </w:rPr>
        <w:t>reserve system</w:t>
      </w:r>
      <w:r w:rsidR="00DC2EFA" w:rsidRPr="009C7698">
        <w:rPr>
          <w:rFonts w:asciiTheme="majorHAnsi" w:hAnsiTheme="majorHAnsi"/>
          <w:szCs w:val="22"/>
        </w:rPr>
        <w:t xml:space="preserve"> </w:t>
      </w:r>
      <w:r w:rsidR="002441E5" w:rsidRPr="009C7698">
        <w:rPr>
          <w:rFonts w:asciiTheme="majorHAnsi" w:hAnsiTheme="majorHAnsi"/>
          <w:szCs w:val="22"/>
        </w:rPr>
        <w:t xml:space="preserve">brought the total area </w:t>
      </w:r>
      <w:r>
        <w:rPr>
          <w:rFonts w:asciiTheme="majorHAnsi" w:hAnsiTheme="majorHAnsi"/>
          <w:szCs w:val="22"/>
        </w:rPr>
        <w:t xml:space="preserve">of the CAR reserve system </w:t>
      </w:r>
      <w:r w:rsidR="007E55BE" w:rsidRPr="009C7698">
        <w:rPr>
          <w:rFonts w:asciiTheme="majorHAnsi" w:hAnsiTheme="majorHAnsi"/>
          <w:szCs w:val="22"/>
        </w:rPr>
        <w:t xml:space="preserve">to </w:t>
      </w:r>
      <w:r w:rsidR="00EA11CB">
        <w:rPr>
          <w:rFonts w:asciiTheme="majorHAnsi" w:hAnsiTheme="majorHAnsi"/>
          <w:szCs w:val="22"/>
        </w:rPr>
        <w:t>10.6</w:t>
      </w:r>
      <w:r w:rsidR="00DC2EFA" w:rsidRPr="009C7698">
        <w:rPr>
          <w:rFonts w:asciiTheme="majorHAnsi" w:hAnsiTheme="majorHAnsi"/>
          <w:szCs w:val="22"/>
        </w:rPr>
        <w:t xml:space="preserve"> million hectares</w:t>
      </w:r>
      <w:r w:rsidR="008A490A" w:rsidRPr="009C7698">
        <w:rPr>
          <w:rFonts w:asciiTheme="majorHAnsi" w:hAnsiTheme="majorHAnsi"/>
          <w:szCs w:val="22"/>
        </w:rPr>
        <w:t>,</w:t>
      </w:r>
      <w:r w:rsidR="00EA11CB">
        <w:rPr>
          <w:rFonts w:asciiTheme="majorHAnsi" w:hAnsiTheme="majorHAnsi"/>
          <w:szCs w:val="22"/>
        </w:rPr>
        <w:t xml:space="preserve"> comprising 8.4 million hectares </w:t>
      </w:r>
      <w:r w:rsidR="00EA11CB" w:rsidRPr="009C7698">
        <w:rPr>
          <w:rFonts w:asciiTheme="majorHAnsi" w:hAnsiTheme="majorHAnsi"/>
          <w:szCs w:val="22"/>
        </w:rPr>
        <w:t xml:space="preserve">of </w:t>
      </w:r>
      <w:r w:rsidR="00EA11CB">
        <w:rPr>
          <w:rFonts w:asciiTheme="majorHAnsi" w:hAnsiTheme="majorHAnsi"/>
          <w:szCs w:val="22"/>
        </w:rPr>
        <w:t xml:space="preserve">native </w:t>
      </w:r>
      <w:r w:rsidR="00EA11CB" w:rsidRPr="009C7698">
        <w:rPr>
          <w:rFonts w:asciiTheme="majorHAnsi" w:hAnsiTheme="majorHAnsi"/>
          <w:szCs w:val="22"/>
        </w:rPr>
        <w:t>forest ecosystems and 2.2 million hectares of native non-forest ecosystems (</w:t>
      </w:r>
      <w:r w:rsidR="0042049A">
        <w:rPr>
          <w:rFonts w:asciiTheme="majorHAnsi" w:hAnsiTheme="majorHAnsi"/>
          <w:szCs w:val="22"/>
        </w:rPr>
        <w:t>Table A1</w:t>
      </w:r>
      <w:r w:rsidR="00EA11CB">
        <w:rPr>
          <w:rFonts w:asciiTheme="majorHAnsi" w:hAnsiTheme="majorHAnsi"/>
          <w:szCs w:val="22"/>
        </w:rPr>
        <w:t>). This</w:t>
      </w:r>
      <w:r w:rsidR="008A490A" w:rsidRPr="009C7698">
        <w:rPr>
          <w:rFonts w:asciiTheme="majorHAnsi" w:hAnsiTheme="majorHAnsi"/>
          <w:szCs w:val="22"/>
        </w:rPr>
        <w:t xml:space="preserve"> is</w:t>
      </w:r>
      <w:r w:rsidR="00DC2EFA" w:rsidRPr="009C7698">
        <w:rPr>
          <w:rFonts w:asciiTheme="majorHAnsi" w:hAnsiTheme="majorHAnsi"/>
          <w:szCs w:val="22"/>
        </w:rPr>
        <w:t xml:space="preserve"> </w:t>
      </w:r>
      <w:r>
        <w:rPr>
          <w:rFonts w:asciiTheme="majorHAnsi" w:hAnsiTheme="majorHAnsi"/>
          <w:szCs w:val="22"/>
        </w:rPr>
        <w:t>49% of the pre-RFA extent of these forest and non-forest ecosystems, and</w:t>
      </w:r>
      <w:r w:rsidRPr="009C7698">
        <w:rPr>
          <w:rFonts w:asciiTheme="majorHAnsi" w:hAnsiTheme="majorHAnsi"/>
          <w:szCs w:val="22"/>
        </w:rPr>
        <w:t xml:space="preserve"> </w:t>
      </w:r>
      <w:r w:rsidR="00DC2EFA" w:rsidRPr="009C7698">
        <w:rPr>
          <w:rFonts w:asciiTheme="majorHAnsi" w:hAnsiTheme="majorHAnsi"/>
          <w:szCs w:val="22"/>
        </w:rPr>
        <w:t>28% of the pre</w:t>
      </w:r>
      <w:r w:rsidR="007E55BE" w:rsidRPr="009C7698">
        <w:rPr>
          <w:rFonts w:asciiTheme="majorHAnsi" w:hAnsiTheme="majorHAnsi"/>
          <w:szCs w:val="22"/>
        </w:rPr>
        <w:t>-</w:t>
      </w:r>
      <w:r w:rsidR="00DC2EFA" w:rsidRPr="009C7698">
        <w:rPr>
          <w:rFonts w:asciiTheme="majorHAnsi" w:hAnsiTheme="majorHAnsi"/>
          <w:szCs w:val="22"/>
        </w:rPr>
        <w:t xml:space="preserve">1750 extent </w:t>
      </w:r>
      <w:r w:rsidR="007E55BE" w:rsidRPr="009C7698">
        <w:rPr>
          <w:rFonts w:asciiTheme="majorHAnsi" w:hAnsiTheme="majorHAnsi"/>
          <w:szCs w:val="22"/>
        </w:rPr>
        <w:t xml:space="preserve">of these </w:t>
      </w:r>
      <w:r w:rsidR="00106F61" w:rsidRPr="009C7698">
        <w:rPr>
          <w:rFonts w:asciiTheme="majorHAnsi" w:hAnsiTheme="majorHAnsi"/>
          <w:szCs w:val="22"/>
        </w:rPr>
        <w:t xml:space="preserve">forest and non-forest </w:t>
      </w:r>
      <w:r w:rsidR="007E55BE" w:rsidRPr="009C7698">
        <w:rPr>
          <w:rFonts w:asciiTheme="majorHAnsi" w:hAnsiTheme="majorHAnsi"/>
          <w:szCs w:val="22"/>
        </w:rPr>
        <w:t xml:space="preserve">ecosystems </w:t>
      </w:r>
      <w:r w:rsidR="00DC2EFA" w:rsidRPr="009C7698">
        <w:rPr>
          <w:rFonts w:asciiTheme="majorHAnsi" w:hAnsiTheme="majorHAnsi"/>
          <w:szCs w:val="22"/>
        </w:rPr>
        <w:t>(</w:t>
      </w:r>
      <w:r w:rsidR="00BF30CD" w:rsidRPr="00BF30CD">
        <w:rPr>
          <w:rFonts w:asciiTheme="majorHAnsi" w:hAnsiTheme="majorHAnsi"/>
          <w:szCs w:val="22"/>
        </w:rPr>
        <w:t>Table A1 and Table A2</w:t>
      </w:r>
      <w:r w:rsidR="00DC2EFA" w:rsidRPr="009C7698">
        <w:rPr>
          <w:rFonts w:asciiTheme="majorHAnsi" w:hAnsiTheme="majorHAnsi"/>
          <w:szCs w:val="22"/>
        </w:rPr>
        <w:t>)</w:t>
      </w:r>
      <w:r w:rsidR="00C32AC0" w:rsidRPr="009C7698">
        <w:rPr>
          <w:rFonts w:asciiTheme="majorHAnsi" w:hAnsiTheme="majorHAnsi"/>
          <w:szCs w:val="22"/>
        </w:rPr>
        <w:t>.</w:t>
      </w:r>
    </w:p>
    <w:p w14:paraId="0551B845" w14:textId="100C75B5" w:rsidR="00AC409E" w:rsidRPr="009C7698" w:rsidRDefault="00BE7BC7" w:rsidP="00DE2888">
      <w:pPr>
        <w:rPr>
          <w:rFonts w:asciiTheme="majorHAnsi" w:eastAsiaTheme="minorEastAsia" w:hAnsiTheme="majorHAnsi"/>
          <w:szCs w:val="22"/>
        </w:rPr>
      </w:pPr>
      <w:r w:rsidRPr="009C7698">
        <w:rPr>
          <w:rFonts w:asciiTheme="majorHAnsi" w:hAnsiTheme="majorHAnsi"/>
          <w:szCs w:val="22"/>
        </w:rPr>
        <w:t>In sum</w:t>
      </w:r>
      <w:r w:rsidR="004726F1">
        <w:rPr>
          <w:rFonts w:asciiTheme="majorHAnsi" w:hAnsiTheme="majorHAnsi"/>
          <w:szCs w:val="22"/>
        </w:rPr>
        <w:t>mary</w:t>
      </w:r>
      <w:r w:rsidRPr="009C7698">
        <w:rPr>
          <w:rFonts w:asciiTheme="majorHAnsi" w:hAnsiTheme="majorHAnsi"/>
          <w:szCs w:val="22"/>
        </w:rPr>
        <w:t xml:space="preserve">, </w:t>
      </w:r>
      <w:r w:rsidR="006D26A4" w:rsidRPr="009C7698">
        <w:rPr>
          <w:rFonts w:asciiTheme="majorHAnsi" w:hAnsiTheme="majorHAnsi"/>
          <w:szCs w:val="22"/>
        </w:rPr>
        <w:t xml:space="preserve">the </w:t>
      </w:r>
      <w:r w:rsidR="008E67BF">
        <w:rPr>
          <w:rFonts w:asciiTheme="majorHAnsi" w:hAnsiTheme="majorHAnsi"/>
          <w:szCs w:val="22"/>
        </w:rPr>
        <w:t>RFA</w:t>
      </w:r>
      <w:r w:rsidR="006D26A4" w:rsidRPr="009C7698">
        <w:rPr>
          <w:rFonts w:asciiTheme="majorHAnsi" w:hAnsiTheme="majorHAnsi"/>
          <w:szCs w:val="22"/>
        </w:rPr>
        <w:t xml:space="preserve">s </w:t>
      </w:r>
      <w:r w:rsidRPr="009C7698">
        <w:rPr>
          <w:rFonts w:asciiTheme="majorHAnsi" w:hAnsiTheme="majorHAnsi"/>
          <w:szCs w:val="22"/>
        </w:rPr>
        <w:t xml:space="preserve">added </w:t>
      </w:r>
      <w:r w:rsidR="006D26A4" w:rsidRPr="009C7698">
        <w:rPr>
          <w:rFonts w:asciiTheme="majorHAnsi" w:eastAsiaTheme="minorEastAsia" w:hAnsiTheme="majorHAnsi"/>
          <w:szCs w:val="22"/>
        </w:rPr>
        <w:t>2.</w:t>
      </w:r>
      <w:r w:rsidR="00AD3F7F">
        <w:rPr>
          <w:rFonts w:asciiTheme="majorHAnsi" w:eastAsiaTheme="minorEastAsia" w:hAnsiTheme="majorHAnsi"/>
          <w:szCs w:val="22"/>
        </w:rPr>
        <w:t>4</w:t>
      </w:r>
      <w:r w:rsidR="006D26A4" w:rsidRPr="009C7698">
        <w:rPr>
          <w:rFonts w:asciiTheme="majorHAnsi" w:eastAsiaTheme="minorEastAsia" w:hAnsiTheme="majorHAnsi"/>
          <w:szCs w:val="22"/>
        </w:rPr>
        <w:t xml:space="preserve"> million hectares of </w:t>
      </w:r>
      <w:r w:rsidRPr="009C7698">
        <w:rPr>
          <w:rFonts w:asciiTheme="majorHAnsi" w:eastAsiaTheme="minorEastAsia" w:hAnsiTheme="majorHAnsi"/>
          <w:szCs w:val="22"/>
        </w:rPr>
        <w:t xml:space="preserve">native </w:t>
      </w:r>
      <w:r w:rsidR="006D26A4" w:rsidRPr="009C7698">
        <w:rPr>
          <w:rFonts w:asciiTheme="majorHAnsi" w:eastAsiaTheme="minorEastAsia" w:hAnsiTheme="majorHAnsi"/>
          <w:szCs w:val="22"/>
        </w:rPr>
        <w:t>forest</w:t>
      </w:r>
      <w:r w:rsidR="00047FEA">
        <w:rPr>
          <w:rFonts w:asciiTheme="majorHAnsi" w:eastAsiaTheme="minorEastAsia" w:hAnsiTheme="majorHAnsi"/>
          <w:szCs w:val="22"/>
        </w:rPr>
        <w:t xml:space="preserve"> ecosystems</w:t>
      </w:r>
      <w:r w:rsidR="006D26A4" w:rsidRPr="009C7698">
        <w:rPr>
          <w:rFonts w:asciiTheme="majorHAnsi" w:eastAsiaTheme="minorEastAsia" w:hAnsiTheme="majorHAnsi"/>
          <w:szCs w:val="22"/>
        </w:rPr>
        <w:t xml:space="preserve"> to the </w:t>
      </w:r>
      <w:r w:rsidRPr="009C7698">
        <w:rPr>
          <w:rFonts w:asciiTheme="majorHAnsi" w:eastAsiaTheme="minorEastAsia" w:hAnsiTheme="majorHAnsi"/>
          <w:szCs w:val="22"/>
        </w:rPr>
        <w:t xml:space="preserve">formal and informal </w:t>
      </w:r>
      <w:r w:rsidR="006D26A4" w:rsidRPr="009C7698">
        <w:rPr>
          <w:rFonts w:asciiTheme="majorHAnsi" w:eastAsiaTheme="minorEastAsia" w:hAnsiTheme="majorHAnsi"/>
          <w:szCs w:val="22"/>
        </w:rPr>
        <w:t>reserve system</w:t>
      </w:r>
      <w:r w:rsidRPr="009C7698">
        <w:rPr>
          <w:rFonts w:asciiTheme="majorHAnsi" w:eastAsiaTheme="minorEastAsia" w:hAnsiTheme="majorHAnsi"/>
          <w:szCs w:val="22"/>
        </w:rPr>
        <w:t>, with another</w:t>
      </w:r>
      <w:r w:rsidR="006D26A4" w:rsidRPr="009C7698">
        <w:rPr>
          <w:rFonts w:asciiTheme="majorHAnsi" w:eastAsiaTheme="minorEastAsia" w:hAnsiTheme="majorHAnsi"/>
          <w:szCs w:val="22"/>
        </w:rPr>
        <w:t xml:space="preserve"> </w:t>
      </w:r>
      <w:r w:rsidR="00AD3F7F">
        <w:rPr>
          <w:rFonts w:asciiTheme="majorHAnsi" w:eastAsiaTheme="minorEastAsia" w:hAnsiTheme="majorHAnsi"/>
          <w:szCs w:val="22"/>
        </w:rPr>
        <w:t>0.63</w:t>
      </w:r>
      <w:r w:rsidR="00397B95">
        <w:rPr>
          <w:rFonts w:asciiTheme="majorHAnsi" w:eastAsiaTheme="minorEastAsia" w:hAnsiTheme="majorHAnsi"/>
          <w:szCs w:val="22"/>
        </w:rPr>
        <w:t xml:space="preserve"> </w:t>
      </w:r>
      <w:r w:rsidR="00AD3F7F">
        <w:rPr>
          <w:rFonts w:asciiTheme="majorHAnsi" w:eastAsiaTheme="minorEastAsia" w:hAnsiTheme="majorHAnsi"/>
          <w:szCs w:val="22"/>
        </w:rPr>
        <w:t>million</w:t>
      </w:r>
      <w:r w:rsidR="00397B95">
        <w:rPr>
          <w:rFonts w:asciiTheme="majorHAnsi" w:eastAsiaTheme="minorEastAsia" w:hAnsiTheme="majorHAnsi"/>
          <w:szCs w:val="22"/>
        </w:rPr>
        <w:t xml:space="preserve"> </w:t>
      </w:r>
      <w:r w:rsidR="006D26A4" w:rsidRPr="009C7698">
        <w:rPr>
          <w:rFonts w:asciiTheme="majorHAnsi" w:eastAsiaTheme="minorEastAsia" w:hAnsiTheme="majorHAnsi"/>
          <w:szCs w:val="22"/>
        </w:rPr>
        <w:t xml:space="preserve">hectares of </w:t>
      </w:r>
      <w:r w:rsidRPr="009C7698">
        <w:rPr>
          <w:rFonts w:asciiTheme="majorHAnsi" w:eastAsiaTheme="minorEastAsia" w:hAnsiTheme="majorHAnsi"/>
          <w:szCs w:val="22"/>
        </w:rPr>
        <w:t xml:space="preserve">native </w:t>
      </w:r>
      <w:r w:rsidR="006D26A4" w:rsidRPr="009C7698">
        <w:rPr>
          <w:rFonts w:asciiTheme="majorHAnsi" w:eastAsiaTheme="minorEastAsia" w:hAnsiTheme="majorHAnsi"/>
          <w:szCs w:val="22"/>
        </w:rPr>
        <w:t>forest</w:t>
      </w:r>
      <w:r w:rsidR="00047FEA">
        <w:rPr>
          <w:rFonts w:asciiTheme="majorHAnsi" w:eastAsiaTheme="minorEastAsia" w:hAnsiTheme="majorHAnsi"/>
          <w:szCs w:val="22"/>
        </w:rPr>
        <w:t xml:space="preserve"> ecosystems</w:t>
      </w:r>
      <w:r w:rsidRPr="009C7698">
        <w:rPr>
          <w:rFonts w:asciiTheme="majorHAnsi" w:eastAsiaTheme="minorEastAsia" w:hAnsiTheme="majorHAnsi"/>
          <w:szCs w:val="22"/>
        </w:rPr>
        <w:t xml:space="preserve"> being</w:t>
      </w:r>
      <w:r w:rsidR="006D26A4" w:rsidRPr="009C7698">
        <w:rPr>
          <w:rFonts w:asciiTheme="majorHAnsi" w:eastAsiaTheme="minorEastAsia" w:hAnsiTheme="majorHAnsi"/>
          <w:szCs w:val="22"/>
        </w:rPr>
        <w:t xml:space="preserve"> protected </w:t>
      </w:r>
      <w:r w:rsidR="00BC13B7" w:rsidRPr="009C7698">
        <w:rPr>
          <w:rFonts w:asciiTheme="majorHAnsi" w:eastAsiaTheme="minorEastAsia" w:hAnsiTheme="majorHAnsi"/>
          <w:szCs w:val="22"/>
        </w:rPr>
        <w:t xml:space="preserve">by </w:t>
      </w:r>
      <w:r w:rsidRPr="009C7698">
        <w:rPr>
          <w:rFonts w:asciiTheme="majorHAnsi" w:eastAsiaTheme="minorEastAsia" w:hAnsiTheme="majorHAnsi"/>
          <w:szCs w:val="22"/>
        </w:rPr>
        <w:t xml:space="preserve">management </w:t>
      </w:r>
      <w:r w:rsidR="00BC13B7" w:rsidRPr="009C7698">
        <w:rPr>
          <w:rFonts w:asciiTheme="majorHAnsi" w:eastAsiaTheme="minorEastAsia" w:hAnsiTheme="majorHAnsi"/>
          <w:szCs w:val="22"/>
        </w:rPr>
        <w:t>prescription</w:t>
      </w:r>
      <w:r w:rsidRPr="009C7698">
        <w:rPr>
          <w:rFonts w:asciiTheme="majorHAnsi" w:eastAsiaTheme="minorEastAsia" w:hAnsiTheme="majorHAnsi"/>
          <w:szCs w:val="22"/>
        </w:rPr>
        <w:t>,</w:t>
      </w:r>
      <w:r w:rsidR="00BC13B7" w:rsidRPr="009C7698">
        <w:rPr>
          <w:rFonts w:asciiTheme="majorHAnsi" w:eastAsiaTheme="minorEastAsia" w:hAnsiTheme="majorHAnsi"/>
          <w:szCs w:val="22"/>
        </w:rPr>
        <w:t xml:space="preserve"> </w:t>
      </w:r>
      <w:r w:rsidRPr="009C7698">
        <w:rPr>
          <w:rFonts w:asciiTheme="majorHAnsi" w:eastAsiaTheme="minorEastAsia" w:hAnsiTheme="majorHAnsi"/>
          <w:szCs w:val="22"/>
        </w:rPr>
        <w:t xml:space="preserve">giving a total of </w:t>
      </w:r>
      <w:r w:rsidR="00FC3524">
        <w:rPr>
          <w:rFonts w:asciiTheme="majorHAnsi" w:eastAsiaTheme="minorEastAsia" w:hAnsiTheme="majorHAnsi"/>
          <w:szCs w:val="22"/>
        </w:rPr>
        <w:t>3.0</w:t>
      </w:r>
      <w:r w:rsidR="006D26A4" w:rsidRPr="009C7698">
        <w:rPr>
          <w:rFonts w:asciiTheme="majorHAnsi" w:eastAsiaTheme="minorEastAsia" w:hAnsiTheme="majorHAnsi"/>
          <w:szCs w:val="22"/>
        </w:rPr>
        <w:t xml:space="preserve"> million hectares of </w:t>
      </w:r>
      <w:r w:rsidR="00C92C75">
        <w:rPr>
          <w:rFonts w:asciiTheme="majorHAnsi" w:eastAsiaTheme="minorEastAsia" w:hAnsiTheme="majorHAnsi"/>
          <w:szCs w:val="22"/>
        </w:rPr>
        <w:t xml:space="preserve">native </w:t>
      </w:r>
      <w:r w:rsidR="006D26A4" w:rsidRPr="009C7698">
        <w:rPr>
          <w:rFonts w:asciiTheme="majorHAnsi" w:eastAsiaTheme="minorEastAsia" w:hAnsiTheme="majorHAnsi"/>
          <w:szCs w:val="22"/>
        </w:rPr>
        <w:t>forest</w:t>
      </w:r>
      <w:r w:rsidR="00AC2BF5">
        <w:rPr>
          <w:rFonts w:asciiTheme="majorHAnsi" w:eastAsiaTheme="minorEastAsia" w:hAnsiTheme="majorHAnsi"/>
          <w:szCs w:val="22"/>
        </w:rPr>
        <w:t xml:space="preserve"> </w:t>
      </w:r>
      <w:r w:rsidR="00047FEA">
        <w:rPr>
          <w:rFonts w:asciiTheme="majorHAnsi" w:eastAsiaTheme="minorEastAsia" w:hAnsiTheme="majorHAnsi"/>
          <w:szCs w:val="22"/>
        </w:rPr>
        <w:t xml:space="preserve">ecosystems </w:t>
      </w:r>
      <w:r w:rsidR="0055165E">
        <w:rPr>
          <w:rFonts w:asciiTheme="majorHAnsi" w:eastAsiaTheme="minorEastAsia" w:hAnsiTheme="majorHAnsi"/>
          <w:szCs w:val="22"/>
        </w:rPr>
        <w:t xml:space="preserve">reserved or protected; this area </w:t>
      </w:r>
      <w:r w:rsidR="00AC2BF5">
        <w:rPr>
          <w:rFonts w:asciiTheme="majorHAnsi" w:eastAsiaTheme="minorEastAsia" w:hAnsiTheme="majorHAnsi"/>
          <w:szCs w:val="22"/>
        </w:rPr>
        <w:t>was</w:t>
      </w:r>
      <w:r w:rsidR="00474F7E" w:rsidRPr="009C7698">
        <w:rPr>
          <w:rFonts w:asciiTheme="majorHAnsi" w:eastAsiaTheme="minorEastAsia" w:hAnsiTheme="majorHAnsi"/>
          <w:szCs w:val="22"/>
        </w:rPr>
        <w:t xml:space="preserve"> combined</w:t>
      </w:r>
      <w:r w:rsidR="006D26A4" w:rsidRPr="009C7698">
        <w:rPr>
          <w:rFonts w:asciiTheme="majorHAnsi" w:eastAsiaTheme="minorEastAsia" w:hAnsiTheme="majorHAnsi"/>
          <w:szCs w:val="22"/>
        </w:rPr>
        <w:t xml:space="preserve"> </w:t>
      </w:r>
      <w:r w:rsidR="00474F7E" w:rsidRPr="009C7698">
        <w:rPr>
          <w:rFonts w:asciiTheme="majorHAnsi" w:eastAsiaTheme="minorEastAsia" w:hAnsiTheme="majorHAnsi"/>
          <w:szCs w:val="22"/>
        </w:rPr>
        <w:t xml:space="preserve">with </w:t>
      </w:r>
      <w:r w:rsidR="00C92C75">
        <w:rPr>
          <w:rFonts w:asciiTheme="majorHAnsi" w:eastAsiaTheme="minorEastAsia" w:hAnsiTheme="majorHAnsi"/>
          <w:szCs w:val="22"/>
        </w:rPr>
        <w:t xml:space="preserve">native forest </w:t>
      </w:r>
      <w:r w:rsidR="0055165E">
        <w:rPr>
          <w:rFonts w:asciiTheme="majorHAnsi" w:eastAsiaTheme="minorEastAsia" w:hAnsiTheme="majorHAnsi"/>
          <w:szCs w:val="22"/>
        </w:rPr>
        <w:t xml:space="preserve">ecosystems </w:t>
      </w:r>
      <w:r w:rsidR="00C92C75">
        <w:rPr>
          <w:rFonts w:asciiTheme="majorHAnsi" w:eastAsiaTheme="minorEastAsia" w:hAnsiTheme="majorHAnsi"/>
          <w:szCs w:val="22"/>
        </w:rPr>
        <w:t xml:space="preserve">in </w:t>
      </w:r>
      <w:r w:rsidR="00474F7E" w:rsidRPr="009C7698">
        <w:rPr>
          <w:rFonts w:asciiTheme="majorHAnsi" w:eastAsiaTheme="minorEastAsia" w:hAnsiTheme="majorHAnsi"/>
          <w:szCs w:val="22"/>
        </w:rPr>
        <w:t>pre</w:t>
      </w:r>
      <w:r w:rsidR="0055165E">
        <w:rPr>
          <w:rFonts w:asciiTheme="majorHAnsi" w:eastAsiaTheme="minorEastAsia" w:hAnsiTheme="majorHAnsi"/>
          <w:szCs w:val="22"/>
        </w:rPr>
        <w:noBreakHyphen/>
      </w:r>
      <w:r w:rsidR="00474F7E" w:rsidRPr="009C7698">
        <w:rPr>
          <w:rFonts w:asciiTheme="majorHAnsi" w:eastAsiaTheme="minorEastAsia" w:hAnsiTheme="majorHAnsi"/>
          <w:szCs w:val="22"/>
        </w:rPr>
        <w:t>existing reserves</w:t>
      </w:r>
      <w:r w:rsidR="006D26A4" w:rsidRPr="009C7698">
        <w:rPr>
          <w:rFonts w:asciiTheme="majorHAnsi" w:eastAsiaTheme="minorEastAsia" w:hAnsiTheme="majorHAnsi"/>
          <w:szCs w:val="22"/>
        </w:rPr>
        <w:t xml:space="preserve"> to </w:t>
      </w:r>
      <w:r w:rsidR="00474F7E" w:rsidRPr="009C7698">
        <w:rPr>
          <w:rFonts w:asciiTheme="majorHAnsi" w:eastAsiaTheme="minorEastAsia" w:hAnsiTheme="majorHAnsi"/>
          <w:szCs w:val="22"/>
        </w:rPr>
        <w:t xml:space="preserve">form </w:t>
      </w:r>
      <w:r w:rsidR="006D26A4" w:rsidRPr="009C7698">
        <w:rPr>
          <w:rFonts w:asciiTheme="majorHAnsi" w:eastAsiaTheme="minorEastAsia" w:hAnsiTheme="majorHAnsi"/>
          <w:szCs w:val="22"/>
        </w:rPr>
        <w:t xml:space="preserve">the </w:t>
      </w:r>
      <w:r w:rsidR="00C92C75">
        <w:rPr>
          <w:rFonts w:asciiTheme="majorHAnsi" w:eastAsiaTheme="minorEastAsia" w:hAnsiTheme="majorHAnsi"/>
          <w:szCs w:val="22"/>
        </w:rPr>
        <w:t>area of native forest</w:t>
      </w:r>
      <w:r w:rsidR="00047FEA">
        <w:rPr>
          <w:rFonts w:asciiTheme="majorHAnsi" w:eastAsiaTheme="minorEastAsia" w:hAnsiTheme="majorHAnsi"/>
          <w:szCs w:val="22"/>
        </w:rPr>
        <w:t xml:space="preserve"> ecosystems</w:t>
      </w:r>
      <w:r w:rsidR="00C92C75">
        <w:rPr>
          <w:rFonts w:asciiTheme="majorHAnsi" w:eastAsiaTheme="minorEastAsia" w:hAnsiTheme="majorHAnsi"/>
          <w:szCs w:val="22"/>
        </w:rPr>
        <w:t xml:space="preserve"> in the </w:t>
      </w:r>
      <w:r w:rsidR="006D26A4" w:rsidRPr="009C7698">
        <w:rPr>
          <w:rFonts w:asciiTheme="majorHAnsi" w:eastAsiaTheme="minorEastAsia" w:hAnsiTheme="majorHAnsi"/>
          <w:szCs w:val="22"/>
        </w:rPr>
        <w:t>CAR reserve system (</w:t>
      </w:r>
      <w:r w:rsidR="0042049A">
        <w:rPr>
          <w:rFonts w:asciiTheme="majorHAnsi" w:eastAsiaTheme="minorEastAsia" w:hAnsiTheme="majorHAnsi"/>
          <w:szCs w:val="22"/>
        </w:rPr>
        <w:t>Table A1</w:t>
      </w:r>
      <w:r w:rsidR="006D26A4" w:rsidRPr="009C7698">
        <w:rPr>
          <w:rFonts w:asciiTheme="majorHAnsi" w:eastAsiaTheme="minorEastAsia" w:hAnsiTheme="majorHAnsi"/>
          <w:szCs w:val="22"/>
        </w:rPr>
        <w:t>).</w:t>
      </w:r>
      <w:r w:rsidR="001E1721" w:rsidRPr="009C7698">
        <w:rPr>
          <w:rFonts w:asciiTheme="majorHAnsi" w:eastAsiaTheme="minorEastAsia" w:hAnsiTheme="majorHAnsi"/>
          <w:szCs w:val="22"/>
        </w:rPr>
        <w:t xml:space="preserve"> A further </w:t>
      </w:r>
      <w:r w:rsidR="00FC3524">
        <w:rPr>
          <w:rFonts w:asciiTheme="majorHAnsi" w:eastAsiaTheme="minorEastAsia" w:hAnsiTheme="majorHAnsi"/>
          <w:szCs w:val="22"/>
        </w:rPr>
        <w:t>0.25</w:t>
      </w:r>
      <w:r w:rsidR="00B06594" w:rsidRPr="009C7698">
        <w:rPr>
          <w:rFonts w:asciiTheme="majorHAnsi" w:eastAsiaTheme="minorEastAsia" w:hAnsiTheme="majorHAnsi"/>
          <w:szCs w:val="22"/>
        </w:rPr>
        <w:t xml:space="preserve"> million </w:t>
      </w:r>
      <w:r w:rsidR="001E1721" w:rsidRPr="009C7698">
        <w:rPr>
          <w:rFonts w:asciiTheme="majorHAnsi" w:hAnsiTheme="majorHAnsi"/>
          <w:szCs w:val="22"/>
        </w:rPr>
        <w:t xml:space="preserve">hectares of native non-forest ecosystems </w:t>
      </w:r>
      <w:r w:rsidR="00047FEA">
        <w:rPr>
          <w:rFonts w:asciiTheme="majorHAnsi" w:hAnsiTheme="majorHAnsi"/>
          <w:szCs w:val="22"/>
        </w:rPr>
        <w:t>were</w:t>
      </w:r>
      <w:r w:rsidR="001E1721" w:rsidRPr="009C7698">
        <w:rPr>
          <w:rFonts w:asciiTheme="majorHAnsi" w:hAnsiTheme="majorHAnsi"/>
          <w:szCs w:val="22"/>
        </w:rPr>
        <w:t xml:space="preserve"> </w:t>
      </w:r>
      <w:r w:rsidR="00AC2BF5">
        <w:rPr>
          <w:rFonts w:asciiTheme="majorHAnsi" w:hAnsiTheme="majorHAnsi"/>
          <w:szCs w:val="22"/>
        </w:rPr>
        <w:t xml:space="preserve">incorporated in </w:t>
      </w:r>
      <w:r w:rsidR="001E1721" w:rsidRPr="009C7698">
        <w:rPr>
          <w:rFonts w:asciiTheme="majorHAnsi" w:hAnsiTheme="majorHAnsi"/>
          <w:szCs w:val="22"/>
        </w:rPr>
        <w:t>the CAR reserve system</w:t>
      </w:r>
      <w:r w:rsidR="00946594" w:rsidRPr="009C7698">
        <w:rPr>
          <w:rFonts w:asciiTheme="majorHAnsi" w:hAnsiTheme="majorHAnsi"/>
          <w:szCs w:val="22"/>
        </w:rPr>
        <w:t xml:space="preserve"> </w:t>
      </w:r>
      <w:r w:rsidR="00FC3524">
        <w:rPr>
          <w:rFonts w:asciiTheme="majorHAnsi" w:hAnsiTheme="majorHAnsi"/>
          <w:szCs w:val="22"/>
        </w:rPr>
        <w:t>at</w:t>
      </w:r>
      <w:r w:rsidR="00946594" w:rsidRPr="009C7698">
        <w:rPr>
          <w:rFonts w:asciiTheme="majorHAnsi" w:hAnsiTheme="majorHAnsi"/>
          <w:szCs w:val="22"/>
        </w:rPr>
        <w:t xml:space="preserve"> signing the </w:t>
      </w:r>
      <w:r w:rsidR="008E67BF">
        <w:rPr>
          <w:rFonts w:asciiTheme="majorHAnsi" w:hAnsiTheme="majorHAnsi"/>
          <w:szCs w:val="22"/>
        </w:rPr>
        <w:t>RFA</w:t>
      </w:r>
      <w:r w:rsidR="00946594" w:rsidRPr="009C7698">
        <w:rPr>
          <w:rFonts w:asciiTheme="majorHAnsi" w:hAnsiTheme="majorHAnsi"/>
          <w:szCs w:val="22"/>
        </w:rPr>
        <w:t>s</w:t>
      </w:r>
      <w:r w:rsidRPr="009C7698">
        <w:rPr>
          <w:rFonts w:asciiTheme="majorHAnsi" w:hAnsiTheme="majorHAnsi"/>
          <w:szCs w:val="22"/>
        </w:rPr>
        <w:t>,</w:t>
      </w:r>
      <w:r w:rsidR="00FC3524">
        <w:rPr>
          <w:rFonts w:asciiTheme="majorHAnsi" w:hAnsiTheme="majorHAnsi"/>
          <w:szCs w:val="22"/>
        </w:rPr>
        <w:t xml:space="preserve"> comprising</w:t>
      </w:r>
      <w:r w:rsidR="001E1721" w:rsidRPr="009C7698">
        <w:rPr>
          <w:rFonts w:asciiTheme="majorHAnsi" w:hAnsiTheme="majorHAnsi"/>
          <w:szCs w:val="22"/>
        </w:rPr>
        <w:t xml:space="preserve"> </w:t>
      </w:r>
      <w:r w:rsidR="00116440" w:rsidRPr="009C7698">
        <w:rPr>
          <w:rFonts w:asciiTheme="majorHAnsi" w:hAnsiTheme="majorHAnsi"/>
          <w:szCs w:val="22"/>
        </w:rPr>
        <w:t>0.21</w:t>
      </w:r>
      <w:r w:rsidR="004F6551" w:rsidRPr="009C7698">
        <w:rPr>
          <w:rFonts w:asciiTheme="majorHAnsi" w:hAnsiTheme="majorHAnsi"/>
          <w:szCs w:val="22"/>
        </w:rPr>
        <w:t xml:space="preserve"> </w:t>
      </w:r>
      <w:r w:rsidR="00116440" w:rsidRPr="009C7698">
        <w:rPr>
          <w:rFonts w:asciiTheme="majorHAnsi" w:hAnsiTheme="majorHAnsi"/>
          <w:szCs w:val="22"/>
        </w:rPr>
        <w:t xml:space="preserve">million </w:t>
      </w:r>
      <w:r w:rsidR="001E1721" w:rsidRPr="009C7698">
        <w:rPr>
          <w:rFonts w:asciiTheme="majorHAnsi" w:hAnsiTheme="majorHAnsi"/>
          <w:szCs w:val="22"/>
        </w:rPr>
        <w:t xml:space="preserve">hectares in </w:t>
      </w:r>
      <w:r w:rsidRPr="009C7698">
        <w:rPr>
          <w:rFonts w:asciiTheme="majorHAnsi" w:hAnsiTheme="majorHAnsi"/>
          <w:szCs w:val="22"/>
        </w:rPr>
        <w:t xml:space="preserve">formal or informal </w:t>
      </w:r>
      <w:r w:rsidR="001E1721" w:rsidRPr="009C7698">
        <w:rPr>
          <w:rFonts w:asciiTheme="majorHAnsi" w:hAnsiTheme="majorHAnsi"/>
          <w:szCs w:val="22"/>
        </w:rPr>
        <w:t>reserves and 45</w:t>
      </w:r>
      <w:r w:rsidR="00116440" w:rsidRPr="009C7698">
        <w:rPr>
          <w:rFonts w:asciiTheme="majorHAnsi" w:hAnsiTheme="majorHAnsi"/>
          <w:szCs w:val="22"/>
        </w:rPr>
        <w:t xml:space="preserve"> thousand hectares </w:t>
      </w:r>
      <w:r w:rsidR="001E1721" w:rsidRPr="009C7698">
        <w:rPr>
          <w:rFonts w:asciiTheme="majorHAnsi" w:hAnsiTheme="majorHAnsi"/>
          <w:szCs w:val="22"/>
        </w:rPr>
        <w:t>protected by prescription</w:t>
      </w:r>
      <w:r w:rsidR="00FC3524">
        <w:rPr>
          <w:rFonts w:asciiTheme="majorHAnsi" w:hAnsiTheme="majorHAnsi"/>
          <w:szCs w:val="22"/>
        </w:rPr>
        <w:t>. Together with native forest ecosystems</w:t>
      </w:r>
      <w:r w:rsidR="00AC2BF5">
        <w:rPr>
          <w:rFonts w:asciiTheme="majorHAnsi" w:hAnsiTheme="majorHAnsi"/>
          <w:szCs w:val="22"/>
        </w:rPr>
        <w:t>,</w:t>
      </w:r>
      <w:r w:rsidR="00FC3524">
        <w:rPr>
          <w:rFonts w:asciiTheme="majorHAnsi" w:hAnsiTheme="majorHAnsi"/>
          <w:szCs w:val="22"/>
        </w:rPr>
        <w:t xml:space="preserve"> </w:t>
      </w:r>
      <w:r w:rsidR="00946594" w:rsidRPr="009C7698">
        <w:rPr>
          <w:rFonts w:asciiTheme="majorHAnsi" w:hAnsiTheme="majorHAnsi"/>
          <w:szCs w:val="22"/>
        </w:rPr>
        <w:t>a total of 3.</w:t>
      </w:r>
      <w:r w:rsidR="00AD3F7F">
        <w:rPr>
          <w:rFonts w:asciiTheme="majorHAnsi" w:hAnsiTheme="majorHAnsi"/>
          <w:szCs w:val="22"/>
        </w:rPr>
        <w:t>3</w:t>
      </w:r>
      <w:r w:rsidR="00946594" w:rsidRPr="009C7698">
        <w:rPr>
          <w:rFonts w:asciiTheme="majorHAnsi" w:hAnsiTheme="majorHAnsi"/>
          <w:szCs w:val="22"/>
        </w:rPr>
        <w:t xml:space="preserve"> million hectares</w:t>
      </w:r>
      <w:r w:rsidR="00FC3524">
        <w:rPr>
          <w:rFonts w:asciiTheme="majorHAnsi" w:hAnsiTheme="majorHAnsi"/>
          <w:szCs w:val="22"/>
        </w:rPr>
        <w:t xml:space="preserve"> </w:t>
      </w:r>
      <w:r w:rsidR="00AC2BF5">
        <w:rPr>
          <w:rFonts w:asciiTheme="majorHAnsi" w:hAnsiTheme="majorHAnsi"/>
          <w:szCs w:val="22"/>
        </w:rPr>
        <w:t xml:space="preserve">of additional area </w:t>
      </w:r>
      <w:r w:rsidR="00FC3524">
        <w:rPr>
          <w:rFonts w:asciiTheme="majorHAnsi" w:hAnsiTheme="majorHAnsi"/>
          <w:szCs w:val="22"/>
        </w:rPr>
        <w:t>was</w:t>
      </w:r>
      <w:r w:rsidR="00946594" w:rsidRPr="009C7698">
        <w:rPr>
          <w:rFonts w:asciiTheme="majorHAnsi" w:hAnsiTheme="majorHAnsi"/>
          <w:szCs w:val="22"/>
        </w:rPr>
        <w:t xml:space="preserve"> </w:t>
      </w:r>
      <w:r w:rsidR="00AC2BF5">
        <w:rPr>
          <w:rFonts w:asciiTheme="majorHAnsi" w:hAnsiTheme="majorHAnsi"/>
          <w:szCs w:val="22"/>
        </w:rPr>
        <w:t xml:space="preserve">protected in the CAR reserve system </w:t>
      </w:r>
      <w:r w:rsidR="00BA42F2" w:rsidRPr="009C7698">
        <w:rPr>
          <w:rFonts w:asciiTheme="majorHAnsi" w:hAnsiTheme="majorHAnsi"/>
          <w:szCs w:val="22"/>
        </w:rPr>
        <w:t>through the</w:t>
      </w:r>
      <w:r w:rsidR="00FC3524">
        <w:rPr>
          <w:rFonts w:asciiTheme="majorHAnsi" w:hAnsiTheme="majorHAnsi"/>
          <w:szCs w:val="22"/>
        </w:rPr>
        <w:t xml:space="preserve"> signing of</w:t>
      </w:r>
      <w:r w:rsidR="008E67BF">
        <w:rPr>
          <w:rFonts w:asciiTheme="majorHAnsi" w:hAnsiTheme="majorHAnsi"/>
          <w:szCs w:val="22"/>
        </w:rPr>
        <w:t xml:space="preserve"> the</w:t>
      </w:r>
      <w:r w:rsidR="00FC3524">
        <w:rPr>
          <w:rFonts w:asciiTheme="majorHAnsi" w:hAnsiTheme="majorHAnsi"/>
          <w:szCs w:val="22"/>
        </w:rPr>
        <w:t xml:space="preserve"> </w:t>
      </w:r>
      <w:r w:rsidR="008E67BF">
        <w:rPr>
          <w:rFonts w:asciiTheme="majorHAnsi" w:hAnsiTheme="majorHAnsi"/>
          <w:szCs w:val="22"/>
        </w:rPr>
        <w:t>RFA</w:t>
      </w:r>
      <w:r w:rsidR="00FC3524">
        <w:rPr>
          <w:rFonts w:asciiTheme="majorHAnsi" w:hAnsiTheme="majorHAnsi"/>
          <w:szCs w:val="22"/>
        </w:rPr>
        <w:t>s</w:t>
      </w:r>
      <w:r w:rsidR="001E1721" w:rsidRPr="009C7698">
        <w:rPr>
          <w:rFonts w:asciiTheme="majorHAnsi" w:hAnsiTheme="majorHAnsi"/>
          <w:szCs w:val="22"/>
        </w:rPr>
        <w:t>.</w:t>
      </w:r>
    </w:p>
    <w:p w14:paraId="28F27BAE" w14:textId="44CF4F4F" w:rsidR="001C388F" w:rsidRDefault="00585694" w:rsidP="00DE2888">
      <w:pPr>
        <w:rPr>
          <w:rFonts w:asciiTheme="majorHAnsi" w:eastAsiaTheme="minorEastAsia" w:hAnsiTheme="majorHAnsi"/>
          <w:szCs w:val="22"/>
        </w:rPr>
      </w:pPr>
      <w:r w:rsidRPr="009C7698">
        <w:rPr>
          <w:rFonts w:asciiTheme="majorHAnsi" w:eastAsiaTheme="minorEastAsia" w:hAnsiTheme="majorHAnsi"/>
          <w:szCs w:val="22"/>
        </w:rPr>
        <w:t xml:space="preserve">The </w:t>
      </w:r>
      <w:r w:rsidR="00CC6465" w:rsidRPr="009C7698">
        <w:rPr>
          <w:rFonts w:asciiTheme="majorHAnsi" w:eastAsiaTheme="minorEastAsia" w:hAnsiTheme="majorHAnsi"/>
          <w:szCs w:val="22"/>
        </w:rPr>
        <w:t xml:space="preserve">proportion </w:t>
      </w:r>
      <w:r w:rsidRPr="009C7698">
        <w:rPr>
          <w:rFonts w:asciiTheme="majorHAnsi" w:eastAsiaTheme="minorEastAsia" w:hAnsiTheme="majorHAnsi"/>
          <w:szCs w:val="22"/>
        </w:rPr>
        <w:t xml:space="preserve">of forest </w:t>
      </w:r>
      <w:r w:rsidR="004F6E3D">
        <w:rPr>
          <w:rFonts w:asciiTheme="majorHAnsi" w:eastAsiaTheme="minorEastAsia" w:hAnsiTheme="majorHAnsi"/>
          <w:szCs w:val="22"/>
        </w:rPr>
        <w:t>converted to non-forest</w:t>
      </w:r>
      <w:r w:rsidR="004F6E3D" w:rsidRPr="009C7698">
        <w:rPr>
          <w:rFonts w:asciiTheme="majorHAnsi" w:eastAsiaTheme="minorEastAsia" w:hAnsiTheme="majorHAnsi"/>
          <w:szCs w:val="22"/>
        </w:rPr>
        <w:t xml:space="preserve"> </w:t>
      </w:r>
      <w:r w:rsidR="005C114A" w:rsidRPr="009C7698">
        <w:rPr>
          <w:rFonts w:asciiTheme="majorHAnsi" w:eastAsiaTheme="minorEastAsia" w:hAnsiTheme="majorHAnsi"/>
          <w:szCs w:val="22"/>
        </w:rPr>
        <w:t xml:space="preserve">between </w:t>
      </w:r>
      <w:r w:rsidRPr="009C7698">
        <w:rPr>
          <w:rFonts w:asciiTheme="majorHAnsi" w:eastAsiaTheme="minorEastAsia" w:hAnsiTheme="majorHAnsi"/>
          <w:szCs w:val="22"/>
        </w:rPr>
        <w:t xml:space="preserve">1750 </w:t>
      </w:r>
      <w:r w:rsidR="005C114A" w:rsidRPr="009C7698">
        <w:rPr>
          <w:rFonts w:asciiTheme="majorHAnsi" w:eastAsiaTheme="minorEastAsia" w:hAnsiTheme="majorHAnsi"/>
          <w:szCs w:val="22"/>
        </w:rPr>
        <w:t xml:space="preserve">and the </w:t>
      </w:r>
      <w:r w:rsidR="00D01F50" w:rsidRPr="009C7698">
        <w:rPr>
          <w:rFonts w:asciiTheme="majorHAnsi" w:eastAsiaTheme="minorEastAsia" w:hAnsiTheme="majorHAnsi"/>
          <w:szCs w:val="22"/>
        </w:rPr>
        <w:t xml:space="preserve">date of signing the </w:t>
      </w:r>
      <w:r w:rsidR="008E67BF">
        <w:rPr>
          <w:rFonts w:asciiTheme="majorHAnsi" w:eastAsiaTheme="minorEastAsia" w:hAnsiTheme="majorHAnsi"/>
          <w:szCs w:val="22"/>
        </w:rPr>
        <w:t>RFA</w:t>
      </w:r>
      <w:r w:rsidR="009D059F" w:rsidRPr="009C7698">
        <w:rPr>
          <w:rFonts w:asciiTheme="majorHAnsi" w:eastAsiaTheme="minorEastAsia" w:hAnsiTheme="majorHAnsi"/>
          <w:szCs w:val="22"/>
        </w:rPr>
        <w:t xml:space="preserve">s </w:t>
      </w:r>
      <w:r w:rsidRPr="009C7698">
        <w:rPr>
          <w:rFonts w:asciiTheme="majorHAnsi" w:eastAsiaTheme="minorEastAsia" w:hAnsiTheme="majorHAnsi"/>
          <w:szCs w:val="22"/>
        </w:rPr>
        <w:t>varied across the regions</w:t>
      </w:r>
      <w:r w:rsidR="00484321" w:rsidRPr="009C7698">
        <w:rPr>
          <w:rFonts w:asciiTheme="majorHAnsi" w:eastAsiaTheme="minorEastAsia" w:hAnsiTheme="majorHAnsi"/>
          <w:szCs w:val="22"/>
        </w:rPr>
        <w:t>,</w:t>
      </w:r>
      <w:r w:rsidRPr="009C7698">
        <w:rPr>
          <w:rFonts w:asciiTheme="majorHAnsi" w:eastAsiaTheme="minorEastAsia" w:hAnsiTheme="majorHAnsi"/>
          <w:szCs w:val="22"/>
        </w:rPr>
        <w:t xml:space="preserve"> from 7% (East Gippsland) to </w:t>
      </w:r>
      <w:r w:rsidR="005E73BF" w:rsidRPr="009C7698">
        <w:rPr>
          <w:rFonts w:asciiTheme="majorHAnsi" w:eastAsiaTheme="minorEastAsia" w:hAnsiTheme="majorHAnsi"/>
          <w:szCs w:val="22"/>
        </w:rPr>
        <w:t>81% (West Victoria</w:t>
      </w:r>
      <w:r w:rsidR="009D059F" w:rsidRPr="009C7698">
        <w:rPr>
          <w:rFonts w:asciiTheme="majorHAnsi" w:eastAsiaTheme="minorEastAsia" w:hAnsiTheme="majorHAnsi"/>
          <w:szCs w:val="22"/>
        </w:rPr>
        <w:t xml:space="preserve">), </w:t>
      </w:r>
      <w:r w:rsidR="00AC2BF5">
        <w:rPr>
          <w:rFonts w:asciiTheme="majorHAnsi" w:eastAsiaTheme="minorEastAsia" w:hAnsiTheme="majorHAnsi"/>
          <w:szCs w:val="22"/>
        </w:rPr>
        <w:t xml:space="preserve">with the proportion converted to non-forest being </w:t>
      </w:r>
      <w:r w:rsidR="0055165E">
        <w:rPr>
          <w:rFonts w:asciiTheme="majorHAnsi" w:eastAsiaTheme="minorEastAsia" w:hAnsiTheme="majorHAnsi"/>
          <w:szCs w:val="22"/>
        </w:rPr>
        <w:t xml:space="preserve">between </w:t>
      </w:r>
      <w:r w:rsidR="00AC2BF5">
        <w:rPr>
          <w:rFonts w:asciiTheme="majorHAnsi" w:eastAsiaTheme="minorEastAsia" w:hAnsiTheme="majorHAnsi"/>
          <w:szCs w:val="22"/>
        </w:rPr>
        <w:t>31</w:t>
      </w:r>
      <w:r w:rsidR="0055165E">
        <w:rPr>
          <w:rFonts w:asciiTheme="majorHAnsi" w:eastAsiaTheme="minorEastAsia" w:hAnsiTheme="majorHAnsi"/>
          <w:szCs w:val="22"/>
        </w:rPr>
        <w:t xml:space="preserve">% and </w:t>
      </w:r>
      <w:r w:rsidR="00AC2BF5">
        <w:rPr>
          <w:rFonts w:asciiTheme="majorHAnsi" w:eastAsiaTheme="minorEastAsia" w:hAnsiTheme="majorHAnsi"/>
          <w:szCs w:val="22"/>
        </w:rPr>
        <w:t xml:space="preserve">45% in the </w:t>
      </w:r>
      <w:r w:rsidRPr="009C7698">
        <w:rPr>
          <w:rFonts w:asciiTheme="majorHAnsi" w:eastAsiaTheme="minorEastAsia" w:hAnsiTheme="majorHAnsi"/>
          <w:szCs w:val="22"/>
        </w:rPr>
        <w:t xml:space="preserve">other </w:t>
      </w:r>
      <w:r w:rsidR="008E67BF">
        <w:rPr>
          <w:rFonts w:asciiTheme="majorHAnsi" w:eastAsiaTheme="minorEastAsia" w:hAnsiTheme="majorHAnsi"/>
          <w:szCs w:val="22"/>
        </w:rPr>
        <w:t>RFA</w:t>
      </w:r>
      <w:r w:rsidR="005C114A" w:rsidRPr="009C7698">
        <w:rPr>
          <w:rFonts w:asciiTheme="majorHAnsi" w:eastAsiaTheme="minorEastAsia" w:hAnsiTheme="majorHAnsi"/>
          <w:szCs w:val="22"/>
        </w:rPr>
        <w:t xml:space="preserve"> </w:t>
      </w:r>
      <w:r w:rsidR="00274905">
        <w:rPr>
          <w:rFonts w:asciiTheme="majorHAnsi" w:eastAsiaTheme="minorEastAsia" w:hAnsiTheme="majorHAnsi"/>
          <w:szCs w:val="22"/>
        </w:rPr>
        <w:t>regions</w:t>
      </w:r>
      <w:r w:rsidR="00274905" w:rsidRPr="009C7698">
        <w:rPr>
          <w:rFonts w:asciiTheme="majorHAnsi" w:eastAsiaTheme="minorEastAsia" w:hAnsiTheme="majorHAnsi"/>
          <w:szCs w:val="22"/>
        </w:rPr>
        <w:t xml:space="preserve"> </w:t>
      </w:r>
      <w:r w:rsidR="00563EB2" w:rsidRPr="009C7698">
        <w:rPr>
          <w:rFonts w:asciiTheme="majorHAnsi" w:eastAsiaTheme="minorEastAsia" w:hAnsiTheme="majorHAnsi"/>
          <w:szCs w:val="22"/>
        </w:rPr>
        <w:t>(</w:t>
      </w:r>
      <w:r w:rsidR="00BF30CD" w:rsidRPr="00BF30CD">
        <w:rPr>
          <w:rFonts w:asciiTheme="majorHAnsi" w:eastAsiaTheme="minorEastAsia" w:hAnsiTheme="majorHAnsi"/>
          <w:szCs w:val="22"/>
        </w:rPr>
        <w:t xml:space="preserve">Table A2). All </w:t>
      </w:r>
      <w:r w:rsidR="0029376A" w:rsidRPr="009C7698">
        <w:rPr>
          <w:rFonts w:asciiTheme="majorHAnsi" w:eastAsiaTheme="minorEastAsia" w:hAnsiTheme="majorHAnsi"/>
          <w:szCs w:val="22"/>
        </w:rPr>
        <w:t xml:space="preserve">the </w:t>
      </w:r>
      <w:r w:rsidR="008E67BF">
        <w:rPr>
          <w:rFonts w:asciiTheme="majorHAnsi" w:eastAsiaTheme="minorEastAsia" w:hAnsiTheme="majorHAnsi"/>
          <w:szCs w:val="22"/>
        </w:rPr>
        <w:t>RFA</w:t>
      </w:r>
      <w:r w:rsidR="0029376A" w:rsidRPr="009C7698">
        <w:rPr>
          <w:rFonts w:asciiTheme="majorHAnsi" w:eastAsiaTheme="minorEastAsia" w:hAnsiTheme="majorHAnsi"/>
          <w:szCs w:val="22"/>
        </w:rPr>
        <w:t xml:space="preserve"> region</w:t>
      </w:r>
      <w:r w:rsidR="00BC13B7" w:rsidRPr="009C7698">
        <w:rPr>
          <w:rFonts w:asciiTheme="majorHAnsi" w:eastAsiaTheme="minorEastAsia" w:hAnsiTheme="majorHAnsi"/>
          <w:szCs w:val="22"/>
        </w:rPr>
        <w:t xml:space="preserve">s </w:t>
      </w:r>
      <w:r w:rsidR="0029376A" w:rsidRPr="009C7698">
        <w:rPr>
          <w:rFonts w:asciiTheme="majorHAnsi" w:eastAsiaTheme="minorEastAsia" w:hAnsiTheme="majorHAnsi"/>
          <w:szCs w:val="22"/>
        </w:rPr>
        <w:t xml:space="preserve">excepting West Victoria </w:t>
      </w:r>
      <w:r w:rsidR="00BC13B7" w:rsidRPr="009C7698">
        <w:rPr>
          <w:rFonts w:asciiTheme="majorHAnsi" w:eastAsiaTheme="minorEastAsia" w:hAnsiTheme="majorHAnsi"/>
          <w:szCs w:val="22"/>
        </w:rPr>
        <w:t>had more than</w:t>
      </w:r>
      <w:r w:rsidR="00B922E6" w:rsidRPr="009C7698">
        <w:rPr>
          <w:rFonts w:asciiTheme="majorHAnsi" w:eastAsiaTheme="minorEastAsia" w:hAnsiTheme="majorHAnsi"/>
          <w:szCs w:val="22"/>
        </w:rPr>
        <w:t xml:space="preserve"> 15</w:t>
      </w:r>
      <w:r w:rsidR="0029376A" w:rsidRPr="009C7698">
        <w:rPr>
          <w:rFonts w:asciiTheme="majorHAnsi" w:eastAsiaTheme="minorEastAsia" w:hAnsiTheme="majorHAnsi"/>
          <w:szCs w:val="22"/>
        </w:rPr>
        <w:t>%</w:t>
      </w:r>
      <w:r w:rsidR="00B922E6" w:rsidRPr="009C7698">
        <w:rPr>
          <w:rFonts w:asciiTheme="majorHAnsi" w:eastAsiaTheme="minorEastAsia" w:hAnsiTheme="majorHAnsi"/>
          <w:szCs w:val="22"/>
        </w:rPr>
        <w:t xml:space="preserve"> of </w:t>
      </w:r>
      <w:r w:rsidR="0029376A" w:rsidRPr="009C7698">
        <w:rPr>
          <w:rFonts w:asciiTheme="majorHAnsi" w:eastAsiaTheme="minorEastAsia" w:hAnsiTheme="majorHAnsi"/>
          <w:szCs w:val="22"/>
        </w:rPr>
        <w:t xml:space="preserve">the </w:t>
      </w:r>
      <w:r w:rsidR="00B922E6" w:rsidRPr="009C7698">
        <w:rPr>
          <w:rFonts w:asciiTheme="majorHAnsi" w:eastAsiaTheme="minorEastAsia" w:hAnsiTheme="majorHAnsi"/>
          <w:szCs w:val="22"/>
        </w:rPr>
        <w:t xml:space="preserve">pre-1750 forest </w:t>
      </w:r>
      <w:r w:rsidR="00EA208B">
        <w:rPr>
          <w:rFonts w:asciiTheme="majorHAnsi" w:eastAsiaTheme="minorEastAsia" w:hAnsiTheme="majorHAnsi"/>
          <w:szCs w:val="22"/>
        </w:rPr>
        <w:t xml:space="preserve">area </w:t>
      </w:r>
      <w:r w:rsidR="00B922E6" w:rsidRPr="009C7698">
        <w:rPr>
          <w:rFonts w:asciiTheme="majorHAnsi" w:eastAsiaTheme="minorEastAsia" w:hAnsiTheme="majorHAnsi"/>
          <w:szCs w:val="22"/>
        </w:rPr>
        <w:t>protect</w:t>
      </w:r>
      <w:r w:rsidR="0029376A" w:rsidRPr="009C7698">
        <w:rPr>
          <w:rFonts w:asciiTheme="majorHAnsi" w:eastAsiaTheme="minorEastAsia" w:hAnsiTheme="majorHAnsi"/>
          <w:szCs w:val="22"/>
        </w:rPr>
        <w:t>ed</w:t>
      </w:r>
      <w:r w:rsidR="00B922E6" w:rsidRPr="009C7698">
        <w:rPr>
          <w:rFonts w:asciiTheme="majorHAnsi" w:eastAsiaTheme="minorEastAsia" w:hAnsiTheme="majorHAnsi"/>
          <w:szCs w:val="22"/>
        </w:rPr>
        <w:t xml:space="preserve"> in the CAR reserve system at signing of the agreements</w:t>
      </w:r>
      <w:r w:rsidR="0029376A" w:rsidRPr="009C7698">
        <w:rPr>
          <w:rFonts w:asciiTheme="majorHAnsi" w:eastAsiaTheme="minorEastAsia" w:hAnsiTheme="majorHAnsi"/>
          <w:szCs w:val="22"/>
        </w:rPr>
        <w:t xml:space="preserve">, </w:t>
      </w:r>
      <w:r w:rsidR="00EA208B">
        <w:rPr>
          <w:rFonts w:asciiTheme="majorHAnsi" w:eastAsiaTheme="minorEastAsia" w:hAnsiTheme="majorHAnsi"/>
          <w:szCs w:val="22"/>
        </w:rPr>
        <w:t xml:space="preserve">and across all RFA regions </w:t>
      </w:r>
      <w:r w:rsidR="00687FFD" w:rsidRPr="009C7698">
        <w:rPr>
          <w:rFonts w:asciiTheme="majorHAnsi" w:eastAsiaTheme="minorEastAsia" w:hAnsiTheme="majorHAnsi"/>
          <w:szCs w:val="22"/>
        </w:rPr>
        <w:t xml:space="preserve">a </w:t>
      </w:r>
      <w:r w:rsidR="00EA74BB" w:rsidRPr="009C7698">
        <w:rPr>
          <w:rFonts w:asciiTheme="majorHAnsi" w:eastAsiaTheme="minorEastAsia" w:hAnsiTheme="majorHAnsi"/>
          <w:szCs w:val="22"/>
        </w:rPr>
        <w:t xml:space="preserve">total </w:t>
      </w:r>
      <w:r w:rsidR="00687FFD" w:rsidRPr="009C7698">
        <w:rPr>
          <w:rFonts w:asciiTheme="majorHAnsi" w:eastAsiaTheme="minorEastAsia" w:hAnsiTheme="majorHAnsi"/>
          <w:szCs w:val="22"/>
        </w:rPr>
        <w:t xml:space="preserve">of 24% </w:t>
      </w:r>
      <w:r w:rsidR="00EA208B">
        <w:rPr>
          <w:rFonts w:asciiTheme="majorHAnsi" w:eastAsiaTheme="minorEastAsia" w:hAnsiTheme="majorHAnsi"/>
          <w:szCs w:val="22"/>
        </w:rPr>
        <w:t xml:space="preserve">of the pre-1750 forest area was </w:t>
      </w:r>
      <w:r w:rsidR="0029376A" w:rsidRPr="009C7698">
        <w:rPr>
          <w:rFonts w:asciiTheme="majorHAnsi" w:eastAsiaTheme="minorEastAsia" w:hAnsiTheme="majorHAnsi"/>
          <w:szCs w:val="22"/>
        </w:rPr>
        <w:t xml:space="preserve">protected </w:t>
      </w:r>
      <w:r w:rsidR="00EA74BB" w:rsidRPr="009C7698">
        <w:rPr>
          <w:rFonts w:asciiTheme="majorHAnsi" w:eastAsiaTheme="minorEastAsia" w:hAnsiTheme="majorHAnsi"/>
          <w:szCs w:val="22"/>
        </w:rPr>
        <w:t>in this way</w:t>
      </w:r>
      <w:r w:rsidR="00AD3FE3">
        <w:rPr>
          <w:rFonts w:asciiTheme="majorHAnsi" w:eastAsiaTheme="minorEastAsia" w:hAnsiTheme="majorHAnsi"/>
          <w:szCs w:val="22"/>
        </w:rPr>
        <w:t xml:space="preserve"> </w:t>
      </w:r>
      <w:r w:rsidR="00BF30CD" w:rsidRPr="00BF30CD">
        <w:rPr>
          <w:rFonts w:asciiTheme="majorHAnsi" w:eastAsiaTheme="minorEastAsia" w:hAnsiTheme="majorHAnsi"/>
          <w:szCs w:val="22"/>
        </w:rPr>
        <w:t>(Table A2</w:t>
      </w:r>
      <w:r w:rsidR="00AD3FE3">
        <w:rPr>
          <w:rFonts w:asciiTheme="majorHAnsi" w:eastAsiaTheme="minorEastAsia" w:hAnsiTheme="majorHAnsi"/>
          <w:szCs w:val="22"/>
        </w:rPr>
        <w:t>)</w:t>
      </w:r>
      <w:r w:rsidR="00B922E6" w:rsidRPr="009C7698">
        <w:rPr>
          <w:rFonts w:asciiTheme="majorHAnsi" w:eastAsiaTheme="minorEastAsia" w:hAnsiTheme="majorHAnsi"/>
          <w:szCs w:val="22"/>
        </w:rPr>
        <w:t>.</w:t>
      </w:r>
    </w:p>
    <w:p w14:paraId="24DBCFB5" w14:textId="329383C0" w:rsidR="00585694" w:rsidRPr="009C7698" w:rsidRDefault="0029376A" w:rsidP="00DE2888">
      <w:pPr>
        <w:rPr>
          <w:rFonts w:asciiTheme="majorHAnsi" w:hAnsiTheme="majorHAnsi"/>
          <w:szCs w:val="22"/>
        </w:rPr>
      </w:pPr>
      <w:r w:rsidRPr="009C7698">
        <w:rPr>
          <w:rFonts w:asciiTheme="majorHAnsi" w:eastAsiaTheme="minorEastAsia" w:hAnsiTheme="majorHAnsi"/>
          <w:szCs w:val="22"/>
        </w:rPr>
        <w:t>T</w:t>
      </w:r>
      <w:r w:rsidR="00DC2EFA" w:rsidRPr="009C7698">
        <w:rPr>
          <w:rFonts w:asciiTheme="majorHAnsi" w:eastAsiaTheme="minorEastAsia" w:hAnsiTheme="majorHAnsi"/>
          <w:szCs w:val="22"/>
        </w:rPr>
        <w:t>he proportion</w:t>
      </w:r>
      <w:r w:rsidR="00532C0D" w:rsidRPr="009C7698">
        <w:rPr>
          <w:rFonts w:asciiTheme="majorHAnsi" w:eastAsiaTheme="minorEastAsia" w:hAnsiTheme="majorHAnsi"/>
          <w:szCs w:val="22"/>
        </w:rPr>
        <w:t xml:space="preserve"> of </w:t>
      </w:r>
      <w:r w:rsidR="00EA208B">
        <w:rPr>
          <w:rFonts w:asciiTheme="majorHAnsi" w:eastAsiaTheme="minorEastAsia" w:hAnsiTheme="majorHAnsi"/>
          <w:szCs w:val="22"/>
        </w:rPr>
        <w:t xml:space="preserve">total </w:t>
      </w:r>
      <w:r w:rsidR="00532C0D" w:rsidRPr="009C7698">
        <w:rPr>
          <w:rFonts w:asciiTheme="majorHAnsi" w:eastAsiaTheme="minorEastAsia" w:hAnsiTheme="majorHAnsi"/>
          <w:szCs w:val="22"/>
        </w:rPr>
        <w:t xml:space="preserve">forest </w:t>
      </w:r>
      <w:r w:rsidRPr="009C7698">
        <w:rPr>
          <w:rFonts w:asciiTheme="majorHAnsi" w:eastAsiaTheme="minorEastAsia" w:hAnsiTheme="majorHAnsi"/>
          <w:szCs w:val="22"/>
        </w:rPr>
        <w:t xml:space="preserve">area </w:t>
      </w:r>
      <w:r w:rsidR="001C388F">
        <w:rPr>
          <w:rFonts w:asciiTheme="majorHAnsi" w:eastAsiaTheme="minorEastAsia" w:hAnsiTheme="majorHAnsi"/>
          <w:szCs w:val="22"/>
        </w:rPr>
        <w:t xml:space="preserve">on </w:t>
      </w:r>
      <w:r w:rsidR="001C388F" w:rsidRPr="009C7698">
        <w:rPr>
          <w:rFonts w:asciiTheme="majorHAnsi" w:eastAsiaTheme="minorEastAsia" w:hAnsiTheme="majorHAnsi"/>
          <w:szCs w:val="22"/>
        </w:rPr>
        <w:t>public and private</w:t>
      </w:r>
      <w:r w:rsidR="001C388F">
        <w:rPr>
          <w:rFonts w:asciiTheme="majorHAnsi" w:eastAsiaTheme="minorEastAsia" w:hAnsiTheme="majorHAnsi"/>
          <w:szCs w:val="22"/>
        </w:rPr>
        <w:t xml:space="preserve"> land</w:t>
      </w:r>
      <w:r w:rsidR="001C388F" w:rsidRPr="009C7698">
        <w:rPr>
          <w:rFonts w:asciiTheme="majorHAnsi" w:eastAsiaTheme="minorEastAsia" w:hAnsiTheme="majorHAnsi"/>
          <w:szCs w:val="22"/>
        </w:rPr>
        <w:t xml:space="preserve"> </w:t>
      </w:r>
      <w:r w:rsidR="0094751C" w:rsidRPr="009C7698">
        <w:rPr>
          <w:rFonts w:asciiTheme="majorHAnsi" w:eastAsiaTheme="minorEastAsia" w:hAnsiTheme="majorHAnsi"/>
          <w:szCs w:val="22"/>
        </w:rPr>
        <w:t xml:space="preserve">in each </w:t>
      </w:r>
      <w:r w:rsidR="008E67BF">
        <w:rPr>
          <w:rFonts w:asciiTheme="majorHAnsi" w:eastAsiaTheme="minorEastAsia" w:hAnsiTheme="majorHAnsi"/>
          <w:szCs w:val="22"/>
        </w:rPr>
        <w:t>RFA</w:t>
      </w:r>
      <w:r w:rsidR="009D059F" w:rsidRPr="009C7698">
        <w:rPr>
          <w:rFonts w:asciiTheme="majorHAnsi" w:eastAsiaTheme="minorEastAsia" w:hAnsiTheme="majorHAnsi"/>
          <w:szCs w:val="22"/>
        </w:rPr>
        <w:t xml:space="preserve"> </w:t>
      </w:r>
      <w:r w:rsidR="0094751C" w:rsidRPr="009C7698">
        <w:rPr>
          <w:rFonts w:asciiTheme="majorHAnsi" w:eastAsiaTheme="minorEastAsia" w:hAnsiTheme="majorHAnsi"/>
          <w:szCs w:val="22"/>
        </w:rPr>
        <w:t xml:space="preserve">region </w:t>
      </w:r>
      <w:r w:rsidR="001C388F">
        <w:rPr>
          <w:rFonts w:asciiTheme="majorHAnsi" w:eastAsiaTheme="minorEastAsia" w:hAnsiTheme="majorHAnsi"/>
          <w:szCs w:val="22"/>
        </w:rPr>
        <w:t xml:space="preserve">at the time of signing the RFAs </w:t>
      </w:r>
      <w:r w:rsidR="0094751C" w:rsidRPr="009C7698">
        <w:rPr>
          <w:rFonts w:asciiTheme="majorHAnsi" w:eastAsiaTheme="minorEastAsia" w:hAnsiTheme="majorHAnsi"/>
          <w:szCs w:val="22"/>
        </w:rPr>
        <w:t xml:space="preserve">that was </w:t>
      </w:r>
      <w:r w:rsidR="00532C0D" w:rsidRPr="009C7698">
        <w:rPr>
          <w:rFonts w:asciiTheme="majorHAnsi" w:eastAsiaTheme="minorEastAsia" w:hAnsiTheme="majorHAnsi"/>
          <w:szCs w:val="22"/>
        </w:rPr>
        <w:t xml:space="preserve">included in the </w:t>
      </w:r>
      <w:r w:rsidRPr="009C7698">
        <w:rPr>
          <w:rFonts w:asciiTheme="majorHAnsi" w:eastAsiaTheme="minorEastAsia" w:hAnsiTheme="majorHAnsi"/>
          <w:szCs w:val="22"/>
        </w:rPr>
        <w:t xml:space="preserve">CAR </w:t>
      </w:r>
      <w:r w:rsidR="00532C0D" w:rsidRPr="009C7698">
        <w:rPr>
          <w:rFonts w:asciiTheme="majorHAnsi" w:eastAsiaTheme="minorEastAsia" w:hAnsiTheme="majorHAnsi"/>
          <w:szCs w:val="22"/>
        </w:rPr>
        <w:t>reserve system</w:t>
      </w:r>
      <w:r w:rsidR="00A74F77" w:rsidRPr="009C7698">
        <w:rPr>
          <w:rFonts w:asciiTheme="majorHAnsi" w:eastAsiaTheme="minorEastAsia" w:hAnsiTheme="majorHAnsi"/>
          <w:szCs w:val="22"/>
        </w:rPr>
        <w:t xml:space="preserve"> </w:t>
      </w:r>
      <w:r w:rsidR="00532C0D" w:rsidRPr="009C7698">
        <w:rPr>
          <w:rFonts w:asciiTheme="majorHAnsi" w:eastAsiaTheme="minorEastAsia" w:hAnsiTheme="majorHAnsi"/>
          <w:szCs w:val="22"/>
        </w:rPr>
        <w:t>rang</w:t>
      </w:r>
      <w:r w:rsidRPr="009C7698">
        <w:rPr>
          <w:rFonts w:asciiTheme="majorHAnsi" w:eastAsiaTheme="minorEastAsia" w:hAnsiTheme="majorHAnsi"/>
          <w:szCs w:val="22"/>
        </w:rPr>
        <w:t>ed</w:t>
      </w:r>
      <w:r w:rsidR="00532C0D" w:rsidRPr="009C7698">
        <w:rPr>
          <w:rFonts w:asciiTheme="majorHAnsi" w:eastAsiaTheme="minorEastAsia" w:hAnsiTheme="majorHAnsi"/>
          <w:szCs w:val="22"/>
        </w:rPr>
        <w:t xml:space="preserve"> from 31% in the Upper North East (NSW) </w:t>
      </w:r>
      <w:r w:rsidR="00090DB5">
        <w:rPr>
          <w:rFonts w:asciiTheme="majorHAnsi" w:eastAsiaTheme="minorEastAsia" w:hAnsiTheme="majorHAnsi"/>
          <w:szCs w:val="22"/>
        </w:rPr>
        <w:t>RFA</w:t>
      </w:r>
      <w:r w:rsidR="00532C0D" w:rsidRPr="009C7698">
        <w:rPr>
          <w:rFonts w:asciiTheme="majorHAnsi" w:eastAsiaTheme="minorEastAsia" w:hAnsiTheme="majorHAnsi"/>
          <w:szCs w:val="22"/>
        </w:rPr>
        <w:t xml:space="preserve"> </w:t>
      </w:r>
      <w:r w:rsidR="00274905">
        <w:rPr>
          <w:rFonts w:asciiTheme="majorHAnsi" w:eastAsiaTheme="minorEastAsia" w:hAnsiTheme="majorHAnsi"/>
          <w:szCs w:val="22"/>
        </w:rPr>
        <w:t>region</w:t>
      </w:r>
      <w:r w:rsidR="00274905" w:rsidRPr="009C7698">
        <w:rPr>
          <w:rFonts w:asciiTheme="majorHAnsi" w:eastAsiaTheme="minorEastAsia" w:hAnsiTheme="majorHAnsi"/>
          <w:szCs w:val="22"/>
        </w:rPr>
        <w:t xml:space="preserve"> </w:t>
      </w:r>
      <w:r w:rsidR="00532C0D" w:rsidRPr="009C7698">
        <w:rPr>
          <w:rFonts w:asciiTheme="majorHAnsi" w:eastAsiaTheme="minorEastAsia" w:hAnsiTheme="majorHAnsi"/>
          <w:szCs w:val="22"/>
        </w:rPr>
        <w:t xml:space="preserve">to </w:t>
      </w:r>
      <w:r w:rsidR="00687FFD" w:rsidRPr="009C7698">
        <w:rPr>
          <w:rFonts w:asciiTheme="majorHAnsi" w:eastAsiaTheme="minorEastAsia" w:hAnsiTheme="majorHAnsi"/>
          <w:szCs w:val="22"/>
        </w:rPr>
        <w:t>55</w:t>
      </w:r>
      <w:r w:rsidR="00532C0D" w:rsidRPr="009C7698">
        <w:rPr>
          <w:rFonts w:asciiTheme="majorHAnsi" w:eastAsiaTheme="minorEastAsia" w:hAnsiTheme="majorHAnsi"/>
          <w:szCs w:val="22"/>
        </w:rPr>
        <w:t xml:space="preserve">% in the </w:t>
      </w:r>
      <w:r w:rsidR="00687FFD" w:rsidRPr="009C7698">
        <w:rPr>
          <w:rFonts w:asciiTheme="majorHAnsi" w:eastAsiaTheme="minorEastAsia" w:hAnsiTheme="majorHAnsi"/>
          <w:szCs w:val="22"/>
        </w:rPr>
        <w:t>Gippsland</w:t>
      </w:r>
      <w:r w:rsidR="00532C0D" w:rsidRPr="009C7698">
        <w:rPr>
          <w:rFonts w:asciiTheme="majorHAnsi" w:eastAsiaTheme="minorEastAsia" w:hAnsiTheme="majorHAnsi"/>
          <w:szCs w:val="22"/>
        </w:rPr>
        <w:t xml:space="preserve"> </w:t>
      </w:r>
      <w:r w:rsidR="00090DB5">
        <w:rPr>
          <w:rFonts w:asciiTheme="majorHAnsi" w:eastAsiaTheme="minorEastAsia" w:hAnsiTheme="majorHAnsi"/>
          <w:szCs w:val="22"/>
        </w:rPr>
        <w:t>RFA</w:t>
      </w:r>
      <w:r w:rsidR="00532C0D" w:rsidRPr="009C7698">
        <w:rPr>
          <w:rFonts w:asciiTheme="majorHAnsi" w:eastAsiaTheme="minorEastAsia" w:hAnsiTheme="majorHAnsi"/>
          <w:szCs w:val="22"/>
        </w:rPr>
        <w:t xml:space="preserve"> </w:t>
      </w:r>
      <w:r w:rsidR="00274905">
        <w:rPr>
          <w:rFonts w:asciiTheme="majorHAnsi" w:eastAsiaTheme="minorEastAsia" w:hAnsiTheme="majorHAnsi"/>
          <w:szCs w:val="22"/>
        </w:rPr>
        <w:t>region</w:t>
      </w:r>
      <w:r w:rsidR="0094751C" w:rsidRPr="009C7698">
        <w:rPr>
          <w:rFonts w:asciiTheme="majorHAnsi" w:eastAsiaTheme="minorEastAsia" w:hAnsiTheme="majorHAnsi"/>
          <w:szCs w:val="22"/>
        </w:rPr>
        <w:t>,</w:t>
      </w:r>
      <w:r w:rsidRPr="009C7698">
        <w:rPr>
          <w:rFonts w:asciiTheme="majorHAnsi" w:eastAsiaTheme="minorEastAsia" w:hAnsiTheme="majorHAnsi"/>
          <w:szCs w:val="22"/>
        </w:rPr>
        <w:t xml:space="preserve"> </w:t>
      </w:r>
      <w:r w:rsidR="00532C0D" w:rsidRPr="009C7698">
        <w:rPr>
          <w:rFonts w:asciiTheme="majorHAnsi" w:eastAsiaTheme="minorEastAsia" w:hAnsiTheme="majorHAnsi"/>
          <w:szCs w:val="22"/>
        </w:rPr>
        <w:t xml:space="preserve">with </w:t>
      </w:r>
      <w:r w:rsidR="00090DB5" w:rsidRPr="009C7698">
        <w:rPr>
          <w:rFonts w:asciiTheme="majorHAnsi" w:eastAsiaTheme="minorEastAsia" w:hAnsiTheme="majorHAnsi"/>
          <w:szCs w:val="22"/>
        </w:rPr>
        <w:t>a</w:t>
      </w:r>
      <w:r w:rsidR="00687FFD" w:rsidRPr="009C7698">
        <w:rPr>
          <w:rFonts w:asciiTheme="majorHAnsi" w:eastAsiaTheme="minorEastAsia" w:hAnsiTheme="majorHAnsi"/>
          <w:szCs w:val="22"/>
        </w:rPr>
        <w:t xml:space="preserve"> </w:t>
      </w:r>
      <w:r w:rsidR="007D4EE5" w:rsidRPr="009C7698">
        <w:rPr>
          <w:rFonts w:asciiTheme="majorHAnsi" w:eastAsiaTheme="minorEastAsia" w:hAnsiTheme="majorHAnsi"/>
          <w:szCs w:val="22"/>
        </w:rPr>
        <w:t xml:space="preserve">total </w:t>
      </w:r>
      <w:r w:rsidR="00687FFD" w:rsidRPr="009C7698">
        <w:rPr>
          <w:rFonts w:asciiTheme="majorHAnsi" w:eastAsiaTheme="minorEastAsia" w:hAnsiTheme="majorHAnsi"/>
          <w:szCs w:val="22"/>
        </w:rPr>
        <w:t xml:space="preserve">of </w:t>
      </w:r>
      <w:r w:rsidR="007321F9" w:rsidRPr="009C7698">
        <w:rPr>
          <w:rFonts w:asciiTheme="majorHAnsi" w:eastAsiaTheme="minorEastAsia" w:hAnsiTheme="majorHAnsi"/>
          <w:szCs w:val="22"/>
        </w:rPr>
        <w:t xml:space="preserve">44% across all </w:t>
      </w:r>
      <w:r w:rsidR="008E67BF">
        <w:rPr>
          <w:rFonts w:asciiTheme="majorHAnsi" w:eastAsiaTheme="minorEastAsia" w:hAnsiTheme="majorHAnsi"/>
          <w:szCs w:val="22"/>
        </w:rPr>
        <w:t>RFA</w:t>
      </w:r>
      <w:r w:rsidRPr="009C7698">
        <w:rPr>
          <w:rFonts w:asciiTheme="majorHAnsi" w:eastAsiaTheme="minorEastAsia" w:hAnsiTheme="majorHAnsi"/>
          <w:szCs w:val="22"/>
        </w:rPr>
        <w:t xml:space="preserve"> </w:t>
      </w:r>
      <w:r w:rsidR="00274905">
        <w:rPr>
          <w:rFonts w:asciiTheme="majorHAnsi" w:eastAsiaTheme="minorEastAsia" w:hAnsiTheme="majorHAnsi"/>
          <w:szCs w:val="22"/>
        </w:rPr>
        <w:t>regions</w:t>
      </w:r>
      <w:r w:rsidR="00274905" w:rsidRPr="009C7698">
        <w:rPr>
          <w:rFonts w:asciiTheme="majorHAnsi" w:eastAsiaTheme="minorEastAsia" w:hAnsiTheme="majorHAnsi"/>
          <w:szCs w:val="22"/>
        </w:rPr>
        <w:t xml:space="preserve"> </w:t>
      </w:r>
      <w:r w:rsidR="007321F9" w:rsidRPr="009C7698">
        <w:rPr>
          <w:rFonts w:asciiTheme="majorHAnsi" w:eastAsiaTheme="minorEastAsia" w:hAnsiTheme="majorHAnsi"/>
          <w:szCs w:val="22"/>
        </w:rPr>
        <w:t>(</w:t>
      </w:r>
      <w:r w:rsidR="00BF30CD" w:rsidRPr="00BF30CD">
        <w:rPr>
          <w:rFonts w:asciiTheme="majorHAnsi" w:eastAsiaTheme="minorEastAsia" w:hAnsiTheme="majorHAnsi"/>
          <w:szCs w:val="22"/>
        </w:rPr>
        <w:t>Table A2)</w:t>
      </w:r>
      <w:r w:rsidR="00532C0D" w:rsidRPr="009C7698">
        <w:rPr>
          <w:rFonts w:asciiTheme="majorHAnsi" w:eastAsiaTheme="minorEastAsia" w:hAnsiTheme="majorHAnsi"/>
          <w:szCs w:val="22"/>
        </w:rPr>
        <w:t>.</w:t>
      </w:r>
      <w:r w:rsidRPr="009C7698">
        <w:rPr>
          <w:rFonts w:asciiTheme="majorHAnsi" w:eastAsiaTheme="minorEastAsia" w:hAnsiTheme="majorHAnsi"/>
          <w:szCs w:val="22"/>
        </w:rPr>
        <w:t xml:space="preserve"> All the </w:t>
      </w:r>
      <w:r w:rsidR="008E67BF">
        <w:rPr>
          <w:rFonts w:asciiTheme="majorHAnsi" w:eastAsiaTheme="minorEastAsia" w:hAnsiTheme="majorHAnsi"/>
          <w:szCs w:val="22"/>
        </w:rPr>
        <w:t>RFA</w:t>
      </w:r>
      <w:r w:rsidRPr="009C7698">
        <w:rPr>
          <w:rFonts w:asciiTheme="majorHAnsi" w:eastAsiaTheme="minorEastAsia" w:hAnsiTheme="majorHAnsi"/>
          <w:szCs w:val="22"/>
        </w:rPr>
        <w:t xml:space="preserve"> </w:t>
      </w:r>
      <w:r w:rsidR="00274905">
        <w:rPr>
          <w:rFonts w:asciiTheme="majorHAnsi" w:eastAsiaTheme="minorEastAsia" w:hAnsiTheme="majorHAnsi"/>
          <w:szCs w:val="22"/>
        </w:rPr>
        <w:t>regions</w:t>
      </w:r>
      <w:r w:rsidR="00274905" w:rsidRPr="009C7698">
        <w:rPr>
          <w:rFonts w:asciiTheme="majorHAnsi" w:eastAsiaTheme="minorEastAsia" w:hAnsiTheme="majorHAnsi"/>
          <w:szCs w:val="22"/>
        </w:rPr>
        <w:t xml:space="preserve"> </w:t>
      </w:r>
      <w:r w:rsidRPr="009C7698">
        <w:rPr>
          <w:rFonts w:asciiTheme="majorHAnsi" w:eastAsiaTheme="minorEastAsia" w:hAnsiTheme="majorHAnsi"/>
          <w:szCs w:val="22"/>
        </w:rPr>
        <w:t>thus exceed</w:t>
      </w:r>
      <w:r w:rsidR="006808BE" w:rsidRPr="009C7698">
        <w:rPr>
          <w:rFonts w:asciiTheme="majorHAnsi" w:eastAsiaTheme="minorEastAsia" w:hAnsiTheme="majorHAnsi"/>
          <w:szCs w:val="22"/>
        </w:rPr>
        <w:t xml:space="preserve">ed </w:t>
      </w:r>
      <w:r w:rsidRPr="009C7698">
        <w:rPr>
          <w:rFonts w:asciiTheme="majorHAnsi" w:eastAsiaTheme="minorEastAsia" w:hAnsiTheme="majorHAnsi"/>
          <w:szCs w:val="22"/>
        </w:rPr>
        <w:t xml:space="preserve">the goal of Pitman </w:t>
      </w:r>
      <w:r w:rsidRPr="00D2258D">
        <w:rPr>
          <w:rFonts w:asciiTheme="majorHAnsi" w:eastAsiaTheme="minorEastAsia" w:hAnsiTheme="majorHAnsi"/>
          <w:szCs w:val="22"/>
        </w:rPr>
        <w:t>et al.</w:t>
      </w:r>
      <w:r w:rsidRPr="009C7698">
        <w:rPr>
          <w:rFonts w:asciiTheme="majorHAnsi" w:eastAsiaTheme="minorEastAsia" w:hAnsiTheme="majorHAnsi"/>
          <w:szCs w:val="22"/>
        </w:rPr>
        <w:t xml:space="preserve"> (1995) of 30% of the extent of forest being in the </w:t>
      </w:r>
      <w:r w:rsidR="0094751C" w:rsidRPr="009C7698">
        <w:rPr>
          <w:rFonts w:asciiTheme="majorHAnsi" w:eastAsiaTheme="minorEastAsia" w:hAnsiTheme="majorHAnsi"/>
          <w:szCs w:val="22"/>
        </w:rPr>
        <w:t xml:space="preserve">CAR </w:t>
      </w:r>
      <w:r w:rsidRPr="009C7698">
        <w:rPr>
          <w:rFonts w:asciiTheme="majorHAnsi" w:eastAsiaTheme="minorEastAsia" w:hAnsiTheme="majorHAnsi"/>
          <w:szCs w:val="22"/>
        </w:rPr>
        <w:t>reserve system</w:t>
      </w:r>
      <w:r w:rsidR="006808BE" w:rsidRPr="009C7698">
        <w:rPr>
          <w:rFonts w:asciiTheme="majorHAnsi" w:eastAsiaTheme="minorEastAsia" w:hAnsiTheme="majorHAnsi"/>
          <w:szCs w:val="22"/>
        </w:rPr>
        <w:t>.</w:t>
      </w:r>
    </w:p>
    <w:p w14:paraId="2DCFF77B" w14:textId="6CA4CD7E" w:rsidR="00C92C75" w:rsidRPr="00DD1288" w:rsidRDefault="008E2DD2" w:rsidP="00DE2888">
      <w:pPr>
        <w:pStyle w:val="Heading4"/>
        <w:keepNext w:val="0"/>
        <w:keepLines w:val="0"/>
        <w:spacing w:before="0"/>
        <w:ind w:left="964" w:hanging="964"/>
        <w:rPr>
          <w:rFonts w:eastAsia="Times New Roman" w:cs="Times New Roman"/>
          <w:b/>
          <w:iCs w:val="0"/>
          <w:color w:val="DE3831"/>
          <w:sz w:val="28"/>
          <w:szCs w:val="24"/>
        </w:rPr>
      </w:pPr>
      <w:r>
        <w:rPr>
          <w:rFonts w:eastAsia="Times New Roman" w:cs="Times New Roman"/>
          <w:b/>
          <w:iCs w:val="0"/>
          <w:color w:val="DE3831"/>
          <w:sz w:val="28"/>
          <w:szCs w:val="24"/>
        </w:rPr>
        <w:lastRenderedPageBreak/>
        <w:t>4</w:t>
      </w:r>
      <w:r w:rsidR="00B71F68">
        <w:rPr>
          <w:rFonts w:eastAsia="Times New Roman" w:cs="Times New Roman"/>
          <w:b/>
          <w:iCs w:val="0"/>
          <w:color w:val="DE3831"/>
          <w:sz w:val="28"/>
          <w:szCs w:val="24"/>
        </w:rPr>
        <w:t>.1.3</w:t>
      </w:r>
      <w:r w:rsidR="00B71F68">
        <w:rPr>
          <w:rFonts w:eastAsia="Times New Roman" w:cs="Times New Roman"/>
          <w:b/>
          <w:iCs w:val="0"/>
          <w:color w:val="DE3831"/>
          <w:sz w:val="28"/>
          <w:szCs w:val="24"/>
        </w:rPr>
        <w:tab/>
      </w:r>
      <w:r w:rsidR="00C92C75" w:rsidRPr="00DD1288">
        <w:rPr>
          <w:rFonts w:eastAsia="Times New Roman" w:cs="Times New Roman"/>
          <w:b/>
          <w:iCs w:val="0"/>
          <w:color w:val="DE3831"/>
          <w:sz w:val="28"/>
          <w:szCs w:val="24"/>
        </w:rPr>
        <w:t>Additions to the CAR reserve system after RFA signing</w:t>
      </w:r>
    </w:p>
    <w:p w14:paraId="24D53D7C" w14:textId="7B7336B5" w:rsidR="00C30651" w:rsidRDefault="007321F9" w:rsidP="00DE2888">
      <w:pPr>
        <w:rPr>
          <w:rFonts w:eastAsiaTheme="minorEastAsia"/>
        </w:rPr>
      </w:pPr>
      <w:r w:rsidRPr="009C7698">
        <w:rPr>
          <w:rFonts w:eastAsiaTheme="minorEastAsia"/>
        </w:rPr>
        <w:t xml:space="preserve">Table </w:t>
      </w:r>
      <w:r w:rsidR="000429F0">
        <w:rPr>
          <w:rFonts w:eastAsiaTheme="minorEastAsia"/>
        </w:rPr>
        <w:t>A</w:t>
      </w:r>
      <w:r w:rsidR="003F4950">
        <w:rPr>
          <w:rFonts w:eastAsiaTheme="minorEastAsia"/>
        </w:rPr>
        <w:t xml:space="preserve">3 and </w:t>
      </w:r>
      <w:r w:rsidR="000429F0">
        <w:rPr>
          <w:rFonts w:eastAsiaTheme="minorEastAsia"/>
        </w:rPr>
        <w:t>Table A</w:t>
      </w:r>
      <w:r w:rsidR="005023EF" w:rsidRPr="009C7698">
        <w:rPr>
          <w:rFonts w:eastAsiaTheme="minorEastAsia"/>
        </w:rPr>
        <w:t xml:space="preserve">4 </w:t>
      </w:r>
      <w:r w:rsidRPr="009C7698">
        <w:rPr>
          <w:rFonts w:eastAsiaTheme="minorEastAsia"/>
        </w:rPr>
        <w:t>present</w:t>
      </w:r>
      <w:r w:rsidR="003F4950">
        <w:rPr>
          <w:rFonts w:eastAsiaTheme="minorEastAsia"/>
        </w:rPr>
        <w:t xml:space="preserve"> the</w:t>
      </w:r>
      <w:r w:rsidRPr="009C7698">
        <w:rPr>
          <w:rFonts w:eastAsiaTheme="minorEastAsia"/>
        </w:rPr>
        <w:t xml:space="preserve"> changes in </w:t>
      </w:r>
      <w:r w:rsidR="003F4950">
        <w:rPr>
          <w:rFonts w:eastAsiaTheme="minorEastAsia"/>
        </w:rPr>
        <w:t xml:space="preserve">area and proportion of </w:t>
      </w:r>
      <w:r w:rsidR="00B742C6">
        <w:rPr>
          <w:rFonts w:eastAsiaTheme="minorEastAsia"/>
        </w:rPr>
        <w:t xml:space="preserve">reserved </w:t>
      </w:r>
      <w:r w:rsidR="00EE71BB">
        <w:rPr>
          <w:rFonts w:eastAsiaTheme="minorEastAsia"/>
        </w:rPr>
        <w:t xml:space="preserve">native </w:t>
      </w:r>
      <w:r w:rsidR="00B742C6">
        <w:rPr>
          <w:rFonts w:eastAsiaTheme="minorEastAsia"/>
        </w:rPr>
        <w:t xml:space="preserve">forest and non-forest </w:t>
      </w:r>
      <w:r w:rsidR="003F4950">
        <w:rPr>
          <w:rFonts w:eastAsiaTheme="minorEastAsia"/>
        </w:rPr>
        <w:t>ecosystem</w:t>
      </w:r>
      <w:r w:rsidR="00B742C6">
        <w:rPr>
          <w:rFonts w:eastAsiaTheme="minorEastAsia"/>
        </w:rPr>
        <w:t>s</w:t>
      </w:r>
      <w:r w:rsidRPr="009C7698">
        <w:rPr>
          <w:rFonts w:eastAsiaTheme="minorEastAsia"/>
        </w:rPr>
        <w:t xml:space="preserve"> </w:t>
      </w:r>
      <w:r w:rsidR="00B742C6">
        <w:rPr>
          <w:rFonts w:eastAsiaTheme="minorEastAsia"/>
        </w:rPr>
        <w:t xml:space="preserve">in RFA regions </w:t>
      </w:r>
      <w:r w:rsidR="00C30651">
        <w:rPr>
          <w:rFonts w:eastAsiaTheme="minorEastAsia"/>
        </w:rPr>
        <w:t xml:space="preserve">that occurred </w:t>
      </w:r>
      <w:r w:rsidR="00361B02">
        <w:rPr>
          <w:rFonts w:eastAsiaTheme="minorEastAsia"/>
        </w:rPr>
        <w:t>after</w:t>
      </w:r>
      <w:r w:rsidR="003F4950">
        <w:rPr>
          <w:rFonts w:eastAsiaTheme="minorEastAsia"/>
        </w:rPr>
        <w:t xml:space="preserve"> the</w:t>
      </w:r>
      <w:r w:rsidR="00B45AA1" w:rsidRPr="009C7698">
        <w:rPr>
          <w:rFonts w:eastAsiaTheme="minorEastAsia"/>
        </w:rPr>
        <w:t xml:space="preserve"> </w:t>
      </w:r>
      <w:r w:rsidRPr="009C7698">
        <w:rPr>
          <w:rFonts w:eastAsiaTheme="minorEastAsia"/>
        </w:rPr>
        <w:t xml:space="preserve">signing of </w:t>
      </w:r>
      <w:r w:rsidR="00C30651">
        <w:rPr>
          <w:rFonts w:eastAsiaTheme="minorEastAsia"/>
        </w:rPr>
        <w:t xml:space="preserve">the </w:t>
      </w:r>
      <w:r w:rsidR="008E67BF">
        <w:rPr>
          <w:rFonts w:eastAsiaTheme="minorEastAsia"/>
        </w:rPr>
        <w:t>RFA</w:t>
      </w:r>
      <w:r w:rsidRPr="009C7698">
        <w:rPr>
          <w:rFonts w:eastAsiaTheme="minorEastAsia"/>
        </w:rPr>
        <w:t>s</w:t>
      </w:r>
      <w:r w:rsidR="00176FCF" w:rsidRPr="009C7698">
        <w:rPr>
          <w:rFonts w:eastAsiaTheme="minorEastAsia"/>
        </w:rPr>
        <w:t>.</w:t>
      </w:r>
    </w:p>
    <w:p w14:paraId="2CAFBAAA" w14:textId="427960C4" w:rsidR="0055165E" w:rsidRDefault="0055165E" w:rsidP="0055165E">
      <w:pPr>
        <w:rPr>
          <w:rFonts w:asciiTheme="majorHAnsi" w:eastAsiaTheme="minorEastAsia" w:hAnsiTheme="majorHAnsi"/>
          <w:szCs w:val="22"/>
        </w:rPr>
      </w:pPr>
      <w:r w:rsidRPr="009C7698">
        <w:rPr>
          <w:rFonts w:asciiTheme="majorHAnsi" w:eastAsiaTheme="minorEastAsia" w:hAnsiTheme="majorHAnsi"/>
          <w:szCs w:val="22"/>
        </w:rPr>
        <w:t>The native forest ecosystem extent in Tasmania decreased by 15</w:t>
      </w:r>
      <w:r>
        <w:rPr>
          <w:rFonts w:asciiTheme="majorHAnsi" w:eastAsiaTheme="minorEastAsia" w:hAnsiTheme="majorHAnsi"/>
          <w:szCs w:val="22"/>
        </w:rPr>
        <w:t>0 thousand</w:t>
      </w:r>
      <w:r w:rsidRPr="009C7698">
        <w:rPr>
          <w:rFonts w:asciiTheme="majorHAnsi" w:eastAsiaTheme="minorEastAsia" w:hAnsiTheme="majorHAnsi"/>
          <w:szCs w:val="22"/>
        </w:rPr>
        <w:t xml:space="preserve"> hectares between the 1997 signing of the </w:t>
      </w:r>
      <w:r>
        <w:rPr>
          <w:rFonts w:asciiTheme="majorHAnsi" w:eastAsiaTheme="minorEastAsia" w:hAnsiTheme="majorHAnsi"/>
          <w:szCs w:val="22"/>
        </w:rPr>
        <w:t>RFA</w:t>
      </w:r>
      <w:r w:rsidRPr="009C7698">
        <w:rPr>
          <w:rFonts w:asciiTheme="majorHAnsi" w:eastAsiaTheme="minorEastAsia" w:hAnsiTheme="majorHAnsi"/>
          <w:szCs w:val="22"/>
        </w:rPr>
        <w:t xml:space="preserve"> </w:t>
      </w:r>
      <w:r>
        <w:rPr>
          <w:rFonts w:asciiTheme="majorHAnsi" w:eastAsiaTheme="minorEastAsia" w:hAnsiTheme="majorHAnsi"/>
          <w:szCs w:val="22"/>
        </w:rPr>
        <w:t xml:space="preserve">and most recent data in </w:t>
      </w:r>
      <w:r w:rsidR="00BF30CD" w:rsidRPr="00BF30CD">
        <w:rPr>
          <w:rFonts w:asciiTheme="majorHAnsi" w:eastAsiaTheme="minorEastAsia" w:hAnsiTheme="majorHAnsi"/>
          <w:szCs w:val="22"/>
        </w:rPr>
        <w:t xml:space="preserve">2017 (Table A3), </w:t>
      </w:r>
      <w:r w:rsidRPr="009C7698">
        <w:rPr>
          <w:rFonts w:asciiTheme="majorHAnsi" w:eastAsiaTheme="minorEastAsia" w:hAnsiTheme="majorHAnsi"/>
          <w:szCs w:val="22"/>
        </w:rPr>
        <w:t xml:space="preserve">mainly as a result of conversion of native forest to plantations </w:t>
      </w:r>
      <w:r>
        <w:rPr>
          <w:rFonts w:asciiTheme="majorHAnsi" w:eastAsiaTheme="minorEastAsia" w:hAnsiTheme="majorHAnsi"/>
          <w:szCs w:val="22"/>
        </w:rPr>
        <w:t>as well as</w:t>
      </w:r>
      <w:r w:rsidRPr="009C7698">
        <w:rPr>
          <w:rFonts w:asciiTheme="majorHAnsi" w:eastAsiaTheme="minorEastAsia" w:hAnsiTheme="majorHAnsi"/>
          <w:szCs w:val="22"/>
        </w:rPr>
        <w:t xml:space="preserve"> some clearing for agriculture. </w:t>
      </w:r>
      <w:r>
        <w:rPr>
          <w:rFonts w:asciiTheme="majorHAnsi" w:eastAsiaTheme="minorEastAsia" w:hAnsiTheme="majorHAnsi"/>
          <w:szCs w:val="22"/>
        </w:rPr>
        <w:t xml:space="preserve">In Victoria the total extent of native forest ecosystems in RFA regions increased by 1.4 million hectares between the signing of the respective RFAs and </w:t>
      </w:r>
      <w:r w:rsidR="00BF30CD" w:rsidRPr="00BF30CD">
        <w:rPr>
          <w:rFonts w:asciiTheme="majorHAnsi" w:eastAsiaTheme="minorEastAsia" w:hAnsiTheme="majorHAnsi"/>
          <w:szCs w:val="22"/>
        </w:rPr>
        <w:t xml:space="preserve">2019 (Table A3), </w:t>
      </w:r>
      <w:r>
        <w:rPr>
          <w:rFonts w:asciiTheme="majorHAnsi" w:eastAsiaTheme="minorEastAsia" w:hAnsiTheme="majorHAnsi"/>
          <w:szCs w:val="22"/>
        </w:rPr>
        <w:t>mainly as a result of improved vegetation mapping (mostly on private land) and reclassification as forest ecosystems</w:t>
      </w:r>
      <w:r w:rsidDel="00831896">
        <w:rPr>
          <w:rFonts w:asciiTheme="majorHAnsi" w:eastAsiaTheme="minorEastAsia" w:hAnsiTheme="majorHAnsi"/>
          <w:szCs w:val="22"/>
        </w:rPr>
        <w:t xml:space="preserve"> </w:t>
      </w:r>
      <w:r>
        <w:rPr>
          <w:rFonts w:asciiTheme="majorHAnsi" w:eastAsiaTheme="minorEastAsia" w:hAnsiTheme="majorHAnsi"/>
          <w:szCs w:val="22"/>
        </w:rPr>
        <w:t xml:space="preserve">of areas previously classified as non-forest. </w:t>
      </w:r>
    </w:p>
    <w:p w14:paraId="38CBF91F" w14:textId="3959074C" w:rsidR="00C30651" w:rsidRDefault="00176FCF" w:rsidP="00DE2888">
      <w:pPr>
        <w:rPr>
          <w:rFonts w:eastAsiaTheme="minorEastAsia"/>
        </w:rPr>
      </w:pPr>
      <w:r w:rsidRPr="009C7698">
        <w:rPr>
          <w:rFonts w:eastAsiaTheme="minorEastAsia"/>
        </w:rPr>
        <w:t xml:space="preserve">Further reservation following the signing of </w:t>
      </w:r>
      <w:r w:rsidR="008E67BF">
        <w:rPr>
          <w:rFonts w:eastAsiaTheme="minorEastAsia"/>
        </w:rPr>
        <w:t>RFA</w:t>
      </w:r>
      <w:r w:rsidRPr="009C7698">
        <w:rPr>
          <w:rFonts w:eastAsiaTheme="minorEastAsia"/>
        </w:rPr>
        <w:t xml:space="preserve">s occurred as a result of variation of </w:t>
      </w:r>
      <w:r w:rsidR="00531C45" w:rsidRPr="009C7698">
        <w:rPr>
          <w:rFonts w:eastAsiaTheme="minorEastAsia"/>
        </w:rPr>
        <w:t xml:space="preserve">a </w:t>
      </w:r>
      <w:r w:rsidR="008E67BF">
        <w:rPr>
          <w:rFonts w:eastAsiaTheme="minorEastAsia"/>
        </w:rPr>
        <w:t>RFA</w:t>
      </w:r>
      <w:r w:rsidR="007B59A8" w:rsidRPr="009C7698">
        <w:rPr>
          <w:rFonts w:eastAsiaTheme="minorEastAsia"/>
        </w:rPr>
        <w:t xml:space="preserve"> (Tasmanian Community Forest A</w:t>
      </w:r>
      <w:r w:rsidRPr="009C7698">
        <w:rPr>
          <w:rFonts w:eastAsiaTheme="minorEastAsia"/>
        </w:rPr>
        <w:t>greement</w:t>
      </w:r>
      <w:r w:rsidR="00531C45" w:rsidRPr="009C7698">
        <w:rPr>
          <w:rFonts w:eastAsiaTheme="minorEastAsia"/>
        </w:rPr>
        <w:t xml:space="preserve"> 2005</w:t>
      </w:r>
      <w:r w:rsidR="007B59A8" w:rsidRPr="009C7698">
        <w:rPr>
          <w:rFonts w:eastAsiaTheme="minorEastAsia"/>
        </w:rPr>
        <w:t>)</w:t>
      </w:r>
      <w:r w:rsidR="00DA23CB" w:rsidRPr="009C7698">
        <w:rPr>
          <w:rFonts w:eastAsiaTheme="minorEastAsia"/>
        </w:rPr>
        <w:t xml:space="preserve"> or</w:t>
      </w:r>
      <w:r w:rsidR="00531C45" w:rsidRPr="009C7698">
        <w:rPr>
          <w:rFonts w:eastAsiaTheme="minorEastAsia"/>
        </w:rPr>
        <w:t xml:space="preserve"> </w:t>
      </w:r>
      <w:r w:rsidR="00EC259A" w:rsidRPr="009C7698">
        <w:rPr>
          <w:rFonts w:eastAsiaTheme="minorEastAsia"/>
        </w:rPr>
        <w:t xml:space="preserve">of </w:t>
      </w:r>
      <w:r w:rsidR="00531C45" w:rsidRPr="009C7698">
        <w:rPr>
          <w:rFonts w:eastAsiaTheme="minorEastAsia"/>
        </w:rPr>
        <w:t xml:space="preserve">state </w:t>
      </w:r>
      <w:r w:rsidR="00531C45" w:rsidRPr="000D33FA">
        <w:rPr>
          <w:rFonts w:eastAsiaTheme="minorEastAsia"/>
        </w:rPr>
        <w:t xml:space="preserve">policies (New South Wales, </w:t>
      </w:r>
      <w:r w:rsidR="00137350" w:rsidRPr="000D33FA">
        <w:rPr>
          <w:rFonts w:eastAsiaTheme="minorEastAsia"/>
        </w:rPr>
        <w:t>Victoria and Western Australia</w:t>
      </w:r>
      <w:r w:rsidR="00B011E2" w:rsidRPr="000D33FA">
        <w:rPr>
          <w:rFonts w:eastAsiaTheme="minorEastAsia"/>
        </w:rPr>
        <w:t>: refer to Australian and New South Wales Governments 20</w:t>
      </w:r>
      <w:r w:rsidR="00361B02" w:rsidRPr="000D33FA">
        <w:rPr>
          <w:rFonts w:eastAsiaTheme="minorEastAsia"/>
        </w:rPr>
        <w:t>17</w:t>
      </w:r>
      <w:r w:rsidR="00B011E2" w:rsidRPr="000D33FA">
        <w:rPr>
          <w:rFonts w:eastAsiaTheme="minorEastAsia"/>
        </w:rPr>
        <w:t>, Australian and Victorian Governments 20</w:t>
      </w:r>
      <w:r w:rsidR="00361B02" w:rsidRPr="000D33FA">
        <w:rPr>
          <w:rFonts w:eastAsiaTheme="minorEastAsia"/>
        </w:rPr>
        <w:t>1</w:t>
      </w:r>
      <w:r w:rsidR="00212AAB">
        <w:rPr>
          <w:rFonts w:eastAsiaTheme="minorEastAsia"/>
        </w:rPr>
        <w:t>9</w:t>
      </w:r>
      <w:r w:rsidR="00B011E2" w:rsidRPr="000D33FA">
        <w:rPr>
          <w:rFonts w:eastAsiaTheme="minorEastAsia"/>
        </w:rPr>
        <w:t xml:space="preserve"> and Australian and Wes</w:t>
      </w:r>
      <w:r w:rsidR="00361B02" w:rsidRPr="000D33FA">
        <w:rPr>
          <w:rFonts w:eastAsiaTheme="minorEastAsia"/>
        </w:rPr>
        <w:t>tern Australian Governments 2016</w:t>
      </w:r>
      <w:r w:rsidR="00137350" w:rsidRPr="000D33FA">
        <w:rPr>
          <w:rFonts w:eastAsiaTheme="minorEastAsia"/>
        </w:rPr>
        <w:t>)</w:t>
      </w:r>
      <w:r w:rsidR="00DA23CB" w:rsidRPr="000D33FA">
        <w:rPr>
          <w:rFonts w:eastAsiaTheme="minorEastAsia"/>
        </w:rPr>
        <w:t>.</w:t>
      </w:r>
    </w:p>
    <w:p w14:paraId="7328D881" w14:textId="77777777" w:rsidR="00305DAC" w:rsidRDefault="00DA23CB" w:rsidP="00DE2888">
      <w:pPr>
        <w:rPr>
          <w:rFonts w:eastAsiaTheme="minorEastAsia"/>
        </w:rPr>
      </w:pPr>
      <w:r w:rsidRPr="000D33FA">
        <w:rPr>
          <w:rFonts w:eastAsiaTheme="minorEastAsia"/>
        </w:rPr>
        <w:t>Further protection by prescription</w:t>
      </w:r>
      <w:r w:rsidR="00C30651" w:rsidRPr="00C30651">
        <w:rPr>
          <w:rFonts w:eastAsiaTheme="minorEastAsia"/>
        </w:rPr>
        <w:t xml:space="preserve"> </w:t>
      </w:r>
      <w:r w:rsidR="00C30651" w:rsidRPr="000D33FA">
        <w:rPr>
          <w:rFonts w:eastAsiaTheme="minorEastAsia"/>
        </w:rPr>
        <w:t>occurred in Victoria and Tasmania</w:t>
      </w:r>
      <w:r w:rsidR="00565918" w:rsidRPr="000D33FA">
        <w:rPr>
          <w:rFonts w:eastAsiaTheme="minorEastAsia"/>
        </w:rPr>
        <w:t>,</w:t>
      </w:r>
      <w:r w:rsidR="00137350" w:rsidRPr="000D33FA">
        <w:rPr>
          <w:rFonts w:eastAsiaTheme="minorEastAsia"/>
        </w:rPr>
        <w:t xml:space="preserve"> </w:t>
      </w:r>
      <w:r w:rsidRPr="000D33FA">
        <w:rPr>
          <w:rFonts w:eastAsiaTheme="minorEastAsia"/>
        </w:rPr>
        <w:t xml:space="preserve">including the </w:t>
      </w:r>
      <w:r w:rsidR="00137350" w:rsidRPr="000D33FA">
        <w:rPr>
          <w:rFonts w:eastAsiaTheme="minorEastAsia"/>
        </w:rPr>
        <w:t>implementation or strengthening of conservation prescriptions applying to threatened species, old-growth forests or other forest values</w:t>
      </w:r>
      <w:r w:rsidR="005B7653">
        <w:rPr>
          <w:rFonts w:eastAsiaTheme="minorEastAsia"/>
        </w:rPr>
        <w:t>,</w:t>
      </w:r>
      <w:r w:rsidR="00FB52B9" w:rsidRPr="000D33FA">
        <w:rPr>
          <w:rFonts w:eastAsiaTheme="minorEastAsia"/>
        </w:rPr>
        <w:t xml:space="preserve"> consistent with continuous improvement provisions in </w:t>
      </w:r>
      <w:r w:rsidR="008E67BF" w:rsidRPr="000D33FA">
        <w:rPr>
          <w:rFonts w:eastAsiaTheme="minorEastAsia"/>
        </w:rPr>
        <w:t>RFA</w:t>
      </w:r>
      <w:r w:rsidR="00305DAC">
        <w:rPr>
          <w:rFonts w:eastAsiaTheme="minorEastAsia"/>
        </w:rPr>
        <w:t>s.</w:t>
      </w:r>
    </w:p>
    <w:p w14:paraId="2CD439EB" w14:textId="23B07EE0" w:rsidR="006E6BFA" w:rsidRPr="006E6BFA" w:rsidRDefault="006E6BFA" w:rsidP="00882137">
      <w:pPr>
        <w:pStyle w:val="ListParagraph"/>
        <w:numPr>
          <w:ilvl w:val="0"/>
          <w:numId w:val="31"/>
        </w:numPr>
        <w:rPr>
          <w:rFonts w:eastAsiaTheme="minorEastAsia"/>
        </w:rPr>
      </w:pPr>
      <w:r w:rsidRPr="006E6BFA">
        <w:rPr>
          <w:rFonts w:eastAsiaTheme="minorEastAsia"/>
        </w:rPr>
        <w:t>In New South Wales</w:t>
      </w:r>
      <w:r w:rsidR="00A1522D">
        <w:rPr>
          <w:rFonts w:eastAsiaTheme="minorEastAsia"/>
        </w:rPr>
        <w:t>,</w:t>
      </w:r>
      <w:r w:rsidRPr="006E6BFA">
        <w:rPr>
          <w:rFonts w:eastAsiaTheme="minorEastAsia"/>
        </w:rPr>
        <w:t xml:space="preserve"> a total of 0.37 million hectares </w:t>
      </w:r>
      <w:r>
        <w:rPr>
          <w:rFonts w:eastAsiaTheme="minorEastAsia"/>
        </w:rPr>
        <w:t xml:space="preserve">of native ecosystems </w:t>
      </w:r>
      <w:r w:rsidR="00A1522D" w:rsidRPr="006E6BFA">
        <w:rPr>
          <w:rFonts w:eastAsiaTheme="minorEastAsia"/>
        </w:rPr>
        <w:t>(</w:t>
      </w:r>
      <w:r w:rsidR="00A1522D">
        <w:rPr>
          <w:rFonts w:eastAsiaTheme="minorEastAsia"/>
        </w:rPr>
        <w:t>10</w:t>
      </w:r>
      <w:r w:rsidR="00A1522D" w:rsidRPr="006E6BFA">
        <w:rPr>
          <w:rFonts w:eastAsiaTheme="minorEastAsia"/>
        </w:rPr>
        <w:t xml:space="preserve">%) </w:t>
      </w:r>
      <w:r w:rsidRPr="006E6BFA">
        <w:rPr>
          <w:rFonts w:eastAsiaTheme="minorEastAsia"/>
        </w:rPr>
        <w:t>was added to the CAR reserve system</w:t>
      </w:r>
      <w:r w:rsidR="00AE1703">
        <w:rPr>
          <w:rFonts w:eastAsiaTheme="minorEastAsia"/>
        </w:rPr>
        <w:t xml:space="preserve"> in the period since</w:t>
      </w:r>
      <w:r w:rsidRPr="006E6BFA">
        <w:rPr>
          <w:rFonts w:eastAsiaTheme="minorEastAsia"/>
        </w:rPr>
        <w:t xml:space="preserve"> the signing of RFAs, mainly </w:t>
      </w:r>
      <w:r w:rsidR="00AE1703">
        <w:rPr>
          <w:rFonts w:eastAsiaTheme="minorEastAsia"/>
        </w:rPr>
        <w:t>as a result from</w:t>
      </w:r>
      <w:r>
        <w:rPr>
          <w:rFonts w:eastAsiaTheme="minorEastAsia"/>
        </w:rPr>
        <w:t xml:space="preserve"> </w:t>
      </w:r>
      <w:r w:rsidRPr="006E6BFA">
        <w:rPr>
          <w:rFonts w:eastAsiaTheme="minorEastAsia"/>
        </w:rPr>
        <w:t>transfer</w:t>
      </w:r>
      <w:r w:rsidR="00A1522D">
        <w:rPr>
          <w:rFonts w:eastAsiaTheme="minorEastAsia"/>
        </w:rPr>
        <w:t xml:space="preserve"> of</w:t>
      </w:r>
      <w:r w:rsidRPr="006E6BFA">
        <w:rPr>
          <w:rFonts w:eastAsiaTheme="minorEastAsia"/>
        </w:rPr>
        <w:t xml:space="preserve"> state forest and Crown land</w:t>
      </w:r>
      <w:r w:rsidR="00AE1703">
        <w:rPr>
          <w:rFonts w:eastAsiaTheme="minorEastAsia"/>
        </w:rPr>
        <w:t xml:space="preserve"> </w:t>
      </w:r>
      <w:r w:rsidRPr="006E6BFA">
        <w:rPr>
          <w:rFonts w:eastAsiaTheme="minorEastAsia"/>
        </w:rPr>
        <w:t>to national parks and conservation reserves</w:t>
      </w:r>
      <w:r w:rsidR="00AE1703">
        <w:rPr>
          <w:rFonts w:eastAsiaTheme="minorEastAsia"/>
        </w:rPr>
        <w:t xml:space="preserve">, for example </w:t>
      </w:r>
      <w:r w:rsidR="00A1522D">
        <w:rPr>
          <w:rFonts w:eastAsiaTheme="minorEastAsia"/>
        </w:rPr>
        <w:t xml:space="preserve">through </w:t>
      </w:r>
      <w:r w:rsidR="00AE1703">
        <w:rPr>
          <w:rFonts w:eastAsiaTheme="minorEastAsia"/>
        </w:rPr>
        <w:t>the</w:t>
      </w:r>
      <w:r w:rsidRPr="006E6BFA">
        <w:rPr>
          <w:rFonts w:eastAsiaTheme="minorEastAsia"/>
        </w:rPr>
        <w:t xml:space="preserve"> </w:t>
      </w:r>
      <w:r w:rsidRPr="006E6BFA">
        <w:rPr>
          <w:rFonts w:eastAsiaTheme="minorEastAsia"/>
          <w:i/>
        </w:rPr>
        <w:t>National Park Estate (Reservations) Bill 2005</w:t>
      </w:r>
      <w:r>
        <w:rPr>
          <w:rFonts w:eastAsiaTheme="minorEastAsia"/>
        </w:rPr>
        <w:t>.</w:t>
      </w:r>
    </w:p>
    <w:p w14:paraId="7523A8CF" w14:textId="77777777" w:rsidR="00295FA6" w:rsidRPr="00305DAC" w:rsidRDefault="00295FA6" w:rsidP="00295FA6">
      <w:pPr>
        <w:pStyle w:val="ListParagraph"/>
        <w:numPr>
          <w:ilvl w:val="0"/>
          <w:numId w:val="31"/>
        </w:numPr>
        <w:rPr>
          <w:rFonts w:eastAsiaTheme="minorEastAsia"/>
        </w:rPr>
      </w:pPr>
      <w:r w:rsidRPr="00305DAC">
        <w:rPr>
          <w:rFonts w:eastAsiaTheme="minorEastAsia"/>
        </w:rPr>
        <w:t>The CAR reserve system in Tasmania increased by 0.51 million hectares (41%) after the signing of the RFA in 1997, as a result of the Australian and Tasmanian Government variation of the RFA in 2005 (Tasmanian Community Forest Agreement), and due to inclusion of 96 thousand hectares of private forest reserves that resulted from an initiative of the Tasmanian RFA.</w:t>
      </w:r>
    </w:p>
    <w:p w14:paraId="6A326D66" w14:textId="77777777" w:rsidR="00295FA6" w:rsidRDefault="00295FA6" w:rsidP="00295FA6">
      <w:pPr>
        <w:pStyle w:val="ListParagraph"/>
        <w:numPr>
          <w:ilvl w:val="0"/>
          <w:numId w:val="31"/>
        </w:numPr>
        <w:rPr>
          <w:rFonts w:eastAsiaTheme="minorEastAsia"/>
        </w:rPr>
      </w:pPr>
      <w:r w:rsidRPr="00305DAC">
        <w:rPr>
          <w:rFonts w:eastAsiaTheme="minorEastAsia"/>
        </w:rPr>
        <w:t>The increase of 0.53 million hectares (19%) in native forest ecosystems in Victoria’s CAR reserve system occurred as a result of further formal and informal reservation, implementation of further management prescriptions, and increase in total mapped extent of forest ecosystems across all regions.</w:t>
      </w:r>
    </w:p>
    <w:p w14:paraId="698DF858" w14:textId="77777777" w:rsidR="00305DAC" w:rsidRDefault="00C30651" w:rsidP="00305DAC">
      <w:pPr>
        <w:pStyle w:val="ListParagraph"/>
        <w:numPr>
          <w:ilvl w:val="0"/>
          <w:numId w:val="31"/>
        </w:numPr>
        <w:rPr>
          <w:rFonts w:eastAsiaTheme="minorEastAsia"/>
        </w:rPr>
      </w:pPr>
      <w:r w:rsidRPr="00305DAC">
        <w:rPr>
          <w:rFonts w:eastAsiaTheme="minorEastAsia"/>
        </w:rPr>
        <w:t xml:space="preserve">The CAR system in </w:t>
      </w:r>
      <w:r w:rsidR="009C31FC" w:rsidRPr="00305DAC">
        <w:rPr>
          <w:rFonts w:eastAsiaTheme="minorEastAsia"/>
        </w:rPr>
        <w:t>Western Australia</w:t>
      </w:r>
      <w:r w:rsidR="000D33FA" w:rsidRPr="00305DAC">
        <w:rPr>
          <w:rFonts w:eastAsiaTheme="minorEastAsia"/>
        </w:rPr>
        <w:t xml:space="preserve"> increased by </w:t>
      </w:r>
      <w:r w:rsidR="00924B52" w:rsidRPr="00305DAC">
        <w:rPr>
          <w:rFonts w:eastAsiaTheme="minorEastAsia"/>
        </w:rPr>
        <w:t>0.</w:t>
      </w:r>
      <w:r w:rsidR="000D33FA" w:rsidRPr="00305DAC">
        <w:rPr>
          <w:rFonts w:eastAsiaTheme="minorEastAsia"/>
        </w:rPr>
        <w:t>2</w:t>
      </w:r>
      <w:r w:rsidR="00924B52" w:rsidRPr="00305DAC">
        <w:rPr>
          <w:rFonts w:eastAsiaTheme="minorEastAsia"/>
        </w:rPr>
        <w:t>2 million</w:t>
      </w:r>
      <w:r w:rsidR="009C31FC" w:rsidRPr="00305DAC">
        <w:rPr>
          <w:rFonts w:eastAsiaTheme="minorEastAsia"/>
        </w:rPr>
        <w:t xml:space="preserve"> hectares (27%)</w:t>
      </w:r>
      <w:r w:rsidR="005B7653" w:rsidRPr="00305DAC">
        <w:rPr>
          <w:rFonts w:eastAsiaTheme="minorEastAsia"/>
        </w:rPr>
        <w:t xml:space="preserve"> after the signing of the RFA</w:t>
      </w:r>
      <w:r w:rsidR="00241F84" w:rsidRPr="00305DAC">
        <w:rPr>
          <w:rFonts w:eastAsiaTheme="minorEastAsia"/>
        </w:rPr>
        <w:t>,</w:t>
      </w:r>
      <w:r w:rsidR="009C31FC" w:rsidRPr="00305DAC">
        <w:rPr>
          <w:rFonts w:eastAsiaTheme="minorEastAsia"/>
        </w:rPr>
        <w:t xml:space="preserve"> primarily in the form of formal and informal reserves</w:t>
      </w:r>
      <w:r w:rsidR="00641A40" w:rsidRPr="00305DAC">
        <w:rPr>
          <w:rFonts w:eastAsiaTheme="minorEastAsia"/>
        </w:rPr>
        <w:t>,</w:t>
      </w:r>
      <w:r w:rsidR="009C31FC" w:rsidRPr="00305DAC">
        <w:rPr>
          <w:rFonts w:eastAsiaTheme="minorEastAsia"/>
        </w:rPr>
        <w:t xml:space="preserve"> as a result of implementation of the state’s old-growth policy (Australian and We</w:t>
      </w:r>
      <w:r w:rsidR="000D33FA" w:rsidRPr="00305DAC">
        <w:rPr>
          <w:rFonts w:eastAsiaTheme="minorEastAsia"/>
        </w:rPr>
        <w:t>stern Australian Governments 2016</w:t>
      </w:r>
      <w:r w:rsidR="009C31FC" w:rsidRPr="00305DAC">
        <w:rPr>
          <w:rFonts w:eastAsiaTheme="minorEastAsia"/>
        </w:rPr>
        <w:t>).</w:t>
      </w:r>
    </w:p>
    <w:p w14:paraId="3FA0C5CB" w14:textId="60AE5316" w:rsidR="00735081" w:rsidRDefault="00BF30CD" w:rsidP="00DE2888">
      <w:pPr>
        <w:rPr>
          <w:rFonts w:eastAsiaTheme="minorEastAsia"/>
        </w:rPr>
      </w:pPr>
      <w:r w:rsidRPr="00BF30CD">
        <w:rPr>
          <w:rFonts w:eastAsiaTheme="minorEastAsia"/>
        </w:rPr>
        <w:t xml:space="preserve">Table A5 summarises </w:t>
      </w:r>
      <w:r w:rsidR="002C42E0" w:rsidRPr="009C7698">
        <w:rPr>
          <w:rFonts w:eastAsiaTheme="minorEastAsia"/>
        </w:rPr>
        <w:t>the</w:t>
      </w:r>
      <w:r w:rsidR="004A4C62" w:rsidRPr="009C7698">
        <w:rPr>
          <w:rFonts w:eastAsiaTheme="minorEastAsia"/>
        </w:rPr>
        <w:t xml:space="preserve"> formal and informal</w:t>
      </w:r>
      <w:r w:rsidR="002C42E0" w:rsidRPr="009C7698">
        <w:rPr>
          <w:rFonts w:eastAsiaTheme="minorEastAsia"/>
        </w:rPr>
        <w:t xml:space="preserve"> </w:t>
      </w:r>
      <w:r w:rsidR="00110C94" w:rsidRPr="009C7698">
        <w:rPr>
          <w:rFonts w:eastAsiaTheme="minorEastAsia"/>
        </w:rPr>
        <w:t xml:space="preserve">reservation </w:t>
      </w:r>
      <w:r w:rsidR="002C42E0" w:rsidRPr="009C7698">
        <w:rPr>
          <w:rFonts w:eastAsiaTheme="minorEastAsia"/>
        </w:rPr>
        <w:t xml:space="preserve">outcomes </w:t>
      </w:r>
      <w:r w:rsidR="005B7653">
        <w:rPr>
          <w:rFonts w:eastAsiaTheme="minorEastAsia"/>
        </w:rPr>
        <w:t>from the</w:t>
      </w:r>
      <w:r w:rsidR="005B7653" w:rsidRPr="009C7698">
        <w:rPr>
          <w:rFonts w:eastAsiaTheme="minorEastAsia"/>
        </w:rPr>
        <w:t xml:space="preserve"> </w:t>
      </w:r>
      <w:r w:rsidR="008E67BF">
        <w:rPr>
          <w:rFonts w:eastAsiaTheme="minorEastAsia"/>
        </w:rPr>
        <w:t>RFA</w:t>
      </w:r>
      <w:r w:rsidR="002C42E0" w:rsidRPr="009C7698">
        <w:rPr>
          <w:rFonts w:eastAsiaTheme="minorEastAsia"/>
        </w:rPr>
        <w:t xml:space="preserve">s </w:t>
      </w:r>
      <w:r w:rsidR="005B7653">
        <w:rPr>
          <w:rFonts w:eastAsiaTheme="minorEastAsia"/>
        </w:rPr>
        <w:t xml:space="preserve">for </w:t>
      </w:r>
      <w:r w:rsidR="00C30651">
        <w:rPr>
          <w:rFonts w:eastAsiaTheme="minorEastAsia"/>
        </w:rPr>
        <w:t xml:space="preserve">native </w:t>
      </w:r>
      <w:r w:rsidR="002C42E0" w:rsidRPr="009C7698">
        <w:rPr>
          <w:rFonts w:eastAsiaTheme="minorEastAsia"/>
        </w:rPr>
        <w:t>forest and non-forest ecosystems</w:t>
      </w:r>
      <w:r w:rsidR="00C30651">
        <w:rPr>
          <w:rFonts w:eastAsiaTheme="minorEastAsia"/>
        </w:rPr>
        <w:t>, from before signing the RFAs to</w:t>
      </w:r>
      <w:r w:rsidR="00295FA6">
        <w:rPr>
          <w:rFonts w:eastAsiaTheme="minorEastAsia"/>
        </w:rPr>
        <w:t xml:space="preserve"> the</w:t>
      </w:r>
      <w:r w:rsidR="00C30651">
        <w:rPr>
          <w:rFonts w:eastAsiaTheme="minorEastAsia"/>
        </w:rPr>
        <w:t xml:space="preserve"> most recent data</w:t>
      </w:r>
      <w:r w:rsidR="002C42E0" w:rsidRPr="009C7698">
        <w:rPr>
          <w:rFonts w:eastAsiaTheme="minorEastAsia"/>
        </w:rPr>
        <w:t xml:space="preserve">.  </w:t>
      </w:r>
      <w:r w:rsidR="00201188" w:rsidRPr="009C7698">
        <w:rPr>
          <w:rFonts w:eastAsiaTheme="minorEastAsia"/>
        </w:rPr>
        <w:t>Across all ecosystems</w:t>
      </w:r>
      <w:r w:rsidR="00BB381D" w:rsidRPr="009C7698">
        <w:rPr>
          <w:rFonts w:eastAsiaTheme="minorEastAsia"/>
        </w:rPr>
        <w:t xml:space="preserve"> and all RFA regions</w:t>
      </w:r>
      <w:r w:rsidR="00201188" w:rsidRPr="009C7698">
        <w:rPr>
          <w:rFonts w:eastAsiaTheme="minorEastAsia"/>
        </w:rPr>
        <w:t>, a total of</w:t>
      </w:r>
      <w:r w:rsidR="00212AAB">
        <w:rPr>
          <w:rFonts w:eastAsiaTheme="minorEastAsia"/>
        </w:rPr>
        <w:t xml:space="preserve"> 4</w:t>
      </w:r>
      <w:r w:rsidR="002C42E0" w:rsidRPr="009C7698">
        <w:rPr>
          <w:rFonts w:eastAsiaTheme="minorEastAsia"/>
        </w:rPr>
        <w:t>.</w:t>
      </w:r>
      <w:r w:rsidR="00212AAB">
        <w:rPr>
          <w:rFonts w:eastAsiaTheme="minorEastAsia"/>
        </w:rPr>
        <w:t>0</w:t>
      </w:r>
      <w:r w:rsidR="002C42E0" w:rsidRPr="009C7698">
        <w:rPr>
          <w:rFonts w:eastAsiaTheme="minorEastAsia"/>
        </w:rPr>
        <w:t xml:space="preserve"> million hectares </w:t>
      </w:r>
      <w:r w:rsidR="00C92C75">
        <w:rPr>
          <w:rFonts w:eastAsiaTheme="minorEastAsia"/>
        </w:rPr>
        <w:t>have been</w:t>
      </w:r>
      <w:r w:rsidR="00C92C75" w:rsidRPr="009C7698">
        <w:rPr>
          <w:rFonts w:eastAsiaTheme="minorEastAsia"/>
        </w:rPr>
        <w:t xml:space="preserve"> </w:t>
      </w:r>
      <w:r w:rsidR="00B837E0" w:rsidRPr="009C7698">
        <w:rPr>
          <w:rFonts w:eastAsiaTheme="minorEastAsia"/>
        </w:rPr>
        <w:t xml:space="preserve">added </w:t>
      </w:r>
      <w:r w:rsidR="00BB381D" w:rsidRPr="009C7698">
        <w:rPr>
          <w:rFonts w:eastAsiaTheme="minorEastAsia"/>
        </w:rPr>
        <w:t>to the</w:t>
      </w:r>
      <w:r w:rsidR="002C42E0" w:rsidRPr="009C7698">
        <w:rPr>
          <w:rFonts w:eastAsiaTheme="minorEastAsia"/>
        </w:rPr>
        <w:t xml:space="preserve"> formal and informal component</w:t>
      </w:r>
      <w:r w:rsidR="00B837E0" w:rsidRPr="009C7698">
        <w:rPr>
          <w:rFonts w:eastAsiaTheme="minorEastAsia"/>
        </w:rPr>
        <w:t>s</w:t>
      </w:r>
      <w:r w:rsidR="002C42E0" w:rsidRPr="009C7698">
        <w:rPr>
          <w:rFonts w:eastAsiaTheme="minorEastAsia"/>
        </w:rPr>
        <w:t xml:space="preserve"> of the reserve system</w:t>
      </w:r>
      <w:r w:rsidR="00D304D4" w:rsidRPr="009C7698">
        <w:rPr>
          <w:rFonts w:eastAsiaTheme="minorEastAsia"/>
        </w:rPr>
        <w:t xml:space="preserve"> at signing of the </w:t>
      </w:r>
      <w:r w:rsidR="00C87770">
        <w:rPr>
          <w:rFonts w:eastAsiaTheme="minorEastAsia"/>
        </w:rPr>
        <w:t>RFAs</w:t>
      </w:r>
      <w:r w:rsidR="00D304D4" w:rsidRPr="009C7698">
        <w:rPr>
          <w:rFonts w:eastAsiaTheme="minorEastAsia"/>
        </w:rPr>
        <w:t xml:space="preserve"> and subsequently</w:t>
      </w:r>
      <w:r w:rsidR="00201188" w:rsidRPr="009C7698">
        <w:rPr>
          <w:rFonts w:eastAsiaTheme="minorEastAsia"/>
        </w:rPr>
        <w:t>,</w:t>
      </w:r>
      <w:r w:rsidR="003B6D37">
        <w:rPr>
          <w:rFonts w:eastAsiaTheme="minorEastAsia"/>
        </w:rPr>
        <w:t xml:space="preserve"> </w:t>
      </w:r>
      <w:r w:rsidR="005B7653">
        <w:rPr>
          <w:rFonts w:eastAsiaTheme="minorEastAsia"/>
        </w:rPr>
        <w:t xml:space="preserve">which is </w:t>
      </w:r>
      <w:r w:rsidR="003B6D37">
        <w:rPr>
          <w:rFonts w:eastAsiaTheme="minorEastAsia"/>
        </w:rPr>
        <w:t>a 5</w:t>
      </w:r>
      <w:r w:rsidR="00212AAB">
        <w:rPr>
          <w:rFonts w:eastAsiaTheme="minorEastAsia"/>
        </w:rPr>
        <w:t>4</w:t>
      </w:r>
      <w:r w:rsidR="002C42E0" w:rsidRPr="009C7698">
        <w:rPr>
          <w:rFonts w:eastAsiaTheme="minorEastAsia"/>
        </w:rPr>
        <w:t xml:space="preserve">% increase </w:t>
      </w:r>
      <w:r w:rsidR="003B6D37">
        <w:rPr>
          <w:rFonts w:eastAsiaTheme="minorEastAsia"/>
        </w:rPr>
        <w:t>on</w:t>
      </w:r>
      <w:r w:rsidR="00201188" w:rsidRPr="009C7698">
        <w:rPr>
          <w:rFonts w:eastAsiaTheme="minorEastAsia"/>
        </w:rPr>
        <w:t xml:space="preserve"> </w:t>
      </w:r>
      <w:r w:rsidR="002C42E0" w:rsidRPr="009C7698">
        <w:rPr>
          <w:rFonts w:eastAsiaTheme="minorEastAsia"/>
        </w:rPr>
        <w:t xml:space="preserve">the area </w:t>
      </w:r>
      <w:r w:rsidR="00C30651">
        <w:rPr>
          <w:rFonts w:eastAsiaTheme="minorEastAsia"/>
        </w:rPr>
        <w:t xml:space="preserve">of ecosystems in RFA regions </w:t>
      </w:r>
      <w:r w:rsidR="002C42E0" w:rsidRPr="009C7698">
        <w:rPr>
          <w:rFonts w:eastAsiaTheme="minorEastAsia"/>
        </w:rPr>
        <w:t xml:space="preserve">reserved </w:t>
      </w:r>
      <w:r w:rsidR="003B6D37">
        <w:rPr>
          <w:rFonts w:eastAsiaTheme="minorEastAsia"/>
        </w:rPr>
        <w:t>prior to signing of the RFAs</w:t>
      </w:r>
      <w:r w:rsidR="002C42E0" w:rsidRPr="009C7698">
        <w:rPr>
          <w:rFonts w:eastAsiaTheme="minorEastAsia"/>
        </w:rPr>
        <w:t xml:space="preserve">. </w:t>
      </w:r>
      <w:r w:rsidR="00BB381D" w:rsidRPr="009C7698">
        <w:rPr>
          <w:rFonts w:eastAsiaTheme="minorEastAsia"/>
        </w:rPr>
        <w:t>This increase includes 3.</w:t>
      </w:r>
      <w:r w:rsidR="005B441E">
        <w:rPr>
          <w:rFonts w:eastAsiaTheme="minorEastAsia"/>
        </w:rPr>
        <w:t>7</w:t>
      </w:r>
      <w:r w:rsidR="00BB381D" w:rsidRPr="009C7698">
        <w:rPr>
          <w:rFonts w:eastAsiaTheme="minorEastAsia"/>
        </w:rPr>
        <w:t xml:space="preserve"> million hectares of </w:t>
      </w:r>
      <w:r w:rsidR="00576C9F" w:rsidRPr="009C7698">
        <w:rPr>
          <w:rFonts w:eastAsiaTheme="minorEastAsia"/>
        </w:rPr>
        <w:t xml:space="preserve">additional </w:t>
      </w:r>
      <w:r w:rsidR="00BB381D" w:rsidRPr="009C7698">
        <w:rPr>
          <w:rFonts w:eastAsiaTheme="minorEastAsia"/>
        </w:rPr>
        <w:t xml:space="preserve">reserved </w:t>
      </w:r>
      <w:r w:rsidR="00C30651">
        <w:rPr>
          <w:rFonts w:eastAsiaTheme="minorEastAsia"/>
        </w:rPr>
        <w:t xml:space="preserve">native </w:t>
      </w:r>
      <w:r w:rsidR="00BB381D" w:rsidRPr="009C7698">
        <w:rPr>
          <w:rFonts w:eastAsiaTheme="minorEastAsia"/>
        </w:rPr>
        <w:t xml:space="preserve">forest, </w:t>
      </w:r>
      <w:r w:rsidR="003B6D37">
        <w:rPr>
          <w:rFonts w:eastAsiaTheme="minorEastAsia"/>
        </w:rPr>
        <w:t>a 68</w:t>
      </w:r>
      <w:r w:rsidR="002C42E0" w:rsidRPr="009C7698">
        <w:rPr>
          <w:rFonts w:eastAsiaTheme="minorEastAsia"/>
        </w:rPr>
        <w:t>% increase</w:t>
      </w:r>
      <w:r w:rsidR="005B7653">
        <w:rPr>
          <w:rFonts w:eastAsiaTheme="minorEastAsia"/>
        </w:rPr>
        <w:t>;</w:t>
      </w:r>
      <w:r w:rsidR="003B6D37">
        <w:rPr>
          <w:rFonts w:eastAsiaTheme="minorEastAsia"/>
        </w:rPr>
        <w:t xml:space="preserve"> </w:t>
      </w:r>
      <w:r w:rsidR="005B7653">
        <w:rPr>
          <w:rFonts w:eastAsiaTheme="minorEastAsia"/>
        </w:rPr>
        <w:t xml:space="preserve">the magnitude of this increases </w:t>
      </w:r>
      <w:r w:rsidR="003B6D37">
        <w:rPr>
          <w:rFonts w:eastAsiaTheme="minorEastAsia"/>
        </w:rPr>
        <w:t>var</w:t>
      </w:r>
      <w:r w:rsidR="005B7653">
        <w:rPr>
          <w:rFonts w:eastAsiaTheme="minorEastAsia"/>
        </w:rPr>
        <w:t>ie</w:t>
      </w:r>
      <w:r w:rsidR="005D6579">
        <w:rPr>
          <w:rFonts w:eastAsiaTheme="minorEastAsia"/>
        </w:rPr>
        <w:t>s</w:t>
      </w:r>
      <w:r w:rsidR="003B6D37">
        <w:rPr>
          <w:rFonts w:eastAsiaTheme="minorEastAsia"/>
        </w:rPr>
        <w:t xml:space="preserve"> between 46</w:t>
      </w:r>
      <w:r w:rsidR="00201188" w:rsidRPr="009C7698">
        <w:rPr>
          <w:rFonts w:eastAsiaTheme="minorEastAsia"/>
        </w:rPr>
        <w:t xml:space="preserve">% and </w:t>
      </w:r>
      <w:r w:rsidR="003B6D37">
        <w:rPr>
          <w:rFonts w:eastAsiaTheme="minorEastAsia"/>
        </w:rPr>
        <w:t>91</w:t>
      </w:r>
      <w:r w:rsidR="00201188" w:rsidRPr="009C7698">
        <w:rPr>
          <w:rFonts w:eastAsiaTheme="minorEastAsia"/>
        </w:rPr>
        <w:t xml:space="preserve">% </w:t>
      </w:r>
      <w:r w:rsidR="005B7653">
        <w:rPr>
          <w:rFonts w:eastAsiaTheme="minorEastAsia"/>
        </w:rPr>
        <w:t>across</w:t>
      </w:r>
      <w:r w:rsidR="00201188" w:rsidRPr="009C7698">
        <w:rPr>
          <w:rFonts w:eastAsiaTheme="minorEastAsia"/>
        </w:rPr>
        <w:t xml:space="preserve"> the different</w:t>
      </w:r>
      <w:r w:rsidR="002C42E0" w:rsidRPr="009C7698">
        <w:rPr>
          <w:rFonts w:eastAsiaTheme="minorEastAsia"/>
        </w:rPr>
        <w:t xml:space="preserve"> </w:t>
      </w:r>
      <w:r w:rsidR="00BB381D" w:rsidRPr="009C7698">
        <w:rPr>
          <w:rFonts w:eastAsiaTheme="minorEastAsia"/>
        </w:rPr>
        <w:t xml:space="preserve">RFA </w:t>
      </w:r>
      <w:r w:rsidR="002C42E0" w:rsidRPr="009C7698">
        <w:rPr>
          <w:rFonts w:eastAsiaTheme="minorEastAsia"/>
        </w:rPr>
        <w:t>states</w:t>
      </w:r>
      <w:r w:rsidR="003B6D37">
        <w:rPr>
          <w:rFonts w:eastAsiaTheme="minorEastAsia"/>
        </w:rPr>
        <w:t>.</w:t>
      </w:r>
    </w:p>
    <w:p w14:paraId="4AD97883" w14:textId="1CE81AC6" w:rsidR="00B115C7" w:rsidRPr="00DE2888" w:rsidRDefault="008E2DD2" w:rsidP="00DE2888">
      <w:pPr>
        <w:pStyle w:val="Heading3"/>
        <w:keepLines/>
        <w:spacing w:before="0" w:after="0"/>
        <w:ind w:left="964" w:hanging="964"/>
        <w:rPr>
          <w:bCs/>
          <w:color w:val="FF7900"/>
          <w:sz w:val="36"/>
        </w:rPr>
      </w:pPr>
      <w:bookmarkStart w:id="20" w:name="_Toc58312588"/>
      <w:r>
        <w:rPr>
          <w:bCs/>
          <w:color w:val="FF7900"/>
          <w:sz w:val="36"/>
        </w:rPr>
        <w:t>4</w:t>
      </w:r>
      <w:r w:rsidR="00DE2888">
        <w:rPr>
          <w:bCs/>
          <w:color w:val="FF7900"/>
          <w:sz w:val="36"/>
        </w:rPr>
        <w:t>.2</w:t>
      </w:r>
      <w:r w:rsidR="00DE2888">
        <w:rPr>
          <w:bCs/>
          <w:color w:val="FF7900"/>
          <w:sz w:val="36"/>
        </w:rPr>
        <w:tab/>
      </w:r>
      <w:r w:rsidR="000C17B1" w:rsidRPr="00DE2888">
        <w:rPr>
          <w:bCs/>
          <w:color w:val="FF7900"/>
          <w:sz w:val="36"/>
        </w:rPr>
        <w:t>Old-growth forest</w:t>
      </w:r>
      <w:bookmarkEnd w:id="20"/>
    </w:p>
    <w:p w14:paraId="1199DD93" w14:textId="094038F1" w:rsidR="00CA184C" w:rsidRDefault="00500348" w:rsidP="00CA184C">
      <w:pPr>
        <w:rPr>
          <w:rFonts w:eastAsiaTheme="minorEastAsia"/>
        </w:rPr>
      </w:pPr>
      <w:r w:rsidRPr="009C7698">
        <w:rPr>
          <w:rFonts w:eastAsiaTheme="minorEastAsia"/>
        </w:rPr>
        <w:t xml:space="preserve">A total of 527 old-growth forest types were identified nationally across the </w:t>
      </w:r>
      <w:r>
        <w:rPr>
          <w:rFonts w:eastAsiaTheme="minorEastAsia"/>
        </w:rPr>
        <w:t>RFA</w:t>
      </w:r>
      <w:r w:rsidRPr="009C7698">
        <w:rPr>
          <w:rFonts w:eastAsiaTheme="minorEastAsia"/>
        </w:rPr>
        <w:t xml:space="preserve"> regions</w:t>
      </w:r>
      <w:r>
        <w:rPr>
          <w:rFonts w:eastAsiaTheme="minorEastAsia"/>
        </w:rPr>
        <w:t xml:space="preserve"> at RFA signing</w:t>
      </w:r>
      <w:r w:rsidRPr="009C7698">
        <w:rPr>
          <w:rFonts w:eastAsiaTheme="minorEastAsia"/>
        </w:rPr>
        <w:t xml:space="preserve">. </w:t>
      </w:r>
      <w:r>
        <w:rPr>
          <w:rFonts w:eastAsiaTheme="minorEastAsia"/>
        </w:rPr>
        <w:t xml:space="preserve">A total of 364 </w:t>
      </w:r>
      <w:r w:rsidRPr="009C7698">
        <w:rPr>
          <w:rFonts w:eastAsiaTheme="minorEastAsia"/>
        </w:rPr>
        <w:t xml:space="preserve">old-growth forest types were </w:t>
      </w:r>
      <w:r>
        <w:rPr>
          <w:rFonts w:eastAsiaTheme="minorEastAsia"/>
        </w:rPr>
        <w:t>reported</w:t>
      </w:r>
      <w:r w:rsidRPr="009C7698">
        <w:rPr>
          <w:rFonts w:eastAsiaTheme="minorEastAsia"/>
        </w:rPr>
        <w:t xml:space="preserve"> in the</w:t>
      </w:r>
      <w:r>
        <w:rPr>
          <w:rFonts w:eastAsiaTheme="minorEastAsia"/>
        </w:rPr>
        <w:t xml:space="preserve"> New South Wales RFA regions, </w:t>
      </w:r>
      <w:r w:rsidRPr="009C7698">
        <w:rPr>
          <w:rFonts w:eastAsiaTheme="minorEastAsia"/>
        </w:rPr>
        <w:t xml:space="preserve">43 types in the Tasmanian </w:t>
      </w:r>
      <w:r>
        <w:rPr>
          <w:rFonts w:eastAsiaTheme="minorEastAsia"/>
        </w:rPr>
        <w:t>RFA</w:t>
      </w:r>
      <w:r w:rsidRPr="009C7698">
        <w:rPr>
          <w:rFonts w:eastAsiaTheme="minorEastAsia"/>
        </w:rPr>
        <w:t xml:space="preserve"> region, 101 in the Victorian </w:t>
      </w:r>
      <w:r>
        <w:rPr>
          <w:rFonts w:eastAsiaTheme="minorEastAsia"/>
        </w:rPr>
        <w:t>RFA</w:t>
      </w:r>
      <w:r w:rsidRPr="009C7698">
        <w:rPr>
          <w:rFonts w:eastAsiaTheme="minorEastAsia"/>
        </w:rPr>
        <w:t xml:space="preserve"> regions, </w:t>
      </w:r>
      <w:r>
        <w:rPr>
          <w:rFonts w:eastAsiaTheme="minorEastAsia"/>
        </w:rPr>
        <w:t>and 19</w:t>
      </w:r>
      <w:r w:rsidRPr="009C7698">
        <w:rPr>
          <w:rFonts w:eastAsiaTheme="minorEastAsia"/>
        </w:rPr>
        <w:t xml:space="preserve"> in the </w:t>
      </w:r>
      <w:r>
        <w:rPr>
          <w:rFonts w:eastAsiaTheme="minorEastAsia"/>
        </w:rPr>
        <w:lastRenderedPageBreak/>
        <w:t xml:space="preserve">South-West Forest Region of </w:t>
      </w:r>
      <w:r w:rsidR="00851047">
        <w:rPr>
          <w:rFonts w:eastAsiaTheme="minorEastAsia"/>
        </w:rPr>
        <w:t xml:space="preserve">Western Australia </w:t>
      </w:r>
      <w:r>
        <w:rPr>
          <w:rFonts w:eastAsiaTheme="minorEastAsia"/>
        </w:rPr>
        <w:t>RFA</w:t>
      </w:r>
      <w:r w:rsidRPr="009C7698">
        <w:rPr>
          <w:rFonts w:eastAsiaTheme="minorEastAsia"/>
        </w:rPr>
        <w:t xml:space="preserve"> </w:t>
      </w:r>
      <w:r w:rsidR="00BF30CD" w:rsidRPr="00BF30CD">
        <w:rPr>
          <w:rFonts w:eastAsiaTheme="minorEastAsia"/>
        </w:rPr>
        <w:t xml:space="preserve">region (Table A6). Figure 3 summarises </w:t>
      </w:r>
      <w:r w:rsidR="00CA184C">
        <w:rPr>
          <w:rFonts w:eastAsiaTheme="minorEastAsia"/>
        </w:rPr>
        <w:t>the total area of old-growth forest ecosystems in RFA regions by state, and the area in reserves and the CAR reserve system at different periods before and after signing of the RFAs.</w:t>
      </w:r>
    </w:p>
    <w:p w14:paraId="35782391" w14:textId="44096F41" w:rsidR="00831C40" w:rsidRDefault="00CA184C" w:rsidP="00BF30CD">
      <w:pPr>
        <w:pStyle w:val="Caption"/>
        <w:ind w:firstLine="0"/>
      </w:pPr>
      <w:bookmarkStart w:id="21" w:name="_Ref55396344"/>
      <w:bookmarkStart w:id="22" w:name="_Toc58234977"/>
      <w:r>
        <w:t xml:space="preserve">Figure </w:t>
      </w:r>
      <w:r w:rsidR="00211232">
        <w:rPr>
          <w:noProof/>
        </w:rPr>
        <w:fldChar w:fldCharType="begin"/>
      </w:r>
      <w:r w:rsidR="00211232">
        <w:rPr>
          <w:noProof/>
        </w:rPr>
        <w:instrText xml:space="preserve"> SEQ Figure \* ARABIC </w:instrText>
      </w:r>
      <w:r w:rsidR="00211232">
        <w:rPr>
          <w:noProof/>
        </w:rPr>
        <w:fldChar w:fldCharType="separate"/>
      </w:r>
      <w:r w:rsidR="00CC3B42">
        <w:rPr>
          <w:noProof/>
        </w:rPr>
        <w:t>3</w:t>
      </w:r>
      <w:r w:rsidR="00211232">
        <w:rPr>
          <w:noProof/>
        </w:rPr>
        <w:fldChar w:fldCharType="end"/>
      </w:r>
      <w:bookmarkEnd w:id="21"/>
      <w:r>
        <w:t xml:space="preserve"> </w:t>
      </w:r>
      <w:r w:rsidRPr="00183CCB">
        <w:t>Total area of old-growth forest ecosystems in RFA regions and the area in reserves</w:t>
      </w:r>
      <w:r>
        <w:t xml:space="preserve"> or the </w:t>
      </w:r>
      <w:r w:rsidRPr="00183CCB">
        <w:t>CAR reserve system at different periods before and after signing of RFAs, by state</w:t>
      </w:r>
      <w:bookmarkEnd w:id="22"/>
    </w:p>
    <w:p w14:paraId="67038D20" w14:textId="4A002999" w:rsidR="00CA184C" w:rsidRPr="00831C40" w:rsidRDefault="004F5535" w:rsidP="00831C40">
      <w:pPr>
        <w:pStyle w:val="FootnoteText"/>
        <w:spacing w:before="0"/>
        <w:rPr>
          <w:rFonts w:asciiTheme="minorHAnsi" w:eastAsiaTheme="minorEastAsia" w:hAnsiTheme="minorHAnsi"/>
          <w:sz w:val="16"/>
        </w:rPr>
      </w:pPr>
      <w:r w:rsidRPr="004F5535">
        <w:rPr>
          <w:noProof/>
          <w:lang w:eastAsia="en-AU"/>
        </w:rPr>
        <w:drawing>
          <wp:inline distT="0" distB="0" distL="0" distR="0" wp14:anchorId="7DDC80EC" wp14:editId="02E0CE5A">
            <wp:extent cx="5731510" cy="481442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814425"/>
                    </a:xfrm>
                    <a:prstGeom prst="rect">
                      <a:avLst/>
                    </a:prstGeom>
                    <a:noFill/>
                    <a:ln>
                      <a:noFill/>
                    </a:ln>
                  </pic:spPr>
                </pic:pic>
              </a:graphicData>
            </a:graphic>
          </wp:inline>
        </w:drawing>
      </w:r>
      <w:r w:rsidR="00831C40" w:rsidRPr="00831C40">
        <w:rPr>
          <w:rFonts w:asciiTheme="minorHAnsi" w:hAnsiTheme="minorHAnsi"/>
          <w:noProof/>
          <w:sz w:val="16"/>
        </w:rPr>
        <w:t xml:space="preserve">The data used to create this figure, together with other data in this report, </w:t>
      </w:r>
      <w:r w:rsidR="00E425A6">
        <w:rPr>
          <w:rFonts w:asciiTheme="minorHAnsi" w:hAnsiTheme="minorHAnsi"/>
          <w:noProof/>
          <w:sz w:val="16"/>
        </w:rPr>
        <w:t>are</w:t>
      </w:r>
      <w:r w:rsidR="00E425A6" w:rsidRPr="00831C40">
        <w:rPr>
          <w:rFonts w:asciiTheme="minorHAnsi" w:hAnsiTheme="minorHAnsi"/>
          <w:noProof/>
          <w:sz w:val="16"/>
        </w:rPr>
        <w:t xml:space="preserve"> </w:t>
      </w:r>
      <w:r w:rsidR="00831C40" w:rsidRPr="00831C40">
        <w:rPr>
          <w:rFonts w:asciiTheme="minorHAnsi" w:hAnsiTheme="minorHAnsi"/>
          <w:noProof/>
          <w:sz w:val="16"/>
        </w:rPr>
        <w:t>a</w:t>
      </w:r>
      <w:r w:rsidR="00DB0CD3">
        <w:rPr>
          <w:rFonts w:asciiTheme="minorHAnsi" w:hAnsiTheme="minorHAnsi"/>
          <w:noProof/>
          <w:sz w:val="16"/>
        </w:rPr>
        <w:t xml:space="preserve">vailable in Microsoft Excel at </w:t>
      </w:r>
      <w:hyperlink r:id="rId31" w:history="1">
        <w:r w:rsidR="0090070F" w:rsidRPr="0090070F">
          <w:rPr>
            <w:rStyle w:val="Hyperlink"/>
            <w:rFonts w:asciiTheme="minorHAnsi" w:hAnsiTheme="minorHAnsi"/>
            <w:color w:val="0070C0"/>
            <w:sz w:val="16"/>
          </w:rPr>
          <w:t>doi.org/10.25814/3z94-9957</w:t>
        </w:r>
      </w:hyperlink>
      <w:r w:rsidR="0090070F">
        <w:rPr>
          <w:rFonts w:asciiTheme="minorHAnsi" w:hAnsiTheme="minorHAnsi"/>
          <w:sz w:val="16"/>
        </w:rPr>
        <w:t>.</w:t>
      </w:r>
    </w:p>
    <w:p w14:paraId="72C069D0" w14:textId="7BBACFB1" w:rsidR="00503CF0" w:rsidRPr="009C7698" w:rsidRDefault="005B7653" w:rsidP="00DE2888">
      <w:pPr>
        <w:rPr>
          <w:rFonts w:eastAsiaTheme="minorEastAsia"/>
        </w:rPr>
      </w:pPr>
      <w:r w:rsidRPr="009C7698">
        <w:rPr>
          <w:rFonts w:eastAsiaTheme="minorEastAsia"/>
        </w:rPr>
        <w:t xml:space="preserve">A total of </w:t>
      </w:r>
      <w:r>
        <w:rPr>
          <w:rFonts w:eastAsiaTheme="minorEastAsia"/>
        </w:rPr>
        <w:t>1.0 million</w:t>
      </w:r>
      <w:r w:rsidRPr="009C7698">
        <w:rPr>
          <w:rFonts w:eastAsiaTheme="minorEastAsia"/>
        </w:rPr>
        <w:t xml:space="preserve"> hectares of old-growth forest </w:t>
      </w:r>
      <w:r w:rsidR="000028A7">
        <w:rPr>
          <w:rFonts w:eastAsiaTheme="minorEastAsia"/>
        </w:rPr>
        <w:t>was</w:t>
      </w:r>
      <w:r w:rsidRPr="009C7698">
        <w:rPr>
          <w:rFonts w:eastAsiaTheme="minorEastAsia"/>
        </w:rPr>
        <w:t xml:space="preserve"> added to formal and informal reserves as a result of </w:t>
      </w:r>
      <w:r w:rsidR="00500348">
        <w:rPr>
          <w:rFonts w:eastAsiaTheme="minorEastAsia"/>
        </w:rPr>
        <w:t xml:space="preserve">signing </w:t>
      </w:r>
      <w:r w:rsidRPr="009C7698">
        <w:rPr>
          <w:rFonts w:eastAsiaTheme="minorEastAsia"/>
        </w:rPr>
        <w:t>the RFAs</w:t>
      </w:r>
      <w:r w:rsidR="00500348">
        <w:rPr>
          <w:rFonts w:eastAsiaTheme="minorEastAsia"/>
        </w:rPr>
        <w:t>,</w:t>
      </w:r>
      <w:r w:rsidRPr="009C7698">
        <w:rPr>
          <w:rFonts w:eastAsiaTheme="minorEastAsia"/>
        </w:rPr>
        <w:t xml:space="preserve"> </w:t>
      </w:r>
      <w:r w:rsidR="00531C45" w:rsidRPr="009C7698">
        <w:rPr>
          <w:rFonts w:eastAsiaTheme="minorEastAsia"/>
        </w:rPr>
        <w:t>result</w:t>
      </w:r>
      <w:r>
        <w:rPr>
          <w:rFonts w:eastAsiaTheme="minorEastAsia"/>
        </w:rPr>
        <w:t>ing</w:t>
      </w:r>
      <w:r w:rsidR="00531C45" w:rsidRPr="009C7698">
        <w:rPr>
          <w:rFonts w:eastAsiaTheme="minorEastAsia"/>
        </w:rPr>
        <w:t xml:space="preserve"> in a</w:t>
      </w:r>
      <w:r w:rsidR="00243E96" w:rsidRPr="009C7698">
        <w:rPr>
          <w:rFonts w:eastAsiaTheme="minorEastAsia"/>
        </w:rPr>
        <w:t xml:space="preserve"> total of </w:t>
      </w:r>
      <w:r w:rsidR="004F29F1">
        <w:rPr>
          <w:rFonts w:eastAsiaTheme="minorEastAsia"/>
        </w:rPr>
        <w:t>3.4</w:t>
      </w:r>
      <w:r w:rsidR="00480AB9" w:rsidRPr="009C7698">
        <w:rPr>
          <w:rFonts w:eastAsiaTheme="minorEastAsia"/>
        </w:rPr>
        <w:t xml:space="preserve"> million </w:t>
      </w:r>
      <w:r w:rsidR="00243E96" w:rsidRPr="009C7698">
        <w:rPr>
          <w:rFonts w:eastAsiaTheme="minorEastAsia"/>
        </w:rPr>
        <w:t xml:space="preserve">hectares </w:t>
      </w:r>
      <w:r w:rsidR="00480AB9" w:rsidRPr="009C7698">
        <w:rPr>
          <w:rFonts w:eastAsiaTheme="minorEastAsia"/>
        </w:rPr>
        <w:t xml:space="preserve">of old-growth forest in </w:t>
      </w:r>
      <w:r w:rsidR="007321F9" w:rsidRPr="009C7698">
        <w:rPr>
          <w:rFonts w:eastAsiaTheme="minorEastAsia"/>
        </w:rPr>
        <w:t>formal and informal</w:t>
      </w:r>
      <w:r w:rsidR="00480AB9" w:rsidRPr="009C7698">
        <w:rPr>
          <w:rFonts w:eastAsiaTheme="minorEastAsia"/>
        </w:rPr>
        <w:t xml:space="preserve"> reserves out of a total of </w:t>
      </w:r>
      <w:r w:rsidR="007B3B5A">
        <w:rPr>
          <w:rFonts w:eastAsiaTheme="minorEastAsia"/>
        </w:rPr>
        <w:t>5.0</w:t>
      </w:r>
      <w:r w:rsidR="00480AB9" w:rsidRPr="009C7698">
        <w:rPr>
          <w:rFonts w:eastAsiaTheme="minorEastAsia"/>
        </w:rPr>
        <w:t xml:space="preserve"> million </w:t>
      </w:r>
      <w:r w:rsidR="00243E96" w:rsidRPr="009C7698">
        <w:rPr>
          <w:rFonts w:eastAsiaTheme="minorEastAsia"/>
        </w:rPr>
        <w:t xml:space="preserve">hectares of old-growth forest </w:t>
      </w:r>
      <w:r>
        <w:rPr>
          <w:rFonts w:eastAsiaTheme="minorEastAsia"/>
        </w:rPr>
        <w:t>present</w:t>
      </w:r>
      <w:r w:rsidRPr="009C7698">
        <w:rPr>
          <w:rFonts w:eastAsiaTheme="minorEastAsia"/>
        </w:rPr>
        <w:t xml:space="preserve"> </w:t>
      </w:r>
      <w:r w:rsidR="007E10FC" w:rsidRPr="009C7698">
        <w:rPr>
          <w:rFonts w:eastAsiaTheme="minorEastAsia"/>
        </w:rPr>
        <w:t xml:space="preserve">at that time </w:t>
      </w:r>
      <w:r w:rsidR="00480AB9" w:rsidRPr="009C7698">
        <w:rPr>
          <w:rFonts w:eastAsiaTheme="minorEastAsia"/>
        </w:rPr>
        <w:t>on public and private land</w:t>
      </w:r>
      <w:r w:rsidR="00D43241" w:rsidRPr="009C7698">
        <w:rPr>
          <w:rFonts w:eastAsiaTheme="minorEastAsia"/>
        </w:rPr>
        <w:t xml:space="preserve"> (</w:t>
      </w:r>
      <w:r w:rsidR="00BF30CD" w:rsidRPr="00BF30CD">
        <w:rPr>
          <w:rFonts w:eastAsiaTheme="minorEastAsia"/>
        </w:rPr>
        <w:t xml:space="preserve">Table A6). This </w:t>
      </w:r>
      <w:r w:rsidR="00500348">
        <w:rPr>
          <w:rFonts w:eastAsiaTheme="minorEastAsia"/>
        </w:rPr>
        <w:t xml:space="preserve">was </w:t>
      </w:r>
      <w:r w:rsidR="00480AB9" w:rsidRPr="009C7698">
        <w:rPr>
          <w:rFonts w:eastAsiaTheme="minorEastAsia"/>
        </w:rPr>
        <w:t>an increase of 4</w:t>
      </w:r>
      <w:r w:rsidR="007B59A8" w:rsidRPr="009C7698">
        <w:rPr>
          <w:rFonts w:eastAsiaTheme="minorEastAsia"/>
        </w:rPr>
        <w:t>1</w:t>
      </w:r>
      <w:r w:rsidR="00480AB9" w:rsidRPr="009C7698">
        <w:rPr>
          <w:rFonts w:eastAsiaTheme="minorEastAsia"/>
        </w:rPr>
        <w:t xml:space="preserve">% in </w:t>
      </w:r>
      <w:r w:rsidR="00C35A0F" w:rsidRPr="009C7698">
        <w:rPr>
          <w:rFonts w:eastAsiaTheme="minorEastAsia"/>
        </w:rPr>
        <w:t xml:space="preserve">the area of old-growth forest </w:t>
      </w:r>
      <w:r w:rsidR="00480AB9" w:rsidRPr="009C7698">
        <w:rPr>
          <w:rFonts w:eastAsiaTheme="minorEastAsia"/>
        </w:rPr>
        <w:t>reserv</w:t>
      </w:r>
      <w:r w:rsidR="00C35A0F" w:rsidRPr="009C7698">
        <w:rPr>
          <w:rFonts w:eastAsiaTheme="minorEastAsia"/>
        </w:rPr>
        <w:t>ed</w:t>
      </w:r>
      <w:r w:rsidR="00480AB9" w:rsidRPr="009C7698">
        <w:rPr>
          <w:rFonts w:eastAsiaTheme="minorEastAsia"/>
        </w:rPr>
        <w:t>.</w:t>
      </w:r>
      <w:r w:rsidR="001B3138" w:rsidRPr="009C7698">
        <w:rPr>
          <w:rFonts w:eastAsiaTheme="minorEastAsia"/>
        </w:rPr>
        <w:t xml:space="preserve"> </w:t>
      </w:r>
      <w:r w:rsidR="00787390" w:rsidRPr="009C7698">
        <w:rPr>
          <w:rFonts w:eastAsiaTheme="minorEastAsia"/>
        </w:rPr>
        <w:t xml:space="preserve">The RFAs resulted in </w:t>
      </w:r>
      <w:r w:rsidR="00503CF0" w:rsidRPr="009C7698">
        <w:rPr>
          <w:rFonts w:eastAsiaTheme="minorEastAsia"/>
        </w:rPr>
        <w:t>s</w:t>
      </w:r>
      <w:r w:rsidR="00531C45" w:rsidRPr="009C7698">
        <w:rPr>
          <w:rFonts w:eastAsiaTheme="minorEastAsia"/>
        </w:rPr>
        <w:t xml:space="preserve">tate </w:t>
      </w:r>
      <w:r w:rsidR="00E00280" w:rsidRPr="009C7698">
        <w:rPr>
          <w:rFonts w:eastAsiaTheme="minorEastAsia"/>
        </w:rPr>
        <w:t xml:space="preserve">totals </w:t>
      </w:r>
      <w:r w:rsidR="00503CF0" w:rsidRPr="009C7698">
        <w:rPr>
          <w:rFonts w:eastAsiaTheme="minorEastAsia"/>
        </w:rPr>
        <w:t xml:space="preserve">of </w:t>
      </w:r>
      <w:r w:rsidR="00096D30">
        <w:rPr>
          <w:rFonts w:eastAsiaTheme="minorEastAsia"/>
        </w:rPr>
        <w:t xml:space="preserve">between </w:t>
      </w:r>
      <w:r w:rsidR="00531C45" w:rsidRPr="009C7698">
        <w:rPr>
          <w:rFonts w:eastAsiaTheme="minorEastAsia"/>
        </w:rPr>
        <w:t>67</w:t>
      </w:r>
      <w:r w:rsidR="00096D30">
        <w:rPr>
          <w:rFonts w:eastAsiaTheme="minorEastAsia"/>
        </w:rPr>
        <w:t xml:space="preserve">% and </w:t>
      </w:r>
      <w:r w:rsidR="00531C45" w:rsidRPr="009C7698">
        <w:rPr>
          <w:rFonts w:eastAsiaTheme="minorEastAsia"/>
        </w:rPr>
        <w:t>69</w:t>
      </w:r>
      <w:r w:rsidR="00503CF0" w:rsidRPr="009C7698">
        <w:rPr>
          <w:rFonts w:eastAsiaTheme="minorEastAsia"/>
        </w:rPr>
        <w:t>% of old-growth forest reserved,</w:t>
      </w:r>
      <w:r w:rsidR="00531C45" w:rsidRPr="009C7698">
        <w:rPr>
          <w:rFonts w:eastAsiaTheme="minorEastAsia"/>
        </w:rPr>
        <w:t xml:space="preserve"> with </w:t>
      </w:r>
      <w:r w:rsidR="00503CF0" w:rsidRPr="009C7698">
        <w:rPr>
          <w:rFonts w:eastAsiaTheme="minorEastAsia"/>
        </w:rPr>
        <w:t xml:space="preserve">the proportion </w:t>
      </w:r>
      <w:r w:rsidR="00531C45" w:rsidRPr="009C7698">
        <w:rPr>
          <w:rFonts w:eastAsiaTheme="minorEastAsia"/>
        </w:rPr>
        <w:t>reserv</w:t>
      </w:r>
      <w:r w:rsidR="00503CF0" w:rsidRPr="009C7698">
        <w:rPr>
          <w:rFonts w:eastAsiaTheme="minorEastAsia"/>
        </w:rPr>
        <w:t>ed in individual RFA regions</w:t>
      </w:r>
      <w:r w:rsidR="00531C45" w:rsidRPr="009C7698">
        <w:rPr>
          <w:rFonts w:eastAsiaTheme="minorEastAsia"/>
        </w:rPr>
        <w:t xml:space="preserve"> varying bet</w:t>
      </w:r>
      <w:r w:rsidR="00C423E4">
        <w:rPr>
          <w:rFonts w:eastAsiaTheme="minorEastAsia"/>
        </w:rPr>
        <w:t xml:space="preserve">ween 57% in the </w:t>
      </w:r>
      <w:r w:rsidR="00531C45" w:rsidRPr="009C7698">
        <w:rPr>
          <w:rFonts w:eastAsiaTheme="minorEastAsia"/>
        </w:rPr>
        <w:t xml:space="preserve">North East Victoria and Upper North East (NSW) </w:t>
      </w:r>
      <w:r w:rsidR="00C423E4">
        <w:rPr>
          <w:rFonts w:eastAsiaTheme="minorEastAsia"/>
        </w:rPr>
        <w:t>RFA</w:t>
      </w:r>
      <w:r w:rsidR="00B462D6" w:rsidRPr="009C7698">
        <w:rPr>
          <w:rFonts w:eastAsiaTheme="minorEastAsia"/>
        </w:rPr>
        <w:t xml:space="preserve"> region</w:t>
      </w:r>
      <w:r w:rsidR="00531C45" w:rsidRPr="009C7698">
        <w:rPr>
          <w:rFonts w:eastAsiaTheme="minorEastAsia"/>
        </w:rPr>
        <w:t>s</w:t>
      </w:r>
      <w:r w:rsidR="00C423E4">
        <w:rPr>
          <w:rFonts w:eastAsiaTheme="minorEastAsia"/>
        </w:rPr>
        <w:t>,</w:t>
      </w:r>
      <w:r w:rsidR="004A1F7E">
        <w:rPr>
          <w:rFonts w:eastAsiaTheme="minorEastAsia"/>
        </w:rPr>
        <w:t xml:space="preserve"> and </w:t>
      </w:r>
      <w:r w:rsidR="00377382">
        <w:rPr>
          <w:rFonts w:eastAsiaTheme="minorEastAsia"/>
        </w:rPr>
        <w:t>89</w:t>
      </w:r>
      <w:r w:rsidR="00531C45" w:rsidRPr="009C7698">
        <w:rPr>
          <w:rFonts w:eastAsiaTheme="minorEastAsia"/>
        </w:rPr>
        <w:t xml:space="preserve">% </w:t>
      </w:r>
      <w:r w:rsidR="00C423E4">
        <w:rPr>
          <w:rFonts w:eastAsiaTheme="minorEastAsia"/>
        </w:rPr>
        <w:t xml:space="preserve">in the </w:t>
      </w:r>
      <w:r w:rsidR="00531C45" w:rsidRPr="009C7698">
        <w:rPr>
          <w:rFonts w:eastAsiaTheme="minorEastAsia"/>
        </w:rPr>
        <w:t xml:space="preserve">West Victoria </w:t>
      </w:r>
      <w:r w:rsidR="00C423E4">
        <w:rPr>
          <w:rFonts w:eastAsiaTheme="minorEastAsia"/>
        </w:rPr>
        <w:t xml:space="preserve">RFA </w:t>
      </w:r>
      <w:r w:rsidR="00B462D6" w:rsidRPr="009C7698">
        <w:rPr>
          <w:rFonts w:eastAsiaTheme="minorEastAsia"/>
        </w:rPr>
        <w:t>region</w:t>
      </w:r>
      <w:r w:rsidR="00531C45" w:rsidRPr="009C7698">
        <w:rPr>
          <w:rFonts w:eastAsiaTheme="minorEastAsia"/>
        </w:rPr>
        <w:t>.</w:t>
      </w:r>
    </w:p>
    <w:p w14:paraId="029E1D30" w14:textId="0C565C88" w:rsidR="00002CFC" w:rsidRDefault="00BF30CD" w:rsidP="00DE2888">
      <w:pPr>
        <w:rPr>
          <w:rFonts w:eastAsiaTheme="minorEastAsia"/>
        </w:rPr>
      </w:pPr>
      <w:r w:rsidRPr="00BF30CD">
        <w:rPr>
          <w:rFonts w:eastAsiaTheme="minorEastAsia"/>
        </w:rPr>
        <w:t xml:space="preserve">Table A7 reports </w:t>
      </w:r>
      <w:r w:rsidR="00C256F4" w:rsidRPr="009C7698">
        <w:rPr>
          <w:rFonts w:eastAsiaTheme="minorEastAsia"/>
        </w:rPr>
        <w:t xml:space="preserve">changes to old-growth </w:t>
      </w:r>
      <w:r w:rsidR="000B17B7" w:rsidRPr="009C7698">
        <w:rPr>
          <w:rFonts w:eastAsiaTheme="minorEastAsia"/>
        </w:rPr>
        <w:t>forest areas</w:t>
      </w:r>
      <w:r w:rsidR="00647929" w:rsidRPr="009C7698">
        <w:rPr>
          <w:rFonts w:eastAsiaTheme="minorEastAsia"/>
        </w:rPr>
        <w:t>,</w:t>
      </w:r>
      <w:r w:rsidR="000B17B7" w:rsidRPr="009C7698">
        <w:rPr>
          <w:rFonts w:eastAsiaTheme="minorEastAsia"/>
        </w:rPr>
        <w:t xml:space="preserve"> and </w:t>
      </w:r>
      <w:r w:rsidR="00647929" w:rsidRPr="009C7698">
        <w:rPr>
          <w:rFonts w:eastAsiaTheme="minorEastAsia"/>
        </w:rPr>
        <w:t xml:space="preserve">to old-growth forest </w:t>
      </w:r>
      <w:r w:rsidR="000B17B7" w:rsidRPr="009C7698">
        <w:rPr>
          <w:rFonts w:eastAsiaTheme="minorEastAsia"/>
        </w:rPr>
        <w:t>areas reserved</w:t>
      </w:r>
      <w:r w:rsidR="00647929" w:rsidRPr="009C7698">
        <w:rPr>
          <w:rFonts w:eastAsiaTheme="minorEastAsia"/>
        </w:rPr>
        <w:t>,</w:t>
      </w:r>
      <w:r w:rsidR="000B17B7" w:rsidRPr="009C7698">
        <w:rPr>
          <w:rFonts w:eastAsiaTheme="minorEastAsia"/>
        </w:rPr>
        <w:t xml:space="preserve"> </w:t>
      </w:r>
      <w:r w:rsidR="00C256F4" w:rsidRPr="009C7698">
        <w:rPr>
          <w:rFonts w:eastAsiaTheme="minorEastAsia"/>
        </w:rPr>
        <w:t xml:space="preserve">since signing </w:t>
      </w:r>
      <w:r w:rsidR="000B17B7" w:rsidRPr="009C7698">
        <w:rPr>
          <w:rFonts w:eastAsiaTheme="minorEastAsia"/>
        </w:rPr>
        <w:t xml:space="preserve">the </w:t>
      </w:r>
      <w:r w:rsidR="004A1F7E">
        <w:rPr>
          <w:rFonts w:eastAsiaTheme="minorEastAsia"/>
        </w:rPr>
        <w:t>RFAs</w:t>
      </w:r>
      <w:r w:rsidR="00C256F4" w:rsidRPr="009C7698">
        <w:rPr>
          <w:rFonts w:eastAsiaTheme="minorEastAsia"/>
        </w:rPr>
        <w:t xml:space="preserve">. </w:t>
      </w:r>
      <w:r w:rsidR="000B17B7" w:rsidRPr="009C7698">
        <w:rPr>
          <w:rFonts w:eastAsiaTheme="minorEastAsia"/>
        </w:rPr>
        <w:t>The area of o</w:t>
      </w:r>
      <w:r w:rsidR="00C256F4" w:rsidRPr="009C7698">
        <w:rPr>
          <w:rFonts w:eastAsiaTheme="minorEastAsia"/>
        </w:rPr>
        <w:t xml:space="preserve">ld-growth </w:t>
      </w:r>
      <w:r w:rsidR="000B17B7" w:rsidRPr="009C7698">
        <w:rPr>
          <w:rFonts w:eastAsiaTheme="minorEastAsia"/>
        </w:rPr>
        <w:t xml:space="preserve">forest </w:t>
      </w:r>
      <w:r w:rsidR="00C256F4" w:rsidRPr="009C7698">
        <w:rPr>
          <w:rFonts w:eastAsiaTheme="minorEastAsia"/>
        </w:rPr>
        <w:t xml:space="preserve">decreased in all </w:t>
      </w:r>
      <w:r w:rsidR="004A1F7E">
        <w:rPr>
          <w:rFonts w:eastAsiaTheme="minorEastAsia"/>
        </w:rPr>
        <w:t>RFA</w:t>
      </w:r>
      <w:r w:rsidR="000B17B7" w:rsidRPr="009C7698">
        <w:rPr>
          <w:rFonts w:eastAsiaTheme="minorEastAsia"/>
        </w:rPr>
        <w:t xml:space="preserve"> region</w:t>
      </w:r>
      <w:r w:rsidR="00C256F4" w:rsidRPr="009C7698">
        <w:rPr>
          <w:rFonts w:eastAsiaTheme="minorEastAsia"/>
        </w:rPr>
        <w:t xml:space="preserve">s </w:t>
      </w:r>
      <w:r w:rsidR="00647929" w:rsidRPr="009C7698">
        <w:rPr>
          <w:rFonts w:eastAsiaTheme="minorEastAsia"/>
        </w:rPr>
        <w:t xml:space="preserve">for which </w:t>
      </w:r>
      <w:r w:rsidR="00C256F4" w:rsidRPr="009C7698">
        <w:rPr>
          <w:rFonts w:eastAsiaTheme="minorEastAsia"/>
        </w:rPr>
        <w:t xml:space="preserve">old-growth </w:t>
      </w:r>
      <w:r w:rsidR="000C1C98" w:rsidRPr="009C7698">
        <w:rPr>
          <w:rFonts w:eastAsiaTheme="minorEastAsia"/>
        </w:rPr>
        <w:t xml:space="preserve">forest areas were </w:t>
      </w:r>
      <w:r w:rsidR="00B9689A" w:rsidRPr="009C7698">
        <w:rPr>
          <w:rFonts w:eastAsiaTheme="minorEastAsia"/>
        </w:rPr>
        <w:t xml:space="preserve">updated and </w:t>
      </w:r>
      <w:r w:rsidR="00C256F4" w:rsidRPr="009C7698">
        <w:rPr>
          <w:rFonts w:eastAsiaTheme="minorEastAsia"/>
        </w:rPr>
        <w:t>reported</w:t>
      </w:r>
      <w:r w:rsidR="00F6441F" w:rsidRPr="009C7698">
        <w:rPr>
          <w:rFonts w:eastAsiaTheme="minorEastAsia"/>
        </w:rPr>
        <w:t xml:space="preserve">, </w:t>
      </w:r>
      <w:r w:rsidR="005B7653">
        <w:rPr>
          <w:rFonts w:eastAsiaTheme="minorEastAsia"/>
        </w:rPr>
        <w:t xml:space="preserve">varying </w:t>
      </w:r>
      <w:r w:rsidR="00C256F4" w:rsidRPr="009C7698">
        <w:rPr>
          <w:rFonts w:eastAsiaTheme="minorEastAsia"/>
        </w:rPr>
        <w:t xml:space="preserve">from </w:t>
      </w:r>
      <w:r w:rsidR="00A42C03">
        <w:rPr>
          <w:rFonts w:eastAsiaTheme="minorEastAsia"/>
        </w:rPr>
        <w:t>3</w:t>
      </w:r>
      <w:r w:rsidR="00C9640D" w:rsidRPr="009C7698">
        <w:rPr>
          <w:rFonts w:eastAsiaTheme="minorEastAsia"/>
        </w:rPr>
        <w:t>% decrease</w:t>
      </w:r>
      <w:r w:rsidR="00002CFC">
        <w:rPr>
          <w:rFonts w:eastAsiaTheme="minorEastAsia"/>
        </w:rPr>
        <w:t>s</w:t>
      </w:r>
      <w:r w:rsidR="00C9640D" w:rsidRPr="009C7698">
        <w:rPr>
          <w:rFonts w:eastAsiaTheme="minorEastAsia"/>
        </w:rPr>
        <w:t xml:space="preserve"> </w:t>
      </w:r>
      <w:r w:rsidR="00A42C03">
        <w:rPr>
          <w:rFonts w:eastAsiaTheme="minorEastAsia"/>
        </w:rPr>
        <w:t xml:space="preserve">in </w:t>
      </w:r>
      <w:r w:rsidR="00002CFC">
        <w:rPr>
          <w:rFonts w:eastAsiaTheme="minorEastAsia"/>
        </w:rPr>
        <w:t xml:space="preserve">the </w:t>
      </w:r>
      <w:r w:rsidR="00A42C03">
        <w:rPr>
          <w:rFonts w:eastAsiaTheme="minorEastAsia"/>
        </w:rPr>
        <w:t>Tasmania</w:t>
      </w:r>
      <w:r w:rsidR="00002CFC">
        <w:rPr>
          <w:rFonts w:eastAsiaTheme="minorEastAsia"/>
        </w:rPr>
        <w:t>n RFA region</w:t>
      </w:r>
      <w:r w:rsidR="005B7653">
        <w:rPr>
          <w:rFonts w:eastAsiaTheme="minorEastAsia"/>
        </w:rPr>
        <w:t xml:space="preserve"> and the South-West Forest Region of </w:t>
      </w:r>
      <w:r w:rsidR="00851047">
        <w:rPr>
          <w:rFonts w:eastAsiaTheme="minorEastAsia"/>
        </w:rPr>
        <w:t xml:space="preserve">Western Australia </w:t>
      </w:r>
      <w:r w:rsidR="005B7653">
        <w:rPr>
          <w:rFonts w:eastAsiaTheme="minorEastAsia"/>
        </w:rPr>
        <w:t>RFA region</w:t>
      </w:r>
      <w:r w:rsidR="00A42C03">
        <w:rPr>
          <w:rFonts w:eastAsiaTheme="minorEastAsia"/>
        </w:rPr>
        <w:t xml:space="preserve"> to a 6</w:t>
      </w:r>
      <w:r w:rsidR="00212AAB">
        <w:rPr>
          <w:rFonts w:eastAsiaTheme="minorEastAsia"/>
        </w:rPr>
        <w:t>7</w:t>
      </w:r>
      <w:r w:rsidR="00C256F4" w:rsidRPr="009C7698">
        <w:rPr>
          <w:rFonts w:eastAsiaTheme="minorEastAsia"/>
        </w:rPr>
        <w:t xml:space="preserve">% </w:t>
      </w:r>
      <w:r w:rsidR="00C9640D" w:rsidRPr="009C7698">
        <w:rPr>
          <w:rFonts w:eastAsiaTheme="minorEastAsia"/>
        </w:rPr>
        <w:t xml:space="preserve">decrease </w:t>
      </w:r>
      <w:r w:rsidR="00C256F4" w:rsidRPr="009C7698">
        <w:rPr>
          <w:rFonts w:eastAsiaTheme="minorEastAsia"/>
        </w:rPr>
        <w:t xml:space="preserve">in </w:t>
      </w:r>
      <w:r w:rsidR="00B2248B" w:rsidRPr="009C7698">
        <w:rPr>
          <w:rFonts w:eastAsiaTheme="minorEastAsia"/>
        </w:rPr>
        <w:t xml:space="preserve">the </w:t>
      </w:r>
      <w:r w:rsidR="00C256F4" w:rsidRPr="009C7698">
        <w:rPr>
          <w:rFonts w:eastAsiaTheme="minorEastAsia"/>
        </w:rPr>
        <w:t xml:space="preserve">Central Highlands </w:t>
      </w:r>
      <w:r w:rsidR="00A42C03">
        <w:rPr>
          <w:rFonts w:eastAsiaTheme="minorEastAsia"/>
        </w:rPr>
        <w:t>RFA</w:t>
      </w:r>
      <w:r w:rsidR="00C9640D" w:rsidRPr="009C7698">
        <w:rPr>
          <w:rFonts w:eastAsiaTheme="minorEastAsia"/>
        </w:rPr>
        <w:t xml:space="preserve"> region of Victoria</w:t>
      </w:r>
      <w:r w:rsidR="00C256F4" w:rsidRPr="009C7698">
        <w:rPr>
          <w:rFonts w:eastAsiaTheme="minorEastAsia"/>
        </w:rPr>
        <w:t>.</w:t>
      </w:r>
    </w:p>
    <w:p w14:paraId="58C9D36B" w14:textId="71A822DE" w:rsidR="005A486E" w:rsidRDefault="00A1522D" w:rsidP="00DE2888">
      <w:pPr>
        <w:pStyle w:val="ListParagraph"/>
        <w:numPr>
          <w:ilvl w:val="0"/>
          <w:numId w:val="30"/>
        </w:numPr>
        <w:rPr>
          <w:rFonts w:eastAsiaTheme="minorEastAsia"/>
        </w:rPr>
      </w:pPr>
      <w:r>
        <w:rPr>
          <w:rFonts w:eastAsiaTheme="minorEastAsia"/>
        </w:rPr>
        <w:t>In New South Wales, a</w:t>
      </w:r>
      <w:r w:rsidR="005A486E">
        <w:rPr>
          <w:rFonts w:eastAsiaTheme="minorEastAsia"/>
        </w:rPr>
        <w:t xml:space="preserve"> total of 2.5 million hectares of old-growth forest was reported at the time the RFAs were signed</w:t>
      </w:r>
      <w:r w:rsidR="0043732A">
        <w:rPr>
          <w:rFonts w:eastAsiaTheme="minorEastAsia"/>
        </w:rPr>
        <w:t xml:space="preserve"> and this extent has not been updated since. T</w:t>
      </w:r>
      <w:r w:rsidR="005A486E">
        <w:rPr>
          <w:rFonts w:eastAsiaTheme="minorEastAsia"/>
        </w:rPr>
        <w:t xml:space="preserve">he </w:t>
      </w:r>
      <w:r>
        <w:rPr>
          <w:rFonts w:eastAsiaTheme="minorEastAsia"/>
        </w:rPr>
        <w:t xml:space="preserve">area of </w:t>
      </w:r>
      <w:r>
        <w:rPr>
          <w:rFonts w:eastAsiaTheme="minorEastAsia"/>
        </w:rPr>
        <w:lastRenderedPageBreak/>
        <w:t>old-growth forest</w:t>
      </w:r>
      <w:r w:rsidR="005A486E">
        <w:rPr>
          <w:rFonts w:eastAsiaTheme="minorEastAsia"/>
        </w:rPr>
        <w:t xml:space="preserve"> in reserves increas</w:t>
      </w:r>
      <w:r w:rsidR="00295FA6">
        <w:rPr>
          <w:rFonts w:eastAsiaTheme="minorEastAsia"/>
        </w:rPr>
        <w:t>ed</w:t>
      </w:r>
      <w:r w:rsidR="005A486E">
        <w:rPr>
          <w:rFonts w:eastAsiaTheme="minorEastAsia"/>
        </w:rPr>
        <w:t xml:space="preserve"> from 1.1 million hectares (44%) to 1.7 million hectares (69%) at th</w:t>
      </w:r>
      <w:r w:rsidR="0043732A">
        <w:rPr>
          <w:rFonts w:eastAsiaTheme="minorEastAsia"/>
        </w:rPr>
        <w:t>e</w:t>
      </w:r>
      <w:r w:rsidR="005A486E">
        <w:rPr>
          <w:rFonts w:eastAsiaTheme="minorEastAsia"/>
        </w:rPr>
        <w:t xml:space="preserve"> time</w:t>
      </w:r>
      <w:r w:rsidR="0043732A">
        <w:rPr>
          <w:rFonts w:eastAsiaTheme="minorEastAsia"/>
        </w:rPr>
        <w:t xml:space="preserve"> the RFAs were signed</w:t>
      </w:r>
      <w:r>
        <w:rPr>
          <w:rFonts w:eastAsiaTheme="minorEastAsia"/>
        </w:rPr>
        <w:t>,</w:t>
      </w:r>
      <w:r w:rsidR="0043732A">
        <w:rPr>
          <w:rFonts w:eastAsiaTheme="minorEastAsia"/>
        </w:rPr>
        <w:t xml:space="preserve"> and </w:t>
      </w:r>
      <w:r>
        <w:rPr>
          <w:rFonts w:eastAsiaTheme="minorEastAsia"/>
        </w:rPr>
        <w:t xml:space="preserve">increased </w:t>
      </w:r>
      <w:r w:rsidR="0043732A">
        <w:rPr>
          <w:rFonts w:eastAsiaTheme="minorEastAsia"/>
        </w:rPr>
        <w:t>by a further 0.2 million hectares to 1.9 million hectares (79%) in the most recent data</w:t>
      </w:r>
      <w:r w:rsidR="005A486E">
        <w:rPr>
          <w:rFonts w:eastAsiaTheme="minorEastAsia"/>
        </w:rPr>
        <w:t xml:space="preserve">.   </w:t>
      </w:r>
    </w:p>
    <w:p w14:paraId="48E4A3CF" w14:textId="6DE006C6" w:rsidR="00305DAC" w:rsidRDefault="00340AF0" w:rsidP="00DE2888">
      <w:pPr>
        <w:pStyle w:val="ListParagraph"/>
        <w:numPr>
          <w:ilvl w:val="0"/>
          <w:numId w:val="30"/>
        </w:numPr>
        <w:rPr>
          <w:rFonts w:eastAsiaTheme="minorEastAsia"/>
        </w:rPr>
      </w:pPr>
      <w:r w:rsidRPr="00305DAC">
        <w:rPr>
          <w:rFonts w:eastAsiaTheme="minorEastAsia"/>
        </w:rPr>
        <w:t xml:space="preserve">A total of 1.2 million hectares of old-growth forest was reported at the time the Tasmanian RFA was signed, </w:t>
      </w:r>
      <w:r w:rsidR="00500348" w:rsidRPr="00305DAC">
        <w:rPr>
          <w:rFonts w:eastAsiaTheme="minorEastAsia"/>
        </w:rPr>
        <w:t xml:space="preserve">with a similar </w:t>
      </w:r>
      <w:r w:rsidR="00DA0CBA" w:rsidRPr="00305DAC">
        <w:rPr>
          <w:rFonts w:eastAsiaTheme="minorEastAsia"/>
        </w:rPr>
        <w:t>figure being</w:t>
      </w:r>
      <w:r w:rsidR="00500348" w:rsidRPr="00305DAC">
        <w:rPr>
          <w:rFonts w:eastAsiaTheme="minorEastAsia"/>
        </w:rPr>
        <w:t xml:space="preserve"> reported for </w:t>
      </w:r>
      <w:r w:rsidRPr="00305DAC">
        <w:rPr>
          <w:rFonts w:eastAsiaTheme="minorEastAsia"/>
        </w:rPr>
        <w:t xml:space="preserve">2017 by the Forest Practices Authority (2017). </w:t>
      </w:r>
      <w:r w:rsidR="007B3B5A" w:rsidRPr="00305DAC">
        <w:rPr>
          <w:rFonts w:eastAsiaTheme="minorEastAsia"/>
        </w:rPr>
        <w:t>T</w:t>
      </w:r>
      <w:r w:rsidR="004A374D" w:rsidRPr="00305DAC">
        <w:rPr>
          <w:rFonts w:eastAsiaTheme="minorEastAsia"/>
        </w:rPr>
        <w:t>he loss of 4</w:t>
      </w:r>
      <w:r w:rsidR="00FE656A" w:rsidRPr="00305DAC">
        <w:rPr>
          <w:rFonts w:eastAsiaTheme="minorEastAsia"/>
        </w:rPr>
        <w:t>0 thousand</w:t>
      </w:r>
      <w:r w:rsidR="00F52E66" w:rsidRPr="00305DAC">
        <w:rPr>
          <w:rFonts w:eastAsiaTheme="minorEastAsia"/>
        </w:rPr>
        <w:t xml:space="preserve"> hectares of old-growth forests in Tasmania was the result of forest harvesting and the conversion of native forest to plantations and agriculture. </w:t>
      </w:r>
      <w:r w:rsidRPr="00305DAC">
        <w:rPr>
          <w:rFonts w:eastAsiaTheme="minorEastAsia"/>
        </w:rPr>
        <w:t>A total of 0.85 million hectares of old-growth forest was reserve</w:t>
      </w:r>
      <w:r w:rsidR="00500348" w:rsidRPr="00305DAC">
        <w:rPr>
          <w:rFonts w:eastAsiaTheme="minorEastAsia"/>
        </w:rPr>
        <w:t>d</w:t>
      </w:r>
      <w:r w:rsidRPr="00305DAC">
        <w:rPr>
          <w:rFonts w:eastAsiaTheme="minorEastAsia"/>
        </w:rPr>
        <w:t xml:space="preserve"> with the signing of the Tasmanian RFA. </w:t>
      </w:r>
      <w:r w:rsidR="00103CE5" w:rsidRPr="00305DAC">
        <w:rPr>
          <w:rFonts w:eastAsiaTheme="minorEastAsia"/>
        </w:rPr>
        <w:t>As a result of the Tasmanian Community Forest Agreement 2005</w:t>
      </w:r>
      <w:r w:rsidR="00F259B1" w:rsidRPr="00305DAC">
        <w:rPr>
          <w:rFonts w:eastAsiaTheme="minorEastAsia"/>
        </w:rPr>
        <w:t>,</w:t>
      </w:r>
      <w:r w:rsidR="00FE656A" w:rsidRPr="00305DAC">
        <w:rPr>
          <w:rFonts w:eastAsiaTheme="minorEastAsia"/>
        </w:rPr>
        <w:t xml:space="preserve"> a further </w:t>
      </w:r>
      <w:r w:rsidR="001127EB" w:rsidRPr="00305DAC">
        <w:rPr>
          <w:rFonts w:eastAsiaTheme="minorEastAsia"/>
        </w:rPr>
        <w:t>0.</w:t>
      </w:r>
      <w:r w:rsidR="00FE656A" w:rsidRPr="00305DAC">
        <w:rPr>
          <w:rFonts w:eastAsiaTheme="minorEastAsia"/>
        </w:rPr>
        <w:t>12</w:t>
      </w:r>
      <w:r w:rsidR="001127EB" w:rsidRPr="00305DAC">
        <w:rPr>
          <w:rFonts w:eastAsiaTheme="minorEastAsia"/>
        </w:rPr>
        <w:t xml:space="preserve"> million</w:t>
      </w:r>
      <w:r w:rsidR="00196525" w:rsidRPr="00305DAC">
        <w:rPr>
          <w:rFonts w:eastAsiaTheme="minorEastAsia"/>
        </w:rPr>
        <w:t xml:space="preserve"> hectares of old-growth forest was added to formal and informal reserves</w:t>
      </w:r>
      <w:r w:rsidR="00F259B1" w:rsidRPr="00305DAC">
        <w:rPr>
          <w:rFonts w:eastAsiaTheme="minorEastAsia"/>
        </w:rPr>
        <w:t xml:space="preserve"> in </w:t>
      </w:r>
      <w:r w:rsidR="0067592D" w:rsidRPr="00305DAC">
        <w:rPr>
          <w:rFonts w:eastAsiaTheme="minorEastAsia"/>
        </w:rPr>
        <w:t>Tasmania</w:t>
      </w:r>
      <w:r w:rsidR="00F259B1" w:rsidRPr="00305DAC">
        <w:rPr>
          <w:rFonts w:eastAsiaTheme="minorEastAsia"/>
        </w:rPr>
        <w:t xml:space="preserve">, including </w:t>
      </w:r>
      <w:r w:rsidR="00196525" w:rsidRPr="00305DAC">
        <w:rPr>
          <w:rFonts w:eastAsiaTheme="minorEastAsia"/>
        </w:rPr>
        <w:t>9</w:t>
      </w:r>
      <w:r w:rsidR="0054288D" w:rsidRPr="00305DAC">
        <w:rPr>
          <w:rFonts w:eastAsiaTheme="minorEastAsia"/>
        </w:rPr>
        <w:t> </w:t>
      </w:r>
      <w:r w:rsidR="00FE656A" w:rsidRPr="00305DAC">
        <w:rPr>
          <w:rFonts w:eastAsiaTheme="minorEastAsia"/>
        </w:rPr>
        <w:t>thousand</w:t>
      </w:r>
      <w:r w:rsidR="00196525" w:rsidRPr="00305DAC">
        <w:rPr>
          <w:rFonts w:eastAsiaTheme="minorEastAsia"/>
        </w:rPr>
        <w:t xml:space="preserve"> hectares </w:t>
      </w:r>
      <w:r w:rsidR="00096D30" w:rsidRPr="00305DAC">
        <w:rPr>
          <w:rFonts w:eastAsiaTheme="minorEastAsia"/>
        </w:rPr>
        <w:t>in</w:t>
      </w:r>
      <w:r w:rsidR="00196525" w:rsidRPr="00305DAC">
        <w:rPr>
          <w:rFonts w:eastAsiaTheme="minorEastAsia"/>
        </w:rPr>
        <w:t xml:space="preserve"> private forest reserves</w:t>
      </w:r>
      <w:r w:rsidR="0067592D" w:rsidRPr="00305DAC">
        <w:rPr>
          <w:rFonts w:eastAsiaTheme="minorEastAsia"/>
        </w:rPr>
        <w:t xml:space="preserve"> (Australian and Tasmanian Governments 2007)</w:t>
      </w:r>
      <w:r w:rsidR="00196525" w:rsidRPr="00305DAC">
        <w:rPr>
          <w:rFonts w:eastAsiaTheme="minorEastAsia"/>
        </w:rPr>
        <w:t>.</w:t>
      </w:r>
      <w:r w:rsidRPr="00305DAC">
        <w:rPr>
          <w:rFonts w:eastAsiaTheme="minorEastAsia"/>
        </w:rPr>
        <w:t xml:space="preserve"> </w:t>
      </w:r>
      <w:r w:rsidR="0044231C" w:rsidRPr="00305DAC">
        <w:rPr>
          <w:rFonts w:eastAsiaTheme="minorEastAsia"/>
        </w:rPr>
        <w:t>By</w:t>
      </w:r>
      <w:r w:rsidR="00A1522D">
        <w:rPr>
          <w:rFonts w:eastAsiaTheme="minorEastAsia"/>
        </w:rPr>
        <w:t xml:space="preserve"> 2017 a </w:t>
      </w:r>
      <w:r w:rsidRPr="00305DAC">
        <w:rPr>
          <w:rFonts w:eastAsiaTheme="minorEastAsia"/>
        </w:rPr>
        <w:t xml:space="preserve">total of 1.0 million hectares of old-growth forest in the Tasmanian RFA region </w:t>
      </w:r>
      <w:r w:rsidR="00500348" w:rsidRPr="00305DAC">
        <w:rPr>
          <w:rFonts w:eastAsiaTheme="minorEastAsia"/>
        </w:rPr>
        <w:t xml:space="preserve">was </w:t>
      </w:r>
      <w:r w:rsidRPr="00305DAC">
        <w:rPr>
          <w:rFonts w:eastAsiaTheme="minorEastAsia"/>
        </w:rPr>
        <w:t>in the CAR reserve system (FPA 2017).</w:t>
      </w:r>
    </w:p>
    <w:p w14:paraId="62602F6A" w14:textId="77777777" w:rsidR="001966A1" w:rsidRDefault="00D06D20" w:rsidP="00DE2888">
      <w:pPr>
        <w:pStyle w:val="ListParagraph"/>
        <w:numPr>
          <w:ilvl w:val="0"/>
          <w:numId w:val="30"/>
        </w:numPr>
        <w:rPr>
          <w:rFonts w:eastAsiaTheme="minorEastAsia"/>
        </w:rPr>
      </w:pPr>
      <w:r w:rsidRPr="00305DAC">
        <w:rPr>
          <w:rFonts w:eastAsiaTheme="minorEastAsia"/>
        </w:rPr>
        <w:t xml:space="preserve">During </w:t>
      </w:r>
      <w:r w:rsidR="006E2DAC" w:rsidRPr="00305DAC">
        <w:rPr>
          <w:rFonts w:eastAsiaTheme="minorEastAsia"/>
        </w:rPr>
        <w:t xml:space="preserve">the period </w:t>
      </w:r>
      <w:r w:rsidRPr="00305DAC">
        <w:rPr>
          <w:rFonts w:eastAsiaTheme="minorEastAsia"/>
        </w:rPr>
        <w:t xml:space="preserve">between </w:t>
      </w:r>
      <w:r w:rsidR="006E2DAC" w:rsidRPr="00305DAC">
        <w:rPr>
          <w:rFonts w:eastAsiaTheme="minorEastAsia"/>
        </w:rPr>
        <w:t xml:space="preserve">signing </w:t>
      </w:r>
      <w:r w:rsidR="00965305" w:rsidRPr="00305DAC">
        <w:rPr>
          <w:rFonts w:eastAsiaTheme="minorEastAsia"/>
        </w:rPr>
        <w:t xml:space="preserve">the Victorian </w:t>
      </w:r>
      <w:r w:rsidR="004A374D" w:rsidRPr="00305DAC">
        <w:rPr>
          <w:rFonts w:eastAsiaTheme="minorEastAsia"/>
        </w:rPr>
        <w:t>RFAs</w:t>
      </w:r>
      <w:r w:rsidR="006E2DAC" w:rsidRPr="00305DAC">
        <w:rPr>
          <w:rFonts w:eastAsiaTheme="minorEastAsia"/>
        </w:rPr>
        <w:t xml:space="preserve"> </w:t>
      </w:r>
      <w:r w:rsidRPr="00305DAC">
        <w:rPr>
          <w:rFonts w:eastAsiaTheme="minorEastAsia"/>
        </w:rPr>
        <w:t xml:space="preserve">and </w:t>
      </w:r>
      <w:r w:rsidR="00212AAB" w:rsidRPr="00305DAC">
        <w:rPr>
          <w:rFonts w:eastAsiaTheme="minorEastAsia"/>
        </w:rPr>
        <w:t>200</w:t>
      </w:r>
      <w:r w:rsidR="006E2DAC" w:rsidRPr="00305DAC">
        <w:rPr>
          <w:rFonts w:eastAsiaTheme="minorEastAsia"/>
        </w:rPr>
        <w:t>9</w:t>
      </w:r>
      <w:r w:rsidRPr="00305DAC">
        <w:rPr>
          <w:rFonts w:eastAsiaTheme="minorEastAsia"/>
        </w:rPr>
        <w:t>, a total of</w:t>
      </w:r>
      <w:r w:rsidR="00965305" w:rsidRPr="00305DAC">
        <w:rPr>
          <w:rFonts w:eastAsiaTheme="minorEastAsia"/>
        </w:rPr>
        <w:t xml:space="preserve"> </w:t>
      </w:r>
      <w:r w:rsidR="006E2DAC" w:rsidRPr="00305DAC">
        <w:rPr>
          <w:rFonts w:eastAsiaTheme="minorEastAsia"/>
        </w:rPr>
        <w:t>1.2</w:t>
      </w:r>
      <w:r w:rsidR="00634F5A" w:rsidRPr="00305DAC">
        <w:rPr>
          <w:rFonts w:eastAsiaTheme="minorEastAsia"/>
        </w:rPr>
        <w:t> </w:t>
      </w:r>
      <w:r w:rsidR="006E2DAC" w:rsidRPr="00305DAC">
        <w:rPr>
          <w:rFonts w:eastAsiaTheme="minorEastAsia"/>
        </w:rPr>
        <w:t xml:space="preserve">million hectares of multiple-use forest and 0.94 million hectares of nature conservation reserves were burnt </w:t>
      </w:r>
      <w:r w:rsidRPr="00305DAC">
        <w:rPr>
          <w:rFonts w:eastAsiaTheme="minorEastAsia"/>
        </w:rPr>
        <w:t xml:space="preserve">in Victoria </w:t>
      </w:r>
      <w:r w:rsidR="006E2DAC" w:rsidRPr="00305DAC">
        <w:rPr>
          <w:rFonts w:eastAsiaTheme="minorEastAsia"/>
        </w:rPr>
        <w:t>by intense</w:t>
      </w:r>
      <w:r w:rsidRPr="00305DAC">
        <w:rPr>
          <w:rFonts w:eastAsiaTheme="minorEastAsia"/>
        </w:rPr>
        <w:t>,</w:t>
      </w:r>
      <w:r w:rsidR="006E2DAC" w:rsidRPr="00305DAC">
        <w:rPr>
          <w:rFonts w:eastAsiaTheme="minorEastAsia"/>
        </w:rPr>
        <w:t xml:space="preserve"> broad</w:t>
      </w:r>
      <w:r w:rsidRPr="00305DAC">
        <w:rPr>
          <w:rFonts w:eastAsiaTheme="minorEastAsia"/>
        </w:rPr>
        <w:t>-</w:t>
      </w:r>
      <w:r w:rsidR="006E2DAC" w:rsidRPr="00305DAC">
        <w:rPr>
          <w:rFonts w:eastAsiaTheme="minorEastAsia"/>
        </w:rPr>
        <w:t>scale wildfi</w:t>
      </w:r>
      <w:r w:rsidR="0046072D" w:rsidRPr="00305DAC">
        <w:rPr>
          <w:rFonts w:eastAsiaTheme="minorEastAsia"/>
        </w:rPr>
        <w:t xml:space="preserve">res </w:t>
      </w:r>
      <w:r w:rsidR="00143263" w:rsidRPr="00305DAC">
        <w:rPr>
          <w:rFonts w:eastAsiaTheme="minorEastAsia"/>
        </w:rPr>
        <w:t xml:space="preserve">across </w:t>
      </w:r>
      <w:r w:rsidR="00F867BD" w:rsidRPr="00305DAC">
        <w:rPr>
          <w:rFonts w:eastAsiaTheme="minorEastAsia"/>
        </w:rPr>
        <w:t xml:space="preserve">three </w:t>
      </w:r>
      <w:r w:rsidRPr="00305DAC">
        <w:rPr>
          <w:rFonts w:eastAsiaTheme="minorEastAsia"/>
        </w:rPr>
        <w:t xml:space="preserve">fire seasons </w:t>
      </w:r>
      <w:r w:rsidR="0046072D" w:rsidRPr="00305DAC">
        <w:rPr>
          <w:rFonts w:eastAsiaTheme="minorEastAsia"/>
        </w:rPr>
        <w:t>(2002</w:t>
      </w:r>
      <w:r w:rsidR="0091706C" w:rsidRPr="00305DAC">
        <w:rPr>
          <w:rFonts w:eastAsiaTheme="minorEastAsia"/>
        </w:rPr>
        <w:t>–</w:t>
      </w:r>
      <w:r w:rsidR="0046072D" w:rsidRPr="00305DAC">
        <w:rPr>
          <w:rFonts w:eastAsiaTheme="minorEastAsia"/>
        </w:rPr>
        <w:t>03, 2006</w:t>
      </w:r>
      <w:r w:rsidR="0091706C" w:rsidRPr="00305DAC">
        <w:rPr>
          <w:rFonts w:eastAsiaTheme="minorEastAsia"/>
        </w:rPr>
        <w:t>–</w:t>
      </w:r>
      <w:r w:rsidR="0046072D" w:rsidRPr="00305DAC">
        <w:rPr>
          <w:rFonts w:eastAsiaTheme="minorEastAsia"/>
        </w:rPr>
        <w:t xml:space="preserve">07 and 2009; </w:t>
      </w:r>
      <w:r w:rsidR="006E2DAC" w:rsidRPr="00305DAC">
        <w:rPr>
          <w:rFonts w:eastAsiaTheme="minorEastAsia"/>
        </w:rPr>
        <w:t>MIG and NFISC 2013)</w:t>
      </w:r>
      <w:r w:rsidR="00002CFC" w:rsidRPr="00305DAC">
        <w:rPr>
          <w:rFonts w:eastAsiaTheme="minorEastAsia"/>
        </w:rPr>
        <w:t>. The areas burnt</w:t>
      </w:r>
      <w:r w:rsidR="00143263" w:rsidRPr="00305DAC">
        <w:rPr>
          <w:rFonts w:eastAsiaTheme="minorEastAsia"/>
        </w:rPr>
        <w:t xml:space="preserve"> includ</w:t>
      </w:r>
      <w:r w:rsidR="00002CFC" w:rsidRPr="00305DAC">
        <w:rPr>
          <w:rFonts w:eastAsiaTheme="minorEastAsia"/>
        </w:rPr>
        <w:t>ed</w:t>
      </w:r>
      <w:r w:rsidR="00143263" w:rsidRPr="00305DAC">
        <w:rPr>
          <w:rFonts w:eastAsiaTheme="minorEastAsia"/>
        </w:rPr>
        <w:t xml:space="preserve"> </w:t>
      </w:r>
      <w:r w:rsidR="001127EB" w:rsidRPr="00305DAC">
        <w:rPr>
          <w:rFonts w:eastAsiaTheme="minorEastAsia"/>
        </w:rPr>
        <w:t>large areas of identified</w:t>
      </w:r>
      <w:r w:rsidR="00143263" w:rsidRPr="00305DAC">
        <w:rPr>
          <w:rFonts w:eastAsiaTheme="minorEastAsia"/>
        </w:rPr>
        <w:t xml:space="preserve"> old-growth forest</w:t>
      </w:r>
      <w:r w:rsidR="006E2DAC" w:rsidRPr="00305DAC">
        <w:rPr>
          <w:rFonts w:eastAsiaTheme="minorEastAsia"/>
        </w:rPr>
        <w:t>.</w:t>
      </w:r>
      <w:r w:rsidR="00E66907" w:rsidRPr="00305DAC">
        <w:rPr>
          <w:rFonts w:eastAsiaTheme="minorEastAsia"/>
        </w:rPr>
        <w:t xml:space="preserve"> In addition to </w:t>
      </w:r>
      <w:r w:rsidR="001148B0" w:rsidRPr="00305DAC">
        <w:rPr>
          <w:rFonts w:eastAsiaTheme="minorEastAsia"/>
        </w:rPr>
        <w:t xml:space="preserve">loss by </w:t>
      </w:r>
      <w:r w:rsidR="00E66907" w:rsidRPr="00305DAC">
        <w:rPr>
          <w:rFonts w:eastAsiaTheme="minorEastAsia"/>
        </w:rPr>
        <w:t xml:space="preserve">wildfire, some old-growth forest areas </w:t>
      </w:r>
      <w:r w:rsidR="00002CFC" w:rsidRPr="00305DAC">
        <w:rPr>
          <w:rFonts w:eastAsiaTheme="minorEastAsia"/>
        </w:rPr>
        <w:t xml:space="preserve">in Victoria </w:t>
      </w:r>
      <w:r w:rsidR="00E66907" w:rsidRPr="00305DAC">
        <w:rPr>
          <w:rFonts w:eastAsiaTheme="minorEastAsia"/>
        </w:rPr>
        <w:t xml:space="preserve">have been harvested. </w:t>
      </w:r>
    </w:p>
    <w:p w14:paraId="22D5FE19" w14:textId="02016BA0" w:rsidR="00295FA6" w:rsidRDefault="00295FA6" w:rsidP="00BF30CD">
      <w:pPr>
        <w:pStyle w:val="ListParagraph"/>
        <w:numPr>
          <w:ilvl w:val="0"/>
          <w:numId w:val="30"/>
        </w:numPr>
        <w:rPr>
          <w:rFonts w:eastAsiaTheme="minorEastAsia"/>
        </w:rPr>
      </w:pPr>
      <w:r w:rsidRPr="00305DAC">
        <w:rPr>
          <w:rFonts w:eastAsiaTheme="minorEastAsia"/>
        </w:rPr>
        <w:t>The 11 thousand hectare (3%) reduction in reported area of old-growth forest in the Western Australia RFA region was a result of improved mapping of old-growth forest, combined with loss from various agents including disease and fire. Subsequent to signing the Western Australia RFA, harvesting was excluded from all old-growth forest in that state, as a result of implementation of the state’s old-growth policy (</w:t>
      </w:r>
      <w:r w:rsidRPr="009C7698">
        <w:t>Australian and Western Australian Governments 2013). T</w:t>
      </w:r>
      <w:r>
        <w:t xml:space="preserve">his resulted in the area of old-growth forest in formal and informal reserves in that region increasing to 0.32 million hectares, with a total of 0.33 million hectares in the CAR reserve </w:t>
      </w:r>
      <w:r w:rsidR="00BF30CD" w:rsidRPr="00BF30CD">
        <w:t>system (Table A7</w:t>
      </w:r>
      <w:r>
        <w:t>)</w:t>
      </w:r>
      <w:r w:rsidRPr="00305DAC">
        <w:rPr>
          <w:rFonts w:eastAsiaTheme="minorEastAsia"/>
        </w:rPr>
        <w:t xml:space="preserve">. </w:t>
      </w:r>
    </w:p>
    <w:p w14:paraId="674A5063" w14:textId="123744AC" w:rsidR="00A1522D" w:rsidRDefault="00C344A3" w:rsidP="001966A1">
      <w:pPr>
        <w:rPr>
          <w:rFonts w:eastAsiaTheme="minorEastAsia"/>
        </w:rPr>
      </w:pPr>
      <w:r w:rsidRPr="001966A1">
        <w:rPr>
          <w:rFonts w:eastAsiaTheme="minorEastAsia"/>
        </w:rPr>
        <w:t>Updated modell</w:t>
      </w:r>
      <w:r w:rsidR="00500348" w:rsidRPr="001966A1">
        <w:rPr>
          <w:rFonts w:eastAsiaTheme="minorEastAsia"/>
        </w:rPr>
        <w:t xml:space="preserve">ing of areas of </w:t>
      </w:r>
      <w:r w:rsidRPr="001966A1">
        <w:rPr>
          <w:rFonts w:eastAsiaTheme="minorEastAsia"/>
        </w:rPr>
        <w:t xml:space="preserve">old-growth </w:t>
      </w:r>
      <w:r w:rsidR="00500348" w:rsidRPr="001966A1">
        <w:rPr>
          <w:rFonts w:eastAsiaTheme="minorEastAsia"/>
        </w:rPr>
        <w:t xml:space="preserve">forest </w:t>
      </w:r>
      <w:r w:rsidRPr="001966A1">
        <w:rPr>
          <w:rFonts w:eastAsiaTheme="minorEastAsia"/>
        </w:rPr>
        <w:t>produced in 2018 (Victorian and Aust</w:t>
      </w:r>
      <w:r w:rsidR="0061462B" w:rsidRPr="001966A1">
        <w:rPr>
          <w:rFonts w:eastAsiaTheme="minorEastAsia"/>
        </w:rPr>
        <w:t>r</w:t>
      </w:r>
      <w:r w:rsidRPr="001966A1">
        <w:rPr>
          <w:rFonts w:eastAsiaTheme="minorEastAsia"/>
        </w:rPr>
        <w:t xml:space="preserve">alian </w:t>
      </w:r>
      <w:r w:rsidR="002408FD" w:rsidRPr="001966A1">
        <w:rPr>
          <w:rFonts w:eastAsiaTheme="minorEastAsia"/>
        </w:rPr>
        <w:t>G</w:t>
      </w:r>
      <w:r w:rsidRPr="001966A1">
        <w:rPr>
          <w:rFonts w:eastAsiaTheme="minorEastAsia"/>
        </w:rPr>
        <w:t xml:space="preserve">overnments 2019) </w:t>
      </w:r>
      <w:r w:rsidR="0061462B" w:rsidRPr="00C10FE7">
        <w:t>reported</w:t>
      </w:r>
      <w:r w:rsidR="00CC423C">
        <w:t xml:space="preserve"> </w:t>
      </w:r>
      <w:r w:rsidR="0039386E" w:rsidRPr="001966A1">
        <w:rPr>
          <w:rFonts w:eastAsiaTheme="minorEastAsia"/>
        </w:rPr>
        <w:t xml:space="preserve">old-growth forest </w:t>
      </w:r>
      <w:r w:rsidR="00096D30" w:rsidRPr="001966A1">
        <w:rPr>
          <w:rFonts w:eastAsiaTheme="minorEastAsia"/>
        </w:rPr>
        <w:t xml:space="preserve">in the Victorian RFA regions </w:t>
      </w:r>
      <w:r w:rsidR="0039386E" w:rsidRPr="001966A1">
        <w:rPr>
          <w:rFonts w:eastAsiaTheme="minorEastAsia"/>
        </w:rPr>
        <w:t xml:space="preserve">was 0.44 million hectares (52%) less than the area of old-growth forest identified prior to signing of the Victorian </w:t>
      </w:r>
      <w:r w:rsidR="00BF30CD" w:rsidRPr="00BF30CD">
        <w:rPr>
          <w:rFonts w:eastAsiaTheme="minorEastAsia"/>
        </w:rPr>
        <w:t>RFAs (Table A7</w:t>
      </w:r>
      <w:r w:rsidR="0039386E" w:rsidRPr="001966A1">
        <w:rPr>
          <w:rFonts w:eastAsiaTheme="minorEastAsia"/>
        </w:rPr>
        <w:t xml:space="preserve">). This included a 67% decrease in the area of old-growth forest in the Central Highlands RFA region of Victoria. This modelling also identified </w:t>
      </w:r>
      <w:r w:rsidR="00CC423C">
        <w:t>old-growth forest in</w:t>
      </w:r>
      <w:r w:rsidR="00A750B1">
        <w:t xml:space="preserve"> 167 </w:t>
      </w:r>
      <w:r w:rsidR="00CC423C">
        <w:t>ecosystems (</w:t>
      </w:r>
      <w:r w:rsidR="0061462B" w:rsidRPr="00C10FE7">
        <w:t>EVCs</w:t>
      </w:r>
      <w:r w:rsidR="00CC423C">
        <w:t>)</w:t>
      </w:r>
      <w:r w:rsidR="0061462B" w:rsidRPr="00C10FE7">
        <w:t xml:space="preserve"> a</w:t>
      </w:r>
      <w:r w:rsidR="00CC423C">
        <w:t xml:space="preserve">cross the Victorian RFA regions – </w:t>
      </w:r>
      <w:r w:rsidR="0061462B" w:rsidRPr="00C10FE7">
        <w:t>66 more than the 101 old-growth forest types identified prior to the signing of the RFAs</w:t>
      </w:r>
      <w:r w:rsidR="00CC423C">
        <w:t xml:space="preserve">. </w:t>
      </w:r>
      <w:r w:rsidR="00AC1459" w:rsidRPr="001966A1">
        <w:rPr>
          <w:rFonts w:eastAsiaTheme="minorEastAsia"/>
        </w:rPr>
        <w:t xml:space="preserve">Although the area of mapped old-growth forest has decreased, the number of old-growth forest </w:t>
      </w:r>
      <w:r w:rsidR="0039386E" w:rsidRPr="001966A1">
        <w:rPr>
          <w:rFonts w:eastAsiaTheme="minorEastAsia"/>
        </w:rPr>
        <w:t>ecosystems</w:t>
      </w:r>
      <w:r w:rsidR="00AC1459" w:rsidRPr="001966A1">
        <w:rPr>
          <w:rFonts w:eastAsiaTheme="minorEastAsia"/>
        </w:rPr>
        <w:t xml:space="preserve"> has increased as a result of changes in mapping methods, and there are now numerous old-growth </w:t>
      </w:r>
      <w:r w:rsidR="0039386E" w:rsidRPr="001966A1">
        <w:rPr>
          <w:rFonts w:eastAsiaTheme="minorEastAsia"/>
        </w:rPr>
        <w:t>ecosystems</w:t>
      </w:r>
      <w:r w:rsidR="00096D30" w:rsidRPr="001966A1">
        <w:rPr>
          <w:rFonts w:eastAsiaTheme="minorEastAsia"/>
        </w:rPr>
        <w:t xml:space="preserve"> with very small (&lt;50 </w:t>
      </w:r>
      <w:r w:rsidR="00AC1459" w:rsidRPr="001966A1">
        <w:rPr>
          <w:rFonts w:eastAsiaTheme="minorEastAsia"/>
        </w:rPr>
        <w:t>ha) areas.</w:t>
      </w:r>
    </w:p>
    <w:p w14:paraId="7BA43F2A" w14:textId="2847A292" w:rsidR="00936AED" w:rsidRPr="001966A1" w:rsidRDefault="006307A0" w:rsidP="001966A1">
      <w:pPr>
        <w:rPr>
          <w:rFonts w:eastAsiaTheme="minorEastAsia"/>
        </w:rPr>
      </w:pPr>
      <w:r w:rsidRPr="001966A1">
        <w:rPr>
          <w:rFonts w:eastAsiaTheme="minorEastAsia"/>
        </w:rPr>
        <w:t xml:space="preserve">The majority </w:t>
      </w:r>
      <w:r w:rsidR="007F65BD" w:rsidRPr="001966A1">
        <w:rPr>
          <w:rFonts w:eastAsiaTheme="minorEastAsia"/>
        </w:rPr>
        <w:t>(</w:t>
      </w:r>
      <w:r w:rsidR="006E2DAC" w:rsidRPr="001966A1">
        <w:rPr>
          <w:rFonts w:eastAsiaTheme="minorEastAsia"/>
        </w:rPr>
        <w:t>6</w:t>
      </w:r>
      <w:r w:rsidR="00EC726B" w:rsidRPr="001966A1">
        <w:rPr>
          <w:rFonts w:eastAsiaTheme="minorEastAsia"/>
        </w:rPr>
        <w:t>6</w:t>
      </w:r>
      <w:r w:rsidR="007F65BD" w:rsidRPr="001966A1">
        <w:rPr>
          <w:rFonts w:eastAsiaTheme="minorEastAsia"/>
        </w:rPr>
        <w:t>%</w:t>
      </w:r>
      <w:r w:rsidR="00CA1CC7" w:rsidRPr="001966A1">
        <w:rPr>
          <w:rFonts w:eastAsiaTheme="minorEastAsia"/>
        </w:rPr>
        <w:t>,</w:t>
      </w:r>
      <w:r w:rsidR="007F65BD" w:rsidRPr="001966A1">
        <w:rPr>
          <w:rFonts w:eastAsiaTheme="minorEastAsia"/>
        </w:rPr>
        <w:t xml:space="preserve"> </w:t>
      </w:r>
      <w:r w:rsidR="0044231C" w:rsidRPr="001966A1">
        <w:rPr>
          <w:rFonts w:eastAsiaTheme="minorEastAsia"/>
        </w:rPr>
        <w:t>0.</w:t>
      </w:r>
      <w:r w:rsidR="007F65BD" w:rsidRPr="001966A1">
        <w:rPr>
          <w:rFonts w:eastAsiaTheme="minorEastAsia"/>
        </w:rPr>
        <w:t>2</w:t>
      </w:r>
      <w:r w:rsidR="0044231C" w:rsidRPr="001966A1">
        <w:rPr>
          <w:rFonts w:eastAsiaTheme="minorEastAsia"/>
        </w:rPr>
        <w:t>9</w:t>
      </w:r>
      <w:r w:rsidR="00FE656A" w:rsidRPr="001966A1">
        <w:rPr>
          <w:rFonts w:eastAsiaTheme="minorEastAsia"/>
        </w:rPr>
        <w:t xml:space="preserve"> </w:t>
      </w:r>
      <w:r w:rsidR="0044231C" w:rsidRPr="001966A1">
        <w:rPr>
          <w:rFonts w:eastAsiaTheme="minorEastAsia"/>
        </w:rPr>
        <w:t>million</w:t>
      </w:r>
      <w:r w:rsidR="007F65BD" w:rsidRPr="001966A1">
        <w:rPr>
          <w:rFonts w:eastAsiaTheme="minorEastAsia"/>
        </w:rPr>
        <w:t xml:space="preserve"> hectares</w:t>
      </w:r>
      <w:r w:rsidR="00BF30CD" w:rsidRPr="00BF30CD">
        <w:rPr>
          <w:rFonts w:eastAsiaTheme="minorEastAsia"/>
        </w:rPr>
        <w:t>; Table A8</w:t>
      </w:r>
      <w:r w:rsidR="007F65BD" w:rsidRPr="001966A1">
        <w:rPr>
          <w:rFonts w:eastAsiaTheme="minorEastAsia"/>
        </w:rPr>
        <w:t xml:space="preserve">) </w:t>
      </w:r>
      <w:r w:rsidR="005B51DE" w:rsidRPr="001966A1">
        <w:rPr>
          <w:rFonts w:eastAsiaTheme="minorEastAsia"/>
        </w:rPr>
        <w:t>of the reduction in old-growth forest area in Victoria</w:t>
      </w:r>
      <w:r w:rsidR="005B51DE" w:rsidRPr="001966A1">
        <w:rPr>
          <w:rFonts w:eastAsiaTheme="minorEastAsia"/>
          <w:i/>
        </w:rPr>
        <w:t xml:space="preserve"> </w:t>
      </w:r>
      <w:r w:rsidRPr="001966A1">
        <w:rPr>
          <w:rFonts w:eastAsiaTheme="minorEastAsia"/>
        </w:rPr>
        <w:t>was within the formal and informal reserve system</w:t>
      </w:r>
      <w:r w:rsidR="00936AED" w:rsidRPr="001966A1">
        <w:rPr>
          <w:rFonts w:eastAsiaTheme="minorEastAsia"/>
        </w:rPr>
        <w:t xml:space="preserve">, </w:t>
      </w:r>
      <w:r w:rsidR="00A52900" w:rsidRPr="001966A1">
        <w:rPr>
          <w:rFonts w:eastAsiaTheme="minorEastAsia"/>
        </w:rPr>
        <w:t xml:space="preserve">reflecting </w:t>
      </w:r>
      <w:r w:rsidR="00936AED" w:rsidRPr="001966A1">
        <w:rPr>
          <w:rFonts w:eastAsiaTheme="minorEastAsia"/>
        </w:rPr>
        <w:t xml:space="preserve">the proportion of </w:t>
      </w:r>
      <w:r w:rsidR="00A52900" w:rsidRPr="001966A1">
        <w:rPr>
          <w:rFonts w:eastAsiaTheme="minorEastAsia"/>
        </w:rPr>
        <w:t xml:space="preserve">old-growth forest in </w:t>
      </w:r>
      <w:r w:rsidR="001148B0" w:rsidRPr="001966A1">
        <w:rPr>
          <w:rFonts w:eastAsiaTheme="minorEastAsia"/>
        </w:rPr>
        <w:t>reserves</w:t>
      </w:r>
      <w:r w:rsidR="007F65BD" w:rsidRPr="001966A1">
        <w:rPr>
          <w:rFonts w:eastAsiaTheme="minorEastAsia"/>
        </w:rPr>
        <w:t xml:space="preserve">. </w:t>
      </w:r>
      <w:r w:rsidR="00BF1E32" w:rsidRPr="001966A1">
        <w:rPr>
          <w:rFonts w:eastAsiaTheme="minorEastAsia"/>
        </w:rPr>
        <w:t xml:space="preserve">Losses </w:t>
      </w:r>
      <w:r w:rsidR="001148B0" w:rsidRPr="001966A1">
        <w:rPr>
          <w:rFonts w:eastAsiaTheme="minorEastAsia"/>
        </w:rPr>
        <w:t xml:space="preserve">of old-growth forest </w:t>
      </w:r>
      <w:r w:rsidR="00BF1E32" w:rsidRPr="001966A1">
        <w:rPr>
          <w:rFonts w:eastAsiaTheme="minorEastAsia"/>
        </w:rPr>
        <w:t>from non-reserve</w:t>
      </w:r>
      <w:r w:rsidR="00936AED" w:rsidRPr="001966A1">
        <w:rPr>
          <w:rFonts w:eastAsiaTheme="minorEastAsia"/>
        </w:rPr>
        <w:t xml:space="preserve"> area</w:t>
      </w:r>
      <w:r w:rsidR="00BF1E32" w:rsidRPr="001966A1">
        <w:rPr>
          <w:rFonts w:eastAsiaTheme="minorEastAsia"/>
        </w:rPr>
        <w:t>s w</w:t>
      </w:r>
      <w:r w:rsidR="00BD11CD" w:rsidRPr="001966A1">
        <w:rPr>
          <w:rFonts w:eastAsiaTheme="minorEastAsia"/>
        </w:rPr>
        <w:t>ere</w:t>
      </w:r>
      <w:r w:rsidR="00BF1E32" w:rsidRPr="001966A1">
        <w:rPr>
          <w:rFonts w:eastAsiaTheme="minorEastAsia"/>
        </w:rPr>
        <w:t xml:space="preserve"> primarily a result of </w:t>
      </w:r>
      <w:r w:rsidR="00C303AD">
        <w:rPr>
          <w:rFonts w:eastAsiaTheme="minorEastAsia"/>
        </w:rPr>
        <w:t>wild</w:t>
      </w:r>
      <w:r w:rsidR="00BD11CD" w:rsidRPr="001966A1">
        <w:rPr>
          <w:rFonts w:eastAsiaTheme="minorEastAsia"/>
        </w:rPr>
        <w:t>fires</w:t>
      </w:r>
      <w:r w:rsidR="00936AED" w:rsidRPr="001966A1">
        <w:rPr>
          <w:rFonts w:eastAsiaTheme="minorEastAsia"/>
        </w:rPr>
        <w:t>,</w:t>
      </w:r>
      <w:r w:rsidR="00BD11CD" w:rsidRPr="001966A1">
        <w:rPr>
          <w:rFonts w:eastAsiaTheme="minorEastAsia"/>
        </w:rPr>
        <w:t xml:space="preserve"> but include</w:t>
      </w:r>
      <w:r w:rsidR="005E185C" w:rsidRPr="001966A1">
        <w:rPr>
          <w:rFonts w:eastAsiaTheme="minorEastAsia"/>
        </w:rPr>
        <w:t>d</w:t>
      </w:r>
      <w:r w:rsidR="00BF1E32" w:rsidRPr="001966A1">
        <w:rPr>
          <w:rFonts w:eastAsiaTheme="minorEastAsia"/>
        </w:rPr>
        <w:t xml:space="preserve"> some </w:t>
      </w:r>
      <w:r w:rsidR="00936AED" w:rsidRPr="001966A1">
        <w:rPr>
          <w:rFonts w:eastAsiaTheme="minorEastAsia"/>
        </w:rPr>
        <w:t xml:space="preserve">loss due to </w:t>
      </w:r>
      <w:r w:rsidR="00BF1E32" w:rsidRPr="001966A1">
        <w:rPr>
          <w:rFonts w:eastAsiaTheme="minorEastAsia"/>
        </w:rPr>
        <w:t xml:space="preserve">harvesting </w:t>
      </w:r>
      <w:r w:rsidR="00BD11CD" w:rsidRPr="001966A1">
        <w:rPr>
          <w:rFonts w:eastAsiaTheme="minorEastAsia"/>
        </w:rPr>
        <w:t>(Australian and Victorian Governments 2009)</w:t>
      </w:r>
      <w:r w:rsidR="00BF1E32" w:rsidRPr="001966A1">
        <w:rPr>
          <w:rFonts w:eastAsiaTheme="minorEastAsia"/>
        </w:rPr>
        <w:t>.</w:t>
      </w:r>
      <w:r w:rsidR="00CB1833" w:rsidRPr="009C7698">
        <w:t xml:space="preserve"> </w:t>
      </w:r>
      <w:r w:rsidR="001148B0" w:rsidRPr="009C7698">
        <w:t xml:space="preserve">The old-growth forest areas burnt by wildfire or harvested </w:t>
      </w:r>
      <w:r w:rsidR="00384759" w:rsidRPr="009C7698">
        <w:t>have become</w:t>
      </w:r>
      <w:r w:rsidR="00CB1833" w:rsidRPr="009C7698">
        <w:t xml:space="preserve"> </w:t>
      </w:r>
      <w:r w:rsidR="00002CFC">
        <w:t xml:space="preserve">either </w:t>
      </w:r>
      <w:r w:rsidR="00CB1833" w:rsidRPr="009C7698">
        <w:t xml:space="preserve">regrowth </w:t>
      </w:r>
      <w:r w:rsidR="00002CFC">
        <w:t xml:space="preserve">or </w:t>
      </w:r>
      <w:r w:rsidR="00CB1833" w:rsidRPr="009C7698">
        <w:t>mixed aged-forest</w:t>
      </w:r>
      <w:r w:rsidR="00384759" w:rsidRPr="009C7698">
        <w:t>.</w:t>
      </w:r>
      <w:r w:rsidR="00FE7A40">
        <w:t xml:space="preserve"> </w:t>
      </w:r>
    </w:p>
    <w:p w14:paraId="2107C5B5" w14:textId="39ACD610" w:rsidR="00B115C7" w:rsidRPr="00DE2888" w:rsidRDefault="008E2DD2" w:rsidP="00096D30">
      <w:pPr>
        <w:pStyle w:val="Heading3"/>
        <w:spacing w:before="0" w:after="0"/>
        <w:ind w:left="964" w:hanging="964"/>
        <w:rPr>
          <w:bCs/>
          <w:color w:val="FF7900"/>
          <w:sz w:val="36"/>
        </w:rPr>
      </w:pPr>
      <w:bookmarkStart w:id="23" w:name="_Toc58312589"/>
      <w:r>
        <w:rPr>
          <w:bCs/>
          <w:color w:val="FF7900"/>
          <w:sz w:val="36"/>
        </w:rPr>
        <w:lastRenderedPageBreak/>
        <w:t>4</w:t>
      </w:r>
      <w:r w:rsidR="00DE2888">
        <w:rPr>
          <w:bCs/>
          <w:color w:val="FF7900"/>
          <w:sz w:val="36"/>
        </w:rPr>
        <w:t>.3</w:t>
      </w:r>
      <w:r w:rsidR="00DE2888">
        <w:rPr>
          <w:bCs/>
          <w:color w:val="FF7900"/>
          <w:sz w:val="36"/>
        </w:rPr>
        <w:tab/>
      </w:r>
      <w:r w:rsidR="00B115C7" w:rsidRPr="00DE2888">
        <w:rPr>
          <w:bCs/>
          <w:color w:val="FF7900"/>
          <w:sz w:val="36"/>
        </w:rPr>
        <w:t>Wilderness</w:t>
      </w:r>
      <w:bookmarkEnd w:id="23"/>
    </w:p>
    <w:p w14:paraId="6AF057E4" w14:textId="6E081E2C" w:rsidR="00C051F7" w:rsidRPr="009C7698" w:rsidRDefault="001A6F9A" w:rsidP="00096D30">
      <w:pPr>
        <w:keepNext/>
        <w:rPr>
          <w:rFonts w:eastAsiaTheme="minorEastAsia"/>
        </w:rPr>
      </w:pPr>
      <w:r w:rsidRPr="009C7698">
        <w:rPr>
          <w:rFonts w:eastAsiaTheme="minorEastAsia"/>
        </w:rPr>
        <w:t xml:space="preserve">The </w:t>
      </w:r>
      <w:r w:rsidRPr="00B72D66">
        <w:rPr>
          <w:rFonts w:eastAsiaTheme="minorEastAsia"/>
          <w:i/>
        </w:rPr>
        <w:t>National Forest Policy Statement</w:t>
      </w:r>
      <w:r w:rsidRPr="009C7698">
        <w:rPr>
          <w:rFonts w:eastAsiaTheme="minorEastAsia"/>
        </w:rPr>
        <w:t xml:space="preserve"> </w:t>
      </w:r>
      <w:r w:rsidR="0028162D" w:rsidRPr="009C7698">
        <w:t>(Commonwealth of Australia 1992a)</w:t>
      </w:r>
      <w:r w:rsidR="0054288D">
        <w:t xml:space="preserve"> and ABARES </w:t>
      </w:r>
      <w:r w:rsidR="00C303AD">
        <w:t>(</w:t>
      </w:r>
      <w:r w:rsidR="0054288D">
        <w:t>2020</w:t>
      </w:r>
      <w:r w:rsidR="00C303AD">
        <w:t>)</w:t>
      </w:r>
      <w:r w:rsidR="0028162D" w:rsidRPr="009C7698">
        <w:t xml:space="preserve"> </w:t>
      </w:r>
      <w:r w:rsidR="0028162D" w:rsidRPr="009C7698">
        <w:rPr>
          <w:rFonts w:eastAsiaTheme="minorEastAsia"/>
        </w:rPr>
        <w:t>defines</w:t>
      </w:r>
      <w:r w:rsidRPr="009C7698">
        <w:rPr>
          <w:rFonts w:eastAsiaTheme="minorEastAsia"/>
        </w:rPr>
        <w:t xml:space="preserve"> wilderness as</w:t>
      </w:r>
      <w:r w:rsidR="00C051F7" w:rsidRPr="009C7698">
        <w:rPr>
          <w:rFonts w:eastAsiaTheme="minorEastAsia"/>
        </w:rPr>
        <w:t>:</w:t>
      </w:r>
    </w:p>
    <w:p w14:paraId="4A3481A8" w14:textId="61414544" w:rsidR="00C051F7" w:rsidRPr="009C7698" w:rsidRDefault="001A6F9A" w:rsidP="00096D30">
      <w:pPr>
        <w:pStyle w:val="BodyText2"/>
        <w:keepLines/>
        <w:spacing w:before="240" w:line="240" w:lineRule="auto"/>
        <w:ind w:left="567" w:right="522"/>
        <w:rPr>
          <w:rFonts w:asciiTheme="majorHAnsi" w:hAnsiTheme="majorHAnsi"/>
        </w:rPr>
      </w:pPr>
      <w:r w:rsidRPr="009C7698">
        <w:rPr>
          <w:rFonts w:asciiTheme="majorHAnsi" w:eastAsiaTheme="minorEastAsia" w:hAnsiTheme="majorHAnsi"/>
          <w:i/>
          <w:sz w:val="20"/>
          <w:szCs w:val="22"/>
        </w:rPr>
        <w:t>land that, together with its plant and animal communities, is in a state that has not been substantially modified by, and is remote from, the influences of European settlement or is capable of being restored to such a state; is of sufficient size to make its maintenance in such a state feasible; and is capable of providing opportunities for solitude and self-reliant recreation.</w:t>
      </w:r>
    </w:p>
    <w:p w14:paraId="0CAB64EC" w14:textId="77777777" w:rsidR="00096D30" w:rsidRDefault="0028162D" w:rsidP="00DE2888">
      <w:pPr>
        <w:rPr>
          <w:rFonts w:eastAsiaTheme="minorEastAsia"/>
        </w:rPr>
      </w:pPr>
      <w:r w:rsidRPr="009C7698">
        <w:rPr>
          <w:rFonts w:eastAsiaTheme="minorEastAsia"/>
        </w:rPr>
        <w:t xml:space="preserve">While </w:t>
      </w:r>
      <w:r w:rsidR="00C051F7" w:rsidRPr="009C7698">
        <w:rPr>
          <w:rFonts w:eastAsiaTheme="minorEastAsia"/>
        </w:rPr>
        <w:t xml:space="preserve">the RFA process placed </w:t>
      </w:r>
      <w:r w:rsidRPr="009C7698">
        <w:rPr>
          <w:rFonts w:eastAsiaTheme="minorEastAsia"/>
        </w:rPr>
        <w:t>e</w:t>
      </w:r>
      <w:r w:rsidR="001A6F9A" w:rsidRPr="009C7698">
        <w:rPr>
          <w:rFonts w:eastAsiaTheme="minorEastAsia"/>
        </w:rPr>
        <w:t xml:space="preserve">mphasis on forested wilderness, </w:t>
      </w:r>
      <w:r w:rsidR="00C051F7" w:rsidRPr="009C7698">
        <w:rPr>
          <w:rFonts w:eastAsiaTheme="minorEastAsia"/>
        </w:rPr>
        <w:t xml:space="preserve">a mosaic of </w:t>
      </w:r>
      <w:r w:rsidR="001A6F9A" w:rsidRPr="009C7698">
        <w:rPr>
          <w:rFonts w:eastAsiaTheme="minorEastAsia"/>
        </w:rPr>
        <w:t xml:space="preserve">forest and non-forest vegetation types </w:t>
      </w:r>
      <w:r w:rsidR="00C051F7" w:rsidRPr="009C7698">
        <w:rPr>
          <w:rFonts w:eastAsiaTheme="minorEastAsia"/>
        </w:rPr>
        <w:t>was</w:t>
      </w:r>
      <w:r w:rsidR="003E1511" w:rsidRPr="009C7698">
        <w:rPr>
          <w:rFonts w:eastAsiaTheme="minorEastAsia"/>
        </w:rPr>
        <w:t xml:space="preserve"> and is</w:t>
      </w:r>
      <w:r w:rsidR="00C051F7" w:rsidRPr="009C7698">
        <w:rPr>
          <w:rFonts w:eastAsiaTheme="minorEastAsia"/>
        </w:rPr>
        <w:t xml:space="preserve"> </w:t>
      </w:r>
      <w:r w:rsidR="001A6F9A" w:rsidRPr="009C7698">
        <w:rPr>
          <w:rFonts w:eastAsiaTheme="minorEastAsia"/>
        </w:rPr>
        <w:t>included within largely</w:t>
      </w:r>
      <w:r w:rsidR="00C051F7" w:rsidRPr="009C7698">
        <w:rPr>
          <w:rFonts w:eastAsiaTheme="minorEastAsia"/>
        </w:rPr>
        <w:t xml:space="preserve"> </w:t>
      </w:r>
      <w:r w:rsidR="001A6F9A" w:rsidRPr="009C7698">
        <w:rPr>
          <w:rFonts w:eastAsiaTheme="minorEastAsia"/>
        </w:rPr>
        <w:t xml:space="preserve">forested wilderness areas (JANIS 1997). The combined extent of forest and non-forest ecosystems in wilderness areas </w:t>
      </w:r>
      <w:r w:rsidR="00D330D5" w:rsidRPr="009C7698">
        <w:rPr>
          <w:rFonts w:eastAsiaTheme="minorEastAsia"/>
        </w:rPr>
        <w:t xml:space="preserve">was </w:t>
      </w:r>
      <w:r w:rsidR="001A6F9A" w:rsidRPr="009C7698">
        <w:rPr>
          <w:rFonts w:eastAsiaTheme="minorEastAsia"/>
        </w:rPr>
        <w:t xml:space="preserve">used to determine whether potential wilderness areas met the JANIS (1997) </w:t>
      </w:r>
      <w:r w:rsidR="00CF4EF9">
        <w:rPr>
          <w:rFonts w:eastAsiaTheme="minorEastAsia"/>
        </w:rPr>
        <w:t xml:space="preserve">area </w:t>
      </w:r>
      <w:r w:rsidR="001A6F9A" w:rsidRPr="009C7698">
        <w:rPr>
          <w:rFonts w:eastAsiaTheme="minorEastAsia"/>
        </w:rPr>
        <w:t>thresholds</w:t>
      </w:r>
      <w:r w:rsidR="009D1AE6" w:rsidRPr="009C7698">
        <w:rPr>
          <w:rFonts w:eastAsiaTheme="minorEastAsia"/>
        </w:rPr>
        <w:t>,</w:t>
      </w:r>
      <w:r w:rsidR="00D330D5" w:rsidRPr="009C7698">
        <w:rPr>
          <w:rFonts w:eastAsiaTheme="minorEastAsia"/>
        </w:rPr>
        <w:t xml:space="preserve"> </w:t>
      </w:r>
      <w:r w:rsidR="001A3E1F">
        <w:rPr>
          <w:rFonts w:eastAsiaTheme="minorEastAsia"/>
        </w:rPr>
        <w:t>which were for</w:t>
      </w:r>
      <w:r w:rsidR="001A3E1F" w:rsidRPr="009C7698">
        <w:rPr>
          <w:rFonts w:eastAsiaTheme="minorEastAsia"/>
        </w:rPr>
        <w:t xml:space="preserve"> </w:t>
      </w:r>
      <w:r w:rsidR="00CF4EF9">
        <w:rPr>
          <w:rFonts w:eastAsiaTheme="minorEastAsia"/>
        </w:rPr>
        <w:t xml:space="preserve">individual </w:t>
      </w:r>
      <w:r w:rsidR="008622A4" w:rsidRPr="009C7698">
        <w:rPr>
          <w:rFonts w:eastAsiaTheme="minorEastAsia"/>
        </w:rPr>
        <w:t>areas encompassing forested wilderness to be greater than or equal to 8</w:t>
      </w:r>
      <w:r w:rsidR="0054288D">
        <w:rPr>
          <w:rFonts w:eastAsiaTheme="minorEastAsia"/>
        </w:rPr>
        <w:t> </w:t>
      </w:r>
      <w:r w:rsidR="00FE656A">
        <w:rPr>
          <w:rFonts w:eastAsiaTheme="minorEastAsia"/>
        </w:rPr>
        <w:t>thousand</w:t>
      </w:r>
      <w:r w:rsidR="00F0680F" w:rsidRPr="009C7698">
        <w:rPr>
          <w:rFonts w:eastAsiaTheme="minorEastAsia"/>
        </w:rPr>
        <w:t xml:space="preserve"> hectares</w:t>
      </w:r>
      <w:r w:rsidR="00D330D5" w:rsidRPr="009C7698">
        <w:rPr>
          <w:rFonts w:eastAsiaTheme="minorEastAsia"/>
        </w:rPr>
        <w:t>,</w:t>
      </w:r>
      <w:r w:rsidR="008622A4" w:rsidRPr="009C7698">
        <w:rPr>
          <w:rFonts w:eastAsiaTheme="minorEastAsia"/>
        </w:rPr>
        <w:t xml:space="preserve"> with lower size thresholds applying to areas contiguous with the sea or adjoining wilderness areas in adjacent regions. </w:t>
      </w:r>
      <w:r w:rsidR="000A45CE" w:rsidRPr="009C7698">
        <w:rPr>
          <w:rFonts w:eastAsiaTheme="minorEastAsia"/>
        </w:rPr>
        <w:t>F</w:t>
      </w:r>
      <w:r w:rsidR="008622A4" w:rsidRPr="009C7698">
        <w:rPr>
          <w:rFonts w:eastAsiaTheme="minorEastAsia"/>
        </w:rPr>
        <w:t xml:space="preserve">or the purpose of developing the CAR reserve system in </w:t>
      </w:r>
      <w:r w:rsidR="00C87770">
        <w:rPr>
          <w:rFonts w:eastAsiaTheme="minorEastAsia"/>
        </w:rPr>
        <w:t>RFA</w:t>
      </w:r>
      <w:r w:rsidR="008622A4" w:rsidRPr="009C7698">
        <w:rPr>
          <w:rFonts w:eastAsiaTheme="minorEastAsia"/>
        </w:rPr>
        <w:t xml:space="preserve"> </w:t>
      </w:r>
      <w:r w:rsidR="00274905">
        <w:rPr>
          <w:rFonts w:eastAsiaTheme="minorEastAsia"/>
        </w:rPr>
        <w:t>regions</w:t>
      </w:r>
      <w:r w:rsidR="000A45CE" w:rsidRPr="009C7698">
        <w:rPr>
          <w:rFonts w:eastAsiaTheme="minorEastAsia"/>
        </w:rPr>
        <w:t xml:space="preserve">, high-quality wilderness areas </w:t>
      </w:r>
      <w:r w:rsidR="008622A4" w:rsidRPr="009C7698">
        <w:rPr>
          <w:rFonts w:eastAsiaTheme="minorEastAsia"/>
        </w:rPr>
        <w:t>we</w:t>
      </w:r>
      <w:r w:rsidR="007255B7" w:rsidRPr="009C7698">
        <w:rPr>
          <w:rFonts w:eastAsiaTheme="minorEastAsia"/>
        </w:rPr>
        <w:t xml:space="preserve">re </w:t>
      </w:r>
      <w:r w:rsidR="003E1511" w:rsidRPr="009C7698">
        <w:rPr>
          <w:rFonts w:eastAsiaTheme="minorEastAsia"/>
        </w:rPr>
        <w:t xml:space="preserve">defined as </w:t>
      </w:r>
      <w:r w:rsidR="007255B7" w:rsidRPr="009C7698">
        <w:rPr>
          <w:rFonts w:eastAsiaTheme="minorEastAsia"/>
        </w:rPr>
        <w:t>areas of 8</w:t>
      </w:r>
      <w:r w:rsidR="00FE656A">
        <w:rPr>
          <w:rFonts w:eastAsiaTheme="minorEastAsia"/>
        </w:rPr>
        <w:t xml:space="preserve"> thousand</w:t>
      </w:r>
      <w:r w:rsidR="007255B7" w:rsidRPr="009C7698">
        <w:rPr>
          <w:rFonts w:eastAsiaTheme="minorEastAsia"/>
        </w:rPr>
        <w:t xml:space="preserve"> hectares or more with a National Wilderness Inventory (NWI) wilderness quality of greater than or equal to 12</w:t>
      </w:r>
      <w:r w:rsidR="00096D30">
        <w:rPr>
          <w:rFonts w:eastAsiaTheme="minorEastAsia"/>
        </w:rPr>
        <w:t xml:space="preserve"> (see Lesslie and Maslen 1995).</w:t>
      </w:r>
    </w:p>
    <w:p w14:paraId="5A7B3251" w14:textId="3C6570E8" w:rsidR="007255B7" w:rsidRPr="009C7698" w:rsidRDefault="00096D30" w:rsidP="00DE2888">
      <w:pPr>
        <w:rPr>
          <w:rFonts w:eastAsiaTheme="minorEastAsia"/>
        </w:rPr>
      </w:pPr>
      <w:r>
        <w:rPr>
          <w:rFonts w:eastAsiaTheme="minorEastAsia"/>
          <w:i/>
        </w:rPr>
        <w:t xml:space="preserve">Australia’s State of the Forests Report 1998 </w:t>
      </w:r>
      <w:r>
        <w:rPr>
          <w:rFonts w:eastAsiaTheme="minorEastAsia"/>
        </w:rPr>
        <w:t xml:space="preserve">(National Forest Inventory </w:t>
      </w:r>
      <w:r w:rsidR="002D0BC6" w:rsidRPr="009C7698">
        <w:rPr>
          <w:rFonts w:eastAsiaTheme="minorEastAsia"/>
        </w:rPr>
        <w:t>1998</w:t>
      </w:r>
      <w:r w:rsidR="001A3E1F">
        <w:rPr>
          <w:rFonts w:eastAsiaTheme="minorEastAsia"/>
        </w:rPr>
        <w:t>),</w:t>
      </w:r>
      <w:r w:rsidR="00665BD9" w:rsidRPr="009C7698">
        <w:rPr>
          <w:rFonts w:eastAsiaTheme="minorEastAsia"/>
        </w:rPr>
        <w:t xml:space="preserve"> M</w:t>
      </w:r>
      <w:r w:rsidR="002D0BC6" w:rsidRPr="009C7698">
        <w:rPr>
          <w:rFonts w:eastAsiaTheme="minorEastAsia"/>
        </w:rPr>
        <w:t>ap 13</w:t>
      </w:r>
      <w:r w:rsidR="00665BD9" w:rsidRPr="009C7698">
        <w:rPr>
          <w:rStyle w:val="FootnoteReference"/>
          <w:rFonts w:asciiTheme="majorHAnsi" w:eastAsiaTheme="minorEastAsia" w:hAnsiTheme="majorHAnsi"/>
          <w:szCs w:val="22"/>
        </w:rPr>
        <w:footnoteReference w:id="7"/>
      </w:r>
      <w:r w:rsidR="001A3E1F">
        <w:rPr>
          <w:rFonts w:eastAsiaTheme="minorEastAsia"/>
        </w:rPr>
        <w:t>,</w:t>
      </w:r>
      <w:r w:rsidR="002D0BC6" w:rsidRPr="009C7698">
        <w:rPr>
          <w:rFonts w:eastAsiaTheme="minorEastAsia"/>
        </w:rPr>
        <w:t xml:space="preserve"> shows the Australian distribution of “formally recognised” </w:t>
      </w:r>
      <w:r w:rsidR="000A45CE" w:rsidRPr="009C7698">
        <w:rPr>
          <w:rFonts w:eastAsiaTheme="minorEastAsia"/>
        </w:rPr>
        <w:t xml:space="preserve">(high-quality) </w:t>
      </w:r>
      <w:r w:rsidR="002D0BC6" w:rsidRPr="009C7698">
        <w:rPr>
          <w:rFonts w:eastAsiaTheme="minorEastAsia"/>
        </w:rPr>
        <w:t xml:space="preserve">wilderness </w:t>
      </w:r>
      <w:r w:rsidR="000A45CE" w:rsidRPr="009C7698">
        <w:rPr>
          <w:rFonts w:eastAsiaTheme="minorEastAsia"/>
        </w:rPr>
        <w:t xml:space="preserve">areas </w:t>
      </w:r>
      <w:r w:rsidR="002D0BC6" w:rsidRPr="009C7698">
        <w:rPr>
          <w:rFonts w:eastAsiaTheme="minorEastAsia"/>
        </w:rPr>
        <w:t>containing forest that w</w:t>
      </w:r>
      <w:r w:rsidR="00A62DCE" w:rsidRPr="009C7698">
        <w:rPr>
          <w:rFonts w:eastAsiaTheme="minorEastAsia"/>
        </w:rPr>
        <w:t>ere</w:t>
      </w:r>
      <w:r w:rsidR="002D0BC6" w:rsidRPr="009C7698">
        <w:rPr>
          <w:rFonts w:eastAsiaTheme="minorEastAsia"/>
        </w:rPr>
        <w:t xml:space="preserve"> used for wilderness assessment during the development of </w:t>
      </w:r>
      <w:r w:rsidR="00D02B78">
        <w:rPr>
          <w:rFonts w:eastAsiaTheme="minorEastAsia"/>
        </w:rPr>
        <w:t>RFAs</w:t>
      </w:r>
      <w:r w:rsidR="002D0BC6" w:rsidRPr="009C7698">
        <w:rPr>
          <w:rFonts w:eastAsiaTheme="minorEastAsia"/>
        </w:rPr>
        <w:t xml:space="preserve">. </w:t>
      </w:r>
      <w:r w:rsidR="00A210A9" w:rsidRPr="009C7698">
        <w:rPr>
          <w:rFonts w:eastAsiaTheme="minorEastAsia"/>
        </w:rPr>
        <w:t xml:space="preserve">The JANIS (1997) target stipulated that </w:t>
      </w:r>
      <w:r w:rsidR="003E1511" w:rsidRPr="009C7698">
        <w:rPr>
          <w:rFonts w:eastAsiaTheme="minorEastAsia"/>
        </w:rPr>
        <w:t>“</w:t>
      </w:r>
      <w:r w:rsidR="00A210A9" w:rsidRPr="009C7698">
        <w:rPr>
          <w:rFonts w:eastAsiaTheme="minorEastAsia"/>
        </w:rPr>
        <w:t>ninety percent, or more if practicable, of the area of high quality wilderness that meet minimum area requirements should be protected in reserves</w:t>
      </w:r>
      <w:r w:rsidR="003E1511" w:rsidRPr="009C7698">
        <w:rPr>
          <w:rFonts w:eastAsiaTheme="minorEastAsia"/>
        </w:rPr>
        <w:t>”</w:t>
      </w:r>
      <w:r w:rsidR="00A210A9" w:rsidRPr="009C7698">
        <w:rPr>
          <w:rFonts w:eastAsiaTheme="minorEastAsia"/>
        </w:rPr>
        <w:t xml:space="preserve"> (see Davey 201</w:t>
      </w:r>
      <w:r w:rsidR="009534E1">
        <w:rPr>
          <w:rFonts w:eastAsiaTheme="minorEastAsia"/>
        </w:rPr>
        <w:t>8</w:t>
      </w:r>
      <w:r w:rsidR="00A210A9" w:rsidRPr="009C7698">
        <w:rPr>
          <w:rFonts w:eastAsiaTheme="minorEastAsia"/>
        </w:rPr>
        <w:t>).</w:t>
      </w:r>
    </w:p>
    <w:p w14:paraId="2F0867AC" w14:textId="1B510490" w:rsidR="005B2C2D" w:rsidRDefault="00BF30CD" w:rsidP="005B2C2D">
      <w:pPr>
        <w:rPr>
          <w:rFonts w:eastAsiaTheme="minorEastAsia"/>
        </w:rPr>
      </w:pPr>
      <w:r w:rsidRPr="00BF30CD">
        <w:rPr>
          <w:rFonts w:eastAsiaTheme="minorEastAsia"/>
        </w:rPr>
        <w:t>Figure 4 s</w:t>
      </w:r>
      <w:r w:rsidR="005B2C2D">
        <w:rPr>
          <w:rFonts w:eastAsiaTheme="minorEastAsia"/>
        </w:rPr>
        <w:t>ummarises the total area of wilderness in RFA regions by state, and the area in reserves and the CAR reserve system at different periods before and after signing of the RFAs.</w:t>
      </w:r>
    </w:p>
    <w:p w14:paraId="68669270" w14:textId="10A80CD2" w:rsidR="00305DAC" w:rsidRDefault="00BD11CD" w:rsidP="00DE2888">
      <w:pPr>
        <w:rPr>
          <w:rFonts w:eastAsiaTheme="minorEastAsia"/>
        </w:rPr>
      </w:pPr>
      <w:r w:rsidRPr="009C7698">
        <w:rPr>
          <w:rFonts w:eastAsiaTheme="minorEastAsia"/>
        </w:rPr>
        <w:t>Collectively</w:t>
      </w:r>
      <w:r w:rsidR="000A45CE" w:rsidRPr="009C7698">
        <w:rPr>
          <w:rFonts w:eastAsiaTheme="minorEastAsia"/>
        </w:rPr>
        <w:t xml:space="preserve">, </w:t>
      </w:r>
      <w:r w:rsidR="00096D30">
        <w:rPr>
          <w:rFonts w:eastAsiaTheme="minorEastAsia"/>
        </w:rPr>
        <w:t xml:space="preserve">signing of </w:t>
      </w:r>
      <w:r w:rsidR="000A45CE" w:rsidRPr="009C7698">
        <w:rPr>
          <w:rFonts w:eastAsiaTheme="minorEastAsia"/>
        </w:rPr>
        <w:t>the</w:t>
      </w:r>
      <w:r w:rsidRPr="009C7698">
        <w:rPr>
          <w:rFonts w:eastAsiaTheme="minorEastAsia"/>
        </w:rPr>
        <w:t xml:space="preserve"> </w:t>
      </w:r>
      <w:r w:rsidR="00D02B78">
        <w:rPr>
          <w:rFonts w:eastAsiaTheme="minorEastAsia"/>
        </w:rPr>
        <w:t>RFAs</w:t>
      </w:r>
      <w:r w:rsidRPr="009C7698">
        <w:rPr>
          <w:rFonts w:eastAsiaTheme="minorEastAsia"/>
        </w:rPr>
        <w:t xml:space="preserve"> resulted in </w:t>
      </w:r>
      <w:r w:rsidR="000A45CE" w:rsidRPr="009C7698">
        <w:rPr>
          <w:rFonts w:eastAsiaTheme="minorEastAsia"/>
        </w:rPr>
        <w:t xml:space="preserve">the area of reserved wilderness across all the RFA regions increasing to </w:t>
      </w:r>
      <w:r w:rsidR="00D02B78">
        <w:rPr>
          <w:rFonts w:eastAsiaTheme="minorEastAsia"/>
        </w:rPr>
        <w:t>3.7</w:t>
      </w:r>
      <w:r w:rsidR="009D1AE6" w:rsidRPr="009C7698">
        <w:rPr>
          <w:rFonts w:eastAsiaTheme="minorEastAsia"/>
        </w:rPr>
        <w:t xml:space="preserve"> million </w:t>
      </w:r>
      <w:r w:rsidRPr="009C7698">
        <w:rPr>
          <w:rFonts w:eastAsiaTheme="minorEastAsia"/>
        </w:rPr>
        <w:t>hectares</w:t>
      </w:r>
      <w:r w:rsidR="000A45CE" w:rsidRPr="009C7698">
        <w:rPr>
          <w:rFonts w:eastAsiaTheme="minorEastAsia"/>
        </w:rPr>
        <w:t>,</w:t>
      </w:r>
      <w:r w:rsidRPr="009C7698">
        <w:rPr>
          <w:rFonts w:eastAsiaTheme="minorEastAsia"/>
        </w:rPr>
        <w:t xml:space="preserve"> </w:t>
      </w:r>
      <w:r w:rsidR="00BF30CD" w:rsidRPr="00BF30CD">
        <w:rPr>
          <w:rFonts w:eastAsiaTheme="minorEastAsia"/>
        </w:rPr>
        <w:t>with 0.33 million hectares of wilderness added to the reserve system as formal and informal reserves (Table A9</w:t>
      </w:r>
      <w:r w:rsidR="00957C99" w:rsidRPr="009C7698">
        <w:rPr>
          <w:rFonts w:eastAsiaTheme="minorEastAsia"/>
        </w:rPr>
        <w:t>)</w:t>
      </w:r>
      <w:r w:rsidR="0086526F" w:rsidRPr="009C7698">
        <w:rPr>
          <w:rFonts w:eastAsiaTheme="minorEastAsia"/>
        </w:rPr>
        <w:t>.</w:t>
      </w:r>
    </w:p>
    <w:p w14:paraId="05646D36" w14:textId="77777777" w:rsidR="00295FA6" w:rsidRDefault="00295FA6" w:rsidP="00295FA6">
      <w:pPr>
        <w:pStyle w:val="ListParagraph"/>
        <w:numPr>
          <w:ilvl w:val="0"/>
          <w:numId w:val="29"/>
        </w:numPr>
        <w:rPr>
          <w:rFonts w:eastAsiaTheme="minorEastAsia"/>
        </w:rPr>
      </w:pPr>
      <w:r w:rsidRPr="00305DAC">
        <w:rPr>
          <w:rFonts w:eastAsiaTheme="minorEastAsia"/>
        </w:rPr>
        <w:t>The New South Wales RFAs resulted in 0.15 million hectares of further wilderness being reserved, with the most notable reservation of wilderness being in the Upper North East RFA region, in which the area of wilderness increased by 47%. Australian and New South Wales Governments (2009) report that reservation of wilderness in New South Wales increased in 2006, and that nearly all wilderness on public lands in that state is reserved. However, no data on areas of reserved wilderness have been reported for New South Wales since the RFAs were signed.</w:t>
      </w:r>
    </w:p>
    <w:p w14:paraId="211BBD64" w14:textId="0D9E1FB5" w:rsidR="00305DAC" w:rsidRDefault="0086526F" w:rsidP="00BF30CD">
      <w:pPr>
        <w:pStyle w:val="ListParagraph"/>
        <w:numPr>
          <w:ilvl w:val="0"/>
          <w:numId w:val="29"/>
        </w:numPr>
        <w:rPr>
          <w:rFonts w:eastAsiaTheme="minorEastAsia"/>
        </w:rPr>
      </w:pPr>
      <w:r w:rsidRPr="00305DAC">
        <w:rPr>
          <w:rFonts w:eastAsiaTheme="minorEastAsia"/>
        </w:rPr>
        <w:t>A</w:t>
      </w:r>
      <w:r w:rsidR="00BD11CD" w:rsidRPr="00305DAC">
        <w:rPr>
          <w:rFonts w:eastAsiaTheme="minorEastAsia"/>
        </w:rPr>
        <w:t>nother 4</w:t>
      </w:r>
      <w:r w:rsidR="00D02B78" w:rsidRPr="00305DAC">
        <w:rPr>
          <w:rFonts w:eastAsiaTheme="minorEastAsia"/>
        </w:rPr>
        <w:t>5</w:t>
      </w:r>
      <w:r w:rsidR="00F0680F" w:rsidRPr="00305DAC">
        <w:rPr>
          <w:rFonts w:eastAsiaTheme="minorEastAsia"/>
        </w:rPr>
        <w:t xml:space="preserve"> thousand</w:t>
      </w:r>
      <w:r w:rsidR="00BD11CD" w:rsidRPr="00305DAC">
        <w:rPr>
          <w:rFonts w:eastAsiaTheme="minorEastAsia"/>
        </w:rPr>
        <w:t xml:space="preserve"> hectares</w:t>
      </w:r>
      <w:r w:rsidRPr="00305DAC">
        <w:rPr>
          <w:rFonts w:eastAsiaTheme="minorEastAsia"/>
        </w:rPr>
        <w:t xml:space="preserve"> </w:t>
      </w:r>
      <w:r w:rsidR="00305DAC">
        <w:rPr>
          <w:rFonts w:eastAsiaTheme="minorEastAsia"/>
        </w:rPr>
        <w:t xml:space="preserve">of wilderness </w:t>
      </w:r>
      <w:r w:rsidRPr="00305DAC">
        <w:rPr>
          <w:rFonts w:eastAsiaTheme="minorEastAsia"/>
        </w:rPr>
        <w:t>were</w:t>
      </w:r>
      <w:r w:rsidR="00BD11CD" w:rsidRPr="00305DAC">
        <w:rPr>
          <w:rFonts w:eastAsiaTheme="minorEastAsia"/>
        </w:rPr>
        <w:t xml:space="preserve"> </w:t>
      </w:r>
      <w:r w:rsidR="000A45CE" w:rsidRPr="00305DAC">
        <w:rPr>
          <w:rFonts w:eastAsiaTheme="minorEastAsia"/>
        </w:rPr>
        <w:t xml:space="preserve">subsequently </w:t>
      </w:r>
      <w:r w:rsidR="00BD11CD" w:rsidRPr="00305DAC">
        <w:rPr>
          <w:rFonts w:eastAsiaTheme="minorEastAsia"/>
        </w:rPr>
        <w:t>added by the Tasmanian Community Forest Agreement 2005</w:t>
      </w:r>
      <w:r w:rsidR="00096D30" w:rsidRPr="00305DAC">
        <w:rPr>
          <w:rFonts w:eastAsiaTheme="minorEastAsia"/>
        </w:rPr>
        <w:t>, and t</w:t>
      </w:r>
      <w:r w:rsidR="0028162D" w:rsidRPr="00305DAC">
        <w:rPr>
          <w:rFonts w:eastAsiaTheme="minorEastAsia"/>
        </w:rPr>
        <w:t xml:space="preserve">he Tasmanian </w:t>
      </w:r>
      <w:r w:rsidR="00B72D66" w:rsidRPr="00305DAC">
        <w:rPr>
          <w:rFonts w:eastAsiaTheme="minorEastAsia"/>
        </w:rPr>
        <w:t>RFA</w:t>
      </w:r>
      <w:r w:rsidR="0028162D" w:rsidRPr="00305DAC">
        <w:rPr>
          <w:rFonts w:eastAsiaTheme="minorEastAsia"/>
        </w:rPr>
        <w:t xml:space="preserve"> and </w:t>
      </w:r>
      <w:r w:rsidR="009D1AE6" w:rsidRPr="00305DAC">
        <w:rPr>
          <w:rFonts w:eastAsiaTheme="minorEastAsia"/>
        </w:rPr>
        <w:t xml:space="preserve">the </w:t>
      </w:r>
      <w:r w:rsidR="0028162D" w:rsidRPr="00305DAC">
        <w:rPr>
          <w:rFonts w:eastAsiaTheme="minorEastAsia"/>
        </w:rPr>
        <w:t xml:space="preserve">Tasmanian Community Forest Agreement 2005 </w:t>
      </w:r>
      <w:r w:rsidR="000A45CE" w:rsidRPr="00305DAC">
        <w:rPr>
          <w:rFonts w:eastAsiaTheme="minorEastAsia"/>
        </w:rPr>
        <w:t xml:space="preserve">together </w:t>
      </w:r>
      <w:r w:rsidR="0028162D" w:rsidRPr="00305DAC">
        <w:rPr>
          <w:rFonts w:eastAsiaTheme="minorEastAsia"/>
        </w:rPr>
        <w:t xml:space="preserve">added </w:t>
      </w:r>
      <w:r w:rsidR="0092500F" w:rsidRPr="00305DAC">
        <w:rPr>
          <w:rFonts w:eastAsiaTheme="minorEastAsia"/>
        </w:rPr>
        <w:t>0.</w:t>
      </w:r>
      <w:r w:rsidR="00D02B78" w:rsidRPr="00305DAC">
        <w:rPr>
          <w:rFonts w:eastAsiaTheme="minorEastAsia"/>
        </w:rPr>
        <w:t>22</w:t>
      </w:r>
      <w:r w:rsidR="0092500F" w:rsidRPr="00305DAC">
        <w:rPr>
          <w:rFonts w:eastAsiaTheme="minorEastAsia"/>
        </w:rPr>
        <w:t xml:space="preserve"> million</w:t>
      </w:r>
      <w:r w:rsidR="00D02B78" w:rsidRPr="00305DAC">
        <w:rPr>
          <w:rFonts w:eastAsiaTheme="minorEastAsia"/>
        </w:rPr>
        <w:t xml:space="preserve"> </w:t>
      </w:r>
      <w:r w:rsidR="0028162D" w:rsidRPr="00305DAC">
        <w:rPr>
          <w:rFonts w:eastAsiaTheme="minorEastAsia"/>
        </w:rPr>
        <w:t xml:space="preserve">hectares of wilderness to the Tasmanian reserve </w:t>
      </w:r>
      <w:r w:rsidR="00BF30CD" w:rsidRPr="00BF30CD">
        <w:rPr>
          <w:rFonts w:eastAsiaTheme="minorEastAsia"/>
        </w:rPr>
        <w:t>system (Table A9</w:t>
      </w:r>
      <w:r w:rsidR="00C14E82" w:rsidRPr="00305DAC">
        <w:rPr>
          <w:rFonts w:eastAsiaTheme="minorEastAsia"/>
        </w:rPr>
        <w:t>)</w:t>
      </w:r>
      <w:r w:rsidR="00305DAC">
        <w:rPr>
          <w:rFonts w:eastAsiaTheme="minorEastAsia"/>
        </w:rPr>
        <w:t>.</w:t>
      </w:r>
    </w:p>
    <w:p w14:paraId="5E5B7E17" w14:textId="77777777" w:rsidR="00305DAC" w:rsidRDefault="00C13BCE" w:rsidP="00DE2888">
      <w:pPr>
        <w:pStyle w:val="ListParagraph"/>
        <w:numPr>
          <w:ilvl w:val="0"/>
          <w:numId w:val="29"/>
        </w:numPr>
        <w:rPr>
          <w:rFonts w:eastAsiaTheme="minorEastAsia"/>
        </w:rPr>
      </w:pPr>
      <w:r w:rsidRPr="00305DAC">
        <w:rPr>
          <w:rFonts w:eastAsiaTheme="minorEastAsia"/>
        </w:rPr>
        <w:t xml:space="preserve">Victoria had already met the </w:t>
      </w:r>
      <w:r w:rsidR="00EB5EC1" w:rsidRPr="00305DAC">
        <w:rPr>
          <w:rFonts w:eastAsiaTheme="minorEastAsia"/>
        </w:rPr>
        <w:t xml:space="preserve">JANIS </w:t>
      </w:r>
      <w:r w:rsidRPr="00305DAC">
        <w:rPr>
          <w:rFonts w:eastAsiaTheme="minorEastAsia"/>
        </w:rPr>
        <w:t xml:space="preserve">target of 90% </w:t>
      </w:r>
      <w:r w:rsidR="009D1AE6" w:rsidRPr="00305DAC">
        <w:rPr>
          <w:rFonts w:eastAsiaTheme="minorEastAsia"/>
        </w:rPr>
        <w:t xml:space="preserve">of wilderness being in the CAR reserve system </w:t>
      </w:r>
      <w:r w:rsidRPr="00305DAC">
        <w:rPr>
          <w:rFonts w:eastAsiaTheme="minorEastAsia"/>
        </w:rPr>
        <w:t xml:space="preserve">before the signing of </w:t>
      </w:r>
      <w:r w:rsidR="00D02B78" w:rsidRPr="00305DAC">
        <w:rPr>
          <w:rFonts w:eastAsiaTheme="minorEastAsia"/>
        </w:rPr>
        <w:t>RFAs</w:t>
      </w:r>
      <w:r w:rsidR="003E1511" w:rsidRPr="00305DAC">
        <w:rPr>
          <w:rFonts w:eastAsiaTheme="minorEastAsia"/>
        </w:rPr>
        <w:t xml:space="preserve"> in that state</w:t>
      </w:r>
      <w:r w:rsidR="000A45CE" w:rsidRPr="00305DAC">
        <w:rPr>
          <w:rFonts w:eastAsiaTheme="minorEastAsia"/>
        </w:rPr>
        <w:t>,</w:t>
      </w:r>
      <w:r w:rsidRPr="00305DAC">
        <w:rPr>
          <w:rFonts w:eastAsiaTheme="minorEastAsia"/>
        </w:rPr>
        <w:t xml:space="preserve"> and no further wilderness was added to the reserve</w:t>
      </w:r>
      <w:r w:rsidR="00D02B78" w:rsidRPr="00305DAC">
        <w:rPr>
          <w:rFonts w:eastAsiaTheme="minorEastAsia"/>
        </w:rPr>
        <w:t xml:space="preserve"> system</w:t>
      </w:r>
      <w:r w:rsidRPr="00305DAC">
        <w:rPr>
          <w:rFonts w:eastAsiaTheme="minorEastAsia"/>
        </w:rPr>
        <w:t>.</w:t>
      </w:r>
    </w:p>
    <w:p w14:paraId="3BDBF878" w14:textId="28E68821" w:rsidR="007255B7" w:rsidRPr="00305DAC" w:rsidRDefault="00BF30CD" w:rsidP="00BF30CD">
      <w:pPr>
        <w:pStyle w:val="ListParagraph"/>
        <w:numPr>
          <w:ilvl w:val="0"/>
          <w:numId w:val="29"/>
        </w:numPr>
        <w:rPr>
          <w:rFonts w:eastAsiaTheme="minorEastAsia"/>
        </w:rPr>
      </w:pPr>
      <w:r w:rsidRPr="00BF30CD">
        <w:rPr>
          <w:rFonts w:eastAsiaTheme="minorEastAsia"/>
        </w:rPr>
        <w:t xml:space="preserve">Table A9 reports </w:t>
      </w:r>
      <w:r w:rsidR="006F7469" w:rsidRPr="00305DAC">
        <w:rPr>
          <w:rFonts w:eastAsiaTheme="minorEastAsia"/>
        </w:rPr>
        <w:t xml:space="preserve">no wilderness in the </w:t>
      </w:r>
      <w:r w:rsidR="007A4D33" w:rsidRPr="00305DAC">
        <w:rPr>
          <w:rFonts w:eastAsiaTheme="minorEastAsia"/>
        </w:rPr>
        <w:t xml:space="preserve">South-West </w:t>
      </w:r>
      <w:r w:rsidR="0091706C" w:rsidRPr="00305DAC">
        <w:rPr>
          <w:rFonts w:eastAsiaTheme="minorEastAsia"/>
        </w:rPr>
        <w:t xml:space="preserve">Forest Region of </w:t>
      </w:r>
      <w:r w:rsidR="00851047" w:rsidRPr="00305DAC">
        <w:rPr>
          <w:rFonts w:eastAsiaTheme="minorEastAsia"/>
        </w:rPr>
        <w:t xml:space="preserve">Western Australia </w:t>
      </w:r>
      <w:r w:rsidR="00B72D66" w:rsidRPr="00305DAC">
        <w:rPr>
          <w:rFonts w:eastAsiaTheme="minorEastAsia"/>
        </w:rPr>
        <w:t>RFA</w:t>
      </w:r>
      <w:r w:rsidR="006F7469" w:rsidRPr="00305DAC">
        <w:rPr>
          <w:rFonts w:eastAsiaTheme="minorEastAsia"/>
        </w:rPr>
        <w:t xml:space="preserve"> </w:t>
      </w:r>
      <w:r w:rsidR="00E448C1" w:rsidRPr="00305DAC">
        <w:rPr>
          <w:rFonts w:eastAsiaTheme="minorEastAsia"/>
        </w:rPr>
        <w:t>region</w:t>
      </w:r>
      <w:r w:rsidR="000A45CE" w:rsidRPr="00305DAC">
        <w:rPr>
          <w:rFonts w:eastAsiaTheme="minorEastAsia"/>
        </w:rPr>
        <w:t xml:space="preserve">, </w:t>
      </w:r>
      <w:r w:rsidR="001A3E1F" w:rsidRPr="00305DAC">
        <w:rPr>
          <w:rFonts w:eastAsiaTheme="minorEastAsia"/>
        </w:rPr>
        <w:t xml:space="preserve">reflecting available area data. However, </w:t>
      </w:r>
      <w:r w:rsidR="006F7469" w:rsidRPr="00305DAC">
        <w:rPr>
          <w:rFonts w:eastAsiaTheme="minorEastAsia"/>
        </w:rPr>
        <w:t xml:space="preserve">the ‘Walpole Wilderness’ </w:t>
      </w:r>
      <w:r w:rsidR="00EB5EC1" w:rsidRPr="00305DAC">
        <w:rPr>
          <w:rFonts w:eastAsiaTheme="minorEastAsia"/>
        </w:rPr>
        <w:t xml:space="preserve">in the region </w:t>
      </w:r>
      <w:r w:rsidR="006F7469" w:rsidRPr="00305DAC">
        <w:rPr>
          <w:rFonts w:eastAsiaTheme="minorEastAsia"/>
        </w:rPr>
        <w:t>is being managed in the CAR reserve system for its wilderness value</w:t>
      </w:r>
      <w:r w:rsidR="001A3E1F" w:rsidRPr="00305DAC">
        <w:rPr>
          <w:rFonts w:eastAsiaTheme="minorEastAsia"/>
        </w:rPr>
        <w:t>, and</w:t>
      </w:r>
      <w:r w:rsidR="006F7469" w:rsidRPr="00305DAC">
        <w:rPr>
          <w:rFonts w:eastAsiaTheme="minorEastAsia"/>
        </w:rPr>
        <w:t xml:space="preserve"> </w:t>
      </w:r>
      <w:r w:rsidR="001A3E1F" w:rsidRPr="00305DAC">
        <w:rPr>
          <w:rFonts w:eastAsiaTheme="minorEastAsia"/>
        </w:rPr>
        <w:t>a</w:t>
      </w:r>
      <w:r w:rsidR="006F7469" w:rsidRPr="00305DAC">
        <w:rPr>
          <w:rFonts w:eastAsiaTheme="minorEastAsia"/>
        </w:rPr>
        <w:t xml:space="preserve">reas of </w:t>
      </w:r>
      <w:r w:rsidR="006F7469" w:rsidRPr="00305DAC">
        <w:rPr>
          <w:rFonts w:eastAsiaTheme="minorEastAsia"/>
        </w:rPr>
        <w:lastRenderedPageBreak/>
        <w:t xml:space="preserve">the Walpole Wilderness </w:t>
      </w:r>
      <w:r w:rsidR="00566A89" w:rsidRPr="00305DAC">
        <w:rPr>
          <w:rFonts w:eastAsiaTheme="minorEastAsia"/>
        </w:rPr>
        <w:t xml:space="preserve">are </w:t>
      </w:r>
      <w:r w:rsidR="006F7469" w:rsidRPr="00305DAC">
        <w:rPr>
          <w:rFonts w:eastAsiaTheme="minorHAnsi" w:cs="TimesNewRomanPSMT"/>
        </w:rPr>
        <w:t>potential candidate wilderness areas</w:t>
      </w:r>
      <w:r w:rsidR="00566A89" w:rsidRPr="00305DAC">
        <w:rPr>
          <w:rFonts w:eastAsiaTheme="minorHAnsi" w:cs="TimesNewRomanPSMT"/>
        </w:rPr>
        <w:t xml:space="preserve"> </w:t>
      </w:r>
      <w:r w:rsidR="003B0A58" w:rsidRPr="00305DAC">
        <w:rPr>
          <w:rFonts w:eastAsiaTheme="minorHAnsi" w:cs="TimesNewRomanPSMT"/>
        </w:rPr>
        <w:t xml:space="preserve">that </w:t>
      </w:r>
      <w:r w:rsidR="003B0A58" w:rsidRPr="00305DAC">
        <w:rPr>
          <w:rFonts w:eastAsiaTheme="minorHAnsi" w:cstheme="minorHAnsi"/>
        </w:rPr>
        <w:t xml:space="preserve">could </w:t>
      </w:r>
      <w:r w:rsidR="00566A89" w:rsidRPr="00305DAC">
        <w:rPr>
          <w:rFonts w:eastAsiaTheme="minorHAnsi" w:cstheme="minorHAnsi"/>
        </w:rPr>
        <w:t>meet the JANIS guidelines</w:t>
      </w:r>
      <w:r w:rsidR="0049497E" w:rsidRPr="00305DAC">
        <w:rPr>
          <w:rFonts w:eastAsiaTheme="minorHAnsi" w:cs="TimesNewRomanPSMT"/>
        </w:rPr>
        <w:t xml:space="preserve"> and thresholds</w:t>
      </w:r>
      <w:r w:rsidR="001A3E1F" w:rsidRPr="00305DAC">
        <w:rPr>
          <w:rFonts w:eastAsiaTheme="minorHAnsi" w:cs="TimesNewRomanPSMT"/>
        </w:rPr>
        <w:t xml:space="preserve"> for wilderness</w:t>
      </w:r>
      <w:r w:rsidR="0049497E" w:rsidRPr="00305DAC">
        <w:rPr>
          <w:rFonts w:eastAsiaTheme="minorHAnsi" w:cs="TimesNewRomanPSMT"/>
        </w:rPr>
        <w:t>, including through the restoration of wilderness value</w:t>
      </w:r>
      <w:r w:rsidR="00566A89" w:rsidRPr="00305DAC">
        <w:rPr>
          <w:rFonts w:eastAsiaTheme="minorHAnsi" w:cs="TimesNewRomanPSMT"/>
        </w:rPr>
        <w:t xml:space="preserve"> (</w:t>
      </w:r>
      <w:r w:rsidR="0049497E" w:rsidRPr="00305DAC">
        <w:rPr>
          <w:rFonts w:eastAsiaTheme="minorEastAsia"/>
        </w:rPr>
        <w:t>DEC and CCWA 2008).</w:t>
      </w:r>
      <w:r w:rsidR="00EB5EC1" w:rsidRPr="00305DAC">
        <w:rPr>
          <w:rFonts w:eastAsiaTheme="minorEastAsia"/>
        </w:rPr>
        <w:t xml:space="preserve"> </w:t>
      </w:r>
      <w:r w:rsidR="004F65C6" w:rsidRPr="00305DAC">
        <w:rPr>
          <w:rFonts w:eastAsiaTheme="minorEastAsia"/>
        </w:rPr>
        <w:t>DEC and CCWA (2008) s</w:t>
      </w:r>
      <w:r w:rsidR="003C39E4" w:rsidRPr="00305DAC">
        <w:rPr>
          <w:rFonts w:eastAsiaTheme="minorEastAsia"/>
        </w:rPr>
        <w:t>tat</w:t>
      </w:r>
      <w:r w:rsidR="004F65C6" w:rsidRPr="00305DAC">
        <w:rPr>
          <w:rFonts w:eastAsiaTheme="minorEastAsia"/>
        </w:rPr>
        <w:t>e</w:t>
      </w:r>
      <w:r w:rsidR="00096D30" w:rsidRPr="00305DAC">
        <w:rPr>
          <w:rFonts w:eastAsiaTheme="minorEastAsia"/>
        </w:rPr>
        <w:t>d</w:t>
      </w:r>
      <w:r w:rsidR="003C39E4" w:rsidRPr="00305DAC">
        <w:rPr>
          <w:rFonts w:eastAsiaTheme="minorEastAsia"/>
        </w:rPr>
        <w:t xml:space="preserve"> that t</w:t>
      </w:r>
      <w:r w:rsidR="003B0A58" w:rsidRPr="00305DAC">
        <w:rPr>
          <w:rFonts w:eastAsiaTheme="minorEastAsia"/>
        </w:rPr>
        <w:t xml:space="preserve">he </w:t>
      </w:r>
      <w:r w:rsidR="00EB5EC1" w:rsidRPr="00305DAC">
        <w:rPr>
          <w:rFonts w:eastAsiaTheme="minorEastAsia"/>
        </w:rPr>
        <w:t xml:space="preserve">status </w:t>
      </w:r>
      <w:r w:rsidR="003B0A58" w:rsidRPr="00305DAC">
        <w:rPr>
          <w:rFonts w:eastAsiaTheme="minorEastAsia"/>
        </w:rPr>
        <w:t xml:space="preserve">of the ‘Walpole Wilderness’ </w:t>
      </w:r>
      <w:r w:rsidR="00EB5EC1" w:rsidRPr="00305DAC">
        <w:rPr>
          <w:rFonts w:eastAsiaTheme="minorEastAsia"/>
        </w:rPr>
        <w:t>as a high</w:t>
      </w:r>
      <w:r w:rsidR="003B0A58" w:rsidRPr="00305DAC">
        <w:rPr>
          <w:rFonts w:eastAsiaTheme="minorEastAsia"/>
        </w:rPr>
        <w:t>-</w:t>
      </w:r>
      <w:r w:rsidR="00EB5EC1" w:rsidRPr="00305DAC">
        <w:rPr>
          <w:rFonts w:eastAsiaTheme="minorEastAsia"/>
        </w:rPr>
        <w:t xml:space="preserve">quality wilderness area will need to be reassessed </w:t>
      </w:r>
      <w:r w:rsidR="00630B92" w:rsidRPr="00305DAC">
        <w:rPr>
          <w:rFonts w:eastAsiaTheme="minorEastAsia"/>
        </w:rPr>
        <w:t>under the JANIS criteria</w:t>
      </w:r>
      <w:r w:rsidR="00EB5EC1" w:rsidRPr="00305DAC">
        <w:rPr>
          <w:rFonts w:eastAsiaTheme="minorEastAsia"/>
        </w:rPr>
        <w:t>.</w:t>
      </w:r>
      <w:r w:rsidR="00C14E82" w:rsidRPr="00305DAC">
        <w:rPr>
          <w:rFonts w:eastAsiaTheme="minorEastAsia"/>
        </w:rPr>
        <w:t xml:space="preserve"> Western Australia has not reported any change in the area of wilderness</w:t>
      </w:r>
      <w:r w:rsidR="003C39E4" w:rsidRPr="00305DAC">
        <w:rPr>
          <w:rFonts w:eastAsiaTheme="minorEastAsia"/>
        </w:rPr>
        <w:t xml:space="preserve"> in the South-West Forest Region of Western Australia RFA region.</w:t>
      </w:r>
    </w:p>
    <w:p w14:paraId="1E6E2893" w14:textId="62502DE1" w:rsidR="0024407D" w:rsidRPr="007B6BED" w:rsidRDefault="00514759" w:rsidP="00BF30CD">
      <w:pPr>
        <w:pStyle w:val="Caption"/>
        <w:ind w:firstLine="0"/>
      </w:pPr>
      <w:bookmarkStart w:id="24" w:name="_Ref55396432"/>
      <w:bookmarkStart w:id="25" w:name="_Toc58234978"/>
      <w:r>
        <w:t xml:space="preserve">Figure </w:t>
      </w:r>
      <w:r w:rsidR="00211232">
        <w:rPr>
          <w:noProof/>
        </w:rPr>
        <w:fldChar w:fldCharType="begin"/>
      </w:r>
      <w:r w:rsidR="00211232">
        <w:rPr>
          <w:noProof/>
        </w:rPr>
        <w:instrText xml:space="preserve"> SEQ Figure \* ARABIC </w:instrText>
      </w:r>
      <w:r w:rsidR="00211232">
        <w:rPr>
          <w:noProof/>
        </w:rPr>
        <w:fldChar w:fldCharType="separate"/>
      </w:r>
      <w:r w:rsidR="00CC3B42">
        <w:rPr>
          <w:noProof/>
        </w:rPr>
        <w:t>4</w:t>
      </w:r>
      <w:r w:rsidR="00211232">
        <w:rPr>
          <w:noProof/>
        </w:rPr>
        <w:fldChar w:fldCharType="end"/>
      </w:r>
      <w:bookmarkEnd w:id="24"/>
      <w:r w:rsidRPr="002125B0">
        <w:t xml:space="preserve"> Total area of wilderness in RFA regions and the area in reserves</w:t>
      </w:r>
      <w:r w:rsidR="00052B5F">
        <w:t xml:space="preserve"> or the </w:t>
      </w:r>
      <w:r w:rsidRPr="002125B0">
        <w:t>CAR reserve system at different periods before and after signing of RFAs, by state</w:t>
      </w:r>
      <w:bookmarkEnd w:id="25"/>
    </w:p>
    <w:p w14:paraId="5EB553B7" w14:textId="4314A57B" w:rsidR="00831C40" w:rsidRPr="00831C40" w:rsidRDefault="007B6BED" w:rsidP="00831C40">
      <w:pPr>
        <w:pStyle w:val="FootnoteText"/>
        <w:spacing w:before="0"/>
        <w:rPr>
          <w:rFonts w:asciiTheme="minorHAnsi" w:eastAsiaTheme="minorEastAsia" w:hAnsiTheme="minorHAnsi"/>
          <w:sz w:val="16"/>
        </w:rPr>
      </w:pPr>
      <w:r w:rsidRPr="007B6BED">
        <w:rPr>
          <w:noProof/>
          <w:lang w:eastAsia="en-AU"/>
        </w:rPr>
        <w:drawing>
          <wp:inline distT="0" distB="0" distL="0" distR="0" wp14:anchorId="5289CA71" wp14:editId="78591D48">
            <wp:extent cx="5731510" cy="481442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814425"/>
                    </a:xfrm>
                    <a:prstGeom prst="rect">
                      <a:avLst/>
                    </a:prstGeom>
                    <a:noFill/>
                    <a:ln>
                      <a:noFill/>
                    </a:ln>
                  </pic:spPr>
                </pic:pic>
              </a:graphicData>
            </a:graphic>
          </wp:inline>
        </w:drawing>
      </w:r>
      <w:r w:rsidR="00831C40" w:rsidRPr="00831C40">
        <w:rPr>
          <w:rFonts w:asciiTheme="minorHAnsi" w:hAnsiTheme="minorHAnsi"/>
          <w:noProof/>
          <w:sz w:val="16"/>
        </w:rPr>
        <w:t xml:space="preserve">The data used to create this figure, together with other data in this report, </w:t>
      </w:r>
      <w:r w:rsidR="00DB0CD3">
        <w:rPr>
          <w:rFonts w:asciiTheme="minorHAnsi" w:hAnsiTheme="minorHAnsi"/>
          <w:noProof/>
          <w:sz w:val="16"/>
        </w:rPr>
        <w:t>are</w:t>
      </w:r>
      <w:r w:rsidR="00831C40" w:rsidRPr="00831C40">
        <w:rPr>
          <w:rFonts w:asciiTheme="minorHAnsi" w:hAnsiTheme="minorHAnsi"/>
          <w:noProof/>
          <w:sz w:val="16"/>
        </w:rPr>
        <w:t xml:space="preserve"> available in Microsoft Exce</w:t>
      </w:r>
      <w:r w:rsidR="00DB0CD3">
        <w:rPr>
          <w:rFonts w:asciiTheme="minorHAnsi" w:hAnsiTheme="minorHAnsi"/>
          <w:noProof/>
          <w:sz w:val="16"/>
        </w:rPr>
        <w:t xml:space="preserve">l at </w:t>
      </w:r>
      <w:hyperlink r:id="rId33" w:history="1">
        <w:r w:rsidR="0090070F" w:rsidRPr="0090070F">
          <w:rPr>
            <w:rStyle w:val="Hyperlink"/>
            <w:rFonts w:asciiTheme="minorHAnsi" w:hAnsiTheme="minorHAnsi"/>
            <w:color w:val="0070C0"/>
            <w:sz w:val="16"/>
          </w:rPr>
          <w:t>doi.org/10.25814/3z94-9957</w:t>
        </w:r>
      </w:hyperlink>
      <w:r w:rsidR="0090070F">
        <w:rPr>
          <w:rFonts w:asciiTheme="minorHAnsi" w:hAnsiTheme="minorHAnsi"/>
          <w:sz w:val="16"/>
        </w:rPr>
        <w:t>.</w:t>
      </w:r>
    </w:p>
    <w:p w14:paraId="42ADDA44" w14:textId="3E433248" w:rsidR="00FC323E" w:rsidRPr="00DE2888" w:rsidRDefault="008E2DD2" w:rsidP="00DE2888">
      <w:pPr>
        <w:pStyle w:val="Heading3"/>
        <w:keepLines/>
        <w:spacing w:before="0" w:after="0"/>
        <w:ind w:left="964" w:hanging="964"/>
        <w:rPr>
          <w:bCs/>
          <w:color w:val="FF7900"/>
          <w:sz w:val="36"/>
        </w:rPr>
      </w:pPr>
      <w:bookmarkStart w:id="26" w:name="_Toc58312590"/>
      <w:r>
        <w:rPr>
          <w:bCs/>
          <w:color w:val="FF7900"/>
          <w:sz w:val="36"/>
        </w:rPr>
        <w:t>4</w:t>
      </w:r>
      <w:r w:rsidR="00DE2888">
        <w:rPr>
          <w:bCs/>
          <w:color w:val="FF7900"/>
          <w:sz w:val="36"/>
        </w:rPr>
        <w:t>.4</w:t>
      </w:r>
      <w:r w:rsidR="00DE2888">
        <w:rPr>
          <w:bCs/>
          <w:color w:val="FF7900"/>
          <w:sz w:val="36"/>
        </w:rPr>
        <w:tab/>
      </w:r>
      <w:r w:rsidR="00702F90" w:rsidRPr="00DE2888">
        <w:rPr>
          <w:bCs/>
          <w:color w:val="FF7900"/>
          <w:sz w:val="36"/>
        </w:rPr>
        <w:t>Net</w:t>
      </w:r>
      <w:r w:rsidR="00FC323E" w:rsidRPr="00DE2888">
        <w:rPr>
          <w:bCs/>
          <w:color w:val="FF7900"/>
          <w:sz w:val="36"/>
        </w:rPr>
        <w:t xml:space="preserve"> harvestable area</w:t>
      </w:r>
      <w:bookmarkEnd w:id="26"/>
    </w:p>
    <w:p w14:paraId="0C9B9E69" w14:textId="4551041D" w:rsidR="0087376D" w:rsidRDefault="00714BF9" w:rsidP="00DE2888">
      <w:r w:rsidRPr="009C7698">
        <w:t>Net harvestable area (NHA) is</w:t>
      </w:r>
      <w:r w:rsidR="005E5C78" w:rsidRPr="009C7698">
        <w:t xml:space="preserve"> calculated as</w:t>
      </w:r>
      <w:r w:rsidRPr="009C7698">
        <w:t xml:space="preserve"> the </w:t>
      </w:r>
      <w:r w:rsidR="00244103">
        <w:t xml:space="preserve">net </w:t>
      </w:r>
      <w:r w:rsidR="005E5C78" w:rsidRPr="009C7698">
        <w:t xml:space="preserve">area of </w:t>
      </w:r>
      <w:r w:rsidR="00B81F10">
        <w:t>native</w:t>
      </w:r>
      <w:r w:rsidR="00244103">
        <w:t xml:space="preserve"> forest on multiple-use public forest</w:t>
      </w:r>
      <w:r w:rsidR="00B81F10">
        <w:t xml:space="preserve"> tenure</w:t>
      </w:r>
      <w:r w:rsidR="00244103">
        <w:t xml:space="preserve"> </w:t>
      </w:r>
      <w:r w:rsidR="007545AC" w:rsidRPr="009C7698">
        <w:t xml:space="preserve">available </w:t>
      </w:r>
      <w:r w:rsidR="007545AC">
        <w:t xml:space="preserve">and suitable for wood harvesting, </w:t>
      </w:r>
      <w:r w:rsidR="00244103">
        <w:t xml:space="preserve">after allowing for </w:t>
      </w:r>
      <w:r w:rsidR="00244103" w:rsidRPr="00244103">
        <w:t xml:space="preserve">local and/or operational constraints </w:t>
      </w:r>
      <w:r w:rsidR="00244103">
        <w:t>(</w:t>
      </w:r>
      <w:r w:rsidR="00331E47" w:rsidRPr="009C7698">
        <w:t>MIG and NFISC</w:t>
      </w:r>
      <w:r w:rsidR="00244103">
        <w:t>,</w:t>
      </w:r>
      <w:r w:rsidR="00331E47" w:rsidRPr="009C7698">
        <w:t xml:space="preserve"> 201</w:t>
      </w:r>
      <w:r w:rsidR="00774055">
        <w:t>8</w:t>
      </w:r>
      <w:r w:rsidR="00331E47" w:rsidRPr="009C7698">
        <w:t>)</w:t>
      </w:r>
      <w:r w:rsidR="00244103">
        <w:t>.</w:t>
      </w:r>
      <w:r w:rsidR="00331E47" w:rsidRPr="009C7698">
        <w:t xml:space="preserve"> </w:t>
      </w:r>
      <w:r w:rsidR="007545AC">
        <w:rPr>
          <w:rFonts w:eastAsiaTheme="minorEastAsia"/>
        </w:rPr>
        <w:t>NHA</w:t>
      </w:r>
      <w:r w:rsidR="007545AC" w:rsidRPr="009C7698">
        <w:rPr>
          <w:rFonts w:eastAsiaTheme="minorEastAsia"/>
        </w:rPr>
        <w:t xml:space="preserve"> is a measure of the area of public native forest that </w:t>
      </w:r>
      <w:r w:rsidR="00A36766">
        <w:rPr>
          <w:rFonts w:eastAsiaTheme="minorEastAsia"/>
        </w:rPr>
        <w:t>is available to supply</w:t>
      </w:r>
      <w:r w:rsidR="00A36766" w:rsidRPr="009C7698">
        <w:rPr>
          <w:rFonts w:eastAsiaTheme="minorEastAsia"/>
        </w:rPr>
        <w:t xml:space="preserve"> </w:t>
      </w:r>
      <w:r w:rsidR="007545AC" w:rsidRPr="009C7698">
        <w:rPr>
          <w:rFonts w:eastAsiaTheme="minorEastAsia"/>
        </w:rPr>
        <w:t>forest products to the forest industry</w:t>
      </w:r>
      <w:r w:rsidR="00A36766">
        <w:rPr>
          <w:rFonts w:eastAsiaTheme="minorEastAsia"/>
        </w:rPr>
        <w:t>. Changes to</w:t>
      </w:r>
      <w:r w:rsidR="007545AC" w:rsidRPr="009C7698">
        <w:rPr>
          <w:rFonts w:eastAsiaTheme="minorEastAsia"/>
        </w:rPr>
        <w:t xml:space="preserve"> NHA over time is </w:t>
      </w:r>
      <w:r w:rsidR="007545AC" w:rsidRPr="009C7698">
        <w:t>an indicator of the security of access of the forest industry to native forest resources.</w:t>
      </w:r>
      <w:r w:rsidR="007545AC" w:rsidRPr="009C7698">
        <w:rPr>
          <w:rFonts w:eastAsiaTheme="minorEastAsia"/>
        </w:rPr>
        <w:t xml:space="preserve"> NHA is used as the basis for calculations of sustainable yield</w:t>
      </w:r>
      <w:r w:rsidR="007545AC">
        <w:rPr>
          <w:rFonts w:eastAsiaTheme="minorEastAsia"/>
        </w:rPr>
        <w:t>,</w:t>
      </w:r>
      <w:r w:rsidR="007545AC" w:rsidRPr="009C7698">
        <w:rPr>
          <w:rFonts w:eastAsiaTheme="minorEastAsia"/>
        </w:rPr>
        <w:t xml:space="preserve"> as it is this area that supplies harvested wood. Increases in the prescription component of the CAR reserve system are a significant factor driving </w:t>
      </w:r>
      <w:r w:rsidR="00C91899">
        <w:rPr>
          <w:rFonts w:eastAsiaTheme="minorEastAsia"/>
        </w:rPr>
        <w:t>reductions</w:t>
      </w:r>
      <w:r w:rsidR="00C91899" w:rsidRPr="009C7698">
        <w:rPr>
          <w:rFonts w:eastAsiaTheme="minorEastAsia"/>
        </w:rPr>
        <w:t xml:space="preserve"> </w:t>
      </w:r>
      <w:r w:rsidR="007545AC" w:rsidRPr="009C7698">
        <w:rPr>
          <w:rFonts w:eastAsiaTheme="minorEastAsia"/>
        </w:rPr>
        <w:t xml:space="preserve">in the </w:t>
      </w:r>
      <w:r w:rsidR="007545AC">
        <w:rPr>
          <w:rFonts w:eastAsiaTheme="minorEastAsia"/>
        </w:rPr>
        <w:t>NHA</w:t>
      </w:r>
      <w:r w:rsidR="007545AC" w:rsidRPr="009C7698">
        <w:rPr>
          <w:rFonts w:eastAsiaTheme="minorEastAsia"/>
        </w:rPr>
        <w:t xml:space="preserve"> available for timber production. </w:t>
      </w:r>
    </w:p>
    <w:p w14:paraId="4D1380CC" w14:textId="3399C2B8" w:rsidR="00244103" w:rsidRDefault="00C53B22" w:rsidP="00DE2888">
      <w:r w:rsidRPr="009C7698">
        <w:t xml:space="preserve">To determine the </w:t>
      </w:r>
      <w:r w:rsidR="00244103">
        <w:t>NHA</w:t>
      </w:r>
      <w:r w:rsidR="002210A6" w:rsidRPr="009C7698">
        <w:t>,</w:t>
      </w:r>
      <w:r w:rsidRPr="009C7698">
        <w:t xml:space="preserve"> m</w:t>
      </w:r>
      <w:r w:rsidR="00331E47" w:rsidRPr="009C7698">
        <w:t>apped and unmapped e</w:t>
      </w:r>
      <w:r w:rsidR="005E5C78" w:rsidRPr="009C7698">
        <w:t xml:space="preserve">xclusions </w:t>
      </w:r>
      <w:r w:rsidR="00244103">
        <w:t xml:space="preserve">from harvesting </w:t>
      </w:r>
      <w:r w:rsidR="00B903D7" w:rsidRPr="009C7698">
        <w:t xml:space="preserve">are identified and </w:t>
      </w:r>
      <w:r w:rsidR="00244103">
        <w:t xml:space="preserve">removed </w:t>
      </w:r>
      <w:r w:rsidR="00B903D7" w:rsidRPr="009C7698">
        <w:t xml:space="preserve">from the area of available and suitable forest. These exclusions </w:t>
      </w:r>
      <w:r w:rsidR="005E5C78" w:rsidRPr="009C7698">
        <w:t>can include</w:t>
      </w:r>
      <w:r w:rsidR="00714BF9" w:rsidRPr="009C7698">
        <w:t xml:space="preserve"> formal and informal reserves</w:t>
      </w:r>
      <w:r w:rsidR="005E5C78" w:rsidRPr="009C7698">
        <w:t>;</w:t>
      </w:r>
      <w:r w:rsidR="00714BF9" w:rsidRPr="009C7698">
        <w:t xml:space="preserve"> </w:t>
      </w:r>
      <w:r w:rsidR="005E5C78" w:rsidRPr="009C7698">
        <w:t>areas</w:t>
      </w:r>
      <w:r w:rsidR="007545AC">
        <w:t xml:space="preserve"> </w:t>
      </w:r>
      <w:r w:rsidR="00B81F10">
        <w:t>with values that are</w:t>
      </w:r>
      <w:r w:rsidR="005E5C78" w:rsidRPr="009C7698">
        <w:t xml:space="preserve"> managed by </w:t>
      </w:r>
      <w:r w:rsidR="00714BF9" w:rsidRPr="009C7698">
        <w:t>prescription</w:t>
      </w:r>
      <w:r w:rsidR="007545AC">
        <w:t>,</w:t>
      </w:r>
      <w:r w:rsidR="00714BF9" w:rsidRPr="009C7698">
        <w:t xml:space="preserve"> </w:t>
      </w:r>
      <w:r w:rsidR="005E5C78" w:rsidRPr="009C7698">
        <w:t xml:space="preserve">such as for </w:t>
      </w:r>
      <w:r w:rsidR="00714BF9" w:rsidRPr="009C7698">
        <w:t xml:space="preserve">threatened </w:t>
      </w:r>
      <w:r w:rsidR="00714BF9" w:rsidRPr="009C7698">
        <w:lastRenderedPageBreak/>
        <w:t>fauna, flora and ecosystems</w:t>
      </w:r>
      <w:r w:rsidR="005E5C78" w:rsidRPr="009C7698">
        <w:t>;</w:t>
      </w:r>
      <w:r w:rsidR="00714BF9" w:rsidRPr="009C7698">
        <w:t xml:space="preserve"> </w:t>
      </w:r>
      <w:r w:rsidR="005E5C78" w:rsidRPr="009C7698">
        <w:t xml:space="preserve">areas </w:t>
      </w:r>
      <w:r w:rsidR="00B903D7" w:rsidRPr="009C7698">
        <w:t xml:space="preserve">excluded </w:t>
      </w:r>
      <w:r w:rsidR="005E5C78" w:rsidRPr="009C7698">
        <w:t xml:space="preserve">under </w:t>
      </w:r>
      <w:r w:rsidR="00714BF9" w:rsidRPr="009C7698">
        <w:t>codes of practice conditions, operational restrictions or constraints</w:t>
      </w:r>
      <w:r w:rsidR="005E5C78" w:rsidRPr="009C7698">
        <w:t>;</w:t>
      </w:r>
      <w:r w:rsidR="00714BF9" w:rsidRPr="009C7698">
        <w:t xml:space="preserve"> </w:t>
      </w:r>
      <w:r w:rsidR="002210A6" w:rsidRPr="009C7698">
        <w:t xml:space="preserve">and </w:t>
      </w:r>
      <w:r w:rsidR="00714BF9" w:rsidRPr="009C7698">
        <w:t>non-forest</w:t>
      </w:r>
      <w:r w:rsidRPr="009C7698">
        <w:t xml:space="preserve">, </w:t>
      </w:r>
      <w:r w:rsidR="00714BF9" w:rsidRPr="009C7698">
        <w:t>non-merchantable forest ecosystems and hardwood and softwood plantations.</w:t>
      </w:r>
    </w:p>
    <w:p w14:paraId="56749CB7" w14:textId="69D72218" w:rsidR="00C91899" w:rsidRDefault="00BF30CD" w:rsidP="00C91899">
      <w:r w:rsidRPr="00BF30CD">
        <w:t>Figure 5 sum</w:t>
      </w:r>
      <w:r w:rsidR="00C91899">
        <w:rPr>
          <w:rFonts w:eastAsiaTheme="minorEastAsia"/>
        </w:rPr>
        <w:t>marises the total area of forest ecosystems on public land and the NHA in RFA regions by state at different periods before and after signing of the RFAs.</w:t>
      </w:r>
      <w:r w:rsidR="00C91899">
        <w:t xml:space="preserve"> </w:t>
      </w:r>
    </w:p>
    <w:p w14:paraId="455AC7D1" w14:textId="14F8CA11" w:rsidR="00C91899" w:rsidRPr="007B6BED" w:rsidRDefault="00C91899" w:rsidP="00BF30CD">
      <w:pPr>
        <w:pStyle w:val="Caption"/>
        <w:ind w:firstLine="0"/>
      </w:pPr>
      <w:bookmarkStart w:id="27" w:name="_Ref55396443"/>
      <w:bookmarkStart w:id="28" w:name="_Toc58234979"/>
      <w:r>
        <w:t xml:space="preserve">Figure </w:t>
      </w:r>
      <w:r w:rsidR="00211232">
        <w:rPr>
          <w:noProof/>
        </w:rPr>
        <w:fldChar w:fldCharType="begin"/>
      </w:r>
      <w:r w:rsidR="00211232">
        <w:rPr>
          <w:noProof/>
        </w:rPr>
        <w:instrText xml:space="preserve"> SEQ Figure \* ARABIC </w:instrText>
      </w:r>
      <w:r w:rsidR="00211232">
        <w:rPr>
          <w:noProof/>
        </w:rPr>
        <w:fldChar w:fldCharType="separate"/>
      </w:r>
      <w:r w:rsidR="00CC3B42">
        <w:rPr>
          <w:noProof/>
        </w:rPr>
        <w:t>5</w:t>
      </w:r>
      <w:r w:rsidR="00211232">
        <w:rPr>
          <w:noProof/>
        </w:rPr>
        <w:fldChar w:fldCharType="end"/>
      </w:r>
      <w:bookmarkEnd w:id="27"/>
      <w:r>
        <w:t xml:space="preserve"> </w:t>
      </w:r>
      <w:r w:rsidRPr="00DC656D">
        <w:t>Total area of forest ecosystems on public land</w:t>
      </w:r>
      <w:r>
        <w:t>,</w:t>
      </w:r>
      <w:r w:rsidRPr="00DC656D">
        <w:t xml:space="preserve"> and the net harvestable area</w:t>
      </w:r>
      <w:r>
        <w:t>,</w:t>
      </w:r>
      <w:r w:rsidRPr="00DC656D">
        <w:t xml:space="preserve"> in RFA regions at different periods before and after signing of RFAs, by state</w:t>
      </w:r>
      <w:bookmarkEnd w:id="28"/>
    </w:p>
    <w:p w14:paraId="20C4FB6A" w14:textId="79335E02" w:rsidR="00831C40" w:rsidRPr="00831C40" w:rsidRDefault="007B6BED" w:rsidP="00831C40">
      <w:pPr>
        <w:pStyle w:val="FootnoteText"/>
        <w:spacing w:before="0"/>
        <w:rPr>
          <w:rFonts w:asciiTheme="minorHAnsi" w:eastAsiaTheme="minorEastAsia" w:hAnsiTheme="minorHAnsi"/>
          <w:sz w:val="16"/>
        </w:rPr>
      </w:pPr>
      <w:r w:rsidRPr="007B6BED">
        <w:rPr>
          <w:noProof/>
          <w:lang w:eastAsia="en-AU"/>
        </w:rPr>
        <w:drawing>
          <wp:inline distT="0" distB="0" distL="0" distR="0" wp14:anchorId="756317F8" wp14:editId="0E2EE2C4">
            <wp:extent cx="5731510" cy="481442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814425"/>
                    </a:xfrm>
                    <a:prstGeom prst="rect">
                      <a:avLst/>
                    </a:prstGeom>
                    <a:noFill/>
                    <a:ln>
                      <a:noFill/>
                    </a:ln>
                  </pic:spPr>
                </pic:pic>
              </a:graphicData>
            </a:graphic>
          </wp:inline>
        </w:drawing>
      </w:r>
      <w:r w:rsidR="00831C40" w:rsidRPr="00831C40">
        <w:rPr>
          <w:rFonts w:asciiTheme="minorHAnsi" w:hAnsiTheme="minorHAnsi"/>
          <w:noProof/>
          <w:sz w:val="16"/>
        </w:rPr>
        <w:t xml:space="preserve">The data used to create this figure, together with other data in this report, </w:t>
      </w:r>
      <w:r w:rsidR="00DB0CD3">
        <w:rPr>
          <w:rFonts w:asciiTheme="minorHAnsi" w:hAnsiTheme="minorHAnsi"/>
          <w:noProof/>
          <w:sz w:val="16"/>
        </w:rPr>
        <w:t>are</w:t>
      </w:r>
      <w:r w:rsidR="00831C40" w:rsidRPr="00831C40">
        <w:rPr>
          <w:rFonts w:asciiTheme="minorHAnsi" w:hAnsiTheme="minorHAnsi"/>
          <w:noProof/>
          <w:sz w:val="16"/>
        </w:rPr>
        <w:t xml:space="preserve"> a</w:t>
      </w:r>
      <w:r w:rsidR="00DB0CD3">
        <w:rPr>
          <w:rFonts w:asciiTheme="minorHAnsi" w:hAnsiTheme="minorHAnsi"/>
          <w:noProof/>
          <w:sz w:val="16"/>
        </w:rPr>
        <w:t xml:space="preserve">vailable in Microsoft Excel at </w:t>
      </w:r>
      <w:hyperlink r:id="rId35" w:history="1">
        <w:r w:rsidR="0090070F" w:rsidRPr="0090070F">
          <w:rPr>
            <w:rStyle w:val="Hyperlink"/>
            <w:rFonts w:asciiTheme="minorHAnsi" w:hAnsiTheme="minorHAnsi"/>
            <w:color w:val="0070C0"/>
            <w:sz w:val="16"/>
          </w:rPr>
          <w:t>doi.org/10.25814/3z94-9957</w:t>
        </w:r>
      </w:hyperlink>
      <w:r w:rsidR="0090070F">
        <w:rPr>
          <w:rFonts w:asciiTheme="minorHAnsi" w:hAnsiTheme="minorHAnsi"/>
          <w:sz w:val="16"/>
        </w:rPr>
        <w:t>.</w:t>
      </w:r>
    </w:p>
    <w:p w14:paraId="475B79DA" w14:textId="400EF69E" w:rsidR="001A6CC8" w:rsidRPr="009C7698" w:rsidRDefault="00BF30CD" w:rsidP="00DE2888">
      <w:r w:rsidRPr="00BF30CD">
        <w:rPr>
          <w:rFonts w:eastAsiaTheme="minorEastAsia"/>
        </w:rPr>
        <w:t xml:space="preserve">Table A10 summarises </w:t>
      </w:r>
      <w:r w:rsidR="00714BF9" w:rsidRPr="009C7698">
        <w:rPr>
          <w:rFonts w:eastAsiaTheme="minorEastAsia"/>
        </w:rPr>
        <w:t xml:space="preserve">the changes in </w:t>
      </w:r>
      <w:r w:rsidR="00FD6F2C" w:rsidRPr="009C7698">
        <w:rPr>
          <w:rFonts w:eastAsiaTheme="minorEastAsia"/>
        </w:rPr>
        <w:t>NHA</w:t>
      </w:r>
      <w:r w:rsidR="00714BF9" w:rsidRPr="009C7698">
        <w:rPr>
          <w:rFonts w:eastAsiaTheme="minorEastAsia"/>
        </w:rPr>
        <w:t xml:space="preserve"> </w:t>
      </w:r>
      <w:r w:rsidR="007545AC">
        <w:rPr>
          <w:rFonts w:eastAsiaTheme="minorEastAsia"/>
        </w:rPr>
        <w:t>at</w:t>
      </w:r>
      <w:r w:rsidR="00714BF9" w:rsidRPr="009C7698">
        <w:rPr>
          <w:rFonts w:eastAsiaTheme="minorEastAsia"/>
        </w:rPr>
        <w:t xml:space="preserve"> signing of </w:t>
      </w:r>
      <w:r w:rsidR="005D7505">
        <w:rPr>
          <w:rFonts w:eastAsiaTheme="minorEastAsia"/>
        </w:rPr>
        <w:t xml:space="preserve">the </w:t>
      </w:r>
      <w:r w:rsidR="0087376D">
        <w:rPr>
          <w:rFonts w:eastAsiaTheme="minorEastAsia"/>
        </w:rPr>
        <w:t>RFA</w:t>
      </w:r>
      <w:r w:rsidR="005D7505">
        <w:rPr>
          <w:rFonts w:eastAsiaTheme="minorEastAsia"/>
        </w:rPr>
        <w:t>s</w:t>
      </w:r>
      <w:r w:rsidR="007545AC">
        <w:rPr>
          <w:rFonts w:eastAsiaTheme="minorEastAsia"/>
        </w:rPr>
        <w:t>, and subsequently</w:t>
      </w:r>
      <w:r w:rsidR="00B81F10">
        <w:rPr>
          <w:rFonts w:eastAsiaTheme="minorEastAsia"/>
        </w:rPr>
        <w:t xml:space="preserve">. </w:t>
      </w:r>
      <w:r w:rsidR="002210A6" w:rsidRPr="009C7698">
        <w:t xml:space="preserve">The signing of </w:t>
      </w:r>
      <w:r w:rsidR="00C87770">
        <w:t>RFA</w:t>
      </w:r>
      <w:r w:rsidR="00356214" w:rsidRPr="009C7698">
        <w:t xml:space="preserve">s resulted in a reduction </w:t>
      </w:r>
      <w:r w:rsidR="005D7505" w:rsidRPr="009C7698">
        <w:t xml:space="preserve">of 0.91 million hectares </w:t>
      </w:r>
      <w:r w:rsidR="005D7505">
        <w:t xml:space="preserve">(20%) </w:t>
      </w:r>
      <w:r w:rsidR="00356214" w:rsidRPr="009C7698">
        <w:t xml:space="preserve">in </w:t>
      </w:r>
      <w:r w:rsidR="00196667" w:rsidRPr="009C7698">
        <w:t xml:space="preserve">the NHA of </w:t>
      </w:r>
      <w:r w:rsidR="002E6893" w:rsidRPr="009C7698">
        <w:t>public native forest</w:t>
      </w:r>
      <w:r w:rsidR="00196667" w:rsidRPr="009C7698">
        <w:t xml:space="preserve"> across all RFA regions</w:t>
      </w:r>
      <w:r w:rsidR="00356214" w:rsidRPr="009C7698">
        <w:t xml:space="preserve">. </w:t>
      </w:r>
      <w:r w:rsidR="00196667" w:rsidRPr="009C7698">
        <w:t>The</w:t>
      </w:r>
      <w:r w:rsidR="008A2ECD" w:rsidRPr="009C7698">
        <w:t xml:space="preserve"> total</w:t>
      </w:r>
      <w:r w:rsidR="00356214" w:rsidRPr="009C7698">
        <w:t xml:space="preserve"> reduction </w:t>
      </w:r>
      <w:r w:rsidR="007545AC">
        <w:t xml:space="preserve">of NHA </w:t>
      </w:r>
      <w:r w:rsidR="00356214" w:rsidRPr="009C7698">
        <w:t>in New South Wales</w:t>
      </w:r>
      <w:r w:rsidR="005634A6" w:rsidRPr="009C7698">
        <w:t xml:space="preserve"> </w:t>
      </w:r>
      <w:r w:rsidR="00DC1917" w:rsidRPr="009C7698">
        <w:t xml:space="preserve">at signing of the </w:t>
      </w:r>
      <w:r w:rsidR="0087376D">
        <w:t>RFA</w:t>
      </w:r>
      <w:r w:rsidR="00DC1917" w:rsidRPr="009C7698">
        <w:t xml:space="preserve"> </w:t>
      </w:r>
      <w:r w:rsidR="00196667" w:rsidRPr="009C7698">
        <w:t xml:space="preserve">was </w:t>
      </w:r>
      <w:r w:rsidR="007F59DF" w:rsidRPr="009C7698">
        <w:t xml:space="preserve">higher, at </w:t>
      </w:r>
      <w:r w:rsidR="00196667" w:rsidRPr="009C7698">
        <w:t>52%</w:t>
      </w:r>
      <w:r w:rsidR="000525BD" w:rsidRPr="009C7698">
        <w:t xml:space="preserve">, </w:t>
      </w:r>
      <w:r w:rsidR="007545AC">
        <w:t xml:space="preserve">and </w:t>
      </w:r>
      <w:r w:rsidR="000525BD" w:rsidRPr="009C7698">
        <w:t>var</w:t>
      </w:r>
      <w:r w:rsidR="007545AC">
        <w:t>ied</w:t>
      </w:r>
      <w:r w:rsidR="00B81F10">
        <w:t xml:space="preserve"> by region</w:t>
      </w:r>
      <w:r w:rsidR="000525BD" w:rsidRPr="009C7698">
        <w:t xml:space="preserve"> </w:t>
      </w:r>
      <w:r w:rsidR="001C1C4D" w:rsidRPr="009C7698">
        <w:t xml:space="preserve">from 23% in the Eden </w:t>
      </w:r>
      <w:r w:rsidR="00A63F17" w:rsidRPr="009C7698">
        <w:t>RFA region</w:t>
      </w:r>
      <w:r w:rsidR="001C1C4D" w:rsidRPr="009C7698">
        <w:t xml:space="preserve"> to 63% in </w:t>
      </w:r>
      <w:r w:rsidR="000525BD" w:rsidRPr="009C7698">
        <w:t xml:space="preserve">the </w:t>
      </w:r>
      <w:r w:rsidR="001C1C4D" w:rsidRPr="009C7698">
        <w:t xml:space="preserve">Lower North East </w:t>
      </w:r>
      <w:r w:rsidR="00A63F17" w:rsidRPr="009C7698">
        <w:t xml:space="preserve">RFA </w:t>
      </w:r>
      <w:r w:rsidRPr="00BF30CD">
        <w:t>region (Table A10</w:t>
      </w:r>
      <w:r w:rsidR="005D7505">
        <w:t>)</w:t>
      </w:r>
      <w:r w:rsidR="00B81F10">
        <w:t>.</w:t>
      </w:r>
      <w:r w:rsidR="005D7505" w:rsidRPr="009C7698">
        <w:t xml:space="preserve"> </w:t>
      </w:r>
      <w:r w:rsidR="001C1C4D" w:rsidRPr="009C7698">
        <w:t xml:space="preserve">The implementation of new biodiversity prescriptions and protocols developed during </w:t>
      </w:r>
      <w:r w:rsidR="00671BDB" w:rsidRPr="009C7698">
        <w:t xml:space="preserve">the </w:t>
      </w:r>
      <w:r w:rsidR="0087376D">
        <w:rPr>
          <w:rFonts w:eastAsiaTheme="minorEastAsia"/>
        </w:rPr>
        <w:t>RFA</w:t>
      </w:r>
      <w:r w:rsidR="00A63F17" w:rsidRPr="009C7698" w:rsidDel="00A63F17">
        <w:t xml:space="preserve"> </w:t>
      </w:r>
      <w:r w:rsidR="001C1C4D" w:rsidRPr="009C7698">
        <w:t>assessments, together with new reserves</w:t>
      </w:r>
      <w:r w:rsidR="00671BDB" w:rsidRPr="009C7698">
        <w:t>,</w:t>
      </w:r>
      <w:r w:rsidR="001C1C4D" w:rsidRPr="009C7698">
        <w:t xml:space="preserve"> were the reasons for these reductions</w:t>
      </w:r>
      <w:r w:rsidR="001A6CC8" w:rsidRPr="009C7698">
        <w:t>.</w:t>
      </w:r>
      <w:r w:rsidR="001C1C4D" w:rsidRPr="009C7698">
        <w:t xml:space="preserve"> </w:t>
      </w:r>
      <w:r w:rsidR="001A6CC8" w:rsidRPr="009C7698">
        <w:t xml:space="preserve">Reduction in NHA </w:t>
      </w:r>
      <w:r w:rsidR="00DC1917" w:rsidRPr="009C7698">
        <w:t xml:space="preserve">at signing the </w:t>
      </w:r>
      <w:r w:rsidR="00D5403B" w:rsidRPr="009C7698">
        <w:t xml:space="preserve">other </w:t>
      </w:r>
      <w:r w:rsidR="0087376D">
        <w:t>RFAs</w:t>
      </w:r>
      <w:r w:rsidR="002210A6" w:rsidRPr="009C7698">
        <w:t xml:space="preserve"> </w:t>
      </w:r>
      <w:r w:rsidR="00D5403B" w:rsidRPr="009C7698">
        <w:t xml:space="preserve">varied from 3% </w:t>
      </w:r>
      <w:r w:rsidR="001C1C4D" w:rsidRPr="009C7698">
        <w:t>in Tasmania,</w:t>
      </w:r>
      <w:r w:rsidR="007F59DF" w:rsidRPr="009C7698">
        <w:t xml:space="preserve"> to</w:t>
      </w:r>
      <w:r w:rsidR="001C1C4D" w:rsidRPr="009C7698">
        <w:t xml:space="preserve"> </w:t>
      </w:r>
      <w:r w:rsidR="007545AC" w:rsidRPr="009C7698">
        <w:t>5% in Western Australia</w:t>
      </w:r>
      <w:r w:rsidR="007545AC">
        <w:t>, and</w:t>
      </w:r>
      <w:r w:rsidR="007545AC" w:rsidRPr="009C7698">
        <w:t xml:space="preserve"> </w:t>
      </w:r>
      <w:r w:rsidR="001602D6">
        <w:t xml:space="preserve">between </w:t>
      </w:r>
      <w:r w:rsidR="00D5403B" w:rsidRPr="009C7698">
        <w:t>1</w:t>
      </w:r>
      <w:r w:rsidR="001602D6">
        <w:t xml:space="preserve">% and </w:t>
      </w:r>
      <w:r w:rsidR="00D5403B" w:rsidRPr="009C7698">
        <w:t xml:space="preserve">17% in </w:t>
      </w:r>
      <w:r w:rsidR="001C1C4D" w:rsidRPr="009C7698">
        <w:t>Victoria</w:t>
      </w:r>
      <w:r w:rsidR="00B81F10">
        <w:t>n RFA regions</w:t>
      </w:r>
      <w:r w:rsidR="00D5403B" w:rsidRPr="009C7698">
        <w:t>.</w:t>
      </w:r>
    </w:p>
    <w:p w14:paraId="576844E2" w14:textId="7AF169CB" w:rsidR="007545AC" w:rsidRDefault="001A6CC8" w:rsidP="00DE2888">
      <w:r w:rsidRPr="009C7698">
        <w:t xml:space="preserve">Since signing </w:t>
      </w:r>
      <w:r w:rsidR="002210A6" w:rsidRPr="009C7698">
        <w:t xml:space="preserve">the </w:t>
      </w:r>
      <w:r w:rsidRPr="009C7698">
        <w:t>agreements</w:t>
      </w:r>
      <w:r w:rsidR="007D0BC3">
        <w:t>,</w:t>
      </w:r>
      <w:r w:rsidRPr="009C7698">
        <w:t xml:space="preserve"> there has been a </w:t>
      </w:r>
      <w:r w:rsidR="001E71DC" w:rsidRPr="009C7698">
        <w:t>further reduction in NHA</w:t>
      </w:r>
      <w:r w:rsidR="00B96E3B">
        <w:t xml:space="preserve"> in RFA regions </w:t>
      </w:r>
      <w:r w:rsidR="001E71DC" w:rsidRPr="009C7698">
        <w:t xml:space="preserve">of </w:t>
      </w:r>
      <w:r w:rsidR="00E04E21">
        <w:t>1</w:t>
      </w:r>
      <w:r w:rsidR="00013DC0" w:rsidRPr="009C7698">
        <w:t>.</w:t>
      </w:r>
      <w:r w:rsidR="005518E7">
        <w:t>3</w:t>
      </w:r>
      <w:r w:rsidR="00B96E3B">
        <w:t> </w:t>
      </w:r>
      <w:r w:rsidR="00E04E21">
        <w:t>million hectares (35</w:t>
      </w:r>
      <w:r w:rsidRPr="009C7698">
        <w:t>%)</w:t>
      </w:r>
      <w:r w:rsidR="00A1522D">
        <w:t xml:space="preserve"> (</w:t>
      </w:r>
      <w:r w:rsidR="00BF30CD" w:rsidRPr="00BF30CD">
        <w:t xml:space="preserve">Table A10). This </w:t>
      </w:r>
      <w:r w:rsidR="007D0BC3">
        <w:t>has</w:t>
      </w:r>
      <w:r w:rsidRPr="009C7698">
        <w:t xml:space="preserve"> result</w:t>
      </w:r>
      <w:r w:rsidR="007D0BC3">
        <w:t>ed from</w:t>
      </w:r>
      <w:r w:rsidRPr="009C7698">
        <w:t xml:space="preserve"> further reservation, an increase in areas excluded from harvesting by management prescriptions, and improved inventory identifying non-merchantable or operationally constrained forest stands.</w:t>
      </w:r>
    </w:p>
    <w:p w14:paraId="6DA315DD" w14:textId="0E59D88A" w:rsidR="00305DAC" w:rsidRDefault="00A1522D" w:rsidP="00305DAC">
      <w:pPr>
        <w:pStyle w:val="ListParagraph"/>
        <w:numPr>
          <w:ilvl w:val="0"/>
          <w:numId w:val="28"/>
        </w:numPr>
      </w:pPr>
      <w:r>
        <w:lastRenderedPageBreak/>
        <w:t>The</w:t>
      </w:r>
      <w:r w:rsidR="001A6CC8" w:rsidRPr="009C7698">
        <w:t xml:space="preserve"> </w:t>
      </w:r>
      <w:r w:rsidR="001E71DC" w:rsidRPr="009C7698">
        <w:t xml:space="preserve">further </w:t>
      </w:r>
      <w:r w:rsidR="001A6CC8" w:rsidRPr="009C7698">
        <w:t xml:space="preserve">reduction in NHA </w:t>
      </w:r>
      <w:r w:rsidR="001D5C34">
        <w:t xml:space="preserve">since signing the RFAs </w:t>
      </w:r>
      <w:r w:rsidR="001A6CC8" w:rsidRPr="009C7698">
        <w:t xml:space="preserve">varied from </w:t>
      </w:r>
      <w:r w:rsidR="00387612">
        <w:t>11%</w:t>
      </w:r>
      <w:r w:rsidR="001A6CC8" w:rsidRPr="009C7698">
        <w:t xml:space="preserve"> in </w:t>
      </w:r>
      <w:r w:rsidR="002E4FC9">
        <w:t>the</w:t>
      </w:r>
      <w:r w:rsidR="00B81F10">
        <w:t xml:space="preserve"> </w:t>
      </w:r>
      <w:r w:rsidR="00387612">
        <w:t>Upper North East</w:t>
      </w:r>
      <w:r w:rsidR="00B87D61">
        <w:t xml:space="preserve"> (NSW)</w:t>
      </w:r>
      <w:r w:rsidR="001A6CC8" w:rsidRPr="009C7698">
        <w:t xml:space="preserve"> </w:t>
      </w:r>
      <w:r w:rsidR="002E4FC9">
        <w:t>RFA</w:t>
      </w:r>
      <w:r w:rsidR="00851047">
        <w:t xml:space="preserve"> </w:t>
      </w:r>
      <w:r w:rsidR="002E4FC9">
        <w:t xml:space="preserve">region </w:t>
      </w:r>
      <w:r w:rsidR="00387612">
        <w:t>to 69</w:t>
      </w:r>
      <w:r w:rsidR="001A6CC8" w:rsidRPr="009C7698">
        <w:t xml:space="preserve">% in the </w:t>
      </w:r>
      <w:r w:rsidR="00387612">
        <w:t>Gippsland</w:t>
      </w:r>
      <w:r w:rsidR="001A6CC8" w:rsidRPr="009C7698">
        <w:t xml:space="preserve"> </w:t>
      </w:r>
      <w:r w:rsidR="002E4FC9">
        <w:t>RFA</w:t>
      </w:r>
      <w:r w:rsidR="001A6CC8" w:rsidRPr="009C7698">
        <w:t xml:space="preserve"> region</w:t>
      </w:r>
      <w:r w:rsidR="001D5C34">
        <w:t>; the exception was a</w:t>
      </w:r>
      <w:r w:rsidR="001A6CC8" w:rsidRPr="009C7698">
        <w:t>n i</w:t>
      </w:r>
      <w:r w:rsidR="002E4FC9">
        <w:t xml:space="preserve">ncrease in NHA in the Southern </w:t>
      </w:r>
      <w:r w:rsidR="00851047" w:rsidRPr="00305DAC">
        <w:rPr>
          <w:rFonts w:eastAsiaTheme="minorEastAsia"/>
        </w:rPr>
        <w:t xml:space="preserve">New South Wales </w:t>
      </w:r>
      <w:r w:rsidR="002E4FC9">
        <w:t xml:space="preserve">RFA </w:t>
      </w:r>
      <w:r w:rsidR="001A6CC8" w:rsidRPr="009C7698">
        <w:t>region in 2010</w:t>
      </w:r>
      <w:r w:rsidR="00C22322">
        <w:t>–</w:t>
      </w:r>
      <w:r>
        <w:t>11</w:t>
      </w:r>
      <w:r w:rsidR="001A6CC8" w:rsidRPr="009C7698">
        <w:t xml:space="preserve"> as a result of reassessment of the </w:t>
      </w:r>
      <w:r w:rsidR="00E77853">
        <w:t>merchantability</w:t>
      </w:r>
      <w:r w:rsidR="00E77853">
        <w:rPr>
          <w:rStyle w:val="FootnoteReference"/>
        </w:rPr>
        <w:footnoteReference w:id="8"/>
      </w:r>
      <w:r w:rsidR="00E77853">
        <w:t xml:space="preserve"> </w:t>
      </w:r>
      <w:r w:rsidR="00B96E3B">
        <w:t xml:space="preserve">of stands </w:t>
      </w:r>
      <w:r w:rsidR="001A6CC8" w:rsidRPr="009C7698">
        <w:t>previ</w:t>
      </w:r>
      <w:r w:rsidR="00305DAC">
        <w:t>ously excluded from harvesting.</w:t>
      </w:r>
    </w:p>
    <w:p w14:paraId="03687826" w14:textId="77777777" w:rsidR="00295FA6" w:rsidRPr="009C7698" w:rsidRDefault="00295FA6" w:rsidP="00295FA6">
      <w:pPr>
        <w:pStyle w:val="ListParagraph"/>
        <w:numPr>
          <w:ilvl w:val="0"/>
          <w:numId w:val="27"/>
        </w:numPr>
      </w:pPr>
      <w:r w:rsidRPr="009C7698">
        <w:t xml:space="preserve">Changes to NHA reported for </w:t>
      </w:r>
      <w:r>
        <w:t>Tasmania in 2005–</w:t>
      </w:r>
      <w:r w:rsidRPr="009C7698">
        <w:t>06</w:t>
      </w:r>
      <w:r>
        <w:t>,</w:t>
      </w:r>
      <w:r w:rsidRPr="009C7698">
        <w:t xml:space="preserve"> 2010</w:t>
      </w:r>
      <w:r>
        <w:t>–</w:t>
      </w:r>
      <w:r w:rsidRPr="009C7698">
        <w:t>11</w:t>
      </w:r>
      <w:r>
        <w:t xml:space="preserve"> and 2015–16</w:t>
      </w:r>
      <w:r w:rsidRPr="009C7698">
        <w:t xml:space="preserve"> were the result of further reservation </w:t>
      </w:r>
      <w:r>
        <w:t>in</w:t>
      </w:r>
      <w:r w:rsidRPr="009C7698">
        <w:t xml:space="preserve"> the Tasmanian Community Forest Agreement 2005, the application in 2010</w:t>
      </w:r>
      <w:r>
        <w:t>–</w:t>
      </w:r>
      <w:r w:rsidRPr="009C7698">
        <w:t>11 of forest mapping techniques that improved the identification of areas for management by prescription and of non-merchantable or operatio</w:t>
      </w:r>
      <w:r>
        <w:t>nally constrained forest stands, and changes in land tenure and management that occurred in 2013 that included reclassification of significant areas of multiple-use public forest as World Heritage areas, other reserves or other Crown land.</w:t>
      </w:r>
    </w:p>
    <w:p w14:paraId="19F8E40A" w14:textId="66F97C7A" w:rsidR="00305DAC" w:rsidRDefault="005634A6" w:rsidP="00BF30CD">
      <w:pPr>
        <w:pStyle w:val="ListParagraph"/>
        <w:numPr>
          <w:ilvl w:val="0"/>
          <w:numId w:val="27"/>
        </w:numPr>
      </w:pPr>
      <w:r w:rsidRPr="009C7698">
        <w:t xml:space="preserve">Reductions in </w:t>
      </w:r>
      <w:r w:rsidR="00E03231" w:rsidRPr="009C7698">
        <w:t>NHA</w:t>
      </w:r>
      <w:r w:rsidRPr="009C7698">
        <w:t xml:space="preserve"> in Victorian</w:t>
      </w:r>
      <w:r w:rsidR="00A04FA2" w:rsidRPr="009C7698">
        <w:t xml:space="preserve"> </w:t>
      </w:r>
      <w:r w:rsidR="00E03231" w:rsidRPr="009C7698">
        <w:t xml:space="preserve">RFA regions </w:t>
      </w:r>
      <w:r w:rsidR="00C22322">
        <w:t>reported in 2005–</w:t>
      </w:r>
      <w:r w:rsidR="00A04FA2" w:rsidRPr="009C7698">
        <w:t xml:space="preserve">06 and </w:t>
      </w:r>
      <w:r w:rsidR="00E03231" w:rsidRPr="009C7698">
        <w:t xml:space="preserve">again in </w:t>
      </w:r>
      <w:r w:rsidR="00A04FA2" w:rsidRPr="009C7698">
        <w:t>2010</w:t>
      </w:r>
      <w:r w:rsidR="00C22322">
        <w:t>–</w:t>
      </w:r>
      <w:r w:rsidR="00A04FA2" w:rsidRPr="009C7698">
        <w:t xml:space="preserve">11 were the result of the </w:t>
      </w:r>
      <w:r w:rsidR="00E03231" w:rsidRPr="009C7698">
        <w:t xml:space="preserve">incorporation </w:t>
      </w:r>
      <w:r w:rsidR="00A04FA2" w:rsidRPr="009C7698">
        <w:t xml:space="preserve">of new forest inventory </w:t>
      </w:r>
      <w:r w:rsidR="00E03231" w:rsidRPr="009C7698">
        <w:t xml:space="preserve">data </w:t>
      </w:r>
      <w:r w:rsidR="00A04FA2" w:rsidRPr="009C7698">
        <w:t xml:space="preserve">and </w:t>
      </w:r>
      <w:r w:rsidR="00E03231" w:rsidRPr="009C7698">
        <w:t xml:space="preserve">the </w:t>
      </w:r>
      <w:r w:rsidR="00A04FA2" w:rsidRPr="009C7698">
        <w:t>implementation of</w:t>
      </w:r>
      <w:r w:rsidR="00D5403B" w:rsidRPr="009C7698">
        <w:t xml:space="preserve"> new</w:t>
      </w:r>
      <w:r w:rsidR="00A04FA2" w:rsidRPr="009C7698">
        <w:t xml:space="preserve"> sustainable yield methodology</w:t>
      </w:r>
      <w:r w:rsidR="00E03231" w:rsidRPr="009C7698">
        <w:t>,</w:t>
      </w:r>
      <w:r w:rsidR="00A04FA2" w:rsidRPr="009C7698">
        <w:t xml:space="preserve"> </w:t>
      </w:r>
      <w:r w:rsidR="00714A5F" w:rsidRPr="009C7698">
        <w:t xml:space="preserve">in turn </w:t>
      </w:r>
      <w:r w:rsidR="00A04FA2" w:rsidRPr="009C7698">
        <w:t xml:space="preserve">a requirement of the </w:t>
      </w:r>
      <w:r w:rsidR="002E4FC9">
        <w:t>RFA</w:t>
      </w:r>
      <w:r w:rsidR="00A04FA2" w:rsidRPr="009C7698">
        <w:t>. Some of th</w:t>
      </w:r>
      <w:r w:rsidR="007F59DF" w:rsidRPr="009C7698">
        <w:t>e</w:t>
      </w:r>
      <w:r w:rsidR="00A04FA2" w:rsidRPr="009C7698">
        <w:t xml:space="preserve"> reduction </w:t>
      </w:r>
      <w:r w:rsidR="0046145B" w:rsidRPr="009C7698">
        <w:t xml:space="preserve">in </w:t>
      </w:r>
      <w:r w:rsidR="008D3F1D" w:rsidRPr="009C7698">
        <w:t xml:space="preserve">NHA in </w:t>
      </w:r>
      <w:r w:rsidR="0046145B" w:rsidRPr="009C7698">
        <w:t xml:space="preserve">Victoria </w:t>
      </w:r>
      <w:r w:rsidR="00A04FA2" w:rsidRPr="009C7698">
        <w:t xml:space="preserve">was </w:t>
      </w:r>
      <w:r w:rsidR="0046145B" w:rsidRPr="009C7698">
        <w:t xml:space="preserve">also </w:t>
      </w:r>
      <w:r w:rsidR="00A04FA2" w:rsidRPr="009C7698">
        <w:t xml:space="preserve">a result of further reservation and application of </w:t>
      </w:r>
      <w:r w:rsidR="008D3F1D" w:rsidRPr="009C7698">
        <w:t xml:space="preserve">management </w:t>
      </w:r>
      <w:r w:rsidR="00A04FA2" w:rsidRPr="009C7698">
        <w:t>prescriptions</w:t>
      </w:r>
      <w:r w:rsidR="008D3F1D" w:rsidRPr="009C7698">
        <w:t>,</w:t>
      </w:r>
      <w:r w:rsidR="0046145B" w:rsidRPr="009C7698">
        <w:t xml:space="preserve"> particularly in the West Victoria </w:t>
      </w:r>
      <w:r w:rsidR="002E4FC9">
        <w:t>RFA</w:t>
      </w:r>
      <w:r w:rsidR="0046145B" w:rsidRPr="009C7698">
        <w:t xml:space="preserve"> </w:t>
      </w:r>
      <w:r w:rsidR="002E4FC9">
        <w:t>region</w:t>
      </w:r>
      <w:r w:rsidR="008D3F1D" w:rsidRPr="009C7698">
        <w:t xml:space="preserve"> </w:t>
      </w:r>
      <w:r w:rsidR="0046145B" w:rsidRPr="009C7698">
        <w:t xml:space="preserve">that experienced a 66% reduction in </w:t>
      </w:r>
      <w:r w:rsidR="008D3F1D" w:rsidRPr="009C7698">
        <w:t xml:space="preserve">NHA </w:t>
      </w:r>
      <w:r w:rsidR="0046145B" w:rsidRPr="009C7698">
        <w:t>since signing of th</w:t>
      </w:r>
      <w:r w:rsidR="007D0BC3">
        <w:t>at</w:t>
      </w:r>
      <w:r w:rsidR="0046145B" w:rsidRPr="009C7698">
        <w:t xml:space="preserve"> </w:t>
      </w:r>
      <w:r w:rsidR="00BF30CD" w:rsidRPr="00BF30CD">
        <w:t>agreement (Table A10</w:t>
      </w:r>
      <w:r w:rsidR="00A22082" w:rsidRPr="009C7698">
        <w:t>)</w:t>
      </w:r>
      <w:r w:rsidR="0046145B" w:rsidRPr="009C7698">
        <w:t xml:space="preserve">. </w:t>
      </w:r>
      <w:r w:rsidR="00B779D9">
        <w:t>Wildfire effects on the merchantability of forest stands contributed to the reduction in NHA in the most recent data for East Gippsland and Central Highlands RFA</w:t>
      </w:r>
      <w:r w:rsidR="00552325">
        <w:t xml:space="preserve"> regions</w:t>
      </w:r>
      <w:r w:rsidR="00305DAC">
        <w:t>.</w:t>
      </w:r>
    </w:p>
    <w:p w14:paraId="0469553D" w14:textId="77777777" w:rsidR="00295FA6" w:rsidRDefault="00295FA6" w:rsidP="00295FA6">
      <w:pPr>
        <w:pStyle w:val="ListParagraph"/>
        <w:numPr>
          <w:ilvl w:val="0"/>
          <w:numId w:val="27"/>
        </w:numPr>
      </w:pPr>
      <w:r w:rsidRPr="009C7698">
        <w:t xml:space="preserve">The reductions in NHA between the signing of the South-West </w:t>
      </w:r>
      <w:r>
        <w:t xml:space="preserve">Forest Region of </w:t>
      </w:r>
      <w:r w:rsidRPr="00305DAC">
        <w:rPr>
          <w:rFonts w:eastAsiaTheme="minorEastAsia"/>
        </w:rPr>
        <w:t>Western Australia</w:t>
      </w:r>
      <w:r>
        <w:t xml:space="preserve"> RFA</w:t>
      </w:r>
      <w:r w:rsidRPr="009C7698">
        <w:t xml:space="preserve"> in 1999,</w:t>
      </w:r>
      <w:r>
        <w:t xml:space="preserve"> and 2005–</w:t>
      </w:r>
      <w:r w:rsidRPr="009C7698">
        <w:t xml:space="preserve">06, resulted from implementation of the state’s 1999 old-growth policy, as well as adjustments through forest management planning processes to improve implementation of ecologically sustainable forest management (see Ferguson </w:t>
      </w:r>
      <w:r w:rsidRPr="002E4FC9">
        <w:t>et al.</w:t>
      </w:r>
      <w:r>
        <w:t xml:space="preserve"> 2001, 2003).</w:t>
      </w:r>
    </w:p>
    <w:p w14:paraId="65D880A5" w14:textId="55F523F4" w:rsidR="00356214" w:rsidRDefault="00EE58B6" w:rsidP="00DE2888">
      <w:r w:rsidRPr="009C7698">
        <w:t xml:space="preserve">Taken together, the NHA within RFA regions </w:t>
      </w:r>
      <w:r w:rsidR="00EF0E1A">
        <w:t>has reduced by</w:t>
      </w:r>
      <w:r w:rsidR="00387612">
        <w:t xml:space="preserve"> 2</w:t>
      </w:r>
      <w:r w:rsidRPr="009C7698">
        <w:t>.</w:t>
      </w:r>
      <w:r w:rsidR="00E60B4A">
        <w:t>2</w:t>
      </w:r>
      <w:r w:rsidRPr="009C7698">
        <w:t xml:space="preserve"> million hectares </w:t>
      </w:r>
      <w:r w:rsidR="00EF137B">
        <w:t xml:space="preserve">(48%) </w:t>
      </w:r>
      <w:r w:rsidR="00EF0E1A">
        <w:rPr>
          <w:rFonts w:eastAsiaTheme="minorEastAsia"/>
        </w:rPr>
        <w:t xml:space="preserve">from </w:t>
      </w:r>
      <w:r w:rsidR="00E60B4A">
        <w:rPr>
          <w:rFonts w:eastAsiaTheme="minorEastAsia"/>
        </w:rPr>
        <w:t xml:space="preserve">4.5 million hectares </w:t>
      </w:r>
      <w:r w:rsidR="00EF0E1A">
        <w:rPr>
          <w:rFonts w:eastAsiaTheme="minorEastAsia"/>
        </w:rPr>
        <w:t>before the</w:t>
      </w:r>
      <w:r w:rsidRPr="009C7698">
        <w:rPr>
          <w:rFonts w:eastAsiaTheme="minorEastAsia"/>
        </w:rPr>
        <w:t xml:space="preserve"> signing </w:t>
      </w:r>
      <w:r w:rsidR="00EF0E1A">
        <w:rPr>
          <w:rFonts w:eastAsiaTheme="minorEastAsia"/>
        </w:rPr>
        <w:t xml:space="preserve">of </w:t>
      </w:r>
      <w:r w:rsidR="00FB06B5" w:rsidRPr="009C7698">
        <w:rPr>
          <w:rFonts w:eastAsiaTheme="minorEastAsia"/>
        </w:rPr>
        <w:t>the</w:t>
      </w:r>
      <w:r w:rsidRPr="009C7698">
        <w:rPr>
          <w:rFonts w:eastAsiaTheme="minorEastAsia"/>
        </w:rPr>
        <w:t xml:space="preserve"> </w:t>
      </w:r>
      <w:r w:rsidR="00EF0E1A">
        <w:rPr>
          <w:rFonts w:eastAsiaTheme="minorEastAsia"/>
        </w:rPr>
        <w:t>RFAs</w:t>
      </w:r>
      <w:r w:rsidRPr="009C7698">
        <w:rPr>
          <w:rFonts w:eastAsiaTheme="minorEastAsia"/>
        </w:rPr>
        <w:t xml:space="preserve"> to </w:t>
      </w:r>
      <w:r w:rsidR="00E60B4A">
        <w:rPr>
          <w:rFonts w:eastAsiaTheme="minorEastAsia"/>
        </w:rPr>
        <w:t xml:space="preserve">2.3 million hectares in </w:t>
      </w:r>
      <w:r w:rsidR="00EF0E1A">
        <w:rPr>
          <w:rFonts w:eastAsiaTheme="minorEastAsia"/>
        </w:rPr>
        <w:t>the most recent data</w:t>
      </w:r>
      <w:r w:rsidRPr="009C7698">
        <w:t xml:space="preserve">. </w:t>
      </w:r>
      <w:r w:rsidR="00AA11F9">
        <w:t>T</w:t>
      </w:r>
      <w:r w:rsidR="007F59DF" w:rsidRPr="009C7698">
        <w:t>hese r</w:t>
      </w:r>
      <w:r w:rsidR="002E3F0F" w:rsidRPr="009C7698">
        <w:t>eduction</w:t>
      </w:r>
      <w:r w:rsidR="007F59DF" w:rsidRPr="009C7698">
        <w:t>s</w:t>
      </w:r>
      <w:r w:rsidR="002E3F0F" w:rsidRPr="009C7698">
        <w:t xml:space="preserve"> in NHA ha</w:t>
      </w:r>
      <w:r w:rsidR="007F59DF" w:rsidRPr="009C7698">
        <w:t>ve</w:t>
      </w:r>
      <w:r w:rsidR="002E3F0F" w:rsidRPr="009C7698">
        <w:t xml:space="preserve"> been a major determina</w:t>
      </w:r>
      <w:r w:rsidR="007F59DF" w:rsidRPr="009C7698">
        <w:t>n</w:t>
      </w:r>
      <w:r w:rsidR="002E3F0F" w:rsidRPr="009C7698">
        <w:t xml:space="preserve">t of </w:t>
      </w:r>
      <w:r w:rsidR="00DB6817">
        <w:t xml:space="preserve">both </w:t>
      </w:r>
      <w:r w:rsidR="002E3F0F" w:rsidRPr="009C7698">
        <w:t xml:space="preserve">sustainable yield and </w:t>
      </w:r>
      <w:r w:rsidR="00DB6817">
        <w:t xml:space="preserve">actual </w:t>
      </w:r>
      <w:r w:rsidR="002E3F0F" w:rsidRPr="009C7698">
        <w:t>harvest</w:t>
      </w:r>
      <w:r w:rsidR="00295FA6">
        <w:t>s</w:t>
      </w:r>
      <w:r w:rsidR="002E3F0F" w:rsidRPr="009C7698">
        <w:t xml:space="preserve"> from public forests from regions with </w:t>
      </w:r>
      <w:r w:rsidR="00BF30CD" w:rsidRPr="00BF30CD">
        <w:t>RFAs (Figure 6).</w:t>
      </w:r>
    </w:p>
    <w:p w14:paraId="7F252EFF" w14:textId="5692C196" w:rsidR="00654CBA" w:rsidRPr="00DE2888" w:rsidRDefault="008E2DD2" w:rsidP="00DE2888">
      <w:pPr>
        <w:pStyle w:val="Heading3"/>
        <w:keepLines/>
        <w:spacing w:before="0" w:after="0"/>
        <w:ind w:left="964" w:hanging="964"/>
        <w:rPr>
          <w:bCs/>
          <w:color w:val="FF7900"/>
          <w:sz w:val="36"/>
        </w:rPr>
      </w:pPr>
      <w:bookmarkStart w:id="29" w:name="_Toc58312591"/>
      <w:r>
        <w:rPr>
          <w:bCs/>
          <w:color w:val="FF7900"/>
          <w:sz w:val="36"/>
        </w:rPr>
        <w:t>4</w:t>
      </w:r>
      <w:r w:rsidR="00DE2888">
        <w:rPr>
          <w:bCs/>
          <w:color w:val="FF7900"/>
          <w:sz w:val="36"/>
        </w:rPr>
        <w:t>.5</w:t>
      </w:r>
      <w:r w:rsidR="00DE2888">
        <w:rPr>
          <w:bCs/>
          <w:color w:val="FF7900"/>
          <w:sz w:val="36"/>
        </w:rPr>
        <w:tab/>
      </w:r>
      <w:r w:rsidR="00654CBA" w:rsidRPr="00DE2888">
        <w:rPr>
          <w:bCs/>
          <w:color w:val="FF7900"/>
          <w:sz w:val="36"/>
        </w:rPr>
        <w:t>Sustainable yields</w:t>
      </w:r>
      <w:bookmarkEnd w:id="29"/>
    </w:p>
    <w:p w14:paraId="2BAAE864" w14:textId="79272FDD" w:rsidR="00702F90" w:rsidRPr="00B71F68" w:rsidRDefault="008E2DD2" w:rsidP="00B71F68">
      <w:pPr>
        <w:pStyle w:val="Heading3"/>
        <w:ind w:left="993" w:hanging="993"/>
        <w:rPr>
          <w:iCs/>
          <w:color w:val="DE3831"/>
          <w:sz w:val="28"/>
        </w:rPr>
      </w:pPr>
      <w:bookmarkStart w:id="30" w:name="_Toc58312592"/>
      <w:r>
        <w:rPr>
          <w:iCs/>
          <w:color w:val="DE3831"/>
          <w:sz w:val="28"/>
        </w:rPr>
        <w:t>4</w:t>
      </w:r>
      <w:r w:rsidR="00B71F68" w:rsidRPr="00B71F68">
        <w:rPr>
          <w:iCs/>
          <w:color w:val="DE3831"/>
          <w:sz w:val="28"/>
        </w:rPr>
        <w:t>.5.1</w:t>
      </w:r>
      <w:r w:rsidR="00B71F68" w:rsidRPr="00B71F68">
        <w:rPr>
          <w:iCs/>
          <w:color w:val="DE3831"/>
          <w:sz w:val="28"/>
        </w:rPr>
        <w:tab/>
      </w:r>
      <w:r w:rsidR="00702F90" w:rsidRPr="00B71F68">
        <w:rPr>
          <w:iCs/>
          <w:color w:val="DE3831"/>
          <w:sz w:val="28"/>
        </w:rPr>
        <w:t>Sustainable yield in an ecologically sustainable forest management system</w:t>
      </w:r>
      <w:bookmarkEnd w:id="30"/>
    </w:p>
    <w:p w14:paraId="511159AB" w14:textId="67C8B672" w:rsidR="00AE7189" w:rsidRDefault="00C34514" w:rsidP="00DE2888">
      <w:pPr>
        <w:rPr>
          <w:rFonts w:eastAsiaTheme="minorEastAsia"/>
        </w:rPr>
      </w:pPr>
      <w:r w:rsidRPr="009C7698">
        <w:rPr>
          <w:lang w:val="en-US"/>
        </w:rPr>
        <w:t xml:space="preserve">In addition to being part of ecologically sustainable forest management, sustainable wood yields are a key component of forest management under </w:t>
      </w:r>
      <w:r>
        <w:rPr>
          <w:lang w:val="en-US"/>
        </w:rPr>
        <w:t>RFAs</w:t>
      </w:r>
      <w:r w:rsidR="00AE7189">
        <w:rPr>
          <w:lang w:val="en-US"/>
        </w:rPr>
        <w:t>,</w:t>
      </w:r>
      <w:r w:rsidRPr="009C7698">
        <w:rPr>
          <w:lang w:val="en-US"/>
        </w:rPr>
        <w:t xml:space="preserve"> as they provide the security of supply needed for a competitive forest industry</w:t>
      </w:r>
      <w:r>
        <w:rPr>
          <w:lang w:val="en-US"/>
        </w:rPr>
        <w:t>,</w:t>
      </w:r>
      <w:r w:rsidRPr="009C7698">
        <w:rPr>
          <w:lang w:val="en-US"/>
        </w:rPr>
        <w:t xml:space="preserve"> </w:t>
      </w:r>
      <w:r w:rsidR="00AE7189">
        <w:rPr>
          <w:lang w:val="en-US"/>
        </w:rPr>
        <w:t xml:space="preserve">and </w:t>
      </w:r>
      <w:r w:rsidRPr="009C7698">
        <w:rPr>
          <w:lang w:val="en-US"/>
        </w:rPr>
        <w:t>promot</w:t>
      </w:r>
      <w:r w:rsidR="00AE7189">
        <w:rPr>
          <w:lang w:val="en-US"/>
        </w:rPr>
        <w:t>e</w:t>
      </w:r>
      <w:r w:rsidRPr="009C7698">
        <w:rPr>
          <w:lang w:val="en-US"/>
        </w:rPr>
        <w:t xml:space="preserve"> both regional ecologically sustainable development and regional conservation goals. This occurs through specification of wood flows that are non-declining in perpetuity for high-quality/high-value wood products (</w:t>
      </w:r>
      <w:r>
        <w:rPr>
          <w:lang w:val="en-US"/>
        </w:rPr>
        <w:t xml:space="preserve">typically </w:t>
      </w:r>
      <w:r w:rsidRPr="009C7698">
        <w:rPr>
          <w:lang w:val="en-US"/>
        </w:rPr>
        <w:t>sawlogs)</w:t>
      </w:r>
      <w:r w:rsidR="00AE7189">
        <w:rPr>
          <w:lang w:val="en-US"/>
        </w:rPr>
        <w:t xml:space="preserve"> </w:t>
      </w:r>
      <w:r w:rsidR="001D5C34">
        <w:t>from</w:t>
      </w:r>
      <w:r w:rsidR="001D5C34" w:rsidRPr="00DE31EB">
        <w:t xml:space="preserve"> </w:t>
      </w:r>
      <w:r w:rsidR="00AE7189" w:rsidRPr="00DE31EB">
        <w:t>multiple-use native forests</w:t>
      </w:r>
      <w:r w:rsidRPr="009C7698">
        <w:rPr>
          <w:lang w:val="en-US"/>
        </w:rPr>
        <w:t xml:space="preserve">. In addition to products from native forests, sustainable yield strategies under the </w:t>
      </w:r>
      <w:r>
        <w:rPr>
          <w:lang w:val="en-US"/>
        </w:rPr>
        <w:t>RFAs</w:t>
      </w:r>
      <w:r w:rsidRPr="009C7698">
        <w:rPr>
          <w:lang w:val="en-US"/>
        </w:rPr>
        <w:t xml:space="preserve"> for north-eastern New South Wales and Tasmania incorporated the supply from public hardwood plantations of products deemed to meet equivalent quality standards to wood products derived from native forests. </w:t>
      </w:r>
      <w:r w:rsidR="00AE7189" w:rsidRPr="009C7698">
        <w:rPr>
          <w:rFonts w:eastAsiaTheme="minorEastAsia"/>
        </w:rPr>
        <w:t>Davey (201</w:t>
      </w:r>
      <w:r w:rsidR="00AE7189">
        <w:rPr>
          <w:rFonts w:eastAsiaTheme="minorEastAsia"/>
        </w:rPr>
        <w:t>8</w:t>
      </w:r>
      <w:r w:rsidR="00AE7189" w:rsidRPr="009C7698">
        <w:rPr>
          <w:rFonts w:eastAsiaTheme="minorEastAsia"/>
        </w:rPr>
        <w:t xml:space="preserve">) discusses the accreditation of sustainable yield during the </w:t>
      </w:r>
      <w:r w:rsidR="00AE7189">
        <w:rPr>
          <w:rFonts w:eastAsiaTheme="minorEastAsia"/>
        </w:rPr>
        <w:t>RFA</w:t>
      </w:r>
      <w:r w:rsidR="00AE7189" w:rsidRPr="009C7698">
        <w:rPr>
          <w:rFonts w:eastAsiaTheme="minorEastAsia"/>
        </w:rPr>
        <w:t xml:space="preserve"> process.</w:t>
      </w:r>
    </w:p>
    <w:p w14:paraId="2E6CF62B" w14:textId="7775622D" w:rsidR="00AE7189" w:rsidRPr="009C7698" w:rsidRDefault="00AE7189" w:rsidP="00DE2888">
      <w:pPr>
        <w:rPr>
          <w:rFonts w:eastAsiaTheme="minorEastAsia"/>
        </w:rPr>
      </w:pPr>
      <w:r w:rsidRPr="009C7698">
        <w:rPr>
          <w:rFonts w:eastAsiaTheme="minorEastAsia"/>
        </w:rPr>
        <w:t>The component of the CAR reserve system comprising areas managed by prescription</w:t>
      </w:r>
      <w:r>
        <w:rPr>
          <w:rFonts w:eastAsiaTheme="minorEastAsia"/>
        </w:rPr>
        <w:t>, such as through</w:t>
      </w:r>
      <w:r w:rsidRPr="009C7698">
        <w:rPr>
          <w:rFonts w:eastAsiaTheme="minorEastAsia"/>
        </w:rPr>
        <w:t xml:space="preserve"> the application of codes of forest pra</w:t>
      </w:r>
      <w:r>
        <w:rPr>
          <w:rFonts w:eastAsiaTheme="minorEastAsia"/>
        </w:rPr>
        <w:t xml:space="preserve">ctice, is </w:t>
      </w:r>
      <w:r w:rsidRPr="009C7698">
        <w:rPr>
          <w:rFonts w:eastAsiaTheme="minorEastAsia"/>
        </w:rPr>
        <w:t xml:space="preserve">an important </w:t>
      </w:r>
      <w:r>
        <w:rPr>
          <w:rFonts w:eastAsiaTheme="minorEastAsia"/>
        </w:rPr>
        <w:t xml:space="preserve">restriction on </w:t>
      </w:r>
      <w:r w:rsidRPr="009C7698">
        <w:rPr>
          <w:rFonts w:eastAsiaTheme="minorEastAsia"/>
        </w:rPr>
        <w:t xml:space="preserve">net harvestable </w:t>
      </w:r>
      <w:r w:rsidRPr="009C7698">
        <w:rPr>
          <w:rFonts w:eastAsiaTheme="minorEastAsia"/>
        </w:rPr>
        <w:lastRenderedPageBreak/>
        <w:t>area</w:t>
      </w:r>
      <w:r>
        <w:rPr>
          <w:rFonts w:eastAsiaTheme="minorEastAsia"/>
        </w:rPr>
        <w:t xml:space="preserve"> and on the area</w:t>
      </w:r>
      <w:r w:rsidRPr="009C7698">
        <w:rPr>
          <w:rFonts w:eastAsiaTheme="minorEastAsia"/>
        </w:rPr>
        <w:t xml:space="preserve"> </w:t>
      </w:r>
      <w:r>
        <w:rPr>
          <w:rFonts w:eastAsiaTheme="minorEastAsia"/>
        </w:rPr>
        <w:t xml:space="preserve">over which </w:t>
      </w:r>
      <w:r w:rsidRPr="009C7698">
        <w:rPr>
          <w:rFonts w:eastAsiaTheme="minorEastAsia"/>
        </w:rPr>
        <w:t>sustainable yield of wood products</w:t>
      </w:r>
      <w:r>
        <w:rPr>
          <w:rFonts w:eastAsiaTheme="minorEastAsia"/>
        </w:rPr>
        <w:t xml:space="preserve"> is calculated. Increasing the area managed by prescription leads</w:t>
      </w:r>
      <w:r w:rsidRPr="009C7698">
        <w:rPr>
          <w:rFonts w:eastAsiaTheme="minorEastAsia"/>
        </w:rPr>
        <w:t xml:space="preserve"> </w:t>
      </w:r>
      <w:r>
        <w:rPr>
          <w:rFonts w:eastAsiaTheme="minorEastAsia"/>
        </w:rPr>
        <w:t xml:space="preserve">to reductions in sustainable </w:t>
      </w:r>
      <w:r w:rsidRPr="009C7698">
        <w:rPr>
          <w:rFonts w:eastAsiaTheme="minorEastAsia"/>
        </w:rPr>
        <w:t>yields</w:t>
      </w:r>
      <w:r>
        <w:rPr>
          <w:rFonts w:eastAsiaTheme="minorEastAsia"/>
        </w:rPr>
        <w:t>.</w:t>
      </w:r>
    </w:p>
    <w:p w14:paraId="0A4E718D" w14:textId="70920853" w:rsidR="00355EDE" w:rsidRPr="00B71F68" w:rsidRDefault="008E2DD2" w:rsidP="00B71F68">
      <w:pPr>
        <w:pStyle w:val="Heading3"/>
        <w:ind w:left="993" w:hanging="993"/>
        <w:rPr>
          <w:rFonts w:asciiTheme="minorHAnsi" w:hAnsiTheme="minorHAnsi"/>
          <w:iCs/>
          <w:color w:val="DE3831"/>
          <w:sz w:val="28"/>
        </w:rPr>
      </w:pPr>
      <w:bookmarkStart w:id="31" w:name="_Toc58312593"/>
      <w:r>
        <w:rPr>
          <w:rFonts w:asciiTheme="minorHAnsi" w:hAnsiTheme="minorHAnsi"/>
          <w:iCs/>
          <w:color w:val="DE3831"/>
          <w:sz w:val="28"/>
        </w:rPr>
        <w:t>4</w:t>
      </w:r>
      <w:r w:rsidR="00B71F68" w:rsidRPr="00B71F68">
        <w:rPr>
          <w:rFonts w:asciiTheme="minorHAnsi" w:hAnsiTheme="minorHAnsi"/>
          <w:iCs/>
          <w:color w:val="DE3831"/>
          <w:sz w:val="28"/>
        </w:rPr>
        <w:t>.5.2</w:t>
      </w:r>
      <w:r w:rsidR="00B71F68" w:rsidRPr="00B71F68">
        <w:rPr>
          <w:rFonts w:asciiTheme="minorHAnsi" w:hAnsiTheme="minorHAnsi"/>
          <w:iCs/>
          <w:color w:val="DE3831"/>
          <w:sz w:val="28"/>
        </w:rPr>
        <w:tab/>
      </w:r>
      <w:r w:rsidR="00355EDE" w:rsidRPr="00B71F68">
        <w:rPr>
          <w:rFonts w:asciiTheme="minorHAnsi" w:hAnsiTheme="minorHAnsi"/>
          <w:iCs/>
          <w:color w:val="DE3831"/>
          <w:sz w:val="28"/>
        </w:rPr>
        <w:t>Sustainable and actual yield</w:t>
      </w:r>
      <w:bookmarkEnd w:id="31"/>
    </w:p>
    <w:p w14:paraId="50654195" w14:textId="2484C9CE" w:rsidR="004F3EED" w:rsidRPr="009C7698" w:rsidRDefault="0064776D" w:rsidP="00DE2888">
      <w:r>
        <w:t>S</w:t>
      </w:r>
      <w:r w:rsidRPr="009C7698">
        <w:t xml:space="preserve">ustainable yield </w:t>
      </w:r>
      <w:r>
        <w:t>and a</w:t>
      </w:r>
      <w:r w:rsidR="00355EDE" w:rsidRPr="009C7698">
        <w:t xml:space="preserve">ctual yield </w:t>
      </w:r>
      <w:r w:rsidR="00AE7189" w:rsidRPr="00DE31EB">
        <w:t xml:space="preserve">for multiple-use public forests </w:t>
      </w:r>
      <w:r w:rsidR="00355EDE" w:rsidRPr="009C7698">
        <w:t xml:space="preserve">in </w:t>
      </w:r>
      <w:r w:rsidR="00E24F56">
        <w:t xml:space="preserve">RFA regions of </w:t>
      </w:r>
      <w:r w:rsidR="00355EDE" w:rsidRPr="009C7698">
        <w:t>each state are presented in</w:t>
      </w:r>
      <w:r w:rsidR="00C523EF">
        <w:t xml:space="preserve"> </w:t>
      </w:r>
      <w:r w:rsidR="00BF30CD" w:rsidRPr="00BF30CD">
        <w:t xml:space="preserve">Table A11 and Figure 6, across </w:t>
      </w:r>
      <w:r w:rsidR="00EF0E1A">
        <w:t>five</w:t>
      </w:r>
      <w:r w:rsidR="00355EDE" w:rsidRPr="009C7698">
        <w:t xml:space="preserve"> </w:t>
      </w:r>
      <w:r w:rsidR="00AE7189">
        <w:t xml:space="preserve">consecutive </w:t>
      </w:r>
      <w:r w:rsidR="00355EDE" w:rsidRPr="009C7698">
        <w:t xml:space="preserve">5-year reporting periods. The first reporting period </w:t>
      </w:r>
      <w:r w:rsidR="00E24F56">
        <w:t>(1992</w:t>
      </w:r>
      <w:r w:rsidR="001966A1">
        <w:t>–</w:t>
      </w:r>
      <w:r w:rsidR="00E24F56">
        <w:t xml:space="preserve">96) </w:t>
      </w:r>
      <w:r w:rsidR="00D42C5C">
        <w:t>covers</w:t>
      </w:r>
      <w:r w:rsidR="00355EDE" w:rsidRPr="009C7698">
        <w:t xml:space="preserve"> the period before commencement of the </w:t>
      </w:r>
      <w:r w:rsidR="00EF0E1A">
        <w:t>RFAs</w:t>
      </w:r>
      <w:r w:rsidR="00355EDE" w:rsidRPr="009C7698">
        <w:t xml:space="preserve">. The second period </w:t>
      </w:r>
      <w:r w:rsidR="00E24F56">
        <w:t>(1996</w:t>
      </w:r>
      <w:r w:rsidR="001966A1">
        <w:t>–</w:t>
      </w:r>
      <w:r w:rsidR="00E24F56">
        <w:t xml:space="preserve">2001) </w:t>
      </w:r>
      <w:r w:rsidR="00D42C5C">
        <w:t xml:space="preserve">covers </w:t>
      </w:r>
      <w:r w:rsidR="00355EDE" w:rsidRPr="009C7698">
        <w:t xml:space="preserve">the period of assessment and finalisation of </w:t>
      </w:r>
      <w:r>
        <w:t xml:space="preserve">the </w:t>
      </w:r>
      <w:r w:rsidR="00EF0E1A">
        <w:t>RFA</w:t>
      </w:r>
      <w:r>
        <w:t>s</w:t>
      </w:r>
      <w:r w:rsidR="00D42C5C">
        <w:t>; d</w:t>
      </w:r>
      <w:r w:rsidR="00355EDE" w:rsidRPr="009C7698">
        <w:t xml:space="preserve">uring this second period, harvesting in regions developing </w:t>
      </w:r>
      <w:r w:rsidR="00C87770">
        <w:t>RFA</w:t>
      </w:r>
      <w:r w:rsidR="00355EDE" w:rsidRPr="009C7698">
        <w:t xml:space="preserve">s was confined to public forests not in moratorium until their status was resolved in the </w:t>
      </w:r>
      <w:r w:rsidR="00C87770">
        <w:t>RFA</w:t>
      </w:r>
      <w:r w:rsidR="00D42C5C">
        <w:t xml:space="preserve">, which </w:t>
      </w:r>
      <w:r w:rsidR="00355EDE" w:rsidRPr="009C7698">
        <w:t>resulted in actual average yield being well below sustainable yiel</w:t>
      </w:r>
      <w:r w:rsidR="00EF0E1A">
        <w:t xml:space="preserve">d across all states. The third, </w:t>
      </w:r>
      <w:r w:rsidR="00355EDE" w:rsidRPr="009C7698">
        <w:t>fourth</w:t>
      </w:r>
      <w:r w:rsidR="00EF0E1A">
        <w:t xml:space="preserve"> and fifth</w:t>
      </w:r>
      <w:r w:rsidR="00355EDE" w:rsidRPr="009C7698">
        <w:t xml:space="preserve"> reporting periods </w:t>
      </w:r>
      <w:r w:rsidR="00E24F56">
        <w:t>(2001</w:t>
      </w:r>
      <w:r w:rsidR="001966A1">
        <w:t>–</w:t>
      </w:r>
      <w:r w:rsidR="00E24F56">
        <w:t>06, 2006</w:t>
      </w:r>
      <w:r w:rsidR="001966A1">
        <w:t>–</w:t>
      </w:r>
      <w:r w:rsidR="00E24F56">
        <w:t>11 and 2011</w:t>
      </w:r>
      <w:r w:rsidR="001966A1">
        <w:t>–</w:t>
      </w:r>
      <w:r w:rsidR="00E24F56">
        <w:t xml:space="preserve">16 respectively) </w:t>
      </w:r>
      <w:r w:rsidR="00355EDE" w:rsidRPr="009C7698">
        <w:t>generally coincide with the five</w:t>
      </w:r>
      <w:r w:rsidR="00714A5F" w:rsidRPr="009C7698">
        <w:t>-year</w:t>
      </w:r>
      <w:r w:rsidR="000D2350">
        <w:t xml:space="preserve">, </w:t>
      </w:r>
      <w:r w:rsidR="00355EDE" w:rsidRPr="009C7698">
        <w:t>ten</w:t>
      </w:r>
      <w:r w:rsidR="00714A5F" w:rsidRPr="009C7698">
        <w:t>-</w:t>
      </w:r>
      <w:r w:rsidR="00355EDE" w:rsidRPr="009C7698">
        <w:t>year</w:t>
      </w:r>
      <w:r w:rsidR="000D2350">
        <w:t xml:space="preserve"> and fifteen-year</w:t>
      </w:r>
      <w:r w:rsidR="00355EDE" w:rsidRPr="009C7698">
        <w:t xml:space="preserve"> </w:t>
      </w:r>
      <w:r w:rsidR="00E24F56">
        <w:t>reviews</w:t>
      </w:r>
      <w:r w:rsidR="00E24F56" w:rsidRPr="009C7698">
        <w:t xml:space="preserve"> </w:t>
      </w:r>
      <w:r w:rsidR="00355EDE" w:rsidRPr="009C7698">
        <w:t xml:space="preserve">of </w:t>
      </w:r>
      <w:r w:rsidR="000D2350">
        <w:t>the RFAs</w:t>
      </w:r>
      <w:r w:rsidR="00355EDE" w:rsidRPr="009C7698">
        <w:t>.</w:t>
      </w:r>
    </w:p>
    <w:p w14:paraId="151DE309" w14:textId="517A06DF" w:rsidR="001D5C34" w:rsidRPr="0003549D" w:rsidRDefault="001D5C34" w:rsidP="00BF30CD">
      <w:pPr>
        <w:pStyle w:val="Caption"/>
        <w:ind w:firstLine="0"/>
      </w:pPr>
      <w:bookmarkStart w:id="32" w:name="_Ref55396482"/>
      <w:bookmarkStart w:id="33" w:name="_Toc58234980"/>
      <w:r>
        <w:t xml:space="preserve">Figure </w:t>
      </w:r>
      <w:r w:rsidR="00211232">
        <w:rPr>
          <w:noProof/>
        </w:rPr>
        <w:fldChar w:fldCharType="begin"/>
      </w:r>
      <w:r w:rsidR="00211232">
        <w:rPr>
          <w:noProof/>
        </w:rPr>
        <w:instrText xml:space="preserve"> SEQ Figure \* ARABIC </w:instrText>
      </w:r>
      <w:r w:rsidR="00211232">
        <w:rPr>
          <w:noProof/>
        </w:rPr>
        <w:fldChar w:fldCharType="separate"/>
      </w:r>
      <w:r w:rsidR="00CC3B42">
        <w:rPr>
          <w:noProof/>
        </w:rPr>
        <w:t>6</w:t>
      </w:r>
      <w:r w:rsidR="00211232">
        <w:rPr>
          <w:noProof/>
        </w:rPr>
        <w:fldChar w:fldCharType="end"/>
      </w:r>
      <w:bookmarkEnd w:id="32"/>
      <w:r>
        <w:t xml:space="preserve"> </w:t>
      </w:r>
      <w:r w:rsidRPr="00156496">
        <w:t>Average annual harvest and sustainable yield for multiple-use public forest in RFA</w:t>
      </w:r>
      <w:r>
        <w:t xml:space="preserve"> region</w:t>
      </w:r>
      <w:r w:rsidRPr="00156496">
        <w:t>s, by state and fi</w:t>
      </w:r>
      <w:r>
        <w:t>v</w:t>
      </w:r>
      <w:r w:rsidRPr="00156496">
        <w:t>e-yearly reporting periods</w:t>
      </w:r>
      <w:bookmarkEnd w:id="33"/>
    </w:p>
    <w:p w14:paraId="0F667427" w14:textId="35700176" w:rsidR="00831C40" w:rsidRPr="00831C40" w:rsidRDefault="0003549D" w:rsidP="00831C40">
      <w:pPr>
        <w:pStyle w:val="FootnoteText"/>
        <w:spacing w:before="0"/>
        <w:rPr>
          <w:rFonts w:asciiTheme="minorHAnsi" w:eastAsiaTheme="minorEastAsia" w:hAnsiTheme="minorHAnsi"/>
          <w:sz w:val="16"/>
        </w:rPr>
      </w:pPr>
      <w:r w:rsidRPr="0003549D">
        <w:rPr>
          <w:noProof/>
          <w:lang w:eastAsia="en-AU"/>
        </w:rPr>
        <w:drawing>
          <wp:inline distT="0" distB="0" distL="0" distR="0" wp14:anchorId="7232E0C4" wp14:editId="700579FD">
            <wp:extent cx="5731510" cy="4930279"/>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930279"/>
                    </a:xfrm>
                    <a:prstGeom prst="rect">
                      <a:avLst/>
                    </a:prstGeom>
                    <a:noFill/>
                    <a:ln>
                      <a:noFill/>
                    </a:ln>
                  </pic:spPr>
                </pic:pic>
              </a:graphicData>
            </a:graphic>
          </wp:inline>
        </w:drawing>
      </w:r>
      <w:r w:rsidRPr="0003549D">
        <w:t xml:space="preserve"> </w:t>
      </w:r>
      <w:r w:rsidR="00831C40" w:rsidRPr="00831C40">
        <w:rPr>
          <w:rFonts w:asciiTheme="minorHAnsi" w:hAnsiTheme="minorHAnsi"/>
          <w:noProof/>
          <w:sz w:val="16"/>
        </w:rPr>
        <w:t xml:space="preserve">The data used to create this figure, together with other data in this report, </w:t>
      </w:r>
      <w:r w:rsidR="00DB0CD3">
        <w:rPr>
          <w:rFonts w:asciiTheme="minorHAnsi" w:hAnsiTheme="minorHAnsi"/>
          <w:noProof/>
          <w:sz w:val="16"/>
        </w:rPr>
        <w:t>are</w:t>
      </w:r>
      <w:r w:rsidR="00831C40" w:rsidRPr="00831C40">
        <w:rPr>
          <w:rFonts w:asciiTheme="minorHAnsi" w:hAnsiTheme="minorHAnsi"/>
          <w:noProof/>
          <w:sz w:val="16"/>
        </w:rPr>
        <w:t xml:space="preserve"> </w:t>
      </w:r>
      <w:r w:rsidR="00DB0CD3">
        <w:rPr>
          <w:rFonts w:asciiTheme="minorHAnsi" w:hAnsiTheme="minorHAnsi"/>
          <w:noProof/>
          <w:sz w:val="16"/>
        </w:rPr>
        <w:t>available in Microsoft Excel at</w:t>
      </w:r>
      <w:r w:rsidR="00831C40" w:rsidRPr="00831C40">
        <w:rPr>
          <w:rFonts w:asciiTheme="minorHAnsi" w:hAnsiTheme="minorHAnsi"/>
          <w:noProof/>
          <w:sz w:val="16"/>
        </w:rPr>
        <w:t xml:space="preserve"> </w:t>
      </w:r>
      <w:hyperlink r:id="rId37" w:history="1">
        <w:r w:rsidR="0090070F" w:rsidRPr="0090070F">
          <w:rPr>
            <w:rStyle w:val="Hyperlink"/>
            <w:rFonts w:asciiTheme="minorHAnsi" w:hAnsiTheme="minorHAnsi"/>
            <w:color w:val="0070C0"/>
            <w:sz w:val="16"/>
          </w:rPr>
          <w:t>doi.org/10.25814/3z94-9957</w:t>
        </w:r>
      </w:hyperlink>
      <w:r w:rsidR="0090070F">
        <w:rPr>
          <w:rFonts w:asciiTheme="minorHAnsi" w:hAnsiTheme="minorHAnsi"/>
          <w:sz w:val="16"/>
        </w:rPr>
        <w:t>.</w:t>
      </w:r>
    </w:p>
    <w:p w14:paraId="4F1422C3" w14:textId="1C94006D" w:rsidR="00E32E9F" w:rsidRDefault="00F40089" w:rsidP="00DE2888">
      <w:r w:rsidRPr="009C7698">
        <w:t xml:space="preserve">Substantial decreases in sustainable </w:t>
      </w:r>
      <w:r w:rsidR="00E32E9F">
        <w:t xml:space="preserve">and actual </w:t>
      </w:r>
      <w:r w:rsidRPr="009C7698">
        <w:t>yield</w:t>
      </w:r>
      <w:r w:rsidR="00AE7189">
        <w:t>s from RFA regions</w:t>
      </w:r>
      <w:r w:rsidRPr="009C7698">
        <w:t xml:space="preserve"> were experienced across </w:t>
      </w:r>
      <w:r w:rsidR="003B1B0E">
        <w:t xml:space="preserve">all states </w:t>
      </w:r>
      <w:r w:rsidR="00E32E9F">
        <w:t xml:space="preserve">from </w:t>
      </w:r>
      <w:r w:rsidR="006D6CCC">
        <w:t>1992–9</w:t>
      </w:r>
      <w:r w:rsidR="00E24F56">
        <w:t>6</w:t>
      </w:r>
      <w:r w:rsidR="006D6CCC">
        <w:t xml:space="preserve"> </w:t>
      </w:r>
      <w:r w:rsidR="00E32E9F">
        <w:t xml:space="preserve">to </w:t>
      </w:r>
      <w:r w:rsidR="006D6CCC">
        <w:t>201</w:t>
      </w:r>
      <w:r w:rsidR="00E24F56">
        <w:t>1</w:t>
      </w:r>
      <w:r w:rsidR="006D6CCC">
        <w:t>–</w:t>
      </w:r>
      <w:r w:rsidR="00BF30CD" w:rsidRPr="00BF30CD">
        <w:t xml:space="preserve">16 (Table A11, Figure 6). Across </w:t>
      </w:r>
      <w:r w:rsidR="004C4DB0">
        <w:t>all</w:t>
      </w:r>
      <w:r w:rsidR="00E32E9F">
        <w:t xml:space="preserve"> RFA</w:t>
      </w:r>
      <w:r w:rsidR="00AE7189">
        <w:t xml:space="preserve"> region</w:t>
      </w:r>
      <w:r w:rsidR="00E32E9F">
        <w:t>s</w:t>
      </w:r>
      <w:r w:rsidR="00AE7189">
        <w:t>,</w:t>
      </w:r>
      <w:r w:rsidR="00E32E9F">
        <w:t xml:space="preserve"> the</w:t>
      </w:r>
      <w:r w:rsidR="00690E3A">
        <w:t xml:space="preserve"> total sustainable yield </w:t>
      </w:r>
      <w:r w:rsidR="00AE7189">
        <w:t>for the period 1992–9</w:t>
      </w:r>
      <w:r w:rsidR="0058365F">
        <w:t>6</w:t>
      </w:r>
      <w:r w:rsidR="00AE7189">
        <w:t xml:space="preserve"> </w:t>
      </w:r>
      <w:r w:rsidR="00690E3A">
        <w:t>was 2.7</w:t>
      </w:r>
      <w:r w:rsidR="00E32E9F">
        <w:t xml:space="preserve"> million cubic metres per year, with the actual yield across the same period being 2.</w:t>
      </w:r>
      <w:r w:rsidR="00690E3A">
        <w:t>4</w:t>
      </w:r>
      <w:r w:rsidR="00E32E9F">
        <w:t xml:space="preserve"> million c</w:t>
      </w:r>
      <w:r w:rsidR="004C4DB0">
        <w:t>ubic metres per year. In the latest</w:t>
      </w:r>
      <w:r w:rsidR="00E32E9F">
        <w:t xml:space="preserve"> available figures, across the RFA</w:t>
      </w:r>
      <w:r w:rsidR="00AE7189">
        <w:t xml:space="preserve"> region</w:t>
      </w:r>
      <w:r w:rsidR="00E32E9F">
        <w:t>s for the period 2011–16</w:t>
      </w:r>
      <w:r w:rsidR="0064776D">
        <w:t>,</w:t>
      </w:r>
      <w:r w:rsidR="00E32E9F">
        <w:t xml:space="preserve"> the total sustainable yield was 1.2</w:t>
      </w:r>
      <w:r w:rsidR="0058365F">
        <w:t> </w:t>
      </w:r>
      <w:r w:rsidR="00E32E9F">
        <w:t>million cubic metres per year and the actual yield was 0.88 million cubic metres per year</w:t>
      </w:r>
      <w:r w:rsidR="0064776D">
        <w:t xml:space="preserve">. </w:t>
      </w:r>
      <w:r w:rsidR="00713517">
        <w:lastRenderedPageBreak/>
        <w:t xml:space="preserve">This is </w:t>
      </w:r>
      <w:r w:rsidR="00E32E9F">
        <w:t>a</w:t>
      </w:r>
      <w:r w:rsidR="00205306">
        <w:t xml:space="preserve"> total</w:t>
      </w:r>
      <w:r w:rsidR="00E32E9F">
        <w:t xml:space="preserve"> reduction of 1.</w:t>
      </w:r>
      <w:r w:rsidR="006B4FEA">
        <w:t>5</w:t>
      </w:r>
      <w:r w:rsidR="00E32E9F">
        <w:t xml:space="preserve"> million cubic metres per year </w:t>
      </w:r>
      <w:r w:rsidR="005F3720">
        <w:t xml:space="preserve">in both the sustainable yield and the actual yield </w:t>
      </w:r>
      <w:r w:rsidR="009C2094">
        <w:t>over this time</w:t>
      </w:r>
      <w:r w:rsidR="00F0745B">
        <w:t>,</w:t>
      </w:r>
      <w:r w:rsidR="00552325">
        <w:t xml:space="preserve"> and represent</w:t>
      </w:r>
      <w:r w:rsidR="00F0745B">
        <w:t>s</w:t>
      </w:r>
      <w:r w:rsidR="00552325">
        <w:t xml:space="preserve"> a</w:t>
      </w:r>
      <w:r w:rsidR="008F3507">
        <w:t xml:space="preserve"> 55% reduction in sustainable yield and a 63% reduction in actual yield</w:t>
      </w:r>
      <w:r w:rsidR="00E32E9F">
        <w:t>.</w:t>
      </w:r>
    </w:p>
    <w:p w14:paraId="50C0F889" w14:textId="2CA6EEEC" w:rsidR="00484081" w:rsidRPr="00305DAC" w:rsidRDefault="00484081" w:rsidP="00BF30CD">
      <w:pPr>
        <w:pStyle w:val="ListParagraph"/>
        <w:numPr>
          <w:ilvl w:val="0"/>
          <w:numId w:val="26"/>
        </w:numPr>
        <w:rPr>
          <w:rFonts w:asciiTheme="majorHAnsi" w:eastAsiaTheme="minorEastAsia" w:hAnsiTheme="majorHAnsi"/>
          <w:szCs w:val="22"/>
        </w:rPr>
      </w:pPr>
      <w:r w:rsidRPr="00305DAC">
        <w:rPr>
          <w:rFonts w:asciiTheme="majorHAnsi" w:eastAsiaTheme="minorEastAsia" w:hAnsiTheme="majorHAnsi"/>
          <w:szCs w:val="22"/>
        </w:rPr>
        <w:t xml:space="preserve">The </w:t>
      </w:r>
      <w:r w:rsidR="00BF0131" w:rsidRPr="00305DAC">
        <w:rPr>
          <w:rFonts w:asciiTheme="majorHAnsi" w:eastAsiaTheme="minorEastAsia" w:hAnsiTheme="majorHAnsi"/>
          <w:szCs w:val="22"/>
        </w:rPr>
        <w:t>New South Wales</w:t>
      </w:r>
      <w:r w:rsidRPr="00305DAC">
        <w:rPr>
          <w:rFonts w:asciiTheme="majorHAnsi" w:eastAsiaTheme="minorEastAsia" w:hAnsiTheme="majorHAnsi"/>
          <w:szCs w:val="22"/>
        </w:rPr>
        <w:t xml:space="preserve"> review of sustainable yield (Vanclay 2002) resulted in improvements to the models and predictions in the forest management system for sustainable yield (</w:t>
      </w:r>
      <w:r w:rsidRPr="00305DAC">
        <w:rPr>
          <w:rFonts w:asciiTheme="majorHAnsi" w:hAnsiTheme="majorHAnsi"/>
          <w:szCs w:val="22"/>
        </w:rPr>
        <w:t>Australian and New South Wales Governments 2009)</w:t>
      </w:r>
      <w:r w:rsidRPr="00305DAC">
        <w:rPr>
          <w:rFonts w:asciiTheme="majorHAnsi" w:eastAsiaTheme="minorEastAsia" w:hAnsiTheme="majorHAnsi"/>
          <w:szCs w:val="22"/>
        </w:rPr>
        <w:t xml:space="preserve">. Recommendations on further improvements </w:t>
      </w:r>
      <w:r w:rsidR="002E4337" w:rsidRPr="00305DAC">
        <w:rPr>
          <w:rFonts w:asciiTheme="majorHAnsi" w:eastAsiaTheme="minorEastAsia" w:hAnsiTheme="majorHAnsi"/>
          <w:szCs w:val="22"/>
        </w:rPr>
        <w:t xml:space="preserve">regarding sustainable yield calculations for public native forest </w:t>
      </w:r>
      <w:r w:rsidRPr="00305DAC">
        <w:rPr>
          <w:rFonts w:asciiTheme="majorHAnsi" w:eastAsiaTheme="minorEastAsia" w:hAnsiTheme="majorHAnsi"/>
          <w:szCs w:val="22"/>
        </w:rPr>
        <w:t xml:space="preserve">were made by the </w:t>
      </w:r>
      <w:r w:rsidR="00BF0131" w:rsidRPr="00305DAC">
        <w:rPr>
          <w:rFonts w:asciiTheme="majorHAnsi" w:eastAsiaTheme="minorEastAsia" w:hAnsiTheme="majorHAnsi"/>
          <w:szCs w:val="22"/>
        </w:rPr>
        <w:t xml:space="preserve">New South Wales </w:t>
      </w:r>
      <w:r w:rsidRPr="00305DAC">
        <w:rPr>
          <w:rFonts w:asciiTheme="majorHAnsi" w:eastAsiaTheme="minorEastAsia" w:hAnsiTheme="majorHAnsi"/>
          <w:szCs w:val="22"/>
        </w:rPr>
        <w:t xml:space="preserve">Auditor General (2009). Increased reservation resulting in a decreased net harvestable </w:t>
      </w:r>
      <w:r w:rsidR="00BF30CD" w:rsidRPr="00BF30CD">
        <w:rPr>
          <w:rFonts w:asciiTheme="majorHAnsi" w:eastAsiaTheme="minorEastAsia" w:hAnsiTheme="majorHAnsi"/>
          <w:szCs w:val="22"/>
        </w:rPr>
        <w:t>area (Table A10</w:t>
      </w:r>
      <w:r w:rsidRPr="00305DAC">
        <w:rPr>
          <w:rFonts w:asciiTheme="majorHAnsi" w:eastAsiaTheme="minorEastAsia" w:hAnsiTheme="majorHAnsi"/>
          <w:szCs w:val="22"/>
        </w:rPr>
        <w:t xml:space="preserve">) was the main reason for decreases in sustainable </w:t>
      </w:r>
      <w:r w:rsidR="00BF30CD" w:rsidRPr="00BF30CD">
        <w:rPr>
          <w:rFonts w:asciiTheme="majorHAnsi" w:eastAsiaTheme="minorEastAsia" w:hAnsiTheme="majorHAnsi"/>
          <w:szCs w:val="22"/>
        </w:rPr>
        <w:t xml:space="preserve">yield (Table A11, Figure 6) following </w:t>
      </w:r>
      <w:r w:rsidRPr="00305DAC">
        <w:rPr>
          <w:rFonts w:asciiTheme="majorHAnsi" w:hAnsiTheme="majorHAnsi"/>
          <w:szCs w:val="22"/>
        </w:rPr>
        <w:t xml:space="preserve">signing of RFAs in </w:t>
      </w:r>
      <w:r w:rsidR="00851047" w:rsidRPr="00305DAC">
        <w:rPr>
          <w:rFonts w:asciiTheme="majorHAnsi" w:eastAsiaTheme="minorEastAsia" w:hAnsiTheme="majorHAnsi"/>
          <w:szCs w:val="22"/>
        </w:rPr>
        <w:t>New South Wales</w:t>
      </w:r>
      <w:r w:rsidR="002E4337" w:rsidRPr="00305DAC">
        <w:rPr>
          <w:rFonts w:asciiTheme="majorHAnsi" w:hAnsiTheme="majorHAnsi"/>
          <w:szCs w:val="22"/>
        </w:rPr>
        <w:t xml:space="preserve"> and subsequently</w:t>
      </w:r>
      <w:r w:rsidRPr="00305DAC">
        <w:rPr>
          <w:rFonts w:asciiTheme="majorHAnsi" w:hAnsiTheme="majorHAnsi"/>
          <w:szCs w:val="22"/>
        </w:rPr>
        <w:t xml:space="preserve"> (Australian and New South Wales Governments 2009, </w:t>
      </w:r>
      <w:r w:rsidRPr="00305DAC">
        <w:rPr>
          <w:rFonts w:asciiTheme="majorHAnsi" w:eastAsiaTheme="minorEastAsia" w:hAnsiTheme="majorHAnsi"/>
          <w:szCs w:val="22"/>
        </w:rPr>
        <w:t>NSW Auditor General 2009).</w:t>
      </w:r>
    </w:p>
    <w:p w14:paraId="22646483" w14:textId="2D407C6F" w:rsidR="0062796E" w:rsidRPr="00305DAC" w:rsidRDefault="009C2094" w:rsidP="00BF30CD">
      <w:pPr>
        <w:pStyle w:val="ListParagraph"/>
        <w:numPr>
          <w:ilvl w:val="0"/>
          <w:numId w:val="26"/>
        </w:numPr>
        <w:rPr>
          <w:rFonts w:asciiTheme="majorHAnsi" w:eastAsiaTheme="minorEastAsia" w:hAnsiTheme="majorHAnsi"/>
          <w:szCs w:val="22"/>
        </w:rPr>
      </w:pPr>
      <w:r w:rsidRPr="00305DAC">
        <w:rPr>
          <w:rFonts w:asciiTheme="majorHAnsi" w:eastAsiaTheme="minorEastAsia" w:hAnsiTheme="majorHAnsi"/>
          <w:szCs w:val="22"/>
        </w:rPr>
        <w:t xml:space="preserve">After the signing of the Tasmanian RFA, </w:t>
      </w:r>
      <w:r w:rsidR="00A931E8" w:rsidRPr="00305DAC">
        <w:rPr>
          <w:rFonts w:asciiTheme="majorHAnsi" w:eastAsiaTheme="minorEastAsia" w:hAnsiTheme="majorHAnsi"/>
          <w:szCs w:val="22"/>
        </w:rPr>
        <w:t xml:space="preserve">the </w:t>
      </w:r>
      <w:r w:rsidR="00355EDE" w:rsidRPr="00305DAC">
        <w:rPr>
          <w:rFonts w:asciiTheme="majorHAnsi" w:eastAsiaTheme="minorEastAsia" w:hAnsiTheme="majorHAnsi"/>
          <w:szCs w:val="22"/>
        </w:rPr>
        <w:t>Tasmania</w:t>
      </w:r>
      <w:r w:rsidR="00A931E8" w:rsidRPr="00305DAC">
        <w:rPr>
          <w:rFonts w:asciiTheme="majorHAnsi" w:eastAsiaTheme="minorEastAsia" w:hAnsiTheme="majorHAnsi"/>
          <w:szCs w:val="22"/>
        </w:rPr>
        <w:t>n Government</w:t>
      </w:r>
      <w:r w:rsidR="00355EDE" w:rsidRPr="00305DAC">
        <w:rPr>
          <w:rFonts w:asciiTheme="majorHAnsi" w:eastAsiaTheme="minorEastAsia" w:hAnsiTheme="majorHAnsi"/>
          <w:szCs w:val="22"/>
        </w:rPr>
        <w:t xml:space="preserve"> published a review of sustainable high-quality sawlog supply levels from public land (Forestry Tasmania 1998) and its methodology for calculating sustainable yield (Whiteley 1999). Two reviews of sustainable high-quality sawlog supply levels from public land were then published at the five-year and ten-year reviews of </w:t>
      </w:r>
      <w:r w:rsidR="007F59DF" w:rsidRPr="00305DAC">
        <w:rPr>
          <w:rFonts w:asciiTheme="majorHAnsi" w:eastAsiaTheme="minorEastAsia" w:hAnsiTheme="majorHAnsi"/>
          <w:szCs w:val="22"/>
        </w:rPr>
        <w:t xml:space="preserve">this agreement </w:t>
      </w:r>
      <w:r w:rsidR="00355EDE" w:rsidRPr="00305DAC">
        <w:rPr>
          <w:rFonts w:asciiTheme="majorHAnsi" w:eastAsiaTheme="minorEastAsia" w:hAnsiTheme="majorHAnsi"/>
          <w:szCs w:val="22"/>
        </w:rPr>
        <w:t xml:space="preserve">(Forestry Tasmania 2002, 2007). As part of these latter reviews, the data, systems and processes used for calculating sustainable yield were independently audited and reviewed (by Turner and Brack in 2002, and by Brack in 2007); a summary report from the independent reviewers formed part of the published report for each review (Forestry Tasmania 2002, 2007). These independent reviews found that Forestry Tasmania was calculating sustainable yield correctly and appropriately based on the policies applying to harvesting public native forests and supplementation by a hardwood plantation </w:t>
      </w:r>
      <w:r w:rsidR="00BF30CD" w:rsidRPr="00BF30CD">
        <w:rPr>
          <w:rFonts w:asciiTheme="majorHAnsi" w:eastAsiaTheme="minorEastAsia" w:hAnsiTheme="majorHAnsi"/>
          <w:szCs w:val="22"/>
        </w:rPr>
        <w:t xml:space="preserve">resource. Figure 6 shows </w:t>
      </w:r>
      <w:r w:rsidR="00DB41BB" w:rsidRPr="00305DAC">
        <w:rPr>
          <w:rFonts w:asciiTheme="majorHAnsi" w:eastAsiaTheme="minorEastAsia" w:hAnsiTheme="majorHAnsi"/>
          <w:szCs w:val="22"/>
        </w:rPr>
        <w:t xml:space="preserve">how </w:t>
      </w:r>
      <w:r w:rsidR="00355EDE" w:rsidRPr="00305DAC">
        <w:rPr>
          <w:rFonts w:asciiTheme="majorHAnsi" w:eastAsiaTheme="minorEastAsia" w:hAnsiTheme="majorHAnsi"/>
          <w:szCs w:val="22"/>
        </w:rPr>
        <w:t>the changes in sustainable yield across reporting periods in Tasmania reflects these changes in forest policies</w:t>
      </w:r>
      <w:r w:rsidR="0058365F" w:rsidRPr="00305DAC">
        <w:rPr>
          <w:rFonts w:asciiTheme="majorHAnsi" w:eastAsiaTheme="minorEastAsia" w:hAnsiTheme="majorHAnsi"/>
          <w:szCs w:val="22"/>
        </w:rPr>
        <w:t xml:space="preserve">; </w:t>
      </w:r>
      <w:r w:rsidR="00355EDE" w:rsidRPr="00305DAC">
        <w:rPr>
          <w:rFonts w:asciiTheme="majorHAnsi" w:eastAsiaTheme="minorEastAsia" w:hAnsiTheme="majorHAnsi"/>
          <w:szCs w:val="22"/>
        </w:rPr>
        <w:t xml:space="preserve">the decrease in sustainable yield in the </w:t>
      </w:r>
      <w:r w:rsidR="004E1B11" w:rsidRPr="00305DAC">
        <w:rPr>
          <w:rFonts w:asciiTheme="majorHAnsi" w:eastAsiaTheme="minorEastAsia" w:hAnsiTheme="majorHAnsi"/>
          <w:szCs w:val="22"/>
        </w:rPr>
        <w:t xml:space="preserve">second </w:t>
      </w:r>
      <w:r w:rsidR="00355EDE" w:rsidRPr="00305DAC">
        <w:rPr>
          <w:rFonts w:asciiTheme="majorHAnsi" w:eastAsiaTheme="minorEastAsia" w:hAnsiTheme="majorHAnsi"/>
          <w:szCs w:val="22"/>
        </w:rPr>
        <w:t xml:space="preserve">last </w:t>
      </w:r>
      <w:r w:rsidR="00484081" w:rsidRPr="00305DAC">
        <w:rPr>
          <w:rFonts w:asciiTheme="majorHAnsi" w:eastAsiaTheme="minorEastAsia" w:hAnsiTheme="majorHAnsi"/>
          <w:szCs w:val="22"/>
        </w:rPr>
        <w:t xml:space="preserve">of these </w:t>
      </w:r>
      <w:r w:rsidR="00355EDE" w:rsidRPr="00305DAC">
        <w:rPr>
          <w:rFonts w:asciiTheme="majorHAnsi" w:eastAsiaTheme="minorEastAsia" w:hAnsiTheme="majorHAnsi"/>
          <w:szCs w:val="22"/>
        </w:rPr>
        <w:t>reporting period</w:t>
      </w:r>
      <w:r w:rsidR="00484081" w:rsidRPr="00305DAC">
        <w:rPr>
          <w:rFonts w:asciiTheme="majorHAnsi" w:eastAsiaTheme="minorEastAsia" w:hAnsiTheme="majorHAnsi"/>
          <w:szCs w:val="22"/>
        </w:rPr>
        <w:t>s</w:t>
      </w:r>
      <w:r w:rsidR="00355EDE" w:rsidRPr="00305DAC">
        <w:rPr>
          <w:rFonts w:asciiTheme="majorHAnsi" w:eastAsiaTheme="minorEastAsia" w:hAnsiTheme="majorHAnsi"/>
          <w:szCs w:val="22"/>
        </w:rPr>
        <w:t xml:space="preserve"> </w:t>
      </w:r>
      <w:r w:rsidR="0058365F" w:rsidRPr="00305DAC">
        <w:rPr>
          <w:rFonts w:asciiTheme="majorHAnsi" w:eastAsiaTheme="minorEastAsia" w:hAnsiTheme="majorHAnsi"/>
          <w:szCs w:val="22"/>
        </w:rPr>
        <w:t xml:space="preserve">was </w:t>
      </w:r>
      <w:r w:rsidR="00355EDE" w:rsidRPr="00305DAC">
        <w:rPr>
          <w:rFonts w:asciiTheme="majorHAnsi" w:eastAsiaTheme="minorEastAsia" w:hAnsiTheme="majorHAnsi"/>
          <w:szCs w:val="22"/>
        </w:rPr>
        <w:t xml:space="preserve">the result of the </w:t>
      </w:r>
      <w:r w:rsidR="00355EDE" w:rsidRPr="00305DAC">
        <w:rPr>
          <w:rFonts w:asciiTheme="majorHAnsi" w:hAnsiTheme="majorHAnsi"/>
          <w:szCs w:val="22"/>
        </w:rPr>
        <w:t>Tasmanian Community Forest Agreement 2005.</w:t>
      </w:r>
      <w:r w:rsidR="004E1B11" w:rsidRPr="00305DAC">
        <w:rPr>
          <w:rFonts w:asciiTheme="majorHAnsi" w:hAnsiTheme="majorHAnsi"/>
          <w:szCs w:val="22"/>
        </w:rPr>
        <w:t xml:space="preserve"> The further decrease in sustainable yield in the last period was the result of the 2012</w:t>
      </w:r>
      <w:r w:rsidR="00713517" w:rsidRPr="00305DAC">
        <w:rPr>
          <w:rFonts w:asciiTheme="majorHAnsi" w:hAnsiTheme="majorHAnsi"/>
          <w:szCs w:val="22"/>
        </w:rPr>
        <w:t>–</w:t>
      </w:r>
      <w:r w:rsidR="004E1B11" w:rsidRPr="00305DAC">
        <w:rPr>
          <w:rFonts w:asciiTheme="majorHAnsi" w:hAnsiTheme="majorHAnsi"/>
          <w:szCs w:val="22"/>
        </w:rPr>
        <w:t xml:space="preserve">13 Tasmanian Forest Agreement </w:t>
      </w:r>
      <w:r w:rsidR="00713517" w:rsidRPr="00305DAC">
        <w:rPr>
          <w:rFonts w:asciiTheme="majorHAnsi" w:hAnsiTheme="majorHAnsi"/>
          <w:szCs w:val="22"/>
        </w:rPr>
        <w:t>p</w:t>
      </w:r>
      <w:r w:rsidR="004E1B11" w:rsidRPr="00305DAC">
        <w:rPr>
          <w:rFonts w:asciiTheme="majorHAnsi" w:hAnsiTheme="majorHAnsi"/>
          <w:szCs w:val="22"/>
        </w:rPr>
        <w:t>rocess</w:t>
      </w:r>
      <w:r w:rsidR="00C74552" w:rsidRPr="009C7698">
        <w:rPr>
          <w:rStyle w:val="FootnoteReference"/>
          <w:rFonts w:asciiTheme="majorHAnsi" w:eastAsiaTheme="minorEastAsia" w:hAnsiTheme="majorHAnsi"/>
          <w:szCs w:val="22"/>
        </w:rPr>
        <w:footnoteReference w:id="9"/>
      </w:r>
      <w:r w:rsidR="00603308" w:rsidRPr="00305DAC">
        <w:rPr>
          <w:rFonts w:asciiTheme="majorHAnsi" w:hAnsiTheme="majorHAnsi"/>
          <w:szCs w:val="22"/>
        </w:rPr>
        <w:t xml:space="preserve"> with significant areas of multiple-use public native forest being reclassified as World Heritage </w:t>
      </w:r>
      <w:r w:rsidR="00713517" w:rsidRPr="00305DAC">
        <w:rPr>
          <w:rFonts w:asciiTheme="majorHAnsi" w:hAnsiTheme="majorHAnsi"/>
          <w:szCs w:val="22"/>
        </w:rPr>
        <w:t>a</w:t>
      </w:r>
      <w:r w:rsidR="00603308" w:rsidRPr="00305DAC">
        <w:rPr>
          <w:rFonts w:asciiTheme="majorHAnsi" w:hAnsiTheme="majorHAnsi"/>
          <w:szCs w:val="22"/>
        </w:rPr>
        <w:t>rea, reserves and other Crown land (MIG and NFISC 2018). MIG and NFISC (2018) describe</w:t>
      </w:r>
      <w:r w:rsidR="00713517" w:rsidRPr="00305DAC">
        <w:rPr>
          <w:rFonts w:asciiTheme="majorHAnsi" w:hAnsiTheme="majorHAnsi"/>
          <w:szCs w:val="22"/>
        </w:rPr>
        <w:t>d</w:t>
      </w:r>
      <w:r w:rsidR="00603308" w:rsidRPr="00305DAC">
        <w:rPr>
          <w:rFonts w:asciiTheme="majorHAnsi" w:hAnsiTheme="majorHAnsi"/>
          <w:szCs w:val="22"/>
        </w:rPr>
        <w:t xml:space="preserve"> the</w:t>
      </w:r>
      <w:r w:rsidR="00603308" w:rsidRPr="00305DAC">
        <w:rPr>
          <w:rFonts w:asciiTheme="majorHAnsi" w:eastAsiaTheme="minorEastAsia" w:hAnsiTheme="majorHAnsi"/>
          <w:szCs w:val="22"/>
        </w:rPr>
        <w:t xml:space="preserve"> sustainable yield strategy to be </w:t>
      </w:r>
      <w:r w:rsidR="007C75DB" w:rsidRPr="00305DAC">
        <w:rPr>
          <w:rFonts w:asciiTheme="majorHAnsi" w:eastAsiaTheme="minorEastAsia" w:hAnsiTheme="majorHAnsi"/>
          <w:szCs w:val="22"/>
        </w:rPr>
        <w:t>applied following</w:t>
      </w:r>
      <w:r w:rsidR="00713517" w:rsidRPr="00305DAC">
        <w:rPr>
          <w:rFonts w:asciiTheme="majorHAnsi" w:eastAsiaTheme="minorEastAsia" w:hAnsiTheme="majorHAnsi"/>
          <w:szCs w:val="22"/>
        </w:rPr>
        <w:t xml:space="preserve"> the</w:t>
      </w:r>
      <w:r w:rsidR="007C75DB" w:rsidRPr="00305DAC">
        <w:rPr>
          <w:rFonts w:asciiTheme="majorHAnsi" w:eastAsiaTheme="minorEastAsia" w:hAnsiTheme="majorHAnsi"/>
          <w:szCs w:val="22"/>
        </w:rPr>
        <w:t xml:space="preserve"> </w:t>
      </w:r>
      <w:r w:rsidR="007C75DB" w:rsidRPr="00305DAC">
        <w:rPr>
          <w:rFonts w:asciiTheme="majorHAnsi" w:hAnsiTheme="majorHAnsi"/>
          <w:szCs w:val="22"/>
        </w:rPr>
        <w:t>2012</w:t>
      </w:r>
      <w:r w:rsidR="00713517" w:rsidRPr="00305DAC">
        <w:rPr>
          <w:rFonts w:asciiTheme="majorHAnsi" w:hAnsiTheme="majorHAnsi"/>
          <w:szCs w:val="22"/>
        </w:rPr>
        <w:t>–</w:t>
      </w:r>
      <w:r w:rsidR="007C75DB" w:rsidRPr="00305DAC">
        <w:rPr>
          <w:rFonts w:asciiTheme="majorHAnsi" w:hAnsiTheme="majorHAnsi"/>
          <w:szCs w:val="22"/>
        </w:rPr>
        <w:t xml:space="preserve">13 Tasmanian Forest Agreement </w:t>
      </w:r>
      <w:r w:rsidR="00713517" w:rsidRPr="00305DAC">
        <w:rPr>
          <w:rFonts w:asciiTheme="majorHAnsi" w:hAnsiTheme="majorHAnsi"/>
          <w:szCs w:val="22"/>
        </w:rPr>
        <w:t>p</w:t>
      </w:r>
      <w:r w:rsidR="007C75DB" w:rsidRPr="00305DAC">
        <w:rPr>
          <w:rFonts w:asciiTheme="majorHAnsi" w:hAnsiTheme="majorHAnsi"/>
          <w:szCs w:val="22"/>
        </w:rPr>
        <w:t>rocess.</w:t>
      </w:r>
      <w:r w:rsidR="00305DAC">
        <w:rPr>
          <w:rFonts w:asciiTheme="majorHAnsi" w:hAnsiTheme="majorHAnsi"/>
          <w:szCs w:val="22"/>
        </w:rPr>
        <w:br/>
      </w:r>
      <w:r w:rsidR="00305DAC">
        <w:rPr>
          <w:rFonts w:asciiTheme="majorHAnsi" w:hAnsiTheme="majorHAnsi"/>
          <w:szCs w:val="22"/>
        </w:rPr>
        <w:br/>
      </w:r>
      <w:r w:rsidR="00355EDE" w:rsidRPr="00305DAC">
        <w:rPr>
          <w:rFonts w:asciiTheme="majorHAnsi" w:eastAsiaTheme="minorEastAsia" w:hAnsiTheme="majorHAnsi"/>
          <w:szCs w:val="22"/>
        </w:rPr>
        <w:t xml:space="preserve">The review of sustainable yield by Forestry Tasmania (2007) was considered by the </w:t>
      </w:r>
      <w:r w:rsidR="0062796E" w:rsidRPr="00305DAC">
        <w:rPr>
          <w:rFonts w:asciiTheme="majorHAnsi" w:eastAsiaTheme="minorEastAsia" w:hAnsiTheme="majorHAnsi"/>
          <w:szCs w:val="22"/>
        </w:rPr>
        <w:t xml:space="preserve">RFA </w:t>
      </w:r>
      <w:r w:rsidR="00355EDE" w:rsidRPr="00305DAC">
        <w:rPr>
          <w:rFonts w:asciiTheme="majorHAnsi" w:eastAsiaTheme="minorEastAsia" w:hAnsiTheme="majorHAnsi"/>
          <w:szCs w:val="22"/>
        </w:rPr>
        <w:t xml:space="preserve">reviewer but was not publicly released until after the public comment period for the ten-year review of the agreement (Ramsay 2008). As a consequence, issues of sustainable yield were not fully addressed in the recommendations of Ramsay (2008) or in the subsequent response by governments </w:t>
      </w:r>
      <w:r w:rsidR="002E4337" w:rsidRPr="00305DAC">
        <w:rPr>
          <w:rFonts w:asciiTheme="majorHAnsi" w:eastAsiaTheme="minorEastAsia" w:hAnsiTheme="majorHAnsi"/>
          <w:szCs w:val="22"/>
        </w:rPr>
        <w:t xml:space="preserve">to this RFA review </w:t>
      </w:r>
      <w:r w:rsidR="00355EDE" w:rsidRPr="00305DAC">
        <w:rPr>
          <w:rFonts w:asciiTheme="majorHAnsi" w:eastAsiaTheme="minorEastAsia" w:hAnsiTheme="majorHAnsi"/>
          <w:szCs w:val="22"/>
        </w:rPr>
        <w:t>(Australian and Tasmanian Government</w:t>
      </w:r>
      <w:r w:rsidR="005856F2" w:rsidRPr="00305DAC">
        <w:rPr>
          <w:rFonts w:asciiTheme="majorHAnsi" w:eastAsiaTheme="minorEastAsia" w:hAnsiTheme="majorHAnsi"/>
          <w:szCs w:val="22"/>
        </w:rPr>
        <w:t>s</w:t>
      </w:r>
      <w:r w:rsidR="00355EDE" w:rsidRPr="00305DAC">
        <w:rPr>
          <w:rFonts w:asciiTheme="majorHAnsi" w:eastAsiaTheme="minorEastAsia" w:hAnsiTheme="majorHAnsi"/>
          <w:szCs w:val="22"/>
        </w:rPr>
        <w:t xml:space="preserve"> 2010). The validity of the sustainable yield strategy, and in particular the substantial proportion of yield anticipated from public hardwood plantations after 2023, were subsequently raised in public discussion, and led to a further review by Ferguson (2012). A subsequent review (Forestry Tasmania 2014) incorporated </w:t>
      </w:r>
      <w:r w:rsidRPr="00305DAC">
        <w:rPr>
          <w:rFonts w:asciiTheme="majorHAnsi" w:eastAsiaTheme="minorEastAsia" w:hAnsiTheme="majorHAnsi"/>
          <w:szCs w:val="22"/>
        </w:rPr>
        <w:t xml:space="preserve">into sustainable yield figures the </w:t>
      </w:r>
      <w:r w:rsidR="00355EDE" w:rsidRPr="00305DAC">
        <w:rPr>
          <w:rFonts w:asciiTheme="majorHAnsi" w:eastAsiaTheme="minorEastAsia" w:hAnsiTheme="majorHAnsi"/>
          <w:szCs w:val="22"/>
        </w:rPr>
        <w:t xml:space="preserve">outcomes of the </w:t>
      </w:r>
      <w:r w:rsidR="00C74552" w:rsidRPr="00305DAC">
        <w:rPr>
          <w:rFonts w:asciiTheme="majorHAnsi" w:hAnsiTheme="majorHAnsi"/>
          <w:szCs w:val="22"/>
        </w:rPr>
        <w:t>2012</w:t>
      </w:r>
      <w:r w:rsidR="00713517" w:rsidRPr="00305DAC">
        <w:rPr>
          <w:rFonts w:asciiTheme="majorHAnsi" w:hAnsiTheme="majorHAnsi"/>
          <w:szCs w:val="22"/>
        </w:rPr>
        <w:t>–</w:t>
      </w:r>
      <w:r w:rsidR="00C74552" w:rsidRPr="00305DAC">
        <w:rPr>
          <w:rFonts w:asciiTheme="majorHAnsi" w:hAnsiTheme="majorHAnsi"/>
          <w:szCs w:val="22"/>
        </w:rPr>
        <w:t xml:space="preserve">13 </w:t>
      </w:r>
      <w:r w:rsidR="00355EDE" w:rsidRPr="00305DAC">
        <w:rPr>
          <w:rFonts w:asciiTheme="majorHAnsi" w:eastAsiaTheme="minorEastAsia" w:hAnsiTheme="majorHAnsi"/>
          <w:szCs w:val="22"/>
        </w:rPr>
        <w:t>Tasmanian Forest Agreement process and the findings of Burgman and Robinson (2012) and Ferguson (2012).</w:t>
      </w:r>
      <w:r w:rsidR="0062796E" w:rsidRPr="00305DAC">
        <w:rPr>
          <w:rFonts w:asciiTheme="majorHAnsi" w:eastAsiaTheme="minorEastAsia" w:hAnsiTheme="majorHAnsi"/>
          <w:szCs w:val="22"/>
        </w:rPr>
        <w:t xml:space="preserve"> </w:t>
      </w:r>
    </w:p>
    <w:p w14:paraId="4764882C" w14:textId="2EB36E26" w:rsidR="00355EDE" w:rsidRPr="00305DAC" w:rsidRDefault="009C2094" w:rsidP="00BF30CD">
      <w:pPr>
        <w:pStyle w:val="ListParagraph"/>
        <w:numPr>
          <w:ilvl w:val="0"/>
          <w:numId w:val="26"/>
        </w:numPr>
        <w:rPr>
          <w:rFonts w:asciiTheme="majorHAnsi" w:eastAsiaTheme="minorEastAsia" w:hAnsiTheme="majorHAnsi"/>
          <w:szCs w:val="22"/>
        </w:rPr>
      </w:pPr>
      <w:r w:rsidRPr="00305DAC">
        <w:rPr>
          <w:rFonts w:asciiTheme="majorHAnsi" w:eastAsiaTheme="minorEastAsia" w:hAnsiTheme="majorHAnsi"/>
          <w:szCs w:val="22"/>
        </w:rPr>
        <w:t>In Victoria, t</w:t>
      </w:r>
      <w:r w:rsidR="00355EDE" w:rsidRPr="00305DAC">
        <w:rPr>
          <w:rFonts w:asciiTheme="majorHAnsi" w:eastAsiaTheme="minorEastAsia" w:hAnsiTheme="majorHAnsi"/>
          <w:szCs w:val="22"/>
        </w:rPr>
        <w:t xml:space="preserve">he findings </w:t>
      </w:r>
      <w:r w:rsidR="00DB41BB" w:rsidRPr="00305DAC">
        <w:rPr>
          <w:rFonts w:asciiTheme="majorHAnsi" w:eastAsiaTheme="minorEastAsia" w:hAnsiTheme="majorHAnsi"/>
          <w:szCs w:val="22"/>
        </w:rPr>
        <w:t xml:space="preserve">of the </w:t>
      </w:r>
      <w:r w:rsidR="00355EDE" w:rsidRPr="00305DAC">
        <w:rPr>
          <w:rFonts w:asciiTheme="majorHAnsi" w:eastAsiaTheme="minorEastAsia" w:hAnsiTheme="majorHAnsi"/>
          <w:szCs w:val="22"/>
        </w:rPr>
        <w:t>re</w:t>
      </w:r>
      <w:r w:rsidR="008B1DC1" w:rsidRPr="00305DAC">
        <w:rPr>
          <w:rFonts w:asciiTheme="majorHAnsi" w:eastAsiaTheme="minorEastAsia" w:hAnsiTheme="majorHAnsi"/>
          <w:szCs w:val="22"/>
        </w:rPr>
        <w:t>view by Vanclay and Turner (2001</w:t>
      </w:r>
      <w:r w:rsidR="00355EDE" w:rsidRPr="00305DAC">
        <w:rPr>
          <w:rFonts w:asciiTheme="majorHAnsi" w:eastAsiaTheme="minorEastAsia" w:hAnsiTheme="majorHAnsi"/>
          <w:szCs w:val="22"/>
        </w:rPr>
        <w:t>) resulted in significant decreases in sustainable yield from public forests across Victorian Forest Management Areas (DNRE 2002)</w:t>
      </w:r>
      <w:r w:rsidR="00403789" w:rsidRPr="00305DAC">
        <w:rPr>
          <w:rFonts w:asciiTheme="majorHAnsi" w:eastAsiaTheme="minorEastAsia" w:hAnsiTheme="majorHAnsi"/>
          <w:szCs w:val="22"/>
        </w:rPr>
        <w:t>,</w:t>
      </w:r>
      <w:r w:rsidR="00355EDE" w:rsidRPr="00305DAC">
        <w:rPr>
          <w:rFonts w:asciiTheme="majorHAnsi" w:eastAsiaTheme="minorEastAsia" w:hAnsiTheme="majorHAnsi"/>
          <w:szCs w:val="22"/>
        </w:rPr>
        <w:t xml:space="preserve"> and consequential </w:t>
      </w:r>
      <w:r w:rsidR="002E4337" w:rsidRPr="00305DAC">
        <w:rPr>
          <w:rFonts w:asciiTheme="majorHAnsi" w:eastAsiaTheme="minorEastAsia" w:hAnsiTheme="majorHAnsi"/>
          <w:szCs w:val="22"/>
        </w:rPr>
        <w:t xml:space="preserve">reductions </w:t>
      </w:r>
      <w:r w:rsidR="00355EDE" w:rsidRPr="00305DAC">
        <w:rPr>
          <w:rFonts w:asciiTheme="majorHAnsi" w:eastAsiaTheme="minorEastAsia" w:hAnsiTheme="majorHAnsi"/>
          <w:szCs w:val="22"/>
        </w:rPr>
        <w:t xml:space="preserve">in sawlog yield in </w:t>
      </w:r>
      <w:r w:rsidR="00355EDE" w:rsidRPr="00305DAC">
        <w:rPr>
          <w:rFonts w:asciiTheme="majorHAnsi" w:eastAsiaTheme="minorEastAsia" w:hAnsiTheme="majorHAnsi"/>
          <w:szCs w:val="22"/>
        </w:rPr>
        <w:lastRenderedPageBreak/>
        <w:t xml:space="preserve">Victorian </w:t>
      </w:r>
      <w:r w:rsidR="0062796E" w:rsidRPr="00305DAC">
        <w:rPr>
          <w:rFonts w:asciiTheme="majorHAnsi" w:eastAsiaTheme="minorEastAsia" w:hAnsiTheme="majorHAnsi"/>
          <w:szCs w:val="22"/>
        </w:rPr>
        <w:t>RFA</w:t>
      </w:r>
      <w:r w:rsidR="00114EEA" w:rsidRPr="00305DAC">
        <w:rPr>
          <w:rFonts w:asciiTheme="majorHAnsi" w:eastAsiaTheme="minorEastAsia" w:hAnsiTheme="majorHAnsi"/>
          <w:szCs w:val="22"/>
        </w:rPr>
        <w:t xml:space="preserve"> region</w:t>
      </w:r>
      <w:r w:rsidR="00355EDE" w:rsidRPr="00305DAC">
        <w:rPr>
          <w:rFonts w:asciiTheme="majorHAnsi" w:eastAsiaTheme="minorEastAsia" w:hAnsiTheme="majorHAnsi"/>
          <w:szCs w:val="22"/>
        </w:rPr>
        <w:t>s in periods three</w:t>
      </w:r>
      <w:r w:rsidR="0062796E" w:rsidRPr="00305DAC">
        <w:rPr>
          <w:rFonts w:asciiTheme="majorHAnsi" w:eastAsiaTheme="minorEastAsia" w:hAnsiTheme="majorHAnsi"/>
          <w:szCs w:val="22"/>
        </w:rPr>
        <w:t xml:space="preserve">, </w:t>
      </w:r>
      <w:r w:rsidR="00355EDE" w:rsidRPr="00305DAC">
        <w:rPr>
          <w:rFonts w:asciiTheme="majorHAnsi" w:eastAsiaTheme="minorEastAsia" w:hAnsiTheme="majorHAnsi"/>
          <w:szCs w:val="22"/>
        </w:rPr>
        <w:t>four</w:t>
      </w:r>
      <w:r w:rsidR="0062796E" w:rsidRPr="00305DAC">
        <w:rPr>
          <w:rFonts w:asciiTheme="majorHAnsi" w:eastAsiaTheme="minorEastAsia" w:hAnsiTheme="majorHAnsi"/>
          <w:szCs w:val="22"/>
        </w:rPr>
        <w:t xml:space="preserve"> and five</w:t>
      </w:r>
      <w:r w:rsidR="00355EDE" w:rsidRPr="00305DAC">
        <w:rPr>
          <w:rFonts w:asciiTheme="majorHAnsi" w:eastAsiaTheme="minorEastAsia" w:hAnsiTheme="majorHAnsi"/>
          <w:szCs w:val="22"/>
        </w:rPr>
        <w:t xml:space="preserve"> (</w:t>
      </w:r>
      <w:r w:rsidR="00BF30CD" w:rsidRPr="00BF30CD">
        <w:rPr>
          <w:rFonts w:asciiTheme="majorHAnsi" w:eastAsiaTheme="minorEastAsia" w:hAnsiTheme="majorHAnsi"/>
          <w:szCs w:val="22"/>
        </w:rPr>
        <w:t>Figure 6</w:t>
      </w:r>
      <w:r w:rsidR="00355EDE" w:rsidRPr="00305DAC">
        <w:rPr>
          <w:rFonts w:asciiTheme="majorHAnsi" w:eastAsiaTheme="minorEastAsia" w:hAnsiTheme="majorHAnsi"/>
          <w:szCs w:val="22"/>
        </w:rPr>
        <w:t xml:space="preserve">). Many of the decreases were the result of improved inventory and modelling systems and </w:t>
      </w:r>
      <w:r w:rsidR="00403789" w:rsidRPr="00305DAC">
        <w:rPr>
          <w:rFonts w:asciiTheme="majorHAnsi" w:eastAsiaTheme="minorEastAsia" w:hAnsiTheme="majorHAnsi"/>
          <w:szCs w:val="22"/>
        </w:rPr>
        <w:t xml:space="preserve">improved </w:t>
      </w:r>
      <w:r w:rsidR="00355EDE" w:rsidRPr="00305DAC">
        <w:rPr>
          <w:rFonts w:asciiTheme="majorHAnsi" w:eastAsiaTheme="minorEastAsia" w:hAnsiTheme="majorHAnsi"/>
          <w:szCs w:val="22"/>
        </w:rPr>
        <w:t>mapping of net harvestable area</w:t>
      </w:r>
      <w:r w:rsidR="00403789" w:rsidRPr="00305DAC">
        <w:rPr>
          <w:rFonts w:asciiTheme="majorHAnsi" w:eastAsiaTheme="minorEastAsia" w:hAnsiTheme="majorHAnsi"/>
          <w:szCs w:val="22"/>
        </w:rPr>
        <w:t>,</w:t>
      </w:r>
      <w:r w:rsidR="00355EDE" w:rsidRPr="00305DAC">
        <w:rPr>
          <w:rFonts w:asciiTheme="majorHAnsi" w:eastAsiaTheme="minorEastAsia" w:hAnsiTheme="majorHAnsi"/>
          <w:szCs w:val="22"/>
        </w:rPr>
        <w:t xml:space="preserve"> resulting from initiatives agreed to at the signing of Victorian </w:t>
      </w:r>
      <w:r w:rsidR="0062796E" w:rsidRPr="00305DAC">
        <w:rPr>
          <w:rFonts w:asciiTheme="majorHAnsi" w:eastAsiaTheme="minorEastAsia" w:hAnsiTheme="majorHAnsi"/>
          <w:szCs w:val="22"/>
        </w:rPr>
        <w:t>RFA</w:t>
      </w:r>
      <w:r w:rsidR="00355EDE" w:rsidRPr="00305DAC">
        <w:rPr>
          <w:rFonts w:asciiTheme="majorHAnsi" w:eastAsiaTheme="minorEastAsia" w:hAnsiTheme="majorHAnsi"/>
          <w:szCs w:val="22"/>
        </w:rPr>
        <w:t xml:space="preserve">. Other decreases were from wildfire impacts on timber resources in eastern Victoria during three </w:t>
      </w:r>
      <w:r w:rsidR="00114EEA" w:rsidRPr="00305DAC">
        <w:rPr>
          <w:rFonts w:asciiTheme="majorHAnsi" w:eastAsiaTheme="minorEastAsia" w:hAnsiTheme="majorHAnsi"/>
          <w:szCs w:val="22"/>
        </w:rPr>
        <w:t xml:space="preserve">fire seasons </w:t>
      </w:r>
      <w:r w:rsidR="00355EDE" w:rsidRPr="00305DAC">
        <w:rPr>
          <w:rFonts w:asciiTheme="majorHAnsi" w:eastAsiaTheme="minorEastAsia" w:hAnsiTheme="majorHAnsi"/>
          <w:szCs w:val="22"/>
        </w:rPr>
        <w:t>(2002</w:t>
      </w:r>
      <w:r w:rsidR="0091706C" w:rsidRPr="00305DAC">
        <w:rPr>
          <w:rFonts w:asciiTheme="majorHAnsi" w:eastAsiaTheme="minorEastAsia" w:hAnsiTheme="majorHAnsi"/>
          <w:szCs w:val="22"/>
        </w:rPr>
        <w:t>–</w:t>
      </w:r>
      <w:r w:rsidR="00355EDE" w:rsidRPr="00305DAC">
        <w:rPr>
          <w:rFonts w:asciiTheme="majorHAnsi" w:eastAsiaTheme="minorEastAsia" w:hAnsiTheme="majorHAnsi"/>
          <w:szCs w:val="22"/>
        </w:rPr>
        <w:t>03, 2006</w:t>
      </w:r>
      <w:r w:rsidR="0091706C" w:rsidRPr="00305DAC">
        <w:rPr>
          <w:rFonts w:asciiTheme="majorHAnsi" w:eastAsiaTheme="minorEastAsia" w:hAnsiTheme="majorHAnsi"/>
          <w:szCs w:val="22"/>
        </w:rPr>
        <w:t>–</w:t>
      </w:r>
      <w:r w:rsidR="00355EDE" w:rsidRPr="00305DAC">
        <w:rPr>
          <w:rFonts w:asciiTheme="majorHAnsi" w:eastAsiaTheme="minorEastAsia" w:hAnsiTheme="majorHAnsi"/>
          <w:szCs w:val="22"/>
        </w:rPr>
        <w:t xml:space="preserve">07 and 2009; MIG and NFISC 2013). </w:t>
      </w:r>
    </w:p>
    <w:p w14:paraId="76C8E8BB" w14:textId="49D6D2B8" w:rsidR="00355EDE" w:rsidRPr="00305DAC" w:rsidRDefault="00355EDE" w:rsidP="00BF30CD">
      <w:pPr>
        <w:pStyle w:val="ListParagraph"/>
        <w:numPr>
          <w:ilvl w:val="0"/>
          <w:numId w:val="26"/>
        </w:numPr>
        <w:rPr>
          <w:rFonts w:asciiTheme="majorHAnsi" w:eastAsiaTheme="minorEastAsia" w:hAnsiTheme="majorHAnsi"/>
          <w:szCs w:val="22"/>
        </w:rPr>
      </w:pPr>
      <w:r w:rsidRPr="00305DAC">
        <w:rPr>
          <w:rFonts w:asciiTheme="majorHAnsi" w:eastAsiaTheme="minorEastAsia" w:hAnsiTheme="majorHAnsi"/>
          <w:szCs w:val="22"/>
        </w:rPr>
        <w:t xml:space="preserve">Findings and recommendations from the Ferguson et al. (2001, 2003, 2013) reviews </w:t>
      </w:r>
      <w:r w:rsidR="00403789" w:rsidRPr="00305DAC">
        <w:rPr>
          <w:rFonts w:asciiTheme="majorHAnsi" w:eastAsiaTheme="minorEastAsia" w:hAnsiTheme="majorHAnsi"/>
          <w:szCs w:val="22"/>
        </w:rPr>
        <w:t xml:space="preserve">for the </w:t>
      </w:r>
      <w:r w:rsidR="007A4D33" w:rsidRPr="00305DAC">
        <w:rPr>
          <w:rFonts w:asciiTheme="majorHAnsi" w:eastAsiaTheme="minorEastAsia" w:hAnsiTheme="majorHAnsi"/>
          <w:szCs w:val="22"/>
        </w:rPr>
        <w:t xml:space="preserve">South-West </w:t>
      </w:r>
      <w:r w:rsidR="0091706C" w:rsidRPr="00305DAC">
        <w:rPr>
          <w:rFonts w:asciiTheme="majorHAnsi" w:eastAsiaTheme="minorEastAsia" w:hAnsiTheme="majorHAnsi"/>
          <w:szCs w:val="22"/>
        </w:rPr>
        <w:t xml:space="preserve">Forest Region of </w:t>
      </w:r>
      <w:r w:rsidR="00851047" w:rsidRPr="00305DAC">
        <w:rPr>
          <w:rFonts w:asciiTheme="majorHAnsi" w:eastAsiaTheme="minorEastAsia" w:hAnsiTheme="majorHAnsi"/>
          <w:szCs w:val="22"/>
        </w:rPr>
        <w:t>Western Australia</w:t>
      </w:r>
      <w:r w:rsidR="0091706C" w:rsidRPr="00305DAC">
        <w:rPr>
          <w:rFonts w:asciiTheme="majorHAnsi" w:eastAsiaTheme="minorEastAsia" w:hAnsiTheme="majorHAnsi"/>
          <w:szCs w:val="22"/>
        </w:rPr>
        <w:t xml:space="preserve"> </w:t>
      </w:r>
      <w:r w:rsidR="0062796E" w:rsidRPr="00305DAC">
        <w:rPr>
          <w:rFonts w:asciiTheme="majorHAnsi" w:eastAsiaTheme="minorEastAsia" w:hAnsiTheme="majorHAnsi"/>
          <w:szCs w:val="22"/>
        </w:rPr>
        <w:t>RFA</w:t>
      </w:r>
      <w:r w:rsidR="00403789" w:rsidRPr="00305DAC">
        <w:rPr>
          <w:rFonts w:asciiTheme="majorHAnsi" w:eastAsiaTheme="minorEastAsia" w:hAnsiTheme="majorHAnsi"/>
          <w:szCs w:val="22"/>
        </w:rPr>
        <w:t xml:space="preserve"> region </w:t>
      </w:r>
      <w:r w:rsidRPr="00305DAC">
        <w:rPr>
          <w:rFonts w:asciiTheme="majorHAnsi" w:eastAsiaTheme="minorEastAsia" w:hAnsiTheme="majorHAnsi"/>
          <w:szCs w:val="22"/>
        </w:rPr>
        <w:t xml:space="preserve">were incorporated into the Western Australian ten-year </w:t>
      </w:r>
      <w:r w:rsidR="00A931E8" w:rsidRPr="00305DAC">
        <w:rPr>
          <w:rFonts w:asciiTheme="majorHAnsi" w:eastAsiaTheme="minorEastAsia" w:hAnsiTheme="majorHAnsi"/>
          <w:szCs w:val="22"/>
        </w:rPr>
        <w:t>F</w:t>
      </w:r>
      <w:r w:rsidRPr="00305DAC">
        <w:rPr>
          <w:rFonts w:asciiTheme="majorHAnsi" w:eastAsiaTheme="minorEastAsia" w:hAnsiTheme="majorHAnsi"/>
          <w:szCs w:val="22"/>
        </w:rPr>
        <w:t xml:space="preserve">orest </w:t>
      </w:r>
      <w:r w:rsidR="00A931E8" w:rsidRPr="00305DAC">
        <w:rPr>
          <w:rFonts w:asciiTheme="majorHAnsi" w:eastAsiaTheme="minorEastAsia" w:hAnsiTheme="majorHAnsi"/>
          <w:szCs w:val="22"/>
        </w:rPr>
        <w:t>M</w:t>
      </w:r>
      <w:r w:rsidRPr="00305DAC">
        <w:rPr>
          <w:rFonts w:asciiTheme="majorHAnsi" w:eastAsiaTheme="minorEastAsia" w:hAnsiTheme="majorHAnsi"/>
          <w:szCs w:val="22"/>
        </w:rPr>
        <w:t xml:space="preserve">anagement </w:t>
      </w:r>
      <w:r w:rsidR="00A931E8" w:rsidRPr="00305DAC">
        <w:rPr>
          <w:rFonts w:asciiTheme="majorHAnsi" w:eastAsiaTheme="minorEastAsia" w:hAnsiTheme="majorHAnsi"/>
          <w:szCs w:val="22"/>
        </w:rPr>
        <w:t>P</w:t>
      </w:r>
      <w:r w:rsidRPr="00305DAC">
        <w:rPr>
          <w:rFonts w:asciiTheme="majorHAnsi" w:eastAsiaTheme="minorEastAsia" w:hAnsiTheme="majorHAnsi"/>
          <w:szCs w:val="22"/>
        </w:rPr>
        <w:t>lans (</w:t>
      </w:r>
      <w:r w:rsidR="00EF33E3" w:rsidRPr="00305DAC">
        <w:rPr>
          <w:rFonts w:asciiTheme="majorHAnsi" w:hAnsiTheme="majorHAnsi"/>
          <w:szCs w:val="22"/>
        </w:rPr>
        <w:t>CCWA</w:t>
      </w:r>
      <w:r w:rsidRPr="00305DAC">
        <w:rPr>
          <w:rFonts w:asciiTheme="majorHAnsi" w:hAnsiTheme="majorHAnsi"/>
          <w:szCs w:val="22"/>
        </w:rPr>
        <w:t xml:space="preserve"> 2004, 2013)</w:t>
      </w:r>
      <w:r w:rsidR="009C2094" w:rsidRPr="00305DAC">
        <w:rPr>
          <w:rFonts w:asciiTheme="majorHAnsi" w:hAnsiTheme="majorHAnsi"/>
          <w:szCs w:val="22"/>
        </w:rPr>
        <w:t>,</w:t>
      </w:r>
      <w:r w:rsidR="006B273D" w:rsidRPr="00305DAC">
        <w:rPr>
          <w:rFonts w:asciiTheme="majorHAnsi" w:hAnsiTheme="majorHAnsi"/>
          <w:szCs w:val="22"/>
        </w:rPr>
        <w:t xml:space="preserve"> and periodically monitored (</w:t>
      </w:r>
      <w:r w:rsidR="00EF33E3" w:rsidRPr="00305DAC">
        <w:rPr>
          <w:rFonts w:asciiTheme="majorHAnsi" w:hAnsiTheme="majorHAnsi"/>
          <w:szCs w:val="22"/>
        </w:rPr>
        <w:t>CCWA</w:t>
      </w:r>
      <w:r w:rsidR="006B273D" w:rsidRPr="00305DAC">
        <w:rPr>
          <w:rFonts w:asciiTheme="majorHAnsi" w:hAnsiTheme="majorHAnsi"/>
          <w:szCs w:val="22"/>
        </w:rPr>
        <w:t xml:space="preserve"> 2012</w:t>
      </w:r>
      <w:r w:rsidR="006B273D" w:rsidRPr="00305DAC">
        <w:rPr>
          <w:rFonts w:asciiTheme="majorHAnsi" w:eastAsiaTheme="minorEastAsia" w:hAnsiTheme="majorHAnsi"/>
          <w:szCs w:val="22"/>
        </w:rPr>
        <w:t>)</w:t>
      </w:r>
      <w:r w:rsidRPr="00305DAC">
        <w:rPr>
          <w:rFonts w:asciiTheme="majorHAnsi" w:hAnsiTheme="majorHAnsi"/>
          <w:szCs w:val="22"/>
        </w:rPr>
        <w:t xml:space="preserve">. </w:t>
      </w:r>
      <w:r w:rsidR="00484081" w:rsidRPr="00305DAC">
        <w:rPr>
          <w:rFonts w:asciiTheme="majorHAnsi" w:hAnsiTheme="majorHAnsi"/>
          <w:szCs w:val="22"/>
        </w:rPr>
        <w:t xml:space="preserve">The sustainable yield in the South-West Forest Region of </w:t>
      </w:r>
      <w:r w:rsidR="00851047" w:rsidRPr="00305DAC">
        <w:rPr>
          <w:rFonts w:asciiTheme="majorHAnsi" w:eastAsiaTheme="minorEastAsia" w:hAnsiTheme="majorHAnsi"/>
          <w:szCs w:val="22"/>
        </w:rPr>
        <w:t>Western Australia</w:t>
      </w:r>
      <w:r w:rsidR="00851047" w:rsidRPr="00305DAC">
        <w:rPr>
          <w:rFonts w:asciiTheme="majorHAnsi" w:hAnsiTheme="majorHAnsi"/>
          <w:szCs w:val="22"/>
        </w:rPr>
        <w:t xml:space="preserve"> </w:t>
      </w:r>
      <w:r w:rsidR="00484081" w:rsidRPr="00305DAC">
        <w:rPr>
          <w:rFonts w:asciiTheme="majorHAnsi" w:hAnsiTheme="majorHAnsi"/>
          <w:szCs w:val="22"/>
        </w:rPr>
        <w:t xml:space="preserve">RFA decreased from </w:t>
      </w:r>
      <w:r w:rsidR="006B4FEA" w:rsidRPr="00305DAC">
        <w:rPr>
          <w:rFonts w:asciiTheme="majorHAnsi" w:hAnsiTheme="majorHAnsi"/>
          <w:szCs w:val="22"/>
        </w:rPr>
        <w:t>0.</w:t>
      </w:r>
      <w:r w:rsidR="00484081" w:rsidRPr="00305DAC">
        <w:rPr>
          <w:rFonts w:asciiTheme="majorHAnsi" w:hAnsiTheme="majorHAnsi"/>
          <w:szCs w:val="22"/>
        </w:rPr>
        <w:t>7</w:t>
      </w:r>
      <w:r w:rsidR="006B4FEA" w:rsidRPr="00305DAC">
        <w:rPr>
          <w:rFonts w:asciiTheme="majorHAnsi" w:hAnsiTheme="majorHAnsi"/>
          <w:szCs w:val="22"/>
        </w:rPr>
        <w:t>6</w:t>
      </w:r>
      <w:r w:rsidR="00484081" w:rsidRPr="00305DAC">
        <w:rPr>
          <w:rFonts w:asciiTheme="majorHAnsi" w:hAnsiTheme="majorHAnsi"/>
          <w:szCs w:val="22"/>
        </w:rPr>
        <w:t xml:space="preserve"> </w:t>
      </w:r>
      <w:r w:rsidR="006B4FEA" w:rsidRPr="00305DAC">
        <w:rPr>
          <w:rFonts w:asciiTheme="majorHAnsi" w:hAnsiTheme="majorHAnsi"/>
          <w:szCs w:val="22"/>
        </w:rPr>
        <w:t>million</w:t>
      </w:r>
      <w:r w:rsidR="00484081" w:rsidRPr="00305DAC">
        <w:rPr>
          <w:rFonts w:asciiTheme="majorHAnsi" w:hAnsiTheme="majorHAnsi"/>
          <w:szCs w:val="22"/>
        </w:rPr>
        <w:t xml:space="preserve"> cubic metres per year in 1992–93 to 1995–96 to </w:t>
      </w:r>
      <w:r w:rsidR="006B4FEA" w:rsidRPr="00305DAC">
        <w:rPr>
          <w:rFonts w:asciiTheme="majorHAnsi" w:hAnsiTheme="majorHAnsi"/>
          <w:szCs w:val="22"/>
        </w:rPr>
        <w:t>0.</w:t>
      </w:r>
      <w:r w:rsidR="00484081" w:rsidRPr="00305DAC">
        <w:rPr>
          <w:rFonts w:asciiTheme="majorHAnsi" w:hAnsiTheme="majorHAnsi"/>
          <w:szCs w:val="22"/>
        </w:rPr>
        <w:t>1</w:t>
      </w:r>
      <w:r w:rsidR="006B4FEA" w:rsidRPr="00305DAC">
        <w:rPr>
          <w:rFonts w:asciiTheme="majorHAnsi" w:hAnsiTheme="majorHAnsi"/>
          <w:szCs w:val="22"/>
        </w:rPr>
        <w:t>9</w:t>
      </w:r>
      <w:r w:rsidR="00484081" w:rsidRPr="00305DAC">
        <w:rPr>
          <w:rFonts w:asciiTheme="majorHAnsi" w:hAnsiTheme="majorHAnsi"/>
          <w:szCs w:val="22"/>
        </w:rPr>
        <w:t xml:space="preserve"> </w:t>
      </w:r>
      <w:r w:rsidR="006B4FEA" w:rsidRPr="00305DAC">
        <w:rPr>
          <w:rFonts w:asciiTheme="majorHAnsi" w:hAnsiTheme="majorHAnsi"/>
          <w:szCs w:val="22"/>
        </w:rPr>
        <w:t>million</w:t>
      </w:r>
      <w:r w:rsidR="00484081" w:rsidRPr="00305DAC">
        <w:rPr>
          <w:rFonts w:asciiTheme="majorHAnsi" w:hAnsiTheme="majorHAnsi"/>
          <w:szCs w:val="22"/>
        </w:rPr>
        <w:t xml:space="preserve"> cubic metres per year in 2011–12 to 2015–16. The actual yield in this period decreased from </w:t>
      </w:r>
      <w:r w:rsidR="006B4FEA" w:rsidRPr="00305DAC">
        <w:rPr>
          <w:rFonts w:asciiTheme="majorHAnsi" w:hAnsiTheme="majorHAnsi"/>
          <w:szCs w:val="22"/>
        </w:rPr>
        <w:t>0.</w:t>
      </w:r>
      <w:r w:rsidR="00484081" w:rsidRPr="00305DAC">
        <w:rPr>
          <w:rFonts w:asciiTheme="majorHAnsi" w:hAnsiTheme="majorHAnsi"/>
          <w:szCs w:val="22"/>
        </w:rPr>
        <w:t>62</w:t>
      </w:r>
      <w:r w:rsidR="0058365F" w:rsidRPr="00305DAC">
        <w:rPr>
          <w:rFonts w:asciiTheme="majorHAnsi" w:hAnsiTheme="majorHAnsi"/>
          <w:szCs w:val="22"/>
        </w:rPr>
        <w:t> </w:t>
      </w:r>
      <w:r w:rsidR="006B4FEA" w:rsidRPr="00305DAC">
        <w:rPr>
          <w:rFonts w:asciiTheme="majorHAnsi" w:hAnsiTheme="majorHAnsi"/>
          <w:szCs w:val="22"/>
        </w:rPr>
        <w:t>million</w:t>
      </w:r>
      <w:r w:rsidR="00484081" w:rsidRPr="00305DAC">
        <w:rPr>
          <w:rFonts w:asciiTheme="majorHAnsi" w:hAnsiTheme="majorHAnsi"/>
          <w:szCs w:val="22"/>
        </w:rPr>
        <w:t xml:space="preserve"> cubic metres per year to </w:t>
      </w:r>
      <w:r w:rsidR="006B4FEA" w:rsidRPr="00305DAC">
        <w:rPr>
          <w:rFonts w:asciiTheme="majorHAnsi" w:hAnsiTheme="majorHAnsi"/>
          <w:szCs w:val="22"/>
        </w:rPr>
        <w:t>0.</w:t>
      </w:r>
      <w:r w:rsidR="00484081" w:rsidRPr="00305DAC">
        <w:rPr>
          <w:rFonts w:asciiTheme="majorHAnsi" w:hAnsiTheme="majorHAnsi"/>
          <w:szCs w:val="22"/>
        </w:rPr>
        <w:t>1</w:t>
      </w:r>
      <w:r w:rsidR="006B4FEA" w:rsidRPr="00305DAC">
        <w:rPr>
          <w:rFonts w:asciiTheme="majorHAnsi" w:hAnsiTheme="majorHAnsi"/>
          <w:szCs w:val="22"/>
        </w:rPr>
        <w:t>4</w:t>
      </w:r>
      <w:r w:rsidR="00484081" w:rsidRPr="00305DAC">
        <w:rPr>
          <w:rFonts w:asciiTheme="majorHAnsi" w:hAnsiTheme="majorHAnsi"/>
          <w:szCs w:val="22"/>
        </w:rPr>
        <w:t xml:space="preserve"> </w:t>
      </w:r>
      <w:r w:rsidR="006B4FEA" w:rsidRPr="00305DAC">
        <w:rPr>
          <w:rFonts w:asciiTheme="majorHAnsi" w:hAnsiTheme="majorHAnsi"/>
          <w:szCs w:val="22"/>
        </w:rPr>
        <w:t>million</w:t>
      </w:r>
      <w:r w:rsidR="00484081" w:rsidRPr="00305DAC">
        <w:rPr>
          <w:rFonts w:asciiTheme="majorHAnsi" w:hAnsiTheme="majorHAnsi"/>
          <w:szCs w:val="22"/>
        </w:rPr>
        <w:t xml:space="preserve"> cubic metres per </w:t>
      </w:r>
      <w:r w:rsidR="00BF30CD" w:rsidRPr="00BF30CD">
        <w:rPr>
          <w:rFonts w:asciiTheme="majorHAnsi" w:hAnsiTheme="majorHAnsi"/>
          <w:szCs w:val="22"/>
        </w:rPr>
        <w:t xml:space="preserve">year (Table A11, Figure 6). Decreases </w:t>
      </w:r>
      <w:r w:rsidRPr="00305DAC">
        <w:rPr>
          <w:rFonts w:asciiTheme="majorHAnsi" w:hAnsiTheme="majorHAnsi"/>
          <w:szCs w:val="22"/>
        </w:rPr>
        <w:t xml:space="preserve">in </w:t>
      </w:r>
      <w:r w:rsidR="00BF30CD" w:rsidRPr="00BF30CD">
        <w:rPr>
          <w:rFonts w:asciiTheme="majorHAnsi" w:hAnsiTheme="majorHAnsi"/>
          <w:szCs w:val="22"/>
        </w:rPr>
        <w:t>yield (Table A7, Figure 6) were the result of increased reservation of old-growth forest, decli</w:t>
      </w:r>
      <w:r w:rsidRPr="00305DAC">
        <w:rPr>
          <w:rFonts w:asciiTheme="majorHAnsi" w:hAnsiTheme="majorHAnsi"/>
          <w:szCs w:val="22"/>
        </w:rPr>
        <w:t>nes in yield attributed to climate change (</w:t>
      </w:r>
      <w:r w:rsidR="004B6899" w:rsidRPr="00305DAC">
        <w:rPr>
          <w:rFonts w:asciiTheme="majorHAnsi" w:hAnsiTheme="majorHAnsi"/>
          <w:szCs w:val="22"/>
        </w:rPr>
        <w:t xml:space="preserve">with </w:t>
      </w:r>
      <w:r w:rsidRPr="00305DAC">
        <w:rPr>
          <w:rFonts w:asciiTheme="majorHAnsi" w:hAnsiTheme="majorHAnsi"/>
          <w:szCs w:val="22"/>
        </w:rPr>
        <w:t>a drying climate reducing productivity)</w:t>
      </w:r>
      <w:r w:rsidR="004B6899" w:rsidRPr="00305DAC">
        <w:rPr>
          <w:rFonts w:asciiTheme="majorHAnsi" w:hAnsiTheme="majorHAnsi"/>
          <w:szCs w:val="22"/>
        </w:rPr>
        <w:t>,</w:t>
      </w:r>
      <w:r w:rsidRPr="00305DAC">
        <w:rPr>
          <w:rFonts w:asciiTheme="majorHAnsi" w:hAnsiTheme="majorHAnsi"/>
          <w:szCs w:val="22"/>
        </w:rPr>
        <w:t xml:space="preserve"> </w:t>
      </w:r>
      <w:r w:rsidR="00403789" w:rsidRPr="00305DAC">
        <w:rPr>
          <w:rFonts w:asciiTheme="majorHAnsi" w:hAnsiTheme="majorHAnsi"/>
          <w:szCs w:val="22"/>
        </w:rPr>
        <w:t xml:space="preserve">to the </w:t>
      </w:r>
      <w:r w:rsidRPr="00305DAC">
        <w:rPr>
          <w:rFonts w:asciiTheme="majorHAnsi" w:hAnsiTheme="majorHAnsi"/>
          <w:szCs w:val="22"/>
        </w:rPr>
        <w:t xml:space="preserve">spread of </w:t>
      </w:r>
      <w:r w:rsidRPr="00305DAC">
        <w:rPr>
          <w:rFonts w:asciiTheme="majorHAnsi" w:hAnsiTheme="majorHAnsi"/>
          <w:i/>
          <w:szCs w:val="22"/>
        </w:rPr>
        <w:t>Phytophthora</w:t>
      </w:r>
      <w:r w:rsidRPr="00305DAC">
        <w:rPr>
          <w:rFonts w:asciiTheme="majorHAnsi" w:hAnsiTheme="majorHAnsi"/>
          <w:szCs w:val="22"/>
        </w:rPr>
        <w:t xml:space="preserve"> dieback, and </w:t>
      </w:r>
      <w:r w:rsidR="004B6899" w:rsidRPr="00305DAC">
        <w:rPr>
          <w:rFonts w:asciiTheme="majorHAnsi" w:hAnsiTheme="majorHAnsi"/>
          <w:szCs w:val="22"/>
        </w:rPr>
        <w:t xml:space="preserve">to </w:t>
      </w:r>
      <w:r w:rsidRPr="00305DAC">
        <w:rPr>
          <w:rFonts w:asciiTheme="majorHAnsi" w:hAnsiTheme="majorHAnsi"/>
          <w:szCs w:val="22"/>
        </w:rPr>
        <w:t>adjustments to modelling assumptions based on improved information (</w:t>
      </w:r>
      <w:r w:rsidRPr="00305DAC">
        <w:rPr>
          <w:rFonts w:asciiTheme="majorHAnsi" w:eastAsiaTheme="minorEastAsia" w:hAnsiTheme="majorHAnsi"/>
          <w:szCs w:val="22"/>
        </w:rPr>
        <w:t xml:space="preserve">Ferguson et al. 2003, 2013, </w:t>
      </w:r>
      <w:r w:rsidR="00EF33E3" w:rsidRPr="00305DAC">
        <w:rPr>
          <w:rFonts w:asciiTheme="majorHAnsi" w:hAnsiTheme="majorHAnsi"/>
          <w:szCs w:val="22"/>
        </w:rPr>
        <w:t>CCWA</w:t>
      </w:r>
      <w:r w:rsidRPr="00305DAC">
        <w:rPr>
          <w:rFonts w:asciiTheme="majorHAnsi" w:hAnsiTheme="majorHAnsi"/>
          <w:szCs w:val="22"/>
        </w:rPr>
        <w:t xml:space="preserve"> 2004, 2013</w:t>
      </w:r>
      <w:r w:rsidRPr="00305DAC">
        <w:rPr>
          <w:rFonts w:asciiTheme="majorHAnsi" w:eastAsiaTheme="minorEastAsia" w:hAnsiTheme="majorHAnsi"/>
          <w:szCs w:val="22"/>
        </w:rPr>
        <w:t xml:space="preserve">). </w:t>
      </w:r>
    </w:p>
    <w:p w14:paraId="35376F37" w14:textId="51833C78" w:rsidR="00A54C84" w:rsidRPr="00425B71" w:rsidRDefault="00A54C84" w:rsidP="00552614">
      <w:pPr>
        <w:pStyle w:val="Heading2"/>
        <w:numPr>
          <w:ilvl w:val="0"/>
          <w:numId w:val="6"/>
        </w:numPr>
        <w:spacing w:after="240"/>
        <w:ind w:left="709" w:hanging="709"/>
        <w:jc w:val="left"/>
        <w:rPr>
          <w:rFonts w:eastAsiaTheme="minorEastAsia"/>
        </w:rPr>
      </w:pPr>
      <w:bookmarkStart w:id="34" w:name="_Toc58312594"/>
      <w:r w:rsidRPr="006274B1">
        <w:rPr>
          <w:rFonts w:ascii="Calibri" w:eastAsiaTheme="minorEastAsia" w:hAnsi="Calibri" w:cstheme="minorBidi"/>
          <w:b w:val="0"/>
          <w:color w:val="000000"/>
          <w:sz w:val="56"/>
          <w:szCs w:val="28"/>
          <w:lang w:eastAsia="ja-JP"/>
        </w:rPr>
        <w:t>Conclusion</w:t>
      </w:r>
      <w:bookmarkEnd w:id="34"/>
      <w:r w:rsidRPr="00425B71">
        <w:rPr>
          <w:rFonts w:eastAsiaTheme="minorEastAsia"/>
        </w:rPr>
        <w:t xml:space="preserve"> </w:t>
      </w:r>
    </w:p>
    <w:p w14:paraId="482467C6" w14:textId="1D1FF197" w:rsidR="005C7E57" w:rsidRDefault="005C7E57" w:rsidP="00DE2888">
      <w:r>
        <w:t>T</w:t>
      </w:r>
      <w:r w:rsidRPr="009C7698">
        <w:t xml:space="preserve">he </w:t>
      </w:r>
      <w:r w:rsidR="00402D05">
        <w:t>C</w:t>
      </w:r>
      <w:r w:rsidR="00402D05" w:rsidRPr="009C7698">
        <w:t xml:space="preserve">omprehensive, </w:t>
      </w:r>
      <w:r w:rsidR="00402D05">
        <w:t>A</w:t>
      </w:r>
      <w:r w:rsidR="00402D05" w:rsidRPr="009C7698">
        <w:t xml:space="preserve">dequate and </w:t>
      </w:r>
      <w:r w:rsidR="00402D05">
        <w:t>R</w:t>
      </w:r>
      <w:r w:rsidR="00402D05" w:rsidRPr="009C7698">
        <w:t xml:space="preserve">epresentative </w:t>
      </w:r>
      <w:r w:rsidR="00402D05">
        <w:t>(</w:t>
      </w:r>
      <w:r w:rsidRPr="009C7698">
        <w:t>CAR</w:t>
      </w:r>
      <w:r w:rsidR="00402D05">
        <w:t>)</w:t>
      </w:r>
      <w:r w:rsidRPr="009C7698">
        <w:t xml:space="preserve"> reserve system implemented under </w:t>
      </w:r>
      <w:r w:rsidR="00F0745B">
        <w:t>Regional Forest Agreements (</w:t>
      </w:r>
      <w:r>
        <w:t>RFA</w:t>
      </w:r>
      <w:r w:rsidRPr="009C7698">
        <w:t>s</w:t>
      </w:r>
      <w:r w:rsidR="00F0745B">
        <w:t>)</w:t>
      </w:r>
      <w:r w:rsidRPr="009C7698">
        <w:t xml:space="preserve"> compris</w:t>
      </w:r>
      <w:r>
        <w:t>es</w:t>
      </w:r>
      <w:r w:rsidRPr="009C7698">
        <w:t xml:space="preserve"> formal reserves, informal reserves, and areas</w:t>
      </w:r>
      <w:r>
        <w:t xml:space="preserve"> with values</w:t>
      </w:r>
      <w:r w:rsidRPr="009C7698">
        <w:t xml:space="preserve"> protected by management prescription</w:t>
      </w:r>
      <w:r>
        <w:t>, as well as areas protected on private land.</w:t>
      </w:r>
    </w:p>
    <w:p w14:paraId="0878ECDC" w14:textId="3114048C" w:rsidR="00403789" w:rsidRPr="009C7698" w:rsidRDefault="00917950" w:rsidP="00DE2888">
      <w:r>
        <w:t xml:space="preserve">Signing of </w:t>
      </w:r>
      <w:r w:rsidR="00361D8F">
        <w:t>the RFAs</w:t>
      </w:r>
      <w:r>
        <w:t xml:space="preserve"> </w:t>
      </w:r>
      <w:r w:rsidR="00D21E11" w:rsidRPr="009C7698">
        <w:t xml:space="preserve">incorporated </w:t>
      </w:r>
      <w:r w:rsidR="001B561E" w:rsidRPr="009C7698">
        <w:t>3.</w:t>
      </w:r>
      <w:r w:rsidR="00C22322">
        <w:t>0</w:t>
      </w:r>
      <w:r w:rsidR="001B561E" w:rsidRPr="009C7698">
        <w:t xml:space="preserve"> million hectares of </w:t>
      </w:r>
      <w:r w:rsidR="004E08DB">
        <w:t>previously unreserved or unprotected</w:t>
      </w:r>
      <w:r>
        <w:t xml:space="preserve"> </w:t>
      </w:r>
      <w:r w:rsidR="00D21E11" w:rsidRPr="009C7698">
        <w:t xml:space="preserve">native </w:t>
      </w:r>
      <w:r w:rsidR="001B561E" w:rsidRPr="009C7698">
        <w:t>forest ecosystems</w:t>
      </w:r>
      <w:r w:rsidR="00D21E11" w:rsidRPr="009C7698">
        <w:t xml:space="preserve"> and</w:t>
      </w:r>
      <w:r w:rsidR="001B561E" w:rsidRPr="009C7698">
        <w:t xml:space="preserve"> </w:t>
      </w:r>
      <w:r w:rsidR="00D21E11" w:rsidRPr="009C7698">
        <w:t>0.</w:t>
      </w:r>
      <w:r w:rsidR="00DE4D7B" w:rsidRPr="009C7698">
        <w:t>2</w:t>
      </w:r>
      <w:r w:rsidR="00C22322">
        <w:t>5</w:t>
      </w:r>
      <w:r w:rsidR="001B561E" w:rsidRPr="009C7698">
        <w:t xml:space="preserve"> </w:t>
      </w:r>
      <w:r w:rsidR="00D21E11" w:rsidRPr="009C7698">
        <w:t xml:space="preserve">million </w:t>
      </w:r>
      <w:r w:rsidR="001B561E" w:rsidRPr="009C7698">
        <w:t xml:space="preserve">hectares of </w:t>
      </w:r>
      <w:r w:rsidR="004E08DB">
        <w:t xml:space="preserve">previously unreserved or unprotected </w:t>
      </w:r>
      <w:r w:rsidR="001B561E" w:rsidRPr="009C7698">
        <w:t>native non-forest ecosystems</w:t>
      </w:r>
      <w:r w:rsidR="00D21E11" w:rsidRPr="009C7698">
        <w:t xml:space="preserve"> into </w:t>
      </w:r>
      <w:r w:rsidR="00085428" w:rsidRPr="009C7698">
        <w:t>the</w:t>
      </w:r>
      <w:r w:rsidR="00402D05">
        <w:t xml:space="preserve"> CAR</w:t>
      </w:r>
      <w:r w:rsidR="00D21E11" w:rsidRPr="009C7698">
        <w:t xml:space="preserve"> reserve system</w:t>
      </w:r>
      <w:r w:rsidR="00085428" w:rsidRPr="009C7698">
        <w:t xml:space="preserve"> on public land</w:t>
      </w:r>
      <w:r w:rsidR="001B561E" w:rsidRPr="009C7698">
        <w:t xml:space="preserve">, </w:t>
      </w:r>
      <w:r w:rsidR="00D21E11" w:rsidRPr="009C7698">
        <w:t xml:space="preserve">including </w:t>
      </w:r>
      <w:r w:rsidR="00205306">
        <w:t>1.</w:t>
      </w:r>
      <w:r w:rsidR="00205306" w:rsidRPr="00205306">
        <w:t>0</w:t>
      </w:r>
      <w:r w:rsidR="00205306">
        <w:t> </w:t>
      </w:r>
      <w:r w:rsidR="00C22322" w:rsidRPr="00205306">
        <w:t>million</w:t>
      </w:r>
      <w:r w:rsidR="001B561E" w:rsidRPr="009C7698">
        <w:t xml:space="preserve"> hectares of </w:t>
      </w:r>
      <w:r w:rsidR="004E08DB">
        <w:t xml:space="preserve">previously unreserved or unprotected </w:t>
      </w:r>
      <w:r w:rsidR="001B561E" w:rsidRPr="009C7698">
        <w:t>old-growth forest</w:t>
      </w:r>
      <w:r w:rsidR="00A42584" w:rsidRPr="009C7698">
        <w:t xml:space="preserve"> and 0.33</w:t>
      </w:r>
      <w:r w:rsidR="00F201A0">
        <w:t xml:space="preserve"> million hectares of </w:t>
      </w:r>
      <w:r w:rsidR="004E08DB">
        <w:t xml:space="preserve">previously unreserved or unprotected </w:t>
      </w:r>
      <w:r w:rsidR="00F201A0">
        <w:t>wilderness</w:t>
      </w:r>
      <w:r w:rsidR="009502F6" w:rsidRPr="009C7698">
        <w:t xml:space="preserve">. </w:t>
      </w:r>
      <w:r w:rsidR="00FD5D0C" w:rsidRPr="009C7698">
        <w:t>Further reservation</w:t>
      </w:r>
      <w:r w:rsidR="00FD5D0C">
        <w:t>, as well as</w:t>
      </w:r>
      <w:r w:rsidR="00FD5D0C" w:rsidRPr="009C7698">
        <w:t xml:space="preserve"> conservation through management prescription</w:t>
      </w:r>
      <w:r w:rsidR="00FD5D0C">
        <w:t>s,</w:t>
      </w:r>
      <w:r w:rsidR="00FD5D0C" w:rsidRPr="009C7698">
        <w:t xml:space="preserve"> </w:t>
      </w:r>
      <w:r>
        <w:t xml:space="preserve">subsequently </w:t>
      </w:r>
      <w:r w:rsidR="00FD5D0C" w:rsidRPr="009C7698">
        <w:t xml:space="preserve">added to the </w:t>
      </w:r>
      <w:r w:rsidR="00FF0488">
        <w:t xml:space="preserve">area of the CAR reserve system </w:t>
      </w:r>
      <w:r w:rsidR="00FD5D0C" w:rsidRPr="009C7698">
        <w:t xml:space="preserve">in </w:t>
      </w:r>
      <w:r w:rsidR="00FD5D0C">
        <w:t>RFA</w:t>
      </w:r>
      <w:r w:rsidR="00FD5D0C" w:rsidRPr="009C7698">
        <w:t xml:space="preserve"> </w:t>
      </w:r>
      <w:r w:rsidR="00FF0488">
        <w:t>regions</w:t>
      </w:r>
      <w:r w:rsidR="00402D05">
        <w:t>,</w:t>
      </w:r>
      <w:r w:rsidR="005C7E57" w:rsidRPr="005C7E57">
        <w:t xml:space="preserve"> </w:t>
      </w:r>
      <w:r w:rsidR="005C7E57">
        <w:t>which</w:t>
      </w:r>
      <w:r w:rsidR="005C7E57" w:rsidRPr="009C7698">
        <w:t xml:space="preserve"> by 20</w:t>
      </w:r>
      <w:r w:rsidR="005C7E57">
        <w:t>19 comprised 10.0</w:t>
      </w:r>
      <w:r w:rsidR="005C7E57" w:rsidRPr="009C7698">
        <w:t xml:space="preserve"> million hectares of </w:t>
      </w:r>
      <w:r w:rsidR="005C7E57">
        <w:t>native forest ecosystems and 2.3 </w:t>
      </w:r>
      <w:r w:rsidR="005C7E57" w:rsidRPr="009C7698">
        <w:t>million hectares of non-forest ecosystems</w:t>
      </w:r>
      <w:r w:rsidR="005C7E57">
        <w:t>, including 3.6</w:t>
      </w:r>
      <w:r w:rsidR="005C7E57" w:rsidRPr="009C7698">
        <w:t xml:space="preserve"> million hectares of </w:t>
      </w:r>
      <w:r w:rsidR="005C7E57">
        <w:t>old-growth forest and 3.8 </w:t>
      </w:r>
      <w:r w:rsidR="005C7E57" w:rsidRPr="009C7698">
        <w:t>million hectares of wilderness</w:t>
      </w:r>
      <w:r w:rsidR="00FD5D0C" w:rsidRPr="009C7698">
        <w:t>.</w:t>
      </w:r>
      <w:r w:rsidR="00FD5D0C">
        <w:t xml:space="preserve"> </w:t>
      </w:r>
    </w:p>
    <w:p w14:paraId="01763AC5" w14:textId="01AB11A8" w:rsidR="00552614" w:rsidRDefault="00403789" w:rsidP="00DE2888">
      <w:r w:rsidRPr="00C22322">
        <w:t xml:space="preserve">Implementation of </w:t>
      </w:r>
      <w:r w:rsidR="00C87770" w:rsidRPr="00C22322">
        <w:t>RFA</w:t>
      </w:r>
      <w:r w:rsidRPr="00C22322">
        <w:t>s resulted i</w:t>
      </w:r>
      <w:r w:rsidR="00545F9C" w:rsidRPr="00C22322">
        <w:t>n a reduction of 0.91</w:t>
      </w:r>
      <w:r w:rsidRPr="00C22322">
        <w:t xml:space="preserve"> million hectares in the net harvestable area of public native forest. Subsequent progressive increases in the area of reserved forest, and increased management prescriptions, have decreased </w:t>
      </w:r>
      <w:r w:rsidR="00545F9C" w:rsidRPr="00C22322">
        <w:t xml:space="preserve">the net harvestable area by </w:t>
      </w:r>
      <w:r w:rsidR="00387612">
        <w:t>a further 1</w:t>
      </w:r>
      <w:r w:rsidR="00C22322" w:rsidRPr="00C22322">
        <w:t>.</w:t>
      </w:r>
      <w:r w:rsidR="006B4FEA">
        <w:t>3</w:t>
      </w:r>
      <w:r w:rsidRPr="00C22322">
        <w:t> million hectares.</w:t>
      </w:r>
      <w:r w:rsidR="001C0C0C" w:rsidRPr="00C22322">
        <w:t xml:space="preserve"> </w:t>
      </w:r>
      <w:r w:rsidR="00A72C24" w:rsidRPr="00C22322">
        <w:t xml:space="preserve">These outcomes have </w:t>
      </w:r>
      <w:r w:rsidR="00583E85">
        <w:t>reduced</w:t>
      </w:r>
      <w:r w:rsidR="00583E85" w:rsidRPr="00C22322">
        <w:t xml:space="preserve"> </w:t>
      </w:r>
      <w:r w:rsidR="001C0C0C" w:rsidRPr="00C22322">
        <w:t xml:space="preserve">the sustainable </w:t>
      </w:r>
      <w:r w:rsidR="00A72C24" w:rsidRPr="00C22322">
        <w:t xml:space="preserve">level </w:t>
      </w:r>
      <w:r w:rsidR="001C0C0C" w:rsidRPr="00C22322">
        <w:t xml:space="preserve">of timber </w:t>
      </w:r>
      <w:r w:rsidR="00A72C24" w:rsidRPr="00C22322">
        <w:t xml:space="preserve">that can be extracted </w:t>
      </w:r>
      <w:r w:rsidR="001C0C0C" w:rsidRPr="00C22322">
        <w:t>from public forests</w:t>
      </w:r>
      <w:r w:rsidR="00B03E11" w:rsidRPr="00C22322">
        <w:t>,</w:t>
      </w:r>
      <w:r w:rsidR="001C0C0C" w:rsidRPr="00C22322">
        <w:t xml:space="preserve"> with </w:t>
      </w:r>
      <w:r w:rsidR="008D6893">
        <w:t xml:space="preserve">the </w:t>
      </w:r>
      <w:r w:rsidR="001C0C0C" w:rsidRPr="00C22322">
        <w:t>sustainable yield in the five</w:t>
      </w:r>
      <w:r w:rsidR="00B03E11" w:rsidRPr="00C22322">
        <w:t>-</w:t>
      </w:r>
      <w:r w:rsidR="001C0C0C" w:rsidRPr="00C22322">
        <w:t>year period to 201</w:t>
      </w:r>
      <w:r w:rsidR="00C22322" w:rsidRPr="00C22322">
        <w:t>6</w:t>
      </w:r>
      <w:r w:rsidR="001C0C0C" w:rsidRPr="00C22322">
        <w:t xml:space="preserve"> being </w:t>
      </w:r>
      <w:r w:rsidR="008D6893">
        <w:t xml:space="preserve">45% of </w:t>
      </w:r>
      <w:r w:rsidR="001C0C0C" w:rsidRPr="00C22322">
        <w:t xml:space="preserve">the </w:t>
      </w:r>
      <w:r w:rsidR="008D6893">
        <w:t xml:space="preserve">sustainable yield </w:t>
      </w:r>
      <w:r w:rsidR="001C0C0C" w:rsidRPr="00C22322">
        <w:t xml:space="preserve">before </w:t>
      </w:r>
      <w:r w:rsidR="00C22322" w:rsidRPr="00C22322">
        <w:t>RFA</w:t>
      </w:r>
      <w:r w:rsidR="001C0C0C" w:rsidRPr="00C22322">
        <w:t xml:space="preserve"> processes commenced in 1995</w:t>
      </w:r>
      <w:r w:rsidR="00C22322" w:rsidRPr="00C22322">
        <w:t>–</w:t>
      </w:r>
      <w:r w:rsidR="00295FA6">
        <w:t>9</w:t>
      </w:r>
      <w:r w:rsidR="001C0C0C" w:rsidRPr="00C22322">
        <w:t>6</w:t>
      </w:r>
      <w:r w:rsidR="008D6893">
        <w:t>, and the actual yield being 37% of the actual yield before RFA processes commenced</w:t>
      </w:r>
      <w:r w:rsidR="001C0C0C" w:rsidRPr="00C22322">
        <w:t>.</w:t>
      </w:r>
    </w:p>
    <w:p w14:paraId="27C5473B" w14:textId="5852586E" w:rsidR="004A6C6D" w:rsidRPr="000429F0" w:rsidRDefault="004A6C6D" w:rsidP="000429F0">
      <w:pPr>
        <w:spacing w:before="0" w:line="276" w:lineRule="auto"/>
        <w:sectPr w:rsidR="004A6C6D" w:rsidRPr="000429F0" w:rsidSect="00E145ED">
          <w:headerReference w:type="even" r:id="rId38"/>
          <w:headerReference w:type="default" r:id="rId39"/>
          <w:footerReference w:type="default" r:id="rId40"/>
          <w:headerReference w:type="first" r:id="rId41"/>
          <w:type w:val="continuous"/>
          <w:pgSz w:w="11906" w:h="16838"/>
          <w:pgMar w:top="1440" w:right="1440" w:bottom="1440" w:left="1440" w:header="709" w:footer="709" w:gutter="0"/>
          <w:pgNumType w:start="1"/>
          <w:cols w:space="708"/>
          <w:docGrid w:linePitch="360"/>
        </w:sectPr>
      </w:pPr>
    </w:p>
    <w:p w14:paraId="1E2B305B" w14:textId="77777777" w:rsidR="000E2D33" w:rsidRPr="002E0A09" w:rsidRDefault="000E2D33" w:rsidP="0007398A">
      <w:pPr>
        <w:pStyle w:val="Heading2"/>
        <w:keepNext/>
        <w:spacing w:after="240"/>
        <w:jc w:val="left"/>
        <w:rPr>
          <w:rFonts w:ascii="Calibri" w:eastAsiaTheme="minorEastAsia" w:hAnsi="Calibri" w:cstheme="minorBidi"/>
          <w:b w:val="0"/>
          <w:color w:val="000000"/>
          <w:sz w:val="56"/>
          <w:szCs w:val="28"/>
          <w:lang w:eastAsia="ja-JP"/>
        </w:rPr>
      </w:pPr>
      <w:bookmarkStart w:id="35" w:name="_Toc58312595"/>
      <w:bookmarkStart w:id="36" w:name="_Ref55395996"/>
      <w:r>
        <w:rPr>
          <w:rFonts w:ascii="Calibri" w:eastAsiaTheme="minorEastAsia" w:hAnsi="Calibri" w:cstheme="minorBidi"/>
          <w:b w:val="0"/>
          <w:color w:val="000000"/>
          <w:sz w:val="56"/>
          <w:szCs w:val="28"/>
          <w:lang w:eastAsia="ja-JP"/>
        </w:rPr>
        <w:lastRenderedPageBreak/>
        <w:t>Appendix A: Regional Forest Agreement tabular data</w:t>
      </w:r>
      <w:bookmarkEnd w:id="35"/>
    </w:p>
    <w:p w14:paraId="16E33F5C" w14:textId="00AFF170" w:rsidR="00E37F80" w:rsidRDefault="00E37F80" w:rsidP="004C0DDC">
      <w:pPr>
        <w:pStyle w:val="Caption"/>
      </w:pPr>
      <w:bookmarkStart w:id="37" w:name="_Toc58234964"/>
      <w:bookmarkEnd w:id="36"/>
      <w:r>
        <w:t>Table A</w:t>
      </w:r>
      <w:r w:rsidR="00160F3D">
        <w:rPr>
          <w:noProof/>
        </w:rPr>
        <w:fldChar w:fldCharType="begin"/>
      </w:r>
      <w:r w:rsidR="00160F3D">
        <w:rPr>
          <w:noProof/>
        </w:rPr>
        <w:instrText xml:space="preserve"> SEQ Table \* ARABIC </w:instrText>
      </w:r>
      <w:r w:rsidR="00160F3D">
        <w:rPr>
          <w:noProof/>
        </w:rPr>
        <w:fldChar w:fldCharType="separate"/>
      </w:r>
      <w:r w:rsidR="00CC3B42">
        <w:rPr>
          <w:noProof/>
        </w:rPr>
        <w:t>1</w:t>
      </w:r>
      <w:r w:rsidR="00160F3D">
        <w:rPr>
          <w:noProof/>
        </w:rPr>
        <w:fldChar w:fldCharType="end"/>
      </w:r>
      <w:r>
        <w:t xml:space="preserve"> </w:t>
      </w:r>
      <w:r w:rsidRPr="00A678EF">
        <w:t>Areas of native forest and non-forest ecosystems in RFA regions, and areas reserved before and immediately after RFAs were signed</w:t>
      </w:r>
      <w:bookmarkEnd w:id="37"/>
    </w:p>
    <w:tbl>
      <w:tblPr>
        <w:tblW w:w="14889" w:type="dxa"/>
        <w:tblInd w:w="-426" w:type="dxa"/>
        <w:tblLayout w:type="fixed"/>
        <w:tblLook w:val="04A0" w:firstRow="1" w:lastRow="0" w:firstColumn="1" w:lastColumn="0" w:noHBand="0" w:noVBand="1"/>
      </w:tblPr>
      <w:tblGrid>
        <w:gridCol w:w="1281"/>
        <w:gridCol w:w="992"/>
        <w:gridCol w:w="1059"/>
        <w:gridCol w:w="991"/>
        <w:gridCol w:w="902"/>
        <w:gridCol w:w="993"/>
        <w:gridCol w:w="991"/>
        <w:gridCol w:w="1160"/>
        <w:gridCol w:w="1130"/>
        <w:gridCol w:w="1279"/>
        <w:gridCol w:w="1135"/>
        <w:gridCol w:w="992"/>
        <w:gridCol w:w="992"/>
        <w:gridCol w:w="992"/>
      </w:tblGrid>
      <w:tr w:rsidR="009E58CE" w:rsidRPr="009E58CE" w14:paraId="2054072F" w14:textId="77777777" w:rsidTr="004C0DDC">
        <w:trPr>
          <w:trHeight w:val="1134"/>
          <w:tblHeader/>
        </w:trPr>
        <w:tc>
          <w:tcPr>
            <w:tcW w:w="1281" w:type="dxa"/>
            <w:tcBorders>
              <w:top w:val="single" w:sz="4" w:space="0" w:color="auto"/>
              <w:bottom w:val="single" w:sz="4" w:space="0" w:color="auto"/>
              <w:right w:val="nil"/>
            </w:tcBorders>
            <w:shd w:val="clear" w:color="000000" w:fill="FFFFFF"/>
            <w:vAlign w:val="bottom"/>
            <w:hideMark/>
          </w:tcPr>
          <w:p w14:paraId="7C323A3E"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State and RFA region</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F1468D"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Land area (ha)</w:t>
            </w:r>
          </w:p>
        </w:tc>
        <w:tc>
          <w:tcPr>
            <w:tcW w:w="1059" w:type="dxa"/>
            <w:tcBorders>
              <w:top w:val="single" w:sz="4" w:space="0" w:color="auto"/>
              <w:left w:val="nil"/>
              <w:bottom w:val="single" w:sz="4" w:space="0" w:color="auto"/>
              <w:right w:val="single" w:sz="4" w:space="0" w:color="auto"/>
            </w:tcBorders>
            <w:shd w:val="clear" w:color="000000" w:fill="FFFFFF"/>
            <w:vAlign w:val="bottom"/>
            <w:hideMark/>
          </w:tcPr>
          <w:p w14:paraId="1C2C4F24"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Terrestrial native ecosystems</w:t>
            </w:r>
          </w:p>
        </w:tc>
        <w:tc>
          <w:tcPr>
            <w:tcW w:w="991" w:type="dxa"/>
            <w:tcBorders>
              <w:top w:val="single" w:sz="4" w:space="0" w:color="auto"/>
              <w:left w:val="nil"/>
              <w:bottom w:val="single" w:sz="4" w:space="0" w:color="auto"/>
              <w:right w:val="single" w:sz="4" w:space="0" w:color="auto"/>
            </w:tcBorders>
            <w:shd w:val="clear" w:color="000000" w:fill="FFFFFF"/>
            <w:vAlign w:val="bottom"/>
            <w:hideMark/>
          </w:tcPr>
          <w:p w14:paraId="6AE4C93B"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Modelled area pre</w:t>
            </w:r>
            <w:r w:rsidRPr="002F2D01">
              <w:rPr>
                <w:rFonts w:asciiTheme="majorHAnsi" w:hAnsiTheme="majorHAnsi" w:cs="Arial"/>
                <w:b/>
                <w:bCs/>
                <w:sz w:val="16"/>
                <w:szCs w:val="16"/>
                <w:lang w:eastAsia="en-AU"/>
              </w:rPr>
              <w:noBreakHyphen/>
              <w:t>1750 (ha)</w:t>
            </w:r>
          </w:p>
        </w:tc>
        <w:tc>
          <w:tcPr>
            <w:tcW w:w="902" w:type="dxa"/>
            <w:tcBorders>
              <w:top w:val="single" w:sz="4" w:space="0" w:color="auto"/>
              <w:left w:val="nil"/>
              <w:bottom w:val="single" w:sz="4" w:space="0" w:color="auto"/>
              <w:right w:val="nil"/>
            </w:tcBorders>
            <w:shd w:val="clear" w:color="000000" w:fill="FFFFFF"/>
            <w:vAlign w:val="bottom"/>
            <w:hideMark/>
          </w:tcPr>
          <w:p w14:paraId="6608BC44"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Area on private land pre-RFA (ha)</w:t>
            </w:r>
          </w:p>
        </w:tc>
        <w:tc>
          <w:tcPr>
            <w:tcW w:w="993" w:type="dxa"/>
            <w:tcBorders>
              <w:top w:val="single" w:sz="4" w:space="0" w:color="auto"/>
              <w:left w:val="nil"/>
              <w:bottom w:val="single" w:sz="4" w:space="0" w:color="auto"/>
              <w:right w:val="nil"/>
            </w:tcBorders>
            <w:shd w:val="clear" w:color="000000" w:fill="FFFFFF"/>
            <w:vAlign w:val="bottom"/>
            <w:hideMark/>
          </w:tcPr>
          <w:p w14:paraId="782B62D4"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Area on public land pre-RFA (ha)</w:t>
            </w:r>
          </w:p>
        </w:tc>
        <w:tc>
          <w:tcPr>
            <w:tcW w:w="991" w:type="dxa"/>
            <w:tcBorders>
              <w:top w:val="single" w:sz="4" w:space="0" w:color="auto"/>
              <w:left w:val="nil"/>
              <w:bottom w:val="single" w:sz="4" w:space="0" w:color="auto"/>
              <w:right w:val="single" w:sz="4" w:space="0" w:color="auto"/>
            </w:tcBorders>
            <w:shd w:val="clear" w:color="000000" w:fill="FFFFFF"/>
            <w:vAlign w:val="bottom"/>
            <w:hideMark/>
          </w:tcPr>
          <w:p w14:paraId="337B4EF6"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Total area pre-RFA (ha)</w:t>
            </w:r>
          </w:p>
        </w:tc>
        <w:tc>
          <w:tcPr>
            <w:tcW w:w="1160" w:type="dxa"/>
            <w:tcBorders>
              <w:top w:val="single" w:sz="4" w:space="0" w:color="auto"/>
              <w:left w:val="nil"/>
              <w:bottom w:val="single" w:sz="4" w:space="0" w:color="auto"/>
              <w:right w:val="nil"/>
            </w:tcBorders>
            <w:shd w:val="clear" w:color="000000" w:fill="FFFFFF"/>
            <w:vAlign w:val="bottom"/>
            <w:hideMark/>
          </w:tcPr>
          <w:p w14:paraId="1C90F53B" w14:textId="447C31B5" w:rsidR="009E58CE" w:rsidRPr="002F2D01" w:rsidRDefault="009E58CE" w:rsidP="00746FF7">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 xml:space="preserve">Total </w:t>
            </w:r>
            <w:r w:rsidR="00077B7D">
              <w:rPr>
                <w:rFonts w:asciiTheme="majorHAnsi" w:hAnsiTheme="majorHAnsi" w:cs="Arial"/>
                <w:b/>
                <w:bCs/>
                <w:sz w:val="16"/>
                <w:szCs w:val="16"/>
                <w:lang w:eastAsia="en-AU"/>
              </w:rPr>
              <w:t xml:space="preserve">area of </w:t>
            </w:r>
            <w:r w:rsidRPr="002F2D01">
              <w:rPr>
                <w:rFonts w:asciiTheme="majorHAnsi" w:hAnsiTheme="majorHAnsi" w:cs="Arial"/>
                <w:b/>
                <w:bCs/>
                <w:sz w:val="16"/>
                <w:szCs w:val="16"/>
                <w:lang w:eastAsia="en-AU"/>
              </w:rPr>
              <w:t>formal and informal reserves</w:t>
            </w:r>
            <w:r w:rsidR="00FD1ABB" w:rsidRPr="002F2D01">
              <w:rPr>
                <w:rFonts w:asciiTheme="majorHAnsi" w:hAnsiTheme="majorHAnsi" w:cs="Arial"/>
                <w:b/>
                <w:bCs/>
                <w:sz w:val="16"/>
                <w:szCs w:val="16"/>
                <w:lang w:eastAsia="en-AU"/>
              </w:rPr>
              <w:t xml:space="preserve"> </w:t>
            </w:r>
            <w:r w:rsidRPr="002F2D01">
              <w:rPr>
                <w:rFonts w:asciiTheme="majorHAnsi" w:hAnsiTheme="majorHAnsi" w:cs="Arial"/>
                <w:b/>
                <w:bCs/>
                <w:sz w:val="16"/>
                <w:szCs w:val="16"/>
                <w:lang w:eastAsia="en-AU"/>
              </w:rPr>
              <w:t xml:space="preserve"> pre-RFA (ha)</w:t>
            </w:r>
          </w:p>
        </w:tc>
        <w:tc>
          <w:tcPr>
            <w:tcW w:w="1130" w:type="dxa"/>
            <w:tcBorders>
              <w:top w:val="single" w:sz="4" w:space="0" w:color="auto"/>
              <w:left w:val="nil"/>
              <w:bottom w:val="single" w:sz="4" w:space="0" w:color="auto"/>
              <w:right w:val="nil"/>
            </w:tcBorders>
            <w:shd w:val="clear" w:color="000000" w:fill="FFFFFF"/>
            <w:vAlign w:val="bottom"/>
            <w:hideMark/>
          </w:tcPr>
          <w:p w14:paraId="001CA550"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Area added to formal and informal reserves at RFA (ha)</w:t>
            </w:r>
          </w:p>
        </w:tc>
        <w:tc>
          <w:tcPr>
            <w:tcW w:w="1279" w:type="dxa"/>
            <w:tcBorders>
              <w:top w:val="single" w:sz="4" w:space="0" w:color="auto"/>
              <w:left w:val="nil"/>
              <w:bottom w:val="single" w:sz="4" w:space="0" w:color="auto"/>
              <w:right w:val="nil"/>
            </w:tcBorders>
            <w:shd w:val="clear" w:color="000000" w:fill="FFFFFF"/>
            <w:vAlign w:val="bottom"/>
            <w:hideMark/>
          </w:tcPr>
          <w:p w14:paraId="65FEAF79" w14:textId="6B8BC864"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 xml:space="preserve">Total </w:t>
            </w:r>
            <w:r w:rsidR="00077B7D">
              <w:rPr>
                <w:rFonts w:asciiTheme="majorHAnsi" w:hAnsiTheme="majorHAnsi" w:cs="Arial"/>
                <w:b/>
                <w:bCs/>
                <w:sz w:val="16"/>
                <w:szCs w:val="16"/>
                <w:lang w:eastAsia="en-AU"/>
              </w:rPr>
              <w:t xml:space="preserve">area of </w:t>
            </w:r>
            <w:r w:rsidRPr="002F2D01">
              <w:rPr>
                <w:rFonts w:asciiTheme="majorHAnsi" w:hAnsiTheme="majorHAnsi" w:cs="Arial"/>
                <w:b/>
                <w:bCs/>
                <w:sz w:val="16"/>
                <w:szCs w:val="16"/>
                <w:lang w:eastAsia="en-AU"/>
              </w:rPr>
              <w:t>formal and informal reserves post-RFA (ha)</w:t>
            </w:r>
          </w:p>
        </w:tc>
        <w:tc>
          <w:tcPr>
            <w:tcW w:w="1135" w:type="dxa"/>
            <w:tcBorders>
              <w:top w:val="single" w:sz="4" w:space="0" w:color="auto"/>
              <w:left w:val="nil"/>
              <w:bottom w:val="single" w:sz="4" w:space="0" w:color="auto"/>
              <w:right w:val="nil"/>
            </w:tcBorders>
            <w:shd w:val="clear" w:color="000000" w:fill="FFFFFF"/>
            <w:vAlign w:val="bottom"/>
            <w:hideMark/>
          </w:tcPr>
          <w:p w14:paraId="769EA4C0"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Area protected by prescription post-RFA (ha)</w:t>
            </w:r>
          </w:p>
        </w:tc>
        <w:tc>
          <w:tcPr>
            <w:tcW w:w="992" w:type="dxa"/>
            <w:tcBorders>
              <w:top w:val="single" w:sz="4" w:space="0" w:color="auto"/>
              <w:left w:val="nil"/>
              <w:bottom w:val="single" w:sz="4" w:space="0" w:color="auto"/>
              <w:right w:val="nil"/>
            </w:tcBorders>
            <w:shd w:val="clear" w:color="auto" w:fill="FFFFFF" w:themeFill="background1"/>
            <w:vAlign w:val="bottom"/>
            <w:hideMark/>
          </w:tcPr>
          <w:p w14:paraId="3F234246"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Total area added to CAR reserve system at RFA (ha)</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6B26041"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Total area of CAR reserve system post-RFA (ha)</w:t>
            </w:r>
          </w:p>
        </w:tc>
        <w:tc>
          <w:tcPr>
            <w:tcW w:w="992" w:type="dxa"/>
            <w:tcBorders>
              <w:top w:val="single" w:sz="4" w:space="0" w:color="auto"/>
              <w:left w:val="nil"/>
              <w:bottom w:val="single" w:sz="4" w:space="0" w:color="auto"/>
            </w:tcBorders>
            <w:shd w:val="clear" w:color="000000" w:fill="FFFFFF"/>
            <w:vAlign w:val="bottom"/>
            <w:hideMark/>
          </w:tcPr>
          <w:p w14:paraId="44237BE0"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Count of ecosystem types post-RFA</w:t>
            </w:r>
          </w:p>
        </w:tc>
      </w:tr>
      <w:tr w:rsidR="009E58CE" w:rsidRPr="009E58CE" w14:paraId="0FC83680" w14:textId="77777777" w:rsidTr="004C0DDC">
        <w:trPr>
          <w:trHeight w:val="227"/>
        </w:trPr>
        <w:tc>
          <w:tcPr>
            <w:tcW w:w="1281" w:type="dxa"/>
            <w:tcBorders>
              <w:top w:val="single" w:sz="4" w:space="0" w:color="auto"/>
              <w:bottom w:val="single" w:sz="4" w:space="0" w:color="auto"/>
              <w:right w:val="single" w:sz="4" w:space="0" w:color="auto"/>
            </w:tcBorders>
            <w:shd w:val="clear" w:color="000000" w:fill="FFFFFF"/>
            <w:vAlign w:val="center"/>
            <w:hideMark/>
          </w:tcPr>
          <w:p w14:paraId="52A46280" w14:textId="0C08F4ED"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Column code</w:t>
            </w:r>
            <w:r w:rsidRPr="002F2D01">
              <w:rPr>
                <w:rFonts w:asciiTheme="majorHAnsi" w:hAnsiTheme="majorHAnsi" w:cs="Arial"/>
                <w:b/>
                <w:bCs/>
                <w:sz w:val="16"/>
                <w:szCs w:val="16"/>
                <w:lang w:eastAsia="en-AU"/>
              </w:rPr>
              <w:br/>
            </w:r>
            <w:r w:rsidR="00A1568A">
              <w:rPr>
                <w:rFonts w:asciiTheme="majorHAnsi" w:hAnsiTheme="majorHAnsi" w:cs="Arial"/>
                <w:sz w:val="16"/>
                <w:szCs w:val="16"/>
                <w:lang w:eastAsia="en-AU"/>
              </w:rPr>
              <w:t>Derivation of figures</w:t>
            </w:r>
          </w:p>
        </w:tc>
        <w:tc>
          <w:tcPr>
            <w:tcW w:w="992" w:type="dxa"/>
            <w:tcBorders>
              <w:top w:val="single" w:sz="4" w:space="0" w:color="auto"/>
              <w:left w:val="nil"/>
              <w:bottom w:val="single" w:sz="4" w:space="0" w:color="auto"/>
              <w:right w:val="single" w:sz="4" w:space="0" w:color="auto"/>
            </w:tcBorders>
            <w:shd w:val="clear" w:color="000000" w:fill="FFFFFF"/>
            <w:hideMark/>
          </w:tcPr>
          <w:p w14:paraId="0763ACD5" w14:textId="77777777" w:rsidR="009E58CE" w:rsidRPr="002F2D01" w:rsidRDefault="009E58CE" w:rsidP="00FA515E">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A</w:t>
            </w:r>
          </w:p>
        </w:tc>
        <w:tc>
          <w:tcPr>
            <w:tcW w:w="1059" w:type="dxa"/>
            <w:tcBorders>
              <w:top w:val="single" w:sz="4" w:space="0" w:color="auto"/>
              <w:left w:val="nil"/>
              <w:bottom w:val="single" w:sz="4" w:space="0" w:color="auto"/>
              <w:right w:val="single" w:sz="4" w:space="0" w:color="auto"/>
            </w:tcBorders>
            <w:shd w:val="clear" w:color="000000" w:fill="FFFFFF"/>
            <w:hideMark/>
          </w:tcPr>
          <w:p w14:paraId="15EA232D" w14:textId="77777777" w:rsidR="009E58CE" w:rsidRPr="002F2D01" w:rsidRDefault="009E58CE" w:rsidP="00FA515E">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 </w:t>
            </w:r>
          </w:p>
        </w:tc>
        <w:tc>
          <w:tcPr>
            <w:tcW w:w="991" w:type="dxa"/>
            <w:tcBorders>
              <w:top w:val="single" w:sz="4" w:space="0" w:color="auto"/>
              <w:left w:val="nil"/>
              <w:bottom w:val="single" w:sz="4" w:space="0" w:color="auto"/>
              <w:right w:val="single" w:sz="4" w:space="0" w:color="auto"/>
            </w:tcBorders>
            <w:shd w:val="clear" w:color="000000" w:fill="FFFFFF"/>
            <w:hideMark/>
          </w:tcPr>
          <w:p w14:paraId="525426E0" w14:textId="77777777" w:rsidR="009E58CE" w:rsidRPr="002F2D01" w:rsidRDefault="009E58CE" w:rsidP="00FA515E">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B</w:t>
            </w:r>
          </w:p>
        </w:tc>
        <w:tc>
          <w:tcPr>
            <w:tcW w:w="902" w:type="dxa"/>
            <w:tcBorders>
              <w:top w:val="single" w:sz="4" w:space="0" w:color="auto"/>
              <w:left w:val="nil"/>
              <w:bottom w:val="single" w:sz="4" w:space="0" w:color="auto"/>
              <w:right w:val="nil"/>
            </w:tcBorders>
            <w:shd w:val="clear" w:color="000000" w:fill="FFFFFF"/>
            <w:hideMark/>
          </w:tcPr>
          <w:p w14:paraId="01643BB1" w14:textId="77777777" w:rsidR="009E58CE" w:rsidRPr="002F2D01" w:rsidRDefault="009E58CE" w:rsidP="00FA515E">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C</w:t>
            </w:r>
          </w:p>
        </w:tc>
        <w:tc>
          <w:tcPr>
            <w:tcW w:w="993" w:type="dxa"/>
            <w:tcBorders>
              <w:top w:val="single" w:sz="4" w:space="0" w:color="auto"/>
              <w:left w:val="nil"/>
              <w:bottom w:val="single" w:sz="4" w:space="0" w:color="auto"/>
              <w:right w:val="nil"/>
            </w:tcBorders>
            <w:shd w:val="clear" w:color="000000" w:fill="FFFFFF"/>
            <w:hideMark/>
          </w:tcPr>
          <w:p w14:paraId="7D52A062" w14:textId="77777777" w:rsidR="009E58CE" w:rsidRPr="002F2D01" w:rsidRDefault="009E58CE" w:rsidP="00FA515E">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D</w:t>
            </w:r>
          </w:p>
        </w:tc>
        <w:tc>
          <w:tcPr>
            <w:tcW w:w="991" w:type="dxa"/>
            <w:tcBorders>
              <w:top w:val="single" w:sz="4" w:space="0" w:color="auto"/>
              <w:left w:val="nil"/>
              <w:bottom w:val="single" w:sz="4" w:space="0" w:color="auto"/>
              <w:right w:val="single" w:sz="4" w:space="0" w:color="auto"/>
            </w:tcBorders>
            <w:shd w:val="clear" w:color="000000" w:fill="FFFFFF"/>
            <w:hideMark/>
          </w:tcPr>
          <w:p w14:paraId="65DFBA73" w14:textId="194D505D" w:rsidR="009E58CE" w:rsidRPr="002F2D01" w:rsidRDefault="009E58CE" w:rsidP="00A1568A">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E</w:t>
            </w:r>
            <w:r w:rsidRPr="002F2D01">
              <w:rPr>
                <w:rFonts w:asciiTheme="majorHAnsi" w:hAnsiTheme="majorHAnsi" w:cs="Arial"/>
                <w:b/>
                <w:bCs/>
                <w:sz w:val="16"/>
                <w:szCs w:val="16"/>
                <w:lang w:eastAsia="en-AU"/>
              </w:rPr>
              <w:br/>
            </w:r>
            <w:r w:rsidR="00A1568A">
              <w:rPr>
                <w:rFonts w:asciiTheme="majorHAnsi" w:hAnsiTheme="majorHAnsi" w:cs="Arial"/>
                <w:sz w:val="16"/>
                <w:szCs w:val="16"/>
                <w:lang w:eastAsia="en-AU"/>
              </w:rPr>
              <w:t>=C+D</w:t>
            </w:r>
          </w:p>
        </w:tc>
        <w:tc>
          <w:tcPr>
            <w:tcW w:w="1160" w:type="dxa"/>
            <w:tcBorders>
              <w:top w:val="single" w:sz="4" w:space="0" w:color="auto"/>
              <w:left w:val="nil"/>
              <w:bottom w:val="single" w:sz="4" w:space="0" w:color="auto"/>
              <w:right w:val="nil"/>
            </w:tcBorders>
            <w:shd w:val="clear" w:color="000000" w:fill="FFFFFF"/>
            <w:hideMark/>
          </w:tcPr>
          <w:p w14:paraId="5300B3E7" w14:textId="77777777" w:rsidR="009E58CE" w:rsidRPr="002F2D01" w:rsidRDefault="009E58CE" w:rsidP="00FA515E">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F</w:t>
            </w:r>
          </w:p>
        </w:tc>
        <w:tc>
          <w:tcPr>
            <w:tcW w:w="1130" w:type="dxa"/>
            <w:tcBorders>
              <w:top w:val="single" w:sz="4" w:space="0" w:color="auto"/>
              <w:left w:val="nil"/>
              <w:bottom w:val="single" w:sz="4" w:space="0" w:color="auto"/>
              <w:right w:val="nil"/>
            </w:tcBorders>
            <w:shd w:val="clear" w:color="000000" w:fill="FFFFFF"/>
            <w:hideMark/>
          </w:tcPr>
          <w:p w14:paraId="5D0294DC" w14:textId="77777777" w:rsidR="009E58CE" w:rsidRPr="002F2D01" w:rsidRDefault="009E58CE" w:rsidP="00FA515E">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G</w:t>
            </w:r>
          </w:p>
        </w:tc>
        <w:tc>
          <w:tcPr>
            <w:tcW w:w="1279" w:type="dxa"/>
            <w:tcBorders>
              <w:top w:val="single" w:sz="4" w:space="0" w:color="auto"/>
              <w:left w:val="nil"/>
              <w:bottom w:val="single" w:sz="4" w:space="0" w:color="auto"/>
              <w:right w:val="nil"/>
            </w:tcBorders>
            <w:shd w:val="clear" w:color="000000" w:fill="FFFFFF"/>
            <w:hideMark/>
          </w:tcPr>
          <w:p w14:paraId="4715A3FF" w14:textId="235C0CC1" w:rsidR="009E58CE" w:rsidRPr="002F2D01" w:rsidRDefault="009E58CE" w:rsidP="00A1568A">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H</w:t>
            </w:r>
            <w:r w:rsidRPr="002F2D01">
              <w:rPr>
                <w:rFonts w:asciiTheme="majorHAnsi" w:hAnsiTheme="majorHAnsi" w:cs="Arial"/>
                <w:b/>
                <w:bCs/>
                <w:sz w:val="16"/>
                <w:szCs w:val="16"/>
                <w:lang w:eastAsia="en-AU"/>
              </w:rPr>
              <w:br/>
            </w:r>
            <w:r w:rsidR="00A1568A">
              <w:rPr>
                <w:rFonts w:asciiTheme="majorHAnsi" w:hAnsiTheme="majorHAnsi" w:cs="Arial"/>
                <w:sz w:val="16"/>
                <w:szCs w:val="16"/>
                <w:lang w:eastAsia="en-AU"/>
              </w:rPr>
              <w:t>=F+G</w:t>
            </w:r>
          </w:p>
        </w:tc>
        <w:tc>
          <w:tcPr>
            <w:tcW w:w="1135" w:type="dxa"/>
            <w:tcBorders>
              <w:top w:val="single" w:sz="4" w:space="0" w:color="auto"/>
              <w:left w:val="nil"/>
              <w:bottom w:val="single" w:sz="4" w:space="0" w:color="auto"/>
              <w:right w:val="nil"/>
            </w:tcBorders>
            <w:shd w:val="clear" w:color="000000" w:fill="FFFFFF"/>
            <w:hideMark/>
          </w:tcPr>
          <w:p w14:paraId="244152F1" w14:textId="77777777" w:rsidR="009E58CE" w:rsidRPr="002F2D01" w:rsidRDefault="009E58CE" w:rsidP="00FA515E">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I</w:t>
            </w:r>
          </w:p>
        </w:tc>
        <w:tc>
          <w:tcPr>
            <w:tcW w:w="992" w:type="dxa"/>
            <w:tcBorders>
              <w:top w:val="single" w:sz="4" w:space="0" w:color="auto"/>
              <w:left w:val="nil"/>
              <w:bottom w:val="single" w:sz="4" w:space="0" w:color="auto"/>
              <w:right w:val="nil"/>
            </w:tcBorders>
            <w:shd w:val="clear" w:color="auto" w:fill="FFFFFF" w:themeFill="background1"/>
            <w:hideMark/>
          </w:tcPr>
          <w:p w14:paraId="7917B134" w14:textId="1E1F1AB8" w:rsidR="009E58CE" w:rsidRPr="002F2D01" w:rsidRDefault="009E58CE" w:rsidP="00A1568A">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J</w:t>
            </w:r>
            <w:r w:rsidRPr="002F2D01">
              <w:rPr>
                <w:rFonts w:asciiTheme="majorHAnsi" w:hAnsiTheme="majorHAnsi" w:cs="Arial"/>
                <w:b/>
                <w:bCs/>
                <w:sz w:val="16"/>
                <w:szCs w:val="16"/>
                <w:lang w:eastAsia="en-AU"/>
              </w:rPr>
              <w:br/>
            </w:r>
            <w:r w:rsidR="00A1568A">
              <w:rPr>
                <w:rFonts w:asciiTheme="majorHAnsi" w:hAnsiTheme="majorHAnsi" w:cs="Arial"/>
                <w:sz w:val="16"/>
                <w:szCs w:val="16"/>
                <w:lang w:eastAsia="en-AU"/>
              </w:rPr>
              <w:t>=G+I</w:t>
            </w:r>
          </w:p>
        </w:tc>
        <w:tc>
          <w:tcPr>
            <w:tcW w:w="992" w:type="dxa"/>
            <w:tcBorders>
              <w:top w:val="single" w:sz="4" w:space="0" w:color="auto"/>
              <w:left w:val="nil"/>
              <w:bottom w:val="single" w:sz="4" w:space="0" w:color="auto"/>
              <w:right w:val="single" w:sz="4" w:space="0" w:color="auto"/>
            </w:tcBorders>
            <w:shd w:val="clear" w:color="000000" w:fill="FFFFFF"/>
            <w:hideMark/>
          </w:tcPr>
          <w:p w14:paraId="1CF606F0" w14:textId="149C60A2" w:rsidR="009E58CE" w:rsidRPr="002F2D01" w:rsidRDefault="009E58CE" w:rsidP="00A1568A">
            <w:pPr>
              <w:spacing w:before="0" w:after="0"/>
              <w:jc w:val="center"/>
              <w:rPr>
                <w:rFonts w:asciiTheme="majorHAnsi" w:hAnsiTheme="majorHAnsi" w:cs="Arial"/>
                <w:b/>
                <w:bCs/>
                <w:sz w:val="16"/>
                <w:szCs w:val="16"/>
                <w:lang w:eastAsia="en-AU"/>
              </w:rPr>
            </w:pPr>
            <w:r w:rsidRPr="002F2D01">
              <w:rPr>
                <w:rFonts w:asciiTheme="majorHAnsi" w:hAnsiTheme="majorHAnsi" w:cs="Arial"/>
                <w:b/>
                <w:bCs/>
                <w:sz w:val="16"/>
                <w:szCs w:val="16"/>
                <w:lang w:eastAsia="en-AU"/>
              </w:rPr>
              <w:t>K</w:t>
            </w:r>
            <w:r w:rsidRPr="002F2D01">
              <w:rPr>
                <w:rFonts w:asciiTheme="majorHAnsi" w:hAnsiTheme="majorHAnsi" w:cs="Arial"/>
                <w:b/>
                <w:bCs/>
                <w:sz w:val="16"/>
                <w:szCs w:val="16"/>
                <w:lang w:eastAsia="en-AU"/>
              </w:rPr>
              <w:br/>
            </w:r>
            <w:r w:rsidR="00A1568A">
              <w:rPr>
                <w:rFonts w:asciiTheme="majorHAnsi" w:hAnsiTheme="majorHAnsi" w:cs="Arial"/>
                <w:sz w:val="16"/>
                <w:szCs w:val="16"/>
                <w:lang w:eastAsia="en-AU"/>
              </w:rPr>
              <w:t>=F+J</w:t>
            </w:r>
          </w:p>
        </w:tc>
        <w:tc>
          <w:tcPr>
            <w:tcW w:w="992" w:type="dxa"/>
            <w:tcBorders>
              <w:top w:val="single" w:sz="4" w:space="0" w:color="auto"/>
              <w:left w:val="nil"/>
              <w:bottom w:val="single" w:sz="4" w:space="0" w:color="auto"/>
            </w:tcBorders>
            <w:shd w:val="clear" w:color="000000" w:fill="FFFFFF"/>
            <w:hideMark/>
          </w:tcPr>
          <w:p w14:paraId="2574E028" w14:textId="77777777" w:rsidR="009E58CE" w:rsidRPr="002F2D01" w:rsidRDefault="009E58CE" w:rsidP="00FA515E">
            <w:pPr>
              <w:spacing w:before="0" w:after="0"/>
              <w:jc w:val="right"/>
              <w:rPr>
                <w:rFonts w:asciiTheme="majorHAnsi" w:hAnsiTheme="majorHAnsi" w:cs="Arial"/>
                <w:b/>
                <w:bCs/>
                <w:sz w:val="16"/>
                <w:szCs w:val="16"/>
                <w:lang w:eastAsia="en-AU"/>
              </w:rPr>
            </w:pPr>
            <w:r w:rsidRPr="002F2D01">
              <w:rPr>
                <w:rFonts w:asciiTheme="majorHAnsi" w:hAnsiTheme="majorHAnsi" w:cs="Arial"/>
                <w:b/>
                <w:bCs/>
                <w:sz w:val="16"/>
                <w:szCs w:val="16"/>
                <w:lang w:eastAsia="en-AU"/>
              </w:rPr>
              <w:t> </w:t>
            </w:r>
          </w:p>
        </w:tc>
      </w:tr>
      <w:tr w:rsidR="009E58CE" w:rsidRPr="009E58CE" w14:paraId="30A79B33" w14:textId="77777777" w:rsidTr="00C935F0">
        <w:trPr>
          <w:trHeight w:val="283"/>
        </w:trPr>
        <w:tc>
          <w:tcPr>
            <w:tcW w:w="14889" w:type="dxa"/>
            <w:gridSpan w:val="14"/>
            <w:tcBorders>
              <w:top w:val="single" w:sz="4" w:space="0" w:color="auto"/>
              <w:bottom w:val="single" w:sz="4" w:space="0" w:color="auto"/>
            </w:tcBorders>
            <w:shd w:val="clear" w:color="auto" w:fill="auto"/>
            <w:noWrap/>
            <w:vAlign w:val="center"/>
            <w:hideMark/>
          </w:tcPr>
          <w:p w14:paraId="0EDF896C"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New South Wales</w:t>
            </w:r>
          </w:p>
        </w:tc>
      </w:tr>
      <w:tr w:rsidR="009E58CE" w:rsidRPr="009E58CE" w14:paraId="0BBDB7CD" w14:textId="77777777" w:rsidTr="004C0DDC">
        <w:trPr>
          <w:trHeight w:val="198"/>
        </w:trPr>
        <w:tc>
          <w:tcPr>
            <w:tcW w:w="1281" w:type="dxa"/>
            <w:vMerge w:val="restart"/>
            <w:tcBorders>
              <w:top w:val="nil"/>
              <w:bottom w:val="single" w:sz="4" w:space="0" w:color="000000"/>
              <w:right w:val="single" w:sz="4" w:space="0" w:color="auto"/>
            </w:tcBorders>
            <w:shd w:val="clear" w:color="000000" w:fill="FFFFFF"/>
            <w:vAlign w:val="center"/>
            <w:hideMark/>
          </w:tcPr>
          <w:p w14:paraId="28F9B863"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Eden</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23850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814,000</w:t>
            </w:r>
          </w:p>
        </w:tc>
        <w:tc>
          <w:tcPr>
            <w:tcW w:w="1059" w:type="dxa"/>
            <w:tcBorders>
              <w:top w:val="nil"/>
              <w:left w:val="nil"/>
              <w:bottom w:val="nil"/>
              <w:right w:val="single" w:sz="4" w:space="0" w:color="auto"/>
            </w:tcBorders>
            <w:shd w:val="clear" w:color="000000" w:fill="FFFFFF"/>
            <w:vAlign w:val="center"/>
            <w:hideMark/>
          </w:tcPr>
          <w:p w14:paraId="60B3604B"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nil"/>
              <w:left w:val="nil"/>
              <w:bottom w:val="nil"/>
              <w:right w:val="single" w:sz="4" w:space="0" w:color="auto"/>
            </w:tcBorders>
            <w:shd w:val="clear" w:color="000000" w:fill="FFFFFF"/>
            <w:noWrap/>
            <w:vAlign w:val="center"/>
            <w:hideMark/>
          </w:tcPr>
          <w:p w14:paraId="5C81F5A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769,962</w:t>
            </w:r>
          </w:p>
        </w:tc>
        <w:tc>
          <w:tcPr>
            <w:tcW w:w="902" w:type="dxa"/>
            <w:tcBorders>
              <w:top w:val="nil"/>
              <w:left w:val="nil"/>
              <w:bottom w:val="nil"/>
              <w:right w:val="nil"/>
            </w:tcBorders>
            <w:shd w:val="clear" w:color="000000" w:fill="FFFFFF"/>
            <w:vAlign w:val="center"/>
            <w:hideMark/>
          </w:tcPr>
          <w:p w14:paraId="00BA3B2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125,114</w:t>
            </w:r>
          </w:p>
        </w:tc>
        <w:tc>
          <w:tcPr>
            <w:tcW w:w="993" w:type="dxa"/>
            <w:tcBorders>
              <w:top w:val="nil"/>
              <w:left w:val="nil"/>
              <w:bottom w:val="nil"/>
              <w:right w:val="nil"/>
            </w:tcBorders>
            <w:shd w:val="clear" w:color="000000" w:fill="FFFFFF"/>
            <w:vAlign w:val="center"/>
            <w:hideMark/>
          </w:tcPr>
          <w:p w14:paraId="037AEF3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408,298</w:t>
            </w:r>
          </w:p>
        </w:tc>
        <w:tc>
          <w:tcPr>
            <w:tcW w:w="991" w:type="dxa"/>
            <w:tcBorders>
              <w:top w:val="nil"/>
              <w:left w:val="nil"/>
              <w:bottom w:val="nil"/>
              <w:right w:val="single" w:sz="4" w:space="0" w:color="auto"/>
            </w:tcBorders>
            <w:shd w:val="clear" w:color="000000" w:fill="FFFFFF"/>
            <w:noWrap/>
            <w:vAlign w:val="center"/>
            <w:hideMark/>
          </w:tcPr>
          <w:p w14:paraId="1E384B2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533,412</w:t>
            </w:r>
          </w:p>
        </w:tc>
        <w:tc>
          <w:tcPr>
            <w:tcW w:w="1160" w:type="dxa"/>
            <w:tcBorders>
              <w:top w:val="nil"/>
              <w:left w:val="nil"/>
              <w:bottom w:val="nil"/>
              <w:right w:val="nil"/>
            </w:tcBorders>
            <w:shd w:val="clear" w:color="000000" w:fill="FFFFFF"/>
            <w:noWrap/>
            <w:vAlign w:val="center"/>
            <w:hideMark/>
          </w:tcPr>
          <w:p w14:paraId="70A8F12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152,212</w:t>
            </w:r>
          </w:p>
        </w:tc>
        <w:tc>
          <w:tcPr>
            <w:tcW w:w="1130" w:type="dxa"/>
            <w:tcBorders>
              <w:top w:val="nil"/>
              <w:left w:val="nil"/>
              <w:bottom w:val="nil"/>
              <w:right w:val="nil"/>
            </w:tcBorders>
            <w:shd w:val="clear" w:color="000000" w:fill="FFFFFF"/>
            <w:vAlign w:val="center"/>
            <w:hideMark/>
          </w:tcPr>
          <w:p w14:paraId="1C37F34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96,184</w:t>
            </w:r>
          </w:p>
        </w:tc>
        <w:tc>
          <w:tcPr>
            <w:tcW w:w="1279" w:type="dxa"/>
            <w:tcBorders>
              <w:top w:val="nil"/>
              <w:left w:val="nil"/>
              <w:bottom w:val="nil"/>
              <w:right w:val="nil"/>
            </w:tcBorders>
            <w:shd w:val="clear" w:color="000000" w:fill="FFFFFF"/>
            <w:noWrap/>
            <w:vAlign w:val="center"/>
            <w:hideMark/>
          </w:tcPr>
          <w:p w14:paraId="297D543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248,396</w:t>
            </w:r>
          </w:p>
        </w:tc>
        <w:tc>
          <w:tcPr>
            <w:tcW w:w="1135" w:type="dxa"/>
            <w:tcBorders>
              <w:top w:val="nil"/>
              <w:left w:val="nil"/>
              <w:bottom w:val="nil"/>
              <w:right w:val="nil"/>
            </w:tcBorders>
            <w:shd w:val="clear" w:color="000000" w:fill="FFFFFF"/>
            <w:vAlign w:val="center"/>
            <w:hideMark/>
          </w:tcPr>
          <w:p w14:paraId="4813D4B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7,562</w:t>
            </w:r>
          </w:p>
        </w:tc>
        <w:tc>
          <w:tcPr>
            <w:tcW w:w="992" w:type="dxa"/>
            <w:tcBorders>
              <w:top w:val="nil"/>
              <w:left w:val="nil"/>
              <w:bottom w:val="nil"/>
              <w:right w:val="nil"/>
            </w:tcBorders>
            <w:shd w:val="clear" w:color="auto" w:fill="FFFFFF" w:themeFill="background1"/>
            <w:vAlign w:val="center"/>
            <w:hideMark/>
          </w:tcPr>
          <w:p w14:paraId="3BD5109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103,746</w:t>
            </w:r>
          </w:p>
        </w:tc>
        <w:tc>
          <w:tcPr>
            <w:tcW w:w="992" w:type="dxa"/>
            <w:tcBorders>
              <w:top w:val="nil"/>
              <w:left w:val="nil"/>
              <w:bottom w:val="nil"/>
              <w:right w:val="single" w:sz="4" w:space="0" w:color="auto"/>
            </w:tcBorders>
            <w:shd w:val="clear" w:color="000000" w:fill="FFFFFF"/>
            <w:vAlign w:val="center"/>
            <w:hideMark/>
          </w:tcPr>
          <w:p w14:paraId="77E9E74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255,958</w:t>
            </w:r>
          </w:p>
        </w:tc>
        <w:tc>
          <w:tcPr>
            <w:tcW w:w="992" w:type="dxa"/>
            <w:tcBorders>
              <w:top w:val="nil"/>
              <w:left w:val="nil"/>
              <w:bottom w:val="nil"/>
            </w:tcBorders>
            <w:shd w:val="clear" w:color="000000" w:fill="FFFFFF"/>
            <w:vAlign w:val="center"/>
            <w:hideMark/>
          </w:tcPr>
          <w:p w14:paraId="6359EBF3"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56</w:t>
            </w:r>
          </w:p>
        </w:tc>
      </w:tr>
      <w:tr w:rsidR="009E58CE" w:rsidRPr="009E58CE" w14:paraId="1180BF37" w14:textId="77777777" w:rsidTr="004C0DDC">
        <w:trPr>
          <w:trHeight w:val="198"/>
        </w:trPr>
        <w:tc>
          <w:tcPr>
            <w:tcW w:w="1281" w:type="dxa"/>
            <w:vMerge/>
            <w:tcBorders>
              <w:top w:val="nil"/>
              <w:bottom w:val="single" w:sz="4" w:space="0" w:color="000000"/>
              <w:right w:val="single" w:sz="4" w:space="0" w:color="auto"/>
            </w:tcBorders>
            <w:vAlign w:val="center"/>
            <w:hideMark/>
          </w:tcPr>
          <w:p w14:paraId="0840E3E1"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single" w:sz="4" w:space="0" w:color="auto"/>
            </w:tcBorders>
            <w:vAlign w:val="center"/>
            <w:hideMark/>
          </w:tcPr>
          <w:p w14:paraId="3C72EF41"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nil"/>
              <w:bottom w:val="nil"/>
              <w:right w:val="single" w:sz="4" w:space="0" w:color="auto"/>
            </w:tcBorders>
            <w:shd w:val="clear" w:color="000000" w:fill="FFFFFF"/>
            <w:vAlign w:val="center"/>
            <w:hideMark/>
          </w:tcPr>
          <w:p w14:paraId="20515327"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single" w:sz="4" w:space="0" w:color="auto"/>
            </w:tcBorders>
            <w:shd w:val="clear" w:color="000000" w:fill="FFFFFF"/>
            <w:noWrap/>
            <w:vAlign w:val="center"/>
            <w:hideMark/>
          </w:tcPr>
          <w:p w14:paraId="6AEFBE0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39,053</w:t>
            </w:r>
          </w:p>
        </w:tc>
        <w:tc>
          <w:tcPr>
            <w:tcW w:w="902" w:type="dxa"/>
            <w:tcBorders>
              <w:top w:val="nil"/>
              <w:left w:val="nil"/>
              <w:bottom w:val="nil"/>
              <w:right w:val="nil"/>
            </w:tcBorders>
            <w:shd w:val="clear" w:color="000000" w:fill="FFFFFF"/>
            <w:vAlign w:val="center"/>
            <w:hideMark/>
          </w:tcPr>
          <w:p w14:paraId="0A5A21F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6,334</w:t>
            </w:r>
          </w:p>
        </w:tc>
        <w:tc>
          <w:tcPr>
            <w:tcW w:w="993" w:type="dxa"/>
            <w:tcBorders>
              <w:top w:val="nil"/>
              <w:left w:val="nil"/>
              <w:bottom w:val="nil"/>
              <w:right w:val="nil"/>
            </w:tcBorders>
            <w:shd w:val="clear" w:color="000000" w:fill="FFFFFF"/>
            <w:vAlign w:val="center"/>
            <w:hideMark/>
          </w:tcPr>
          <w:p w14:paraId="3ED580F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11,882</w:t>
            </w:r>
          </w:p>
        </w:tc>
        <w:tc>
          <w:tcPr>
            <w:tcW w:w="991" w:type="dxa"/>
            <w:tcBorders>
              <w:top w:val="nil"/>
              <w:left w:val="nil"/>
              <w:bottom w:val="nil"/>
              <w:right w:val="single" w:sz="4" w:space="0" w:color="auto"/>
            </w:tcBorders>
            <w:shd w:val="clear" w:color="000000" w:fill="FFFFFF"/>
            <w:noWrap/>
            <w:vAlign w:val="center"/>
            <w:hideMark/>
          </w:tcPr>
          <w:p w14:paraId="1FC0FF6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18,215</w:t>
            </w:r>
          </w:p>
        </w:tc>
        <w:tc>
          <w:tcPr>
            <w:tcW w:w="1160" w:type="dxa"/>
            <w:tcBorders>
              <w:top w:val="nil"/>
              <w:left w:val="nil"/>
              <w:bottom w:val="nil"/>
              <w:right w:val="nil"/>
            </w:tcBorders>
            <w:shd w:val="clear" w:color="000000" w:fill="FFFFFF"/>
            <w:noWrap/>
            <w:vAlign w:val="center"/>
            <w:hideMark/>
          </w:tcPr>
          <w:p w14:paraId="4A123E4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8,189</w:t>
            </w:r>
          </w:p>
        </w:tc>
        <w:tc>
          <w:tcPr>
            <w:tcW w:w="1130" w:type="dxa"/>
            <w:tcBorders>
              <w:top w:val="nil"/>
              <w:left w:val="nil"/>
              <w:bottom w:val="nil"/>
              <w:right w:val="nil"/>
            </w:tcBorders>
            <w:shd w:val="clear" w:color="000000" w:fill="FFFFFF"/>
            <w:vAlign w:val="center"/>
            <w:hideMark/>
          </w:tcPr>
          <w:p w14:paraId="38EBDDF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1,660</w:t>
            </w:r>
          </w:p>
        </w:tc>
        <w:tc>
          <w:tcPr>
            <w:tcW w:w="1279" w:type="dxa"/>
            <w:tcBorders>
              <w:top w:val="nil"/>
              <w:left w:val="nil"/>
              <w:bottom w:val="nil"/>
              <w:right w:val="nil"/>
            </w:tcBorders>
            <w:shd w:val="clear" w:color="000000" w:fill="FFFFFF"/>
            <w:noWrap/>
            <w:vAlign w:val="center"/>
            <w:hideMark/>
          </w:tcPr>
          <w:p w14:paraId="4BAE509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9,848</w:t>
            </w:r>
          </w:p>
        </w:tc>
        <w:tc>
          <w:tcPr>
            <w:tcW w:w="1135" w:type="dxa"/>
            <w:tcBorders>
              <w:top w:val="nil"/>
              <w:left w:val="nil"/>
              <w:bottom w:val="nil"/>
              <w:right w:val="nil"/>
            </w:tcBorders>
            <w:shd w:val="clear" w:color="000000" w:fill="FFFFFF"/>
            <w:vAlign w:val="center"/>
            <w:hideMark/>
          </w:tcPr>
          <w:p w14:paraId="7955F21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323</w:t>
            </w:r>
          </w:p>
        </w:tc>
        <w:tc>
          <w:tcPr>
            <w:tcW w:w="992" w:type="dxa"/>
            <w:tcBorders>
              <w:top w:val="nil"/>
              <w:left w:val="nil"/>
              <w:bottom w:val="nil"/>
              <w:right w:val="nil"/>
            </w:tcBorders>
            <w:shd w:val="clear" w:color="auto" w:fill="FFFFFF" w:themeFill="background1"/>
            <w:vAlign w:val="center"/>
            <w:hideMark/>
          </w:tcPr>
          <w:p w14:paraId="713447C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1,983</w:t>
            </w:r>
          </w:p>
        </w:tc>
        <w:tc>
          <w:tcPr>
            <w:tcW w:w="992" w:type="dxa"/>
            <w:tcBorders>
              <w:top w:val="nil"/>
              <w:left w:val="nil"/>
              <w:bottom w:val="nil"/>
              <w:right w:val="single" w:sz="4" w:space="0" w:color="auto"/>
            </w:tcBorders>
            <w:shd w:val="clear" w:color="000000" w:fill="FFFFFF"/>
            <w:vAlign w:val="center"/>
            <w:hideMark/>
          </w:tcPr>
          <w:p w14:paraId="7DB2496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10,171</w:t>
            </w:r>
          </w:p>
        </w:tc>
        <w:tc>
          <w:tcPr>
            <w:tcW w:w="992" w:type="dxa"/>
            <w:tcBorders>
              <w:top w:val="nil"/>
              <w:left w:val="nil"/>
              <w:bottom w:val="nil"/>
            </w:tcBorders>
            <w:shd w:val="clear" w:color="000000" w:fill="FFFFFF"/>
            <w:vAlign w:val="center"/>
            <w:hideMark/>
          </w:tcPr>
          <w:p w14:paraId="3BB7B3FD"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17</w:t>
            </w:r>
          </w:p>
        </w:tc>
      </w:tr>
      <w:tr w:rsidR="009E58CE" w:rsidRPr="009E58CE" w14:paraId="42D5DEE6" w14:textId="77777777" w:rsidTr="004C0DDC">
        <w:trPr>
          <w:trHeight w:val="198"/>
        </w:trPr>
        <w:tc>
          <w:tcPr>
            <w:tcW w:w="1281" w:type="dxa"/>
            <w:vMerge/>
            <w:tcBorders>
              <w:top w:val="nil"/>
              <w:bottom w:val="single" w:sz="4" w:space="0" w:color="000000"/>
              <w:right w:val="single" w:sz="4" w:space="0" w:color="auto"/>
            </w:tcBorders>
            <w:vAlign w:val="center"/>
            <w:hideMark/>
          </w:tcPr>
          <w:p w14:paraId="13344D57"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single" w:sz="4" w:space="0" w:color="auto"/>
            </w:tcBorders>
            <w:vAlign w:val="center"/>
            <w:hideMark/>
          </w:tcPr>
          <w:p w14:paraId="5887CA76"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nil"/>
              <w:bottom w:val="nil"/>
              <w:right w:val="single" w:sz="4" w:space="0" w:color="auto"/>
            </w:tcBorders>
            <w:shd w:val="clear" w:color="000000" w:fill="FFFFFF"/>
            <w:vAlign w:val="center"/>
            <w:hideMark/>
          </w:tcPr>
          <w:p w14:paraId="6C6EF21F"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nil"/>
              <w:right w:val="single" w:sz="4" w:space="0" w:color="auto"/>
            </w:tcBorders>
            <w:shd w:val="clear" w:color="000000" w:fill="FFFFFF"/>
            <w:noWrap/>
            <w:vAlign w:val="center"/>
            <w:hideMark/>
          </w:tcPr>
          <w:p w14:paraId="774B869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809,015</w:t>
            </w:r>
          </w:p>
        </w:tc>
        <w:tc>
          <w:tcPr>
            <w:tcW w:w="902" w:type="dxa"/>
            <w:tcBorders>
              <w:top w:val="nil"/>
              <w:left w:val="nil"/>
              <w:bottom w:val="nil"/>
              <w:right w:val="nil"/>
            </w:tcBorders>
            <w:shd w:val="clear" w:color="000000" w:fill="FFFFFF"/>
            <w:vAlign w:val="center"/>
            <w:hideMark/>
          </w:tcPr>
          <w:p w14:paraId="2778693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131,448</w:t>
            </w:r>
          </w:p>
        </w:tc>
        <w:tc>
          <w:tcPr>
            <w:tcW w:w="993" w:type="dxa"/>
            <w:tcBorders>
              <w:top w:val="nil"/>
              <w:left w:val="nil"/>
              <w:bottom w:val="nil"/>
              <w:right w:val="nil"/>
            </w:tcBorders>
            <w:shd w:val="clear" w:color="000000" w:fill="FFFFFF"/>
            <w:vAlign w:val="center"/>
            <w:hideMark/>
          </w:tcPr>
          <w:p w14:paraId="516A1D2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420,179</w:t>
            </w:r>
          </w:p>
        </w:tc>
        <w:tc>
          <w:tcPr>
            <w:tcW w:w="991" w:type="dxa"/>
            <w:tcBorders>
              <w:top w:val="nil"/>
              <w:left w:val="nil"/>
              <w:bottom w:val="nil"/>
              <w:right w:val="single" w:sz="4" w:space="0" w:color="auto"/>
            </w:tcBorders>
            <w:shd w:val="clear" w:color="000000" w:fill="FFFFFF"/>
            <w:noWrap/>
            <w:vAlign w:val="center"/>
            <w:hideMark/>
          </w:tcPr>
          <w:p w14:paraId="6EED52C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551,627</w:t>
            </w:r>
          </w:p>
        </w:tc>
        <w:tc>
          <w:tcPr>
            <w:tcW w:w="1160" w:type="dxa"/>
            <w:tcBorders>
              <w:top w:val="nil"/>
              <w:left w:val="nil"/>
              <w:bottom w:val="single" w:sz="4" w:space="0" w:color="auto"/>
              <w:right w:val="nil"/>
            </w:tcBorders>
            <w:shd w:val="clear" w:color="000000" w:fill="FFFFFF"/>
            <w:noWrap/>
            <w:vAlign w:val="center"/>
            <w:hideMark/>
          </w:tcPr>
          <w:p w14:paraId="218CC46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160,401</w:t>
            </w:r>
          </w:p>
        </w:tc>
        <w:tc>
          <w:tcPr>
            <w:tcW w:w="1130" w:type="dxa"/>
            <w:tcBorders>
              <w:top w:val="nil"/>
              <w:left w:val="nil"/>
              <w:bottom w:val="single" w:sz="4" w:space="0" w:color="auto"/>
              <w:right w:val="nil"/>
            </w:tcBorders>
            <w:shd w:val="clear" w:color="000000" w:fill="FFFFFF"/>
            <w:vAlign w:val="center"/>
            <w:hideMark/>
          </w:tcPr>
          <w:p w14:paraId="30577AD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97,844</w:t>
            </w:r>
          </w:p>
        </w:tc>
        <w:tc>
          <w:tcPr>
            <w:tcW w:w="1279" w:type="dxa"/>
            <w:tcBorders>
              <w:top w:val="nil"/>
              <w:left w:val="nil"/>
              <w:bottom w:val="single" w:sz="4" w:space="0" w:color="auto"/>
              <w:right w:val="nil"/>
            </w:tcBorders>
            <w:shd w:val="clear" w:color="000000" w:fill="FFFFFF"/>
            <w:noWrap/>
            <w:vAlign w:val="center"/>
            <w:hideMark/>
          </w:tcPr>
          <w:p w14:paraId="271122C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258,245</w:t>
            </w:r>
          </w:p>
        </w:tc>
        <w:tc>
          <w:tcPr>
            <w:tcW w:w="1135" w:type="dxa"/>
            <w:tcBorders>
              <w:top w:val="nil"/>
              <w:left w:val="nil"/>
              <w:bottom w:val="single" w:sz="4" w:space="0" w:color="auto"/>
              <w:right w:val="nil"/>
            </w:tcBorders>
            <w:shd w:val="clear" w:color="000000" w:fill="FFFFFF"/>
            <w:vAlign w:val="center"/>
            <w:hideMark/>
          </w:tcPr>
          <w:p w14:paraId="5770633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7,885</w:t>
            </w:r>
          </w:p>
        </w:tc>
        <w:tc>
          <w:tcPr>
            <w:tcW w:w="992" w:type="dxa"/>
            <w:tcBorders>
              <w:top w:val="nil"/>
              <w:left w:val="nil"/>
              <w:bottom w:val="single" w:sz="4" w:space="0" w:color="auto"/>
              <w:right w:val="nil"/>
            </w:tcBorders>
            <w:shd w:val="clear" w:color="auto" w:fill="FFFFFF" w:themeFill="background1"/>
            <w:vAlign w:val="center"/>
            <w:hideMark/>
          </w:tcPr>
          <w:p w14:paraId="0D9A376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105,729</w:t>
            </w:r>
          </w:p>
        </w:tc>
        <w:tc>
          <w:tcPr>
            <w:tcW w:w="992" w:type="dxa"/>
            <w:tcBorders>
              <w:top w:val="nil"/>
              <w:left w:val="nil"/>
              <w:bottom w:val="single" w:sz="4" w:space="0" w:color="auto"/>
              <w:right w:val="single" w:sz="4" w:space="0" w:color="auto"/>
            </w:tcBorders>
            <w:shd w:val="clear" w:color="000000" w:fill="FFFFFF"/>
            <w:vAlign w:val="center"/>
            <w:hideMark/>
          </w:tcPr>
          <w:p w14:paraId="704C33C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266,130</w:t>
            </w:r>
          </w:p>
        </w:tc>
        <w:tc>
          <w:tcPr>
            <w:tcW w:w="992" w:type="dxa"/>
            <w:tcBorders>
              <w:top w:val="nil"/>
              <w:left w:val="nil"/>
              <w:bottom w:val="nil"/>
            </w:tcBorders>
            <w:shd w:val="clear" w:color="000000" w:fill="FFFFFF"/>
            <w:vAlign w:val="center"/>
            <w:hideMark/>
          </w:tcPr>
          <w:p w14:paraId="366B061A"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73</w:t>
            </w:r>
          </w:p>
        </w:tc>
      </w:tr>
      <w:tr w:rsidR="009E58CE" w:rsidRPr="009E58CE" w14:paraId="6EEEB434" w14:textId="77777777" w:rsidTr="004C0DDC">
        <w:trPr>
          <w:trHeight w:val="198"/>
        </w:trPr>
        <w:tc>
          <w:tcPr>
            <w:tcW w:w="1281" w:type="dxa"/>
            <w:vMerge w:val="restart"/>
            <w:tcBorders>
              <w:top w:val="nil"/>
              <w:bottom w:val="single" w:sz="4" w:space="0" w:color="000000"/>
              <w:right w:val="single" w:sz="4" w:space="0" w:color="auto"/>
            </w:tcBorders>
            <w:shd w:val="clear" w:color="000000" w:fill="FFFFFF"/>
            <w:vAlign w:val="center"/>
            <w:hideMark/>
          </w:tcPr>
          <w:p w14:paraId="21D4F406"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Upper North East</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01A2553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3,907,000</w:t>
            </w:r>
          </w:p>
        </w:tc>
        <w:tc>
          <w:tcPr>
            <w:tcW w:w="1059" w:type="dxa"/>
            <w:tcBorders>
              <w:top w:val="single" w:sz="4" w:space="0" w:color="auto"/>
              <w:left w:val="single" w:sz="4" w:space="0" w:color="auto"/>
              <w:bottom w:val="nil"/>
              <w:right w:val="single" w:sz="4" w:space="0" w:color="auto"/>
            </w:tcBorders>
            <w:shd w:val="clear" w:color="000000" w:fill="FFFFFF"/>
            <w:vAlign w:val="center"/>
            <w:hideMark/>
          </w:tcPr>
          <w:p w14:paraId="4BAABF18"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single" w:sz="4" w:space="0" w:color="auto"/>
              <w:left w:val="nil"/>
              <w:bottom w:val="nil"/>
              <w:right w:val="single" w:sz="4" w:space="0" w:color="auto"/>
            </w:tcBorders>
            <w:shd w:val="clear" w:color="000000" w:fill="FFFFFF"/>
            <w:noWrap/>
            <w:vAlign w:val="center"/>
            <w:hideMark/>
          </w:tcPr>
          <w:p w14:paraId="7071DF7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3,800,564</w:t>
            </w:r>
          </w:p>
        </w:tc>
        <w:tc>
          <w:tcPr>
            <w:tcW w:w="902" w:type="dxa"/>
            <w:tcBorders>
              <w:top w:val="single" w:sz="4" w:space="0" w:color="auto"/>
              <w:left w:val="nil"/>
              <w:bottom w:val="nil"/>
              <w:right w:val="nil"/>
            </w:tcBorders>
            <w:shd w:val="clear" w:color="000000" w:fill="FFFFFF"/>
            <w:vAlign w:val="center"/>
            <w:hideMark/>
          </w:tcPr>
          <w:p w14:paraId="5B961B0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1,193,805</w:t>
            </w:r>
          </w:p>
        </w:tc>
        <w:tc>
          <w:tcPr>
            <w:tcW w:w="993" w:type="dxa"/>
            <w:tcBorders>
              <w:top w:val="single" w:sz="4" w:space="0" w:color="auto"/>
              <w:left w:val="nil"/>
              <w:bottom w:val="nil"/>
              <w:right w:val="nil"/>
            </w:tcBorders>
            <w:shd w:val="clear" w:color="000000" w:fill="FFFFFF"/>
            <w:vAlign w:val="center"/>
            <w:hideMark/>
          </w:tcPr>
          <w:p w14:paraId="2897330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972,796</w:t>
            </w:r>
          </w:p>
        </w:tc>
        <w:tc>
          <w:tcPr>
            <w:tcW w:w="991" w:type="dxa"/>
            <w:tcBorders>
              <w:top w:val="single" w:sz="4" w:space="0" w:color="auto"/>
              <w:left w:val="nil"/>
              <w:bottom w:val="nil"/>
              <w:right w:val="single" w:sz="4" w:space="0" w:color="auto"/>
            </w:tcBorders>
            <w:shd w:val="clear" w:color="000000" w:fill="FFFFFF"/>
            <w:noWrap/>
            <w:vAlign w:val="center"/>
            <w:hideMark/>
          </w:tcPr>
          <w:p w14:paraId="4B8CA34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2,166,601</w:t>
            </w:r>
          </w:p>
        </w:tc>
        <w:tc>
          <w:tcPr>
            <w:tcW w:w="1160" w:type="dxa"/>
            <w:tcBorders>
              <w:top w:val="nil"/>
              <w:left w:val="nil"/>
              <w:bottom w:val="nil"/>
              <w:right w:val="nil"/>
            </w:tcBorders>
            <w:shd w:val="clear" w:color="000000" w:fill="FFFFFF"/>
            <w:noWrap/>
            <w:vAlign w:val="center"/>
            <w:hideMark/>
          </w:tcPr>
          <w:p w14:paraId="6D61971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221,159</w:t>
            </w:r>
          </w:p>
        </w:tc>
        <w:tc>
          <w:tcPr>
            <w:tcW w:w="1130" w:type="dxa"/>
            <w:tcBorders>
              <w:top w:val="nil"/>
              <w:left w:val="nil"/>
              <w:bottom w:val="nil"/>
              <w:right w:val="nil"/>
            </w:tcBorders>
            <w:shd w:val="clear" w:color="000000" w:fill="FFFFFF"/>
            <w:vAlign w:val="center"/>
            <w:hideMark/>
          </w:tcPr>
          <w:p w14:paraId="53ED35B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334,956</w:t>
            </w:r>
          </w:p>
        </w:tc>
        <w:tc>
          <w:tcPr>
            <w:tcW w:w="1279" w:type="dxa"/>
            <w:tcBorders>
              <w:top w:val="nil"/>
              <w:left w:val="nil"/>
              <w:bottom w:val="nil"/>
              <w:right w:val="nil"/>
            </w:tcBorders>
            <w:shd w:val="clear" w:color="000000" w:fill="FFFFFF"/>
            <w:noWrap/>
            <w:vAlign w:val="center"/>
            <w:hideMark/>
          </w:tcPr>
          <w:p w14:paraId="4E31FBA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556,115</w:t>
            </w:r>
          </w:p>
        </w:tc>
        <w:tc>
          <w:tcPr>
            <w:tcW w:w="1135" w:type="dxa"/>
            <w:tcBorders>
              <w:top w:val="nil"/>
              <w:left w:val="nil"/>
              <w:bottom w:val="nil"/>
              <w:right w:val="nil"/>
            </w:tcBorders>
            <w:shd w:val="clear" w:color="000000" w:fill="FFFFFF"/>
            <w:vAlign w:val="center"/>
            <w:hideMark/>
          </w:tcPr>
          <w:p w14:paraId="6E90178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107,051</w:t>
            </w:r>
          </w:p>
        </w:tc>
        <w:tc>
          <w:tcPr>
            <w:tcW w:w="992" w:type="dxa"/>
            <w:tcBorders>
              <w:top w:val="nil"/>
              <w:left w:val="nil"/>
              <w:bottom w:val="nil"/>
              <w:right w:val="nil"/>
            </w:tcBorders>
            <w:shd w:val="clear" w:color="auto" w:fill="FFFFFF" w:themeFill="background1"/>
            <w:vAlign w:val="center"/>
            <w:hideMark/>
          </w:tcPr>
          <w:p w14:paraId="28E3521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442,007</w:t>
            </w:r>
          </w:p>
        </w:tc>
        <w:tc>
          <w:tcPr>
            <w:tcW w:w="992" w:type="dxa"/>
            <w:tcBorders>
              <w:top w:val="nil"/>
              <w:left w:val="nil"/>
              <w:bottom w:val="nil"/>
              <w:right w:val="nil"/>
            </w:tcBorders>
            <w:shd w:val="clear" w:color="000000" w:fill="FFFFFF"/>
            <w:vAlign w:val="center"/>
            <w:hideMark/>
          </w:tcPr>
          <w:p w14:paraId="33CFF65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663,167</w:t>
            </w:r>
          </w:p>
        </w:tc>
        <w:tc>
          <w:tcPr>
            <w:tcW w:w="992" w:type="dxa"/>
            <w:tcBorders>
              <w:top w:val="single" w:sz="4" w:space="0" w:color="auto"/>
              <w:left w:val="single" w:sz="4" w:space="0" w:color="auto"/>
              <w:bottom w:val="nil"/>
            </w:tcBorders>
            <w:shd w:val="clear" w:color="000000" w:fill="FFFFFF"/>
            <w:vAlign w:val="center"/>
            <w:hideMark/>
          </w:tcPr>
          <w:p w14:paraId="4C297EB5"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153</w:t>
            </w:r>
          </w:p>
        </w:tc>
      </w:tr>
      <w:tr w:rsidR="009E58CE" w:rsidRPr="009E58CE" w14:paraId="05E439E3" w14:textId="77777777" w:rsidTr="004C0DDC">
        <w:trPr>
          <w:trHeight w:val="198"/>
        </w:trPr>
        <w:tc>
          <w:tcPr>
            <w:tcW w:w="1281" w:type="dxa"/>
            <w:vMerge/>
            <w:tcBorders>
              <w:top w:val="nil"/>
              <w:bottom w:val="single" w:sz="4" w:space="0" w:color="000000"/>
              <w:right w:val="single" w:sz="4" w:space="0" w:color="auto"/>
            </w:tcBorders>
            <w:vAlign w:val="center"/>
            <w:hideMark/>
          </w:tcPr>
          <w:p w14:paraId="56840F8C"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235553FD"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1B83DA7E"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single" w:sz="4" w:space="0" w:color="auto"/>
            </w:tcBorders>
            <w:shd w:val="clear" w:color="000000" w:fill="FFFFFF"/>
            <w:noWrap/>
            <w:vAlign w:val="center"/>
            <w:hideMark/>
          </w:tcPr>
          <w:p w14:paraId="2C61D57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105,686</w:t>
            </w:r>
          </w:p>
        </w:tc>
        <w:tc>
          <w:tcPr>
            <w:tcW w:w="902" w:type="dxa"/>
            <w:tcBorders>
              <w:top w:val="nil"/>
              <w:left w:val="nil"/>
              <w:bottom w:val="nil"/>
              <w:right w:val="nil"/>
            </w:tcBorders>
            <w:shd w:val="clear" w:color="000000" w:fill="FFFFFF"/>
            <w:vAlign w:val="center"/>
            <w:hideMark/>
          </w:tcPr>
          <w:p w14:paraId="4047DB5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16,636</w:t>
            </w:r>
          </w:p>
        </w:tc>
        <w:tc>
          <w:tcPr>
            <w:tcW w:w="993" w:type="dxa"/>
            <w:tcBorders>
              <w:top w:val="nil"/>
              <w:left w:val="nil"/>
              <w:bottom w:val="nil"/>
              <w:right w:val="nil"/>
            </w:tcBorders>
            <w:shd w:val="clear" w:color="000000" w:fill="FFFFFF"/>
            <w:vAlign w:val="center"/>
            <w:hideMark/>
          </w:tcPr>
          <w:p w14:paraId="1FB6D55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44,648</w:t>
            </w:r>
          </w:p>
        </w:tc>
        <w:tc>
          <w:tcPr>
            <w:tcW w:w="991" w:type="dxa"/>
            <w:tcBorders>
              <w:top w:val="nil"/>
              <w:left w:val="nil"/>
              <w:bottom w:val="nil"/>
              <w:right w:val="single" w:sz="4" w:space="0" w:color="auto"/>
            </w:tcBorders>
            <w:shd w:val="clear" w:color="000000" w:fill="FFFFFF"/>
            <w:noWrap/>
            <w:vAlign w:val="center"/>
            <w:hideMark/>
          </w:tcPr>
          <w:p w14:paraId="4423A66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61,284</w:t>
            </w:r>
          </w:p>
        </w:tc>
        <w:tc>
          <w:tcPr>
            <w:tcW w:w="1160" w:type="dxa"/>
            <w:tcBorders>
              <w:top w:val="nil"/>
              <w:left w:val="nil"/>
              <w:bottom w:val="nil"/>
              <w:right w:val="nil"/>
            </w:tcBorders>
            <w:shd w:val="clear" w:color="000000" w:fill="FFFFFF"/>
            <w:noWrap/>
            <w:vAlign w:val="center"/>
            <w:hideMark/>
          </w:tcPr>
          <w:p w14:paraId="26B2920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22,584</w:t>
            </w:r>
          </w:p>
        </w:tc>
        <w:tc>
          <w:tcPr>
            <w:tcW w:w="1130" w:type="dxa"/>
            <w:tcBorders>
              <w:top w:val="nil"/>
              <w:left w:val="nil"/>
              <w:bottom w:val="nil"/>
              <w:right w:val="nil"/>
            </w:tcBorders>
            <w:shd w:val="clear" w:color="000000" w:fill="FFFFFF"/>
            <w:vAlign w:val="center"/>
            <w:hideMark/>
          </w:tcPr>
          <w:p w14:paraId="2B9A137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12,300</w:t>
            </w:r>
          </w:p>
        </w:tc>
        <w:tc>
          <w:tcPr>
            <w:tcW w:w="1279" w:type="dxa"/>
            <w:tcBorders>
              <w:top w:val="nil"/>
              <w:left w:val="nil"/>
              <w:bottom w:val="nil"/>
              <w:right w:val="nil"/>
            </w:tcBorders>
            <w:shd w:val="clear" w:color="000000" w:fill="FFFFFF"/>
            <w:noWrap/>
            <w:vAlign w:val="center"/>
            <w:hideMark/>
          </w:tcPr>
          <w:p w14:paraId="50EA1AD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34,884</w:t>
            </w:r>
          </w:p>
        </w:tc>
        <w:tc>
          <w:tcPr>
            <w:tcW w:w="1135" w:type="dxa"/>
            <w:tcBorders>
              <w:top w:val="nil"/>
              <w:left w:val="nil"/>
              <w:bottom w:val="nil"/>
              <w:right w:val="nil"/>
            </w:tcBorders>
            <w:shd w:val="clear" w:color="000000" w:fill="FFFFFF"/>
            <w:vAlign w:val="center"/>
            <w:hideMark/>
          </w:tcPr>
          <w:p w14:paraId="40149D0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6,900</w:t>
            </w:r>
          </w:p>
        </w:tc>
        <w:tc>
          <w:tcPr>
            <w:tcW w:w="992" w:type="dxa"/>
            <w:tcBorders>
              <w:top w:val="nil"/>
              <w:left w:val="nil"/>
              <w:bottom w:val="nil"/>
              <w:right w:val="nil"/>
            </w:tcBorders>
            <w:shd w:val="clear" w:color="auto" w:fill="FFFFFF" w:themeFill="background1"/>
            <w:vAlign w:val="center"/>
            <w:hideMark/>
          </w:tcPr>
          <w:p w14:paraId="71D9A14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19,200</w:t>
            </w:r>
          </w:p>
        </w:tc>
        <w:tc>
          <w:tcPr>
            <w:tcW w:w="992" w:type="dxa"/>
            <w:tcBorders>
              <w:top w:val="nil"/>
              <w:left w:val="nil"/>
              <w:bottom w:val="nil"/>
              <w:right w:val="nil"/>
            </w:tcBorders>
            <w:shd w:val="clear" w:color="000000" w:fill="FFFFFF"/>
            <w:vAlign w:val="center"/>
            <w:hideMark/>
          </w:tcPr>
          <w:p w14:paraId="450C614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41,784</w:t>
            </w:r>
          </w:p>
        </w:tc>
        <w:tc>
          <w:tcPr>
            <w:tcW w:w="992" w:type="dxa"/>
            <w:tcBorders>
              <w:top w:val="nil"/>
              <w:left w:val="single" w:sz="4" w:space="0" w:color="auto"/>
              <w:bottom w:val="nil"/>
            </w:tcBorders>
            <w:shd w:val="clear" w:color="000000" w:fill="FFFFFF"/>
            <w:vAlign w:val="center"/>
            <w:hideMark/>
          </w:tcPr>
          <w:p w14:paraId="06FBD342"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w:t>
            </w:r>
          </w:p>
        </w:tc>
      </w:tr>
      <w:tr w:rsidR="009E58CE" w:rsidRPr="009E58CE" w14:paraId="7212FE3C" w14:textId="77777777" w:rsidTr="004C0DDC">
        <w:trPr>
          <w:trHeight w:val="198"/>
        </w:trPr>
        <w:tc>
          <w:tcPr>
            <w:tcW w:w="1281" w:type="dxa"/>
            <w:vMerge/>
            <w:tcBorders>
              <w:top w:val="nil"/>
              <w:bottom w:val="single" w:sz="4" w:space="0" w:color="000000"/>
              <w:right w:val="single" w:sz="4" w:space="0" w:color="auto"/>
            </w:tcBorders>
            <w:vAlign w:val="center"/>
            <w:hideMark/>
          </w:tcPr>
          <w:p w14:paraId="1F8D61B4"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0DE9FEA0"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64D9F77F"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single" w:sz="4" w:space="0" w:color="auto"/>
            </w:tcBorders>
            <w:shd w:val="clear" w:color="000000" w:fill="FFFFFF"/>
            <w:noWrap/>
            <w:vAlign w:val="center"/>
            <w:hideMark/>
          </w:tcPr>
          <w:p w14:paraId="18F8A5E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3,906,250</w:t>
            </w:r>
          </w:p>
        </w:tc>
        <w:tc>
          <w:tcPr>
            <w:tcW w:w="902" w:type="dxa"/>
            <w:tcBorders>
              <w:top w:val="nil"/>
              <w:left w:val="nil"/>
              <w:bottom w:val="single" w:sz="4" w:space="0" w:color="auto"/>
              <w:right w:val="nil"/>
            </w:tcBorders>
            <w:shd w:val="clear" w:color="000000" w:fill="FFFFFF"/>
            <w:vAlign w:val="center"/>
            <w:hideMark/>
          </w:tcPr>
          <w:p w14:paraId="1601051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1,210,441</w:t>
            </w:r>
          </w:p>
        </w:tc>
        <w:tc>
          <w:tcPr>
            <w:tcW w:w="993" w:type="dxa"/>
            <w:tcBorders>
              <w:top w:val="nil"/>
              <w:left w:val="nil"/>
              <w:bottom w:val="single" w:sz="4" w:space="0" w:color="auto"/>
              <w:right w:val="nil"/>
            </w:tcBorders>
            <w:shd w:val="clear" w:color="000000" w:fill="FFFFFF"/>
            <w:vAlign w:val="center"/>
            <w:hideMark/>
          </w:tcPr>
          <w:p w14:paraId="402D982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1,017,444</w:t>
            </w:r>
          </w:p>
        </w:tc>
        <w:tc>
          <w:tcPr>
            <w:tcW w:w="991" w:type="dxa"/>
            <w:tcBorders>
              <w:top w:val="nil"/>
              <w:left w:val="nil"/>
              <w:bottom w:val="single" w:sz="4" w:space="0" w:color="auto"/>
              <w:right w:val="single" w:sz="4" w:space="0" w:color="auto"/>
            </w:tcBorders>
            <w:shd w:val="clear" w:color="000000" w:fill="FFFFFF"/>
            <w:noWrap/>
            <w:vAlign w:val="center"/>
            <w:hideMark/>
          </w:tcPr>
          <w:p w14:paraId="3032E49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2,227,885</w:t>
            </w:r>
          </w:p>
        </w:tc>
        <w:tc>
          <w:tcPr>
            <w:tcW w:w="1160" w:type="dxa"/>
            <w:tcBorders>
              <w:top w:val="nil"/>
              <w:left w:val="nil"/>
              <w:bottom w:val="nil"/>
              <w:right w:val="nil"/>
            </w:tcBorders>
            <w:shd w:val="clear" w:color="000000" w:fill="FFFFFF"/>
            <w:noWrap/>
            <w:vAlign w:val="center"/>
            <w:hideMark/>
          </w:tcPr>
          <w:p w14:paraId="2B7929B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243,743</w:t>
            </w:r>
          </w:p>
        </w:tc>
        <w:tc>
          <w:tcPr>
            <w:tcW w:w="1130" w:type="dxa"/>
            <w:tcBorders>
              <w:top w:val="nil"/>
              <w:left w:val="nil"/>
              <w:bottom w:val="nil"/>
              <w:right w:val="nil"/>
            </w:tcBorders>
            <w:shd w:val="clear" w:color="000000" w:fill="FFFFFF"/>
            <w:vAlign w:val="center"/>
            <w:hideMark/>
          </w:tcPr>
          <w:p w14:paraId="6241FA5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347,256</w:t>
            </w:r>
          </w:p>
        </w:tc>
        <w:tc>
          <w:tcPr>
            <w:tcW w:w="1279" w:type="dxa"/>
            <w:tcBorders>
              <w:top w:val="nil"/>
              <w:left w:val="nil"/>
              <w:bottom w:val="nil"/>
              <w:right w:val="nil"/>
            </w:tcBorders>
            <w:shd w:val="clear" w:color="000000" w:fill="FFFFFF"/>
            <w:noWrap/>
            <w:vAlign w:val="center"/>
            <w:hideMark/>
          </w:tcPr>
          <w:p w14:paraId="182CCF0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590,999</w:t>
            </w:r>
          </w:p>
        </w:tc>
        <w:tc>
          <w:tcPr>
            <w:tcW w:w="1135" w:type="dxa"/>
            <w:tcBorders>
              <w:top w:val="nil"/>
              <w:left w:val="nil"/>
              <w:bottom w:val="nil"/>
              <w:right w:val="nil"/>
            </w:tcBorders>
            <w:shd w:val="clear" w:color="000000" w:fill="FFFFFF"/>
            <w:vAlign w:val="center"/>
            <w:hideMark/>
          </w:tcPr>
          <w:p w14:paraId="0A0F95C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113,951</w:t>
            </w:r>
          </w:p>
        </w:tc>
        <w:tc>
          <w:tcPr>
            <w:tcW w:w="992" w:type="dxa"/>
            <w:tcBorders>
              <w:top w:val="nil"/>
              <w:left w:val="nil"/>
              <w:bottom w:val="nil"/>
              <w:right w:val="nil"/>
            </w:tcBorders>
            <w:shd w:val="clear" w:color="auto" w:fill="FFFFFF" w:themeFill="background1"/>
            <w:vAlign w:val="center"/>
            <w:hideMark/>
          </w:tcPr>
          <w:p w14:paraId="12F13F9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461,207</w:t>
            </w:r>
          </w:p>
        </w:tc>
        <w:tc>
          <w:tcPr>
            <w:tcW w:w="992" w:type="dxa"/>
            <w:tcBorders>
              <w:top w:val="nil"/>
              <w:left w:val="nil"/>
              <w:bottom w:val="nil"/>
              <w:right w:val="nil"/>
            </w:tcBorders>
            <w:shd w:val="clear" w:color="000000" w:fill="FFFFFF"/>
            <w:vAlign w:val="center"/>
            <w:hideMark/>
          </w:tcPr>
          <w:p w14:paraId="4C21775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704,951</w:t>
            </w:r>
          </w:p>
        </w:tc>
        <w:tc>
          <w:tcPr>
            <w:tcW w:w="992" w:type="dxa"/>
            <w:tcBorders>
              <w:top w:val="nil"/>
              <w:left w:val="single" w:sz="4" w:space="0" w:color="auto"/>
              <w:bottom w:val="single" w:sz="4" w:space="0" w:color="auto"/>
            </w:tcBorders>
            <w:shd w:val="clear" w:color="000000" w:fill="FFFFFF"/>
            <w:vAlign w:val="center"/>
            <w:hideMark/>
          </w:tcPr>
          <w:p w14:paraId="3AEB5B1B"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162</w:t>
            </w:r>
          </w:p>
        </w:tc>
      </w:tr>
      <w:tr w:rsidR="009E58CE" w:rsidRPr="009E58CE" w14:paraId="585345EC" w14:textId="77777777" w:rsidTr="004C0DDC">
        <w:trPr>
          <w:trHeight w:val="198"/>
        </w:trPr>
        <w:tc>
          <w:tcPr>
            <w:tcW w:w="1281" w:type="dxa"/>
            <w:vMerge w:val="restart"/>
            <w:tcBorders>
              <w:top w:val="nil"/>
              <w:bottom w:val="single" w:sz="4" w:space="0" w:color="000000"/>
              <w:right w:val="single" w:sz="4" w:space="0" w:color="auto"/>
            </w:tcBorders>
            <w:shd w:val="clear" w:color="000000" w:fill="FFFFFF"/>
            <w:vAlign w:val="center"/>
            <w:hideMark/>
          </w:tcPr>
          <w:p w14:paraId="5DB0456C"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Lower North East</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4E64235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5,790,000</w:t>
            </w:r>
          </w:p>
        </w:tc>
        <w:tc>
          <w:tcPr>
            <w:tcW w:w="1059" w:type="dxa"/>
            <w:tcBorders>
              <w:top w:val="nil"/>
              <w:left w:val="single" w:sz="4" w:space="0" w:color="auto"/>
              <w:bottom w:val="nil"/>
              <w:right w:val="single" w:sz="4" w:space="0" w:color="auto"/>
            </w:tcBorders>
            <w:shd w:val="clear" w:color="000000" w:fill="FFFFFF"/>
            <w:vAlign w:val="center"/>
            <w:hideMark/>
          </w:tcPr>
          <w:p w14:paraId="72AD8C89"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nil"/>
              <w:left w:val="nil"/>
              <w:bottom w:val="nil"/>
              <w:right w:val="single" w:sz="4" w:space="0" w:color="auto"/>
            </w:tcBorders>
            <w:shd w:val="clear" w:color="000000" w:fill="FFFFFF"/>
            <w:noWrap/>
            <w:vAlign w:val="center"/>
            <w:hideMark/>
          </w:tcPr>
          <w:p w14:paraId="06F5573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5,641,447</w:t>
            </w:r>
          </w:p>
        </w:tc>
        <w:tc>
          <w:tcPr>
            <w:tcW w:w="902" w:type="dxa"/>
            <w:tcBorders>
              <w:top w:val="nil"/>
              <w:left w:val="nil"/>
              <w:bottom w:val="nil"/>
              <w:right w:val="nil"/>
            </w:tcBorders>
            <w:shd w:val="clear" w:color="000000" w:fill="FFFFFF"/>
            <w:vAlign w:val="center"/>
            <w:hideMark/>
          </w:tcPr>
          <w:p w14:paraId="0D206F3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1,434,756</w:t>
            </w:r>
          </w:p>
        </w:tc>
        <w:tc>
          <w:tcPr>
            <w:tcW w:w="993" w:type="dxa"/>
            <w:tcBorders>
              <w:top w:val="nil"/>
              <w:left w:val="nil"/>
              <w:bottom w:val="nil"/>
              <w:right w:val="nil"/>
            </w:tcBorders>
            <w:shd w:val="clear" w:color="000000" w:fill="FFFFFF"/>
            <w:vAlign w:val="center"/>
            <w:hideMark/>
          </w:tcPr>
          <w:p w14:paraId="30566ED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1,739,842</w:t>
            </w:r>
          </w:p>
        </w:tc>
        <w:tc>
          <w:tcPr>
            <w:tcW w:w="991" w:type="dxa"/>
            <w:tcBorders>
              <w:top w:val="nil"/>
              <w:left w:val="nil"/>
              <w:bottom w:val="nil"/>
              <w:right w:val="nil"/>
            </w:tcBorders>
            <w:shd w:val="clear" w:color="000000" w:fill="FFFFFF"/>
            <w:noWrap/>
            <w:vAlign w:val="center"/>
            <w:hideMark/>
          </w:tcPr>
          <w:p w14:paraId="7EE6DEE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3,174,598</w:t>
            </w:r>
          </w:p>
        </w:tc>
        <w:tc>
          <w:tcPr>
            <w:tcW w:w="1160" w:type="dxa"/>
            <w:tcBorders>
              <w:top w:val="single" w:sz="4" w:space="0" w:color="auto"/>
              <w:left w:val="single" w:sz="4" w:space="0" w:color="auto"/>
              <w:bottom w:val="nil"/>
              <w:right w:val="nil"/>
            </w:tcBorders>
            <w:shd w:val="clear" w:color="000000" w:fill="FFFFFF"/>
            <w:noWrap/>
            <w:vAlign w:val="center"/>
            <w:hideMark/>
          </w:tcPr>
          <w:p w14:paraId="7A01677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724,471</w:t>
            </w:r>
          </w:p>
        </w:tc>
        <w:tc>
          <w:tcPr>
            <w:tcW w:w="1130" w:type="dxa"/>
            <w:tcBorders>
              <w:top w:val="single" w:sz="4" w:space="0" w:color="auto"/>
              <w:left w:val="nil"/>
              <w:bottom w:val="nil"/>
              <w:right w:val="nil"/>
            </w:tcBorders>
            <w:shd w:val="clear" w:color="000000" w:fill="FFFFFF"/>
            <w:vAlign w:val="center"/>
            <w:hideMark/>
          </w:tcPr>
          <w:p w14:paraId="22EAC7F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516,094</w:t>
            </w:r>
          </w:p>
        </w:tc>
        <w:tc>
          <w:tcPr>
            <w:tcW w:w="1279" w:type="dxa"/>
            <w:tcBorders>
              <w:top w:val="single" w:sz="4" w:space="0" w:color="auto"/>
              <w:left w:val="nil"/>
              <w:bottom w:val="nil"/>
              <w:right w:val="nil"/>
            </w:tcBorders>
            <w:shd w:val="clear" w:color="000000" w:fill="FFFFFF"/>
            <w:noWrap/>
            <w:vAlign w:val="center"/>
            <w:hideMark/>
          </w:tcPr>
          <w:p w14:paraId="2405840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1,240,565</w:t>
            </w:r>
          </w:p>
        </w:tc>
        <w:tc>
          <w:tcPr>
            <w:tcW w:w="1135" w:type="dxa"/>
            <w:tcBorders>
              <w:top w:val="single" w:sz="4" w:space="0" w:color="auto"/>
              <w:left w:val="nil"/>
              <w:bottom w:val="nil"/>
              <w:right w:val="nil"/>
            </w:tcBorders>
            <w:shd w:val="clear" w:color="000000" w:fill="FFFFFF"/>
            <w:vAlign w:val="center"/>
            <w:hideMark/>
          </w:tcPr>
          <w:p w14:paraId="02A6D6B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96,101</w:t>
            </w:r>
          </w:p>
        </w:tc>
        <w:tc>
          <w:tcPr>
            <w:tcW w:w="992" w:type="dxa"/>
            <w:tcBorders>
              <w:top w:val="single" w:sz="4" w:space="0" w:color="auto"/>
              <w:left w:val="nil"/>
              <w:bottom w:val="nil"/>
              <w:right w:val="nil"/>
            </w:tcBorders>
            <w:shd w:val="clear" w:color="auto" w:fill="FFFFFF" w:themeFill="background1"/>
            <w:vAlign w:val="center"/>
            <w:hideMark/>
          </w:tcPr>
          <w:p w14:paraId="5587D99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612,195</w:t>
            </w:r>
          </w:p>
        </w:tc>
        <w:tc>
          <w:tcPr>
            <w:tcW w:w="992" w:type="dxa"/>
            <w:tcBorders>
              <w:top w:val="single" w:sz="4" w:space="0" w:color="auto"/>
              <w:left w:val="nil"/>
              <w:bottom w:val="nil"/>
              <w:right w:val="single" w:sz="4" w:space="0" w:color="auto"/>
            </w:tcBorders>
            <w:shd w:val="clear" w:color="000000" w:fill="FFFFFF"/>
            <w:vAlign w:val="center"/>
            <w:hideMark/>
          </w:tcPr>
          <w:p w14:paraId="57B4192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1,336,666</w:t>
            </w:r>
          </w:p>
        </w:tc>
        <w:tc>
          <w:tcPr>
            <w:tcW w:w="992" w:type="dxa"/>
            <w:tcBorders>
              <w:top w:val="nil"/>
              <w:left w:val="nil"/>
              <w:bottom w:val="nil"/>
            </w:tcBorders>
            <w:shd w:val="clear" w:color="000000" w:fill="FFFFFF"/>
            <w:vAlign w:val="center"/>
            <w:hideMark/>
          </w:tcPr>
          <w:p w14:paraId="3336CC95"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190</w:t>
            </w:r>
          </w:p>
        </w:tc>
      </w:tr>
      <w:tr w:rsidR="009E58CE" w:rsidRPr="009E58CE" w14:paraId="2ED42462" w14:textId="77777777" w:rsidTr="004C0DDC">
        <w:trPr>
          <w:trHeight w:val="198"/>
        </w:trPr>
        <w:tc>
          <w:tcPr>
            <w:tcW w:w="1281" w:type="dxa"/>
            <w:vMerge/>
            <w:tcBorders>
              <w:top w:val="nil"/>
              <w:bottom w:val="single" w:sz="4" w:space="0" w:color="000000"/>
              <w:right w:val="single" w:sz="4" w:space="0" w:color="auto"/>
            </w:tcBorders>
            <w:vAlign w:val="center"/>
            <w:hideMark/>
          </w:tcPr>
          <w:p w14:paraId="0DAE47C1"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7203627E"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06E68280"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single" w:sz="4" w:space="0" w:color="auto"/>
            </w:tcBorders>
            <w:shd w:val="clear" w:color="000000" w:fill="FFFFFF"/>
            <w:noWrap/>
            <w:vAlign w:val="center"/>
            <w:hideMark/>
          </w:tcPr>
          <w:p w14:paraId="54290C6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145,951</w:t>
            </w:r>
          </w:p>
        </w:tc>
        <w:tc>
          <w:tcPr>
            <w:tcW w:w="902" w:type="dxa"/>
            <w:tcBorders>
              <w:top w:val="nil"/>
              <w:left w:val="nil"/>
              <w:bottom w:val="nil"/>
              <w:right w:val="nil"/>
            </w:tcBorders>
            <w:shd w:val="clear" w:color="000000" w:fill="FFFFFF"/>
            <w:vAlign w:val="center"/>
            <w:hideMark/>
          </w:tcPr>
          <w:p w14:paraId="45CD326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6,158</w:t>
            </w:r>
          </w:p>
        </w:tc>
        <w:tc>
          <w:tcPr>
            <w:tcW w:w="993" w:type="dxa"/>
            <w:tcBorders>
              <w:top w:val="nil"/>
              <w:left w:val="nil"/>
              <w:bottom w:val="nil"/>
              <w:right w:val="nil"/>
            </w:tcBorders>
            <w:shd w:val="clear" w:color="000000" w:fill="FFFFFF"/>
            <w:vAlign w:val="center"/>
            <w:hideMark/>
          </w:tcPr>
          <w:p w14:paraId="6C130CE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32,615</w:t>
            </w:r>
          </w:p>
        </w:tc>
        <w:tc>
          <w:tcPr>
            <w:tcW w:w="991" w:type="dxa"/>
            <w:tcBorders>
              <w:top w:val="nil"/>
              <w:left w:val="nil"/>
              <w:bottom w:val="nil"/>
              <w:right w:val="nil"/>
            </w:tcBorders>
            <w:shd w:val="clear" w:color="000000" w:fill="FFFFFF"/>
            <w:noWrap/>
            <w:vAlign w:val="center"/>
            <w:hideMark/>
          </w:tcPr>
          <w:p w14:paraId="31E2ED4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38,773</w:t>
            </w:r>
          </w:p>
        </w:tc>
        <w:tc>
          <w:tcPr>
            <w:tcW w:w="1160" w:type="dxa"/>
            <w:tcBorders>
              <w:top w:val="nil"/>
              <w:left w:val="single" w:sz="4" w:space="0" w:color="auto"/>
              <w:bottom w:val="nil"/>
              <w:right w:val="nil"/>
            </w:tcBorders>
            <w:shd w:val="clear" w:color="000000" w:fill="FFFFFF"/>
            <w:noWrap/>
            <w:vAlign w:val="center"/>
            <w:hideMark/>
          </w:tcPr>
          <w:p w14:paraId="69B6BF0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22,564</w:t>
            </w:r>
          </w:p>
        </w:tc>
        <w:tc>
          <w:tcPr>
            <w:tcW w:w="1130" w:type="dxa"/>
            <w:tcBorders>
              <w:top w:val="nil"/>
              <w:left w:val="nil"/>
              <w:bottom w:val="nil"/>
              <w:right w:val="nil"/>
            </w:tcBorders>
            <w:shd w:val="clear" w:color="000000" w:fill="FFFFFF"/>
            <w:vAlign w:val="center"/>
            <w:hideMark/>
          </w:tcPr>
          <w:p w14:paraId="22CC16E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5,895</w:t>
            </w:r>
          </w:p>
        </w:tc>
        <w:tc>
          <w:tcPr>
            <w:tcW w:w="1279" w:type="dxa"/>
            <w:tcBorders>
              <w:top w:val="nil"/>
              <w:left w:val="nil"/>
              <w:bottom w:val="nil"/>
              <w:right w:val="nil"/>
            </w:tcBorders>
            <w:shd w:val="clear" w:color="000000" w:fill="FFFFFF"/>
            <w:noWrap/>
            <w:vAlign w:val="center"/>
            <w:hideMark/>
          </w:tcPr>
          <w:p w14:paraId="0A97C38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28,459</w:t>
            </w:r>
          </w:p>
        </w:tc>
        <w:tc>
          <w:tcPr>
            <w:tcW w:w="1135" w:type="dxa"/>
            <w:tcBorders>
              <w:top w:val="nil"/>
              <w:left w:val="nil"/>
              <w:bottom w:val="nil"/>
              <w:right w:val="nil"/>
            </w:tcBorders>
            <w:shd w:val="clear" w:color="000000" w:fill="FFFFFF"/>
            <w:vAlign w:val="center"/>
            <w:hideMark/>
          </w:tcPr>
          <w:p w14:paraId="7B351EE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1,877</w:t>
            </w:r>
          </w:p>
        </w:tc>
        <w:tc>
          <w:tcPr>
            <w:tcW w:w="992" w:type="dxa"/>
            <w:tcBorders>
              <w:top w:val="nil"/>
              <w:left w:val="nil"/>
              <w:bottom w:val="nil"/>
              <w:right w:val="nil"/>
            </w:tcBorders>
            <w:shd w:val="clear" w:color="auto" w:fill="FFFFFF" w:themeFill="background1"/>
            <w:vAlign w:val="center"/>
            <w:hideMark/>
          </w:tcPr>
          <w:p w14:paraId="3FEF96B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7,772</w:t>
            </w:r>
          </w:p>
        </w:tc>
        <w:tc>
          <w:tcPr>
            <w:tcW w:w="992" w:type="dxa"/>
            <w:tcBorders>
              <w:top w:val="nil"/>
              <w:left w:val="nil"/>
              <w:bottom w:val="nil"/>
              <w:right w:val="single" w:sz="4" w:space="0" w:color="auto"/>
            </w:tcBorders>
            <w:shd w:val="clear" w:color="000000" w:fill="FFFFFF"/>
            <w:vAlign w:val="center"/>
            <w:hideMark/>
          </w:tcPr>
          <w:p w14:paraId="65754AE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30,336</w:t>
            </w:r>
          </w:p>
        </w:tc>
        <w:tc>
          <w:tcPr>
            <w:tcW w:w="992" w:type="dxa"/>
            <w:tcBorders>
              <w:top w:val="nil"/>
              <w:left w:val="nil"/>
              <w:bottom w:val="nil"/>
            </w:tcBorders>
            <w:shd w:val="clear" w:color="000000" w:fill="FFFFFF"/>
            <w:vAlign w:val="center"/>
            <w:hideMark/>
          </w:tcPr>
          <w:p w14:paraId="5FC8A0F8"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w:t>
            </w:r>
          </w:p>
        </w:tc>
      </w:tr>
      <w:tr w:rsidR="009E58CE" w:rsidRPr="009E58CE" w14:paraId="02C9627D" w14:textId="77777777" w:rsidTr="004C0DDC">
        <w:trPr>
          <w:trHeight w:val="198"/>
        </w:trPr>
        <w:tc>
          <w:tcPr>
            <w:tcW w:w="1281" w:type="dxa"/>
            <w:vMerge/>
            <w:tcBorders>
              <w:top w:val="nil"/>
              <w:bottom w:val="single" w:sz="4" w:space="0" w:color="000000"/>
              <w:right w:val="single" w:sz="4" w:space="0" w:color="auto"/>
            </w:tcBorders>
            <w:vAlign w:val="center"/>
            <w:hideMark/>
          </w:tcPr>
          <w:p w14:paraId="1B8498B9"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48E3B1DF"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622B887C"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single" w:sz="4" w:space="0" w:color="auto"/>
            </w:tcBorders>
            <w:shd w:val="clear" w:color="000000" w:fill="FFFFFF"/>
            <w:noWrap/>
            <w:vAlign w:val="center"/>
            <w:hideMark/>
          </w:tcPr>
          <w:p w14:paraId="3B1FDA0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5,787,398</w:t>
            </w:r>
          </w:p>
        </w:tc>
        <w:tc>
          <w:tcPr>
            <w:tcW w:w="902" w:type="dxa"/>
            <w:tcBorders>
              <w:top w:val="nil"/>
              <w:left w:val="nil"/>
              <w:bottom w:val="single" w:sz="4" w:space="0" w:color="auto"/>
              <w:right w:val="nil"/>
            </w:tcBorders>
            <w:shd w:val="clear" w:color="000000" w:fill="FFFFFF"/>
            <w:vAlign w:val="center"/>
            <w:hideMark/>
          </w:tcPr>
          <w:p w14:paraId="4FFC4EB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1,440,914</w:t>
            </w:r>
          </w:p>
        </w:tc>
        <w:tc>
          <w:tcPr>
            <w:tcW w:w="993" w:type="dxa"/>
            <w:tcBorders>
              <w:top w:val="nil"/>
              <w:left w:val="nil"/>
              <w:bottom w:val="single" w:sz="4" w:space="0" w:color="auto"/>
              <w:right w:val="nil"/>
            </w:tcBorders>
            <w:shd w:val="clear" w:color="000000" w:fill="FFFFFF"/>
            <w:vAlign w:val="center"/>
            <w:hideMark/>
          </w:tcPr>
          <w:p w14:paraId="1D643B8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1,772,457</w:t>
            </w:r>
          </w:p>
        </w:tc>
        <w:tc>
          <w:tcPr>
            <w:tcW w:w="991" w:type="dxa"/>
            <w:tcBorders>
              <w:top w:val="nil"/>
              <w:left w:val="nil"/>
              <w:bottom w:val="single" w:sz="4" w:space="0" w:color="auto"/>
              <w:right w:val="nil"/>
            </w:tcBorders>
            <w:shd w:val="clear" w:color="000000" w:fill="FFFFFF"/>
            <w:noWrap/>
            <w:vAlign w:val="center"/>
            <w:hideMark/>
          </w:tcPr>
          <w:p w14:paraId="294BEE8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3,213,371</w:t>
            </w:r>
          </w:p>
        </w:tc>
        <w:tc>
          <w:tcPr>
            <w:tcW w:w="1160" w:type="dxa"/>
            <w:tcBorders>
              <w:top w:val="nil"/>
              <w:left w:val="single" w:sz="4" w:space="0" w:color="auto"/>
              <w:bottom w:val="single" w:sz="4" w:space="0" w:color="auto"/>
              <w:right w:val="nil"/>
            </w:tcBorders>
            <w:shd w:val="clear" w:color="000000" w:fill="FFFFFF"/>
            <w:noWrap/>
            <w:vAlign w:val="center"/>
            <w:hideMark/>
          </w:tcPr>
          <w:p w14:paraId="610B688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747,035</w:t>
            </w:r>
          </w:p>
        </w:tc>
        <w:tc>
          <w:tcPr>
            <w:tcW w:w="1130" w:type="dxa"/>
            <w:tcBorders>
              <w:top w:val="nil"/>
              <w:left w:val="nil"/>
              <w:bottom w:val="single" w:sz="4" w:space="0" w:color="auto"/>
              <w:right w:val="nil"/>
            </w:tcBorders>
            <w:shd w:val="clear" w:color="000000" w:fill="FFFFFF"/>
            <w:vAlign w:val="center"/>
            <w:hideMark/>
          </w:tcPr>
          <w:p w14:paraId="0DB5933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521,988</w:t>
            </w:r>
          </w:p>
        </w:tc>
        <w:tc>
          <w:tcPr>
            <w:tcW w:w="1279" w:type="dxa"/>
            <w:tcBorders>
              <w:top w:val="nil"/>
              <w:left w:val="nil"/>
              <w:bottom w:val="single" w:sz="4" w:space="0" w:color="auto"/>
              <w:right w:val="nil"/>
            </w:tcBorders>
            <w:shd w:val="clear" w:color="000000" w:fill="FFFFFF"/>
            <w:noWrap/>
            <w:vAlign w:val="center"/>
            <w:hideMark/>
          </w:tcPr>
          <w:p w14:paraId="09DDFAE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1,269,023</w:t>
            </w:r>
          </w:p>
        </w:tc>
        <w:tc>
          <w:tcPr>
            <w:tcW w:w="1135" w:type="dxa"/>
            <w:tcBorders>
              <w:top w:val="nil"/>
              <w:left w:val="nil"/>
              <w:bottom w:val="single" w:sz="4" w:space="0" w:color="auto"/>
              <w:right w:val="nil"/>
            </w:tcBorders>
            <w:shd w:val="clear" w:color="000000" w:fill="FFFFFF"/>
            <w:vAlign w:val="center"/>
            <w:hideMark/>
          </w:tcPr>
          <w:p w14:paraId="23EF39C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97,978</w:t>
            </w:r>
          </w:p>
        </w:tc>
        <w:tc>
          <w:tcPr>
            <w:tcW w:w="992" w:type="dxa"/>
            <w:tcBorders>
              <w:top w:val="nil"/>
              <w:left w:val="nil"/>
              <w:bottom w:val="single" w:sz="4" w:space="0" w:color="auto"/>
              <w:right w:val="nil"/>
            </w:tcBorders>
            <w:shd w:val="clear" w:color="auto" w:fill="FFFFFF" w:themeFill="background1"/>
            <w:vAlign w:val="center"/>
            <w:hideMark/>
          </w:tcPr>
          <w:p w14:paraId="2B8924B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619,966</w:t>
            </w:r>
          </w:p>
        </w:tc>
        <w:tc>
          <w:tcPr>
            <w:tcW w:w="992" w:type="dxa"/>
            <w:tcBorders>
              <w:top w:val="nil"/>
              <w:left w:val="nil"/>
              <w:bottom w:val="single" w:sz="4" w:space="0" w:color="auto"/>
              <w:right w:val="single" w:sz="4" w:space="0" w:color="auto"/>
            </w:tcBorders>
            <w:shd w:val="clear" w:color="000000" w:fill="FFFFFF"/>
            <w:vAlign w:val="center"/>
            <w:hideMark/>
          </w:tcPr>
          <w:p w14:paraId="4751957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1,367,002</w:t>
            </w:r>
          </w:p>
        </w:tc>
        <w:tc>
          <w:tcPr>
            <w:tcW w:w="992" w:type="dxa"/>
            <w:tcBorders>
              <w:top w:val="nil"/>
              <w:left w:val="nil"/>
              <w:bottom w:val="single" w:sz="4" w:space="0" w:color="auto"/>
            </w:tcBorders>
            <w:shd w:val="clear" w:color="000000" w:fill="FFFFFF"/>
            <w:vAlign w:val="center"/>
            <w:hideMark/>
          </w:tcPr>
          <w:p w14:paraId="1FE08134"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199</w:t>
            </w:r>
          </w:p>
        </w:tc>
      </w:tr>
      <w:tr w:rsidR="009E58CE" w:rsidRPr="009E58CE" w14:paraId="245CB669" w14:textId="77777777" w:rsidTr="004C0DDC">
        <w:trPr>
          <w:trHeight w:val="198"/>
        </w:trPr>
        <w:tc>
          <w:tcPr>
            <w:tcW w:w="1281" w:type="dxa"/>
            <w:vMerge w:val="restart"/>
            <w:tcBorders>
              <w:top w:val="nil"/>
              <w:bottom w:val="single" w:sz="4" w:space="0" w:color="000000"/>
              <w:right w:val="single" w:sz="4" w:space="0" w:color="auto"/>
            </w:tcBorders>
            <w:shd w:val="clear" w:color="000000" w:fill="FFFFFF"/>
            <w:vAlign w:val="center"/>
            <w:hideMark/>
          </w:tcPr>
          <w:p w14:paraId="02D40A8A"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Southern NSW</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1BA4FB4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4,512,000</w:t>
            </w:r>
          </w:p>
        </w:tc>
        <w:tc>
          <w:tcPr>
            <w:tcW w:w="1059" w:type="dxa"/>
            <w:tcBorders>
              <w:top w:val="nil"/>
              <w:left w:val="single" w:sz="4" w:space="0" w:color="auto"/>
              <w:bottom w:val="nil"/>
              <w:right w:val="single" w:sz="4" w:space="0" w:color="auto"/>
            </w:tcBorders>
            <w:shd w:val="clear" w:color="000000" w:fill="FFFFFF"/>
            <w:vAlign w:val="center"/>
            <w:hideMark/>
          </w:tcPr>
          <w:p w14:paraId="23494EB3"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nil"/>
              <w:left w:val="nil"/>
              <w:bottom w:val="nil"/>
              <w:right w:val="single" w:sz="4" w:space="0" w:color="auto"/>
            </w:tcBorders>
            <w:shd w:val="clear" w:color="000000" w:fill="FFFFFF"/>
            <w:noWrap/>
            <w:vAlign w:val="center"/>
            <w:hideMark/>
          </w:tcPr>
          <w:p w14:paraId="4E5CEEC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4,100,264</w:t>
            </w:r>
          </w:p>
        </w:tc>
        <w:tc>
          <w:tcPr>
            <w:tcW w:w="902" w:type="dxa"/>
            <w:tcBorders>
              <w:top w:val="nil"/>
              <w:left w:val="nil"/>
              <w:bottom w:val="nil"/>
              <w:right w:val="nil"/>
            </w:tcBorders>
            <w:shd w:val="clear" w:color="000000" w:fill="FFFFFF"/>
            <w:vAlign w:val="center"/>
            <w:hideMark/>
          </w:tcPr>
          <w:p w14:paraId="5E4172F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827,875</w:t>
            </w:r>
          </w:p>
        </w:tc>
        <w:tc>
          <w:tcPr>
            <w:tcW w:w="993" w:type="dxa"/>
            <w:tcBorders>
              <w:top w:val="nil"/>
              <w:left w:val="nil"/>
              <w:bottom w:val="nil"/>
              <w:right w:val="nil"/>
            </w:tcBorders>
            <w:shd w:val="clear" w:color="000000" w:fill="FFFFFF"/>
            <w:vAlign w:val="center"/>
            <w:hideMark/>
          </w:tcPr>
          <w:p w14:paraId="0FE4D87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1,617,725</w:t>
            </w:r>
          </w:p>
        </w:tc>
        <w:tc>
          <w:tcPr>
            <w:tcW w:w="991" w:type="dxa"/>
            <w:tcBorders>
              <w:top w:val="nil"/>
              <w:left w:val="nil"/>
              <w:bottom w:val="nil"/>
              <w:right w:val="nil"/>
            </w:tcBorders>
            <w:shd w:val="clear" w:color="000000" w:fill="FFFFFF"/>
            <w:noWrap/>
            <w:vAlign w:val="center"/>
            <w:hideMark/>
          </w:tcPr>
          <w:p w14:paraId="5951C39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2,445,600</w:t>
            </w:r>
          </w:p>
        </w:tc>
        <w:tc>
          <w:tcPr>
            <w:tcW w:w="1160" w:type="dxa"/>
            <w:tcBorders>
              <w:top w:val="nil"/>
              <w:left w:val="single" w:sz="4" w:space="0" w:color="auto"/>
              <w:bottom w:val="nil"/>
              <w:right w:val="nil"/>
            </w:tcBorders>
            <w:shd w:val="clear" w:color="000000" w:fill="FFFFFF"/>
            <w:noWrap/>
            <w:vAlign w:val="center"/>
            <w:hideMark/>
          </w:tcPr>
          <w:p w14:paraId="30C9810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911,373</w:t>
            </w:r>
          </w:p>
        </w:tc>
        <w:tc>
          <w:tcPr>
            <w:tcW w:w="1130" w:type="dxa"/>
            <w:tcBorders>
              <w:top w:val="nil"/>
              <w:left w:val="nil"/>
              <w:bottom w:val="nil"/>
              <w:right w:val="nil"/>
            </w:tcBorders>
            <w:shd w:val="clear" w:color="000000" w:fill="FFFFFF"/>
            <w:vAlign w:val="center"/>
            <w:hideMark/>
          </w:tcPr>
          <w:p w14:paraId="3D68999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362,950</w:t>
            </w:r>
          </w:p>
        </w:tc>
        <w:tc>
          <w:tcPr>
            <w:tcW w:w="1279" w:type="dxa"/>
            <w:tcBorders>
              <w:top w:val="nil"/>
              <w:left w:val="nil"/>
              <w:bottom w:val="nil"/>
              <w:right w:val="nil"/>
            </w:tcBorders>
            <w:shd w:val="clear" w:color="000000" w:fill="FFFFFF"/>
            <w:noWrap/>
            <w:vAlign w:val="center"/>
            <w:hideMark/>
          </w:tcPr>
          <w:p w14:paraId="70D9868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1,274,323</w:t>
            </w:r>
          </w:p>
        </w:tc>
        <w:tc>
          <w:tcPr>
            <w:tcW w:w="1135" w:type="dxa"/>
            <w:tcBorders>
              <w:top w:val="nil"/>
              <w:left w:val="nil"/>
              <w:bottom w:val="nil"/>
              <w:right w:val="nil"/>
            </w:tcBorders>
            <w:shd w:val="clear" w:color="000000" w:fill="FFFFFF"/>
            <w:vAlign w:val="center"/>
            <w:hideMark/>
          </w:tcPr>
          <w:p w14:paraId="640AE43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31,087</w:t>
            </w:r>
          </w:p>
        </w:tc>
        <w:tc>
          <w:tcPr>
            <w:tcW w:w="992" w:type="dxa"/>
            <w:tcBorders>
              <w:top w:val="nil"/>
              <w:left w:val="nil"/>
              <w:bottom w:val="nil"/>
              <w:right w:val="nil"/>
            </w:tcBorders>
            <w:shd w:val="clear" w:color="auto" w:fill="FFFFFF" w:themeFill="background1"/>
            <w:vAlign w:val="center"/>
            <w:hideMark/>
          </w:tcPr>
          <w:p w14:paraId="10E2503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394,037</w:t>
            </w:r>
          </w:p>
        </w:tc>
        <w:tc>
          <w:tcPr>
            <w:tcW w:w="992" w:type="dxa"/>
            <w:tcBorders>
              <w:top w:val="nil"/>
              <w:left w:val="nil"/>
              <w:bottom w:val="nil"/>
              <w:right w:val="single" w:sz="4" w:space="0" w:color="auto"/>
            </w:tcBorders>
            <w:shd w:val="clear" w:color="000000" w:fill="FFFFFF"/>
            <w:vAlign w:val="center"/>
            <w:hideMark/>
          </w:tcPr>
          <w:p w14:paraId="552C7BA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1,305,410</w:t>
            </w:r>
          </w:p>
        </w:tc>
        <w:tc>
          <w:tcPr>
            <w:tcW w:w="992" w:type="dxa"/>
            <w:tcBorders>
              <w:top w:val="nil"/>
              <w:left w:val="nil"/>
              <w:bottom w:val="nil"/>
            </w:tcBorders>
            <w:shd w:val="clear" w:color="000000" w:fill="FFFFFF"/>
            <w:vAlign w:val="center"/>
            <w:hideMark/>
          </w:tcPr>
          <w:p w14:paraId="2691043F"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132</w:t>
            </w:r>
          </w:p>
        </w:tc>
      </w:tr>
      <w:tr w:rsidR="009E58CE" w:rsidRPr="009E58CE" w14:paraId="11A21EDE" w14:textId="77777777" w:rsidTr="004C0DDC">
        <w:trPr>
          <w:trHeight w:val="198"/>
        </w:trPr>
        <w:tc>
          <w:tcPr>
            <w:tcW w:w="1281" w:type="dxa"/>
            <w:vMerge/>
            <w:tcBorders>
              <w:top w:val="nil"/>
              <w:bottom w:val="single" w:sz="4" w:space="0" w:color="000000"/>
              <w:right w:val="single" w:sz="4" w:space="0" w:color="auto"/>
            </w:tcBorders>
            <w:vAlign w:val="center"/>
            <w:hideMark/>
          </w:tcPr>
          <w:p w14:paraId="13CEA59A"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79B3B50C"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7E357EB9"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single" w:sz="4" w:space="0" w:color="auto"/>
            </w:tcBorders>
            <w:shd w:val="clear" w:color="000000" w:fill="FFFFFF"/>
            <w:noWrap/>
            <w:vAlign w:val="center"/>
            <w:hideMark/>
          </w:tcPr>
          <w:p w14:paraId="654B78A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390,532</w:t>
            </w:r>
          </w:p>
        </w:tc>
        <w:tc>
          <w:tcPr>
            <w:tcW w:w="902" w:type="dxa"/>
            <w:tcBorders>
              <w:top w:val="nil"/>
              <w:left w:val="nil"/>
              <w:bottom w:val="nil"/>
              <w:right w:val="nil"/>
            </w:tcBorders>
            <w:shd w:val="clear" w:color="000000" w:fill="FFFFFF"/>
            <w:vAlign w:val="center"/>
            <w:hideMark/>
          </w:tcPr>
          <w:p w14:paraId="1B60FC8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15,652</w:t>
            </w:r>
          </w:p>
        </w:tc>
        <w:tc>
          <w:tcPr>
            <w:tcW w:w="993" w:type="dxa"/>
            <w:tcBorders>
              <w:top w:val="nil"/>
              <w:left w:val="nil"/>
              <w:bottom w:val="nil"/>
              <w:right w:val="nil"/>
            </w:tcBorders>
            <w:shd w:val="clear" w:color="000000" w:fill="FFFFFF"/>
            <w:vAlign w:val="center"/>
            <w:hideMark/>
          </w:tcPr>
          <w:p w14:paraId="72C4C10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96,929</w:t>
            </w:r>
          </w:p>
        </w:tc>
        <w:tc>
          <w:tcPr>
            <w:tcW w:w="991" w:type="dxa"/>
            <w:tcBorders>
              <w:top w:val="nil"/>
              <w:left w:val="nil"/>
              <w:bottom w:val="nil"/>
              <w:right w:val="nil"/>
            </w:tcBorders>
            <w:shd w:val="clear" w:color="000000" w:fill="FFFFFF"/>
            <w:noWrap/>
            <w:vAlign w:val="center"/>
            <w:hideMark/>
          </w:tcPr>
          <w:p w14:paraId="012DF84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112,581</w:t>
            </w:r>
          </w:p>
        </w:tc>
        <w:tc>
          <w:tcPr>
            <w:tcW w:w="1160" w:type="dxa"/>
            <w:tcBorders>
              <w:top w:val="nil"/>
              <w:left w:val="single" w:sz="4" w:space="0" w:color="auto"/>
              <w:bottom w:val="nil"/>
              <w:right w:val="nil"/>
            </w:tcBorders>
            <w:shd w:val="clear" w:color="000000" w:fill="FFFFFF"/>
            <w:noWrap/>
            <w:vAlign w:val="center"/>
            <w:hideMark/>
          </w:tcPr>
          <w:p w14:paraId="5B9B2B7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91,677</w:t>
            </w:r>
          </w:p>
        </w:tc>
        <w:tc>
          <w:tcPr>
            <w:tcW w:w="1130" w:type="dxa"/>
            <w:tcBorders>
              <w:top w:val="nil"/>
              <w:left w:val="nil"/>
              <w:bottom w:val="nil"/>
              <w:right w:val="nil"/>
            </w:tcBorders>
            <w:shd w:val="clear" w:color="000000" w:fill="FFFFFF"/>
            <w:vAlign w:val="center"/>
            <w:hideMark/>
          </w:tcPr>
          <w:p w14:paraId="6AE036D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3,612</w:t>
            </w:r>
          </w:p>
        </w:tc>
        <w:tc>
          <w:tcPr>
            <w:tcW w:w="1279" w:type="dxa"/>
            <w:tcBorders>
              <w:top w:val="nil"/>
              <w:left w:val="nil"/>
              <w:bottom w:val="nil"/>
              <w:right w:val="nil"/>
            </w:tcBorders>
            <w:shd w:val="clear" w:color="000000" w:fill="FFFFFF"/>
            <w:noWrap/>
            <w:vAlign w:val="center"/>
            <w:hideMark/>
          </w:tcPr>
          <w:p w14:paraId="36A5F3D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95,289</w:t>
            </w:r>
          </w:p>
        </w:tc>
        <w:tc>
          <w:tcPr>
            <w:tcW w:w="1135" w:type="dxa"/>
            <w:tcBorders>
              <w:top w:val="nil"/>
              <w:left w:val="nil"/>
              <w:bottom w:val="nil"/>
              <w:right w:val="nil"/>
            </w:tcBorders>
            <w:shd w:val="clear" w:color="000000" w:fill="FFFFFF"/>
            <w:vAlign w:val="center"/>
            <w:hideMark/>
          </w:tcPr>
          <w:p w14:paraId="178919A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295</w:t>
            </w:r>
          </w:p>
        </w:tc>
        <w:tc>
          <w:tcPr>
            <w:tcW w:w="992" w:type="dxa"/>
            <w:tcBorders>
              <w:top w:val="nil"/>
              <w:left w:val="nil"/>
              <w:bottom w:val="nil"/>
              <w:right w:val="nil"/>
            </w:tcBorders>
            <w:shd w:val="clear" w:color="auto" w:fill="FFFFFF" w:themeFill="background1"/>
            <w:vAlign w:val="center"/>
            <w:hideMark/>
          </w:tcPr>
          <w:p w14:paraId="01AA40F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3,907</w:t>
            </w:r>
          </w:p>
        </w:tc>
        <w:tc>
          <w:tcPr>
            <w:tcW w:w="992" w:type="dxa"/>
            <w:tcBorders>
              <w:top w:val="nil"/>
              <w:left w:val="nil"/>
              <w:bottom w:val="nil"/>
              <w:right w:val="single" w:sz="4" w:space="0" w:color="auto"/>
            </w:tcBorders>
            <w:shd w:val="clear" w:color="000000" w:fill="FFFFFF"/>
            <w:vAlign w:val="center"/>
            <w:hideMark/>
          </w:tcPr>
          <w:p w14:paraId="7B8AEBA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95,584</w:t>
            </w:r>
          </w:p>
        </w:tc>
        <w:tc>
          <w:tcPr>
            <w:tcW w:w="992" w:type="dxa"/>
            <w:tcBorders>
              <w:top w:val="nil"/>
              <w:left w:val="nil"/>
              <w:bottom w:val="nil"/>
            </w:tcBorders>
            <w:shd w:val="clear" w:color="000000" w:fill="FFFFFF"/>
            <w:vAlign w:val="center"/>
            <w:hideMark/>
          </w:tcPr>
          <w:p w14:paraId="1B7FD1D8"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27</w:t>
            </w:r>
          </w:p>
        </w:tc>
      </w:tr>
      <w:tr w:rsidR="009E58CE" w:rsidRPr="009E58CE" w14:paraId="62241BA3" w14:textId="77777777" w:rsidTr="004C0DDC">
        <w:trPr>
          <w:trHeight w:val="198"/>
        </w:trPr>
        <w:tc>
          <w:tcPr>
            <w:tcW w:w="1281" w:type="dxa"/>
            <w:vMerge/>
            <w:tcBorders>
              <w:top w:val="nil"/>
              <w:bottom w:val="single" w:sz="4" w:space="0" w:color="000000"/>
              <w:right w:val="single" w:sz="4" w:space="0" w:color="auto"/>
            </w:tcBorders>
            <w:vAlign w:val="center"/>
            <w:hideMark/>
          </w:tcPr>
          <w:p w14:paraId="1386E47F"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38F8984E"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33F7BCB5"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single" w:sz="4" w:space="0" w:color="auto"/>
            </w:tcBorders>
            <w:shd w:val="clear" w:color="000000" w:fill="FFFFFF"/>
            <w:noWrap/>
            <w:vAlign w:val="center"/>
            <w:hideMark/>
          </w:tcPr>
          <w:p w14:paraId="420F337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4,490,796</w:t>
            </w:r>
          </w:p>
        </w:tc>
        <w:tc>
          <w:tcPr>
            <w:tcW w:w="902" w:type="dxa"/>
            <w:tcBorders>
              <w:top w:val="nil"/>
              <w:left w:val="nil"/>
              <w:bottom w:val="single" w:sz="4" w:space="0" w:color="auto"/>
              <w:right w:val="nil"/>
            </w:tcBorders>
            <w:shd w:val="clear" w:color="000000" w:fill="FFFFFF"/>
            <w:vAlign w:val="center"/>
            <w:hideMark/>
          </w:tcPr>
          <w:p w14:paraId="5C36093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843,527</w:t>
            </w:r>
          </w:p>
        </w:tc>
        <w:tc>
          <w:tcPr>
            <w:tcW w:w="993" w:type="dxa"/>
            <w:tcBorders>
              <w:top w:val="nil"/>
              <w:left w:val="nil"/>
              <w:bottom w:val="single" w:sz="4" w:space="0" w:color="auto"/>
              <w:right w:val="nil"/>
            </w:tcBorders>
            <w:shd w:val="clear" w:color="000000" w:fill="FFFFFF"/>
            <w:vAlign w:val="center"/>
            <w:hideMark/>
          </w:tcPr>
          <w:p w14:paraId="200B4FA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1,714,654</w:t>
            </w:r>
          </w:p>
        </w:tc>
        <w:tc>
          <w:tcPr>
            <w:tcW w:w="991" w:type="dxa"/>
            <w:tcBorders>
              <w:top w:val="nil"/>
              <w:left w:val="nil"/>
              <w:bottom w:val="single" w:sz="4" w:space="0" w:color="auto"/>
              <w:right w:val="nil"/>
            </w:tcBorders>
            <w:shd w:val="clear" w:color="000000" w:fill="FFFFFF"/>
            <w:noWrap/>
            <w:vAlign w:val="center"/>
            <w:hideMark/>
          </w:tcPr>
          <w:p w14:paraId="6CFC867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2,558,181</w:t>
            </w:r>
          </w:p>
        </w:tc>
        <w:tc>
          <w:tcPr>
            <w:tcW w:w="1160" w:type="dxa"/>
            <w:tcBorders>
              <w:top w:val="nil"/>
              <w:left w:val="single" w:sz="4" w:space="0" w:color="auto"/>
              <w:bottom w:val="single" w:sz="4" w:space="0" w:color="auto"/>
              <w:right w:val="nil"/>
            </w:tcBorders>
            <w:shd w:val="clear" w:color="000000" w:fill="FFFFFF"/>
            <w:noWrap/>
            <w:vAlign w:val="center"/>
            <w:hideMark/>
          </w:tcPr>
          <w:p w14:paraId="2EC0B07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1,003,050</w:t>
            </w:r>
          </w:p>
        </w:tc>
        <w:tc>
          <w:tcPr>
            <w:tcW w:w="1130" w:type="dxa"/>
            <w:tcBorders>
              <w:top w:val="nil"/>
              <w:left w:val="nil"/>
              <w:bottom w:val="single" w:sz="4" w:space="0" w:color="auto"/>
              <w:right w:val="nil"/>
            </w:tcBorders>
            <w:shd w:val="clear" w:color="000000" w:fill="FFFFFF"/>
            <w:vAlign w:val="center"/>
            <w:hideMark/>
          </w:tcPr>
          <w:p w14:paraId="313FC37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366,562</w:t>
            </w:r>
          </w:p>
        </w:tc>
        <w:tc>
          <w:tcPr>
            <w:tcW w:w="1279" w:type="dxa"/>
            <w:tcBorders>
              <w:top w:val="nil"/>
              <w:left w:val="nil"/>
              <w:bottom w:val="single" w:sz="4" w:space="0" w:color="auto"/>
              <w:right w:val="nil"/>
            </w:tcBorders>
            <w:shd w:val="clear" w:color="000000" w:fill="FFFFFF"/>
            <w:noWrap/>
            <w:vAlign w:val="center"/>
            <w:hideMark/>
          </w:tcPr>
          <w:p w14:paraId="76398E9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1,369,612</w:t>
            </w:r>
          </w:p>
        </w:tc>
        <w:tc>
          <w:tcPr>
            <w:tcW w:w="1135" w:type="dxa"/>
            <w:tcBorders>
              <w:top w:val="nil"/>
              <w:left w:val="nil"/>
              <w:bottom w:val="single" w:sz="4" w:space="0" w:color="auto"/>
              <w:right w:val="nil"/>
            </w:tcBorders>
            <w:shd w:val="clear" w:color="000000" w:fill="FFFFFF"/>
            <w:vAlign w:val="center"/>
            <w:hideMark/>
          </w:tcPr>
          <w:p w14:paraId="191FBD6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31,382</w:t>
            </w:r>
          </w:p>
        </w:tc>
        <w:tc>
          <w:tcPr>
            <w:tcW w:w="992" w:type="dxa"/>
            <w:tcBorders>
              <w:top w:val="nil"/>
              <w:left w:val="nil"/>
              <w:bottom w:val="single" w:sz="4" w:space="0" w:color="auto"/>
              <w:right w:val="nil"/>
            </w:tcBorders>
            <w:shd w:val="clear" w:color="auto" w:fill="FFFFFF" w:themeFill="background1"/>
            <w:vAlign w:val="center"/>
            <w:hideMark/>
          </w:tcPr>
          <w:p w14:paraId="71B0DE3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397,944</w:t>
            </w:r>
          </w:p>
        </w:tc>
        <w:tc>
          <w:tcPr>
            <w:tcW w:w="992" w:type="dxa"/>
            <w:tcBorders>
              <w:top w:val="nil"/>
              <w:left w:val="nil"/>
              <w:bottom w:val="single" w:sz="4" w:space="0" w:color="auto"/>
              <w:right w:val="single" w:sz="4" w:space="0" w:color="auto"/>
            </w:tcBorders>
            <w:shd w:val="clear" w:color="000000" w:fill="FFFFFF"/>
            <w:vAlign w:val="center"/>
            <w:hideMark/>
          </w:tcPr>
          <w:p w14:paraId="2949FC1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1,400,994</w:t>
            </w:r>
          </w:p>
        </w:tc>
        <w:tc>
          <w:tcPr>
            <w:tcW w:w="992" w:type="dxa"/>
            <w:tcBorders>
              <w:top w:val="nil"/>
              <w:left w:val="nil"/>
              <w:bottom w:val="single" w:sz="4" w:space="0" w:color="auto"/>
            </w:tcBorders>
            <w:shd w:val="clear" w:color="000000" w:fill="FFFFFF"/>
            <w:vAlign w:val="center"/>
            <w:hideMark/>
          </w:tcPr>
          <w:p w14:paraId="1658A7A5"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159</w:t>
            </w:r>
          </w:p>
        </w:tc>
      </w:tr>
      <w:tr w:rsidR="009E58CE" w:rsidRPr="009E58CE" w14:paraId="5D5E4734" w14:textId="77777777" w:rsidTr="004C0DDC">
        <w:trPr>
          <w:trHeight w:val="227"/>
        </w:trPr>
        <w:tc>
          <w:tcPr>
            <w:tcW w:w="1281" w:type="dxa"/>
            <w:vMerge w:val="restart"/>
            <w:tcBorders>
              <w:top w:val="nil"/>
              <w:bottom w:val="nil"/>
              <w:right w:val="single" w:sz="4" w:space="0" w:color="auto"/>
            </w:tcBorders>
            <w:shd w:val="clear" w:color="000000" w:fill="FFFFFF"/>
            <w:vAlign w:val="center"/>
            <w:hideMark/>
          </w:tcPr>
          <w:p w14:paraId="1E452CFC"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Total New South Wales RFA regions</w:t>
            </w:r>
          </w:p>
        </w:tc>
        <w:tc>
          <w:tcPr>
            <w:tcW w:w="992" w:type="dxa"/>
            <w:vMerge w:val="restart"/>
            <w:tcBorders>
              <w:top w:val="nil"/>
              <w:left w:val="single" w:sz="4" w:space="0" w:color="auto"/>
              <w:bottom w:val="nil"/>
              <w:right w:val="nil"/>
            </w:tcBorders>
            <w:shd w:val="clear" w:color="000000" w:fill="FFFFFF"/>
            <w:vAlign w:val="center"/>
            <w:hideMark/>
          </w:tcPr>
          <w:p w14:paraId="5EDB812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15,023,000</w:t>
            </w:r>
          </w:p>
        </w:tc>
        <w:tc>
          <w:tcPr>
            <w:tcW w:w="1059" w:type="dxa"/>
            <w:tcBorders>
              <w:top w:val="nil"/>
              <w:left w:val="single" w:sz="4" w:space="0" w:color="auto"/>
              <w:bottom w:val="nil"/>
              <w:right w:val="single" w:sz="4" w:space="0" w:color="auto"/>
            </w:tcBorders>
            <w:shd w:val="clear" w:color="000000" w:fill="FFFFFF"/>
            <w:vAlign w:val="center"/>
            <w:hideMark/>
          </w:tcPr>
          <w:p w14:paraId="25F7C669"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nil"/>
              <w:left w:val="nil"/>
              <w:bottom w:val="nil"/>
              <w:right w:val="single" w:sz="4" w:space="0" w:color="auto"/>
            </w:tcBorders>
            <w:shd w:val="clear" w:color="000000" w:fill="FFFFFF"/>
            <w:noWrap/>
            <w:vAlign w:val="center"/>
            <w:hideMark/>
          </w:tcPr>
          <w:p w14:paraId="2D8377E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14,312,237</w:t>
            </w:r>
          </w:p>
        </w:tc>
        <w:tc>
          <w:tcPr>
            <w:tcW w:w="902" w:type="dxa"/>
            <w:tcBorders>
              <w:top w:val="nil"/>
              <w:left w:val="nil"/>
              <w:bottom w:val="nil"/>
              <w:right w:val="nil"/>
            </w:tcBorders>
            <w:shd w:val="clear" w:color="000000" w:fill="FFFFFF"/>
            <w:vAlign w:val="center"/>
            <w:hideMark/>
          </w:tcPr>
          <w:p w14:paraId="279C610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3,581,550</w:t>
            </w:r>
          </w:p>
        </w:tc>
        <w:tc>
          <w:tcPr>
            <w:tcW w:w="993" w:type="dxa"/>
            <w:tcBorders>
              <w:top w:val="nil"/>
              <w:left w:val="nil"/>
              <w:bottom w:val="nil"/>
              <w:right w:val="nil"/>
            </w:tcBorders>
            <w:shd w:val="clear" w:color="000000" w:fill="FFFFFF"/>
            <w:vAlign w:val="center"/>
            <w:hideMark/>
          </w:tcPr>
          <w:p w14:paraId="3543A15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4,738,661</w:t>
            </w:r>
          </w:p>
        </w:tc>
        <w:tc>
          <w:tcPr>
            <w:tcW w:w="991" w:type="dxa"/>
            <w:tcBorders>
              <w:top w:val="nil"/>
              <w:left w:val="nil"/>
              <w:bottom w:val="nil"/>
              <w:right w:val="nil"/>
            </w:tcBorders>
            <w:shd w:val="clear" w:color="000000" w:fill="FFFFFF"/>
            <w:noWrap/>
            <w:vAlign w:val="center"/>
            <w:hideMark/>
          </w:tcPr>
          <w:p w14:paraId="7E913EE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8,320,211</w:t>
            </w:r>
          </w:p>
        </w:tc>
        <w:tc>
          <w:tcPr>
            <w:tcW w:w="1160" w:type="dxa"/>
            <w:tcBorders>
              <w:top w:val="nil"/>
              <w:left w:val="single" w:sz="4" w:space="0" w:color="auto"/>
              <w:bottom w:val="nil"/>
              <w:right w:val="nil"/>
            </w:tcBorders>
            <w:shd w:val="clear" w:color="000000" w:fill="FFFFFF"/>
            <w:noWrap/>
            <w:vAlign w:val="center"/>
            <w:hideMark/>
          </w:tcPr>
          <w:p w14:paraId="2526010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2,009,215</w:t>
            </w:r>
          </w:p>
        </w:tc>
        <w:tc>
          <w:tcPr>
            <w:tcW w:w="1130" w:type="dxa"/>
            <w:tcBorders>
              <w:top w:val="nil"/>
              <w:left w:val="nil"/>
              <w:bottom w:val="nil"/>
              <w:right w:val="nil"/>
            </w:tcBorders>
            <w:shd w:val="clear" w:color="000000" w:fill="FFFFFF"/>
            <w:vAlign w:val="center"/>
            <w:hideMark/>
          </w:tcPr>
          <w:p w14:paraId="3E02218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1,310,184</w:t>
            </w:r>
          </w:p>
        </w:tc>
        <w:tc>
          <w:tcPr>
            <w:tcW w:w="1279" w:type="dxa"/>
            <w:tcBorders>
              <w:top w:val="nil"/>
              <w:left w:val="nil"/>
              <w:bottom w:val="nil"/>
              <w:right w:val="nil"/>
            </w:tcBorders>
            <w:shd w:val="clear" w:color="000000" w:fill="FFFFFF"/>
            <w:noWrap/>
            <w:vAlign w:val="center"/>
            <w:hideMark/>
          </w:tcPr>
          <w:p w14:paraId="72CC92B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3,319,399</w:t>
            </w:r>
          </w:p>
        </w:tc>
        <w:tc>
          <w:tcPr>
            <w:tcW w:w="1135" w:type="dxa"/>
            <w:tcBorders>
              <w:top w:val="nil"/>
              <w:left w:val="nil"/>
              <w:bottom w:val="nil"/>
              <w:right w:val="nil"/>
            </w:tcBorders>
            <w:shd w:val="clear" w:color="000000" w:fill="FFFFFF"/>
            <w:vAlign w:val="center"/>
            <w:hideMark/>
          </w:tcPr>
          <w:p w14:paraId="2D25D83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241,802</w:t>
            </w:r>
          </w:p>
        </w:tc>
        <w:tc>
          <w:tcPr>
            <w:tcW w:w="992" w:type="dxa"/>
            <w:tcBorders>
              <w:top w:val="nil"/>
              <w:left w:val="nil"/>
              <w:bottom w:val="nil"/>
              <w:right w:val="nil"/>
            </w:tcBorders>
            <w:shd w:val="clear" w:color="auto" w:fill="FFFFFF" w:themeFill="background1"/>
            <w:vAlign w:val="center"/>
            <w:hideMark/>
          </w:tcPr>
          <w:p w14:paraId="1FE580F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1,551,986</w:t>
            </w:r>
          </w:p>
        </w:tc>
        <w:tc>
          <w:tcPr>
            <w:tcW w:w="992" w:type="dxa"/>
            <w:tcBorders>
              <w:top w:val="nil"/>
              <w:left w:val="nil"/>
              <w:bottom w:val="nil"/>
              <w:right w:val="single" w:sz="4" w:space="0" w:color="auto"/>
            </w:tcBorders>
            <w:shd w:val="clear" w:color="000000" w:fill="FFFFFF"/>
            <w:vAlign w:val="center"/>
            <w:hideMark/>
          </w:tcPr>
          <w:p w14:paraId="42905CC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3,561,201</w:t>
            </w:r>
          </w:p>
        </w:tc>
        <w:tc>
          <w:tcPr>
            <w:tcW w:w="992" w:type="dxa"/>
            <w:tcBorders>
              <w:top w:val="nil"/>
              <w:left w:val="nil"/>
              <w:bottom w:val="nil"/>
            </w:tcBorders>
            <w:shd w:val="clear" w:color="000000" w:fill="FFFFFF"/>
            <w:vAlign w:val="center"/>
            <w:hideMark/>
          </w:tcPr>
          <w:p w14:paraId="374496E9"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406</w:t>
            </w:r>
          </w:p>
        </w:tc>
      </w:tr>
      <w:tr w:rsidR="009E58CE" w:rsidRPr="009E58CE" w14:paraId="648F750A" w14:textId="77777777" w:rsidTr="004C0DDC">
        <w:trPr>
          <w:trHeight w:val="198"/>
        </w:trPr>
        <w:tc>
          <w:tcPr>
            <w:tcW w:w="1281" w:type="dxa"/>
            <w:vMerge/>
            <w:tcBorders>
              <w:top w:val="nil"/>
              <w:bottom w:val="nil"/>
              <w:right w:val="single" w:sz="4" w:space="0" w:color="auto"/>
            </w:tcBorders>
            <w:vAlign w:val="center"/>
            <w:hideMark/>
          </w:tcPr>
          <w:p w14:paraId="04DE7893"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nil"/>
              <w:left w:val="single" w:sz="4" w:space="0" w:color="auto"/>
              <w:bottom w:val="nil"/>
              <w:right w:val="nil"/>
            </w:tcBorders>
            <w:vAlign w:val="center"/>
            <w:hideMark/>
          </w:tcPr>
          <w:p w14:paraId="65C45B58"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38F124CC"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single" w:sz="4" w:space="0" w:color="auto"/>
            </w:tcBorders>
            <w:shd w:val="clear" w:color="000000" w:fill="FFFFFF"/>
            <w:noWrap/>
            <w:vAlign w:val="center"/>
            <w:hideMark/>
          </w:tcPr>
          <w:p w14:paraId="161D7A2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681,222</w:t>
            </w:r>
          </w:p>
        </w:tc>
        <w:tc>
          <w:tcPr>
            <w:tcW w:w="902" w:type="dxa"/>
            <w:tcBorders>
              <w:top w:val="nil"/>
              <w:left w:val="nil"/>
              <w:bottom w:val="nil"/>
              <w:right w:val="nil"/>
            </w:tcBorders>
            <w:shd w:val="clear" w:color="000000" w:fill="FFFFFF"/>
            <w:vAlign w:val="center"/>
            <w:hideMark/>
          </w:tcPr>
          <w:p w14:paraId="03E508E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44,780</w:t>
            </w:r>
          </w:p>
        </w:tc>
        <w:tc>
          <w:tcPr>
            <w:tcW w:w="993" w:type="dxa"/>
            <w:tcBorders>
              <w:top w:val="nil"/>
              <w:left w:val="nil"/>
              <w:bottom w:val="nil"/>
              <w:right w:val="nil"/>
            </w:tcBorders>
            <w:shd w:val="clear" w:color="000000" w:fill="FFFFFF"/>
            <w:vAlign w:val="center"/>
            <w:hideMark/>
          </w:tcPr>
          <w:p w14:paraId="0493901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186,074</w:t>
            </w:r>
          </w:p>
        </w:tc>
        <w:tc>
          <w:tcPr>
            <w:tcW w:w="991" w:type="dxa"/>
            <w:tcBorders>
              <w:top w:val="nil"/>
              <w:left w:val="nil"/>
              <w:bottom w:val="nil"/>
              <w:right w:val="nil"/>
            </w:tcBorders>
            <w:shd w:val="clear" w:color="000000" w:fill="FFFFFF"/>
            <w:noWrap/>
            <w:vAlign w:val="center"/>
            <w:hideMark/>
          </w:tcPr>
          <w:p w14:paraId="2C0B73B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230,853</w:t>
            </w:r>
          </w:p>
        </w:tc>
        <w:tc>
          <w:tcPr>
            <w:tcW w:w="1160" w:type="dxa"/>
            <w:tcBorders>
              <w:top w:val="nil"/>
              <w:left w:val="single" w:sz="4" w:space="0" w:color="auto"/>
              <w:bottom w:val="nil"/>
              <w:right w:val="nil"/>
            </w:tcBorders>
            <w:shd w:val="clear" w:color="000000" w:fill="FFFFFF"/>
            <w:noWrap/>
            <w:vAlign w:val="center"/>
            <w:hideMark/>
          </w:tcPr>
          <w:p w14:paraId="4E63C1A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145,014</w:t>
            </w:r>
          </w:p>
        </w:tc>
        <w:tc>
          <w:tcPr>
            <w:tcW w:w="1130" w:type="dxa"/>
            <w:tcBorders>
              <w:top w:val="nil"/>
              <w:left w:val="nil"/>
              <w:bottom w:val="nil"/>
              <w:right w:val="nil"/>
            </w:tcBorders>
            <w:shd w:val="clear" w:color="000000" w:fill="FFFFFF"/>
            <w:vAlign w:val="center"/>
            <w:hideMark/>
          </w:tcPr>
          <w:p w14:paraId="6409BD2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23,466</w:t>
            </w:r>
          </w:p>
        </w:tc>
        <w:tc>
          <w:tcPr>
            <w:tcW w:w="1279" w:type="dxa"/>
            <w:tcBorders>
              <w:top w:val="nil"/>
              <w:left w:val="nil"/>
              <w:bottom w:val="nil"/>
              <w:right w:val="nil"/>
            </w:tcBorders>
            <w:shd w:val="clear" w:color="000000" w:fill="FFFFFF"/>
            <w:noWrap/>
            <w:vAlign w:val="center"/>
            <w:hideMark/>
          </w:tcPr>
          <w:p w14:paraId="64AB2B1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168,480</w:t>
            </w:r>
          </w:p>
        </w:tc>
        <w:tc>
          <w:tcPr>
            <w:tcW w:w="1135" w:type="dxa"/>
            <w:tcBorders>
              <w:top w:val="nil"/>
              <w:left w:val="nil"/>
              <w:bottom w:val="nil"/>
              <w:right w:val="nil"/>
            </w:tcBorders>
            <w:shd w:val="clear" w:color="000000" w:fill="FFFFFF"/>
            <w:vAlign w:val="center"/>
            <w:hideMark/>
          </w:tcPr>
          <w:p w14:paraId="15A0A64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9,395</w:t>
            </w:r>
          </w:p>
        </w:tc>
        <w:tc>
          <w:tcPr>
            <w:tcW w:w="992" w:type="dxa"/>
            <w:tcBorders>
              <w:top w:val="nil"/>
              <w:left w:val="nil"/>
              <w:bottom w:val="nil"/>
              <w:right w:val="nil"/>
            </w:tcBorders>
            <w:shd w:val="clear" w:color="auto" w:fill="FFFFFF" w:themeFill="background1"/>
            <w:vAlign w:val="center"/>
            <w:hideMark/>
          </w:tcPr>
          <w:p w14:paraId="4F1725D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32,861</w:t>
            </w:r>
          </w:p>
        </w:tc>
        <w:tc>
          <w:tcPr>
            <w:tcW w:w="992" w:type="dxa"/>
            <w:tcBorders>
              <w:top w:val="nil"/>
              <w:left w:val="nil"/>
              <w:bottom w:val="nil"/>
              <w:right w:val="single" w:sz="4" w:space="0" w:color="auto"/>
            </w:tcBorders>
            <w:shd w:val="clear" w:color="000000" w:fill="FFFFFF"/>
            <w:vAlign w:val="center"/>
            <w:hideMark/>
          </w:tcPr>
          <w:p w14:paraId="461295B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177,875</w:t>
            </w:r>
          </w:p>
        </w:tc>
        <w:tc>
          <w:tcPr>
            <w:tcW w:w="992" w:type="dxa"/>
            <w:tcBorders>
              <w:top w:val="nil"/>
              <w:left w:val="nil"/>
              <w:bottom w:val="nil"/>
            </w:tcBorders>
            <w:shd w:val="clear" w:color="000000" w:fill="FFFFFF"/>
            <w:vAlign w:val="center"/>
            <w:hideMark/>
          </w:tcPr>
          <w:p w14:paraId="5206A908"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53</w:t>
            </w:r>
          </w:p>
        </w:tc>
      </w:tr>
      <w:tr w:rsidR="009E58CE" w:rsidRPr="009E58CE" w14:paraId="051D8C24" w14:textId="77777777" w:rsidTr="004C0DDC">
        <w:trPr>
          <w:trHeight w:val="198"/>
        </w:trPr>
        <w:tc>
          <w:tcPr>
            <w:tcW w:w="1281" w:type="dxa"/>
            <w:vMerge/>
            <w:tcBorders>
              <w:top w:val="nil"/>
              <w:bottom w:val="nil"/>
              <w:right w:val="single" w:sz="4" w:space="0" w:color="auto"/>
            </w:tcBorders>
            <w:vAlign w:val="center"/>
            <w:hideMark/>
          </w:tcPr>
          <w:p w14:paraId="6E89F85E"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nil"/>
              <w:left w:val="single" w:sz="4" w:space="0" w:color="auto"/>
              <w:bottom w:val="nil"/>
              <w:right w:val="nil"/>
            </w:tcBorders>
            <w:vAlign w:val="center"/>
            <w:hideMark/>
          </w:tcPr>
          <w:p w14:paraId="3E0A1207"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23627554"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single" w:sz="4" w:space="0" w:color="auto"/>
            </w:tcBorders>
            <w:shd w:val="clear" w:color="000000" w:fill="FFFFFF"/>
            <w:noWrap/>
            <w:vAlign w:val="center"/>
            <w:hideMark/>
          </w:tcPr>
          <w:p w14:paraId="133BE8B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14,993,459</w:t>
            </w:r>
          </w:p>
        </w:tc>
        <w:tc>
          <w:tcPr>
            <w:tcW w:w="902" w:type="dxa"/>
            <w:tcBorders>
              <w:top w:val="nil"/>
              <w:left w:val="nil"/>
              <w:bottom w:val="single" w:sz="4" w:space="0" w:color="auto"/>
              <w:right w:val="nil"/>
            </w:tcBorders>
            <w:shd w:val="clear" w:color="000000" w:fill="FFFFFF"/>
            <w:vAlign w:val="center"/>
            <w:hideMark/>
          </w:tcPr>
          <w:p w14:paraId="7C5C709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3,626,330</w:t>
            </w:r>
          </w:p>
        </w:tc>
        <w:tc>
          <w:tcPr>
            <w:tcW w:w="993" w:type="dxa"/>
            <w:tcBorders>
              <w:top w:val="nil"/>
              <w:left w:val="nil"/>
              <w:bottom w:val="single" w:sz="4" w:space="0" w:color="auto"/>
              <w:right w:val="nil"/>
            </w:tcBorders>
            <w:shd w:val="clear" w:color="000000" w:fill="FFFFFF"/>
            <w:vAlign w:val="center"/>
            <w:hideMark/>
          </w:tcPr>
          <w:p w14:paraId="0158AAE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4,924,734</w:t>
            </w:r>
          </w:p>
        </w:tc>
        <w:tc>
          <w:tcPr>
            <w:tcW w:w="991" w:type="dxa"/>
            <w:tcBorders>
              <w:top w:val="nil"/>
              <w:left w:val="nil"/>
              <w:bottom w:val="single" w:sz="4" w:space="0" w:color="auto"/>
              <w:right w:val="nil"/>
            </w:tcBorders>
            <w:shd w:val="clear" w:color="000000" w:fill="FFFFFF"/>
            <w:noWrap/>
            <w:vAlign w:val="center"/>
            <w:hideMark/>
          </w:tcPr>
          <w:p w14:paraId="41A1033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8,551,064</w:t>
            </w:r>
          </w:p>
        </w:tc>
        <w:tc>
          <w:tcPr>
            <w:tcW w:w="1160" w:type="dxa"/>
            <w:tcBorders>
              <w:top w:val="nil"/>
              <w:left w:val="single" w:sz="4" w:space="0" w:color="auto"/>
              <w:bottom w:val="single" w:sz="4" w:space="0" w:color="auto"/>
              <w:right w:val="nil"/>
            </w:tcBorders>
            <w:shd w:val="clear" w:color="000000" w:fill="FFFFFF"/>
            <w:noWrap/>
            <w:vAlign w:val="center"/>
            <w:hideMark/>
          </w:tcPr>
          <w:p w14:paraId="5904F74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2,154,229</w:t>
            </w:r>
          </w:p>
        </w:tc>
        <w:tc>
          <w:tcPr>
            <w:tcW w:w="1130" w:type="dxa"/>
            <w:tcBorders>
              <w:top w:val="nil"/>
              <w:left w:val="nil"/>
              <w:bottom w:val="single" w:sz="4" w:space="0" w:color="auto"/>
              <w:right w:val="nil"/>
            </w:tcBorders>
            <w:shd w:val="clear" w:color="000000" w:fill="FFFFFF"/>
            <w:vAlign w:val="center"/>
            <w:hideMark/>
          </w:tcPr>
          <w:p w14:paraId="2E900B4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1,333,650</w:t>
            </w:r>
          </w:p>
        </w:tc>
        <w:tc>
          <w:tcPr>
            <w:tcW w:w="1279" w:type="dxa"/>
            <w:tcBorders>
              <w:top w:val="nil"/>
              <w:left w:val="nil"/>
              <w:bottom w:val="single" w:sz="4" w:space="0" w:color="auto"/>
              <w:right w:val="nil"/>
            </w:tcBorders>
            <w:shd w:val="clear" w:color="000000" w:fill="FFFFFF"/>
            <w:noWrap/>
            <w:vAlign w:val="center"/>
            <w:hideMark/>
          </w:tcPr>
          <w:p w14:paraId="670CA4F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3,487,879</w:t>
            </w:r>
          </w:p>
        </w:tc>
        <w:tc>
          <w:tcPr>
            <w:tcW w:w="1135" w:type="dxa"/>
            <w:tcBorders>
              <w:top w:val="nil"/>
              <w:left w:val="nil"/>
              <w:bottom w:val="single" w:sz="4" w:space="0" w:color="auto"/>
              <w:right w:val="nil"/>
            </w:tcBorders>
            <w:shd w:val="clear" w:color="000000" w:fill="FFFFFF"/>
            <w:vAlign w:val="center"/>
            <w:hideMark/>
          </w:tcPr>
          <w:p w14:paraId="6B2258B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251,197</w:t>
            </w:r>
          </w:p>
        </w:tc>
        <w:tc>
          <w:tcPr>
            <w:tcW w:w="992" w:type="dxa"/>
            <w:tcBorders>
              <w:top w:val="nil"/>
              <w:left w:val="nil"/>
              <w:bottom w:val="single" w:sz="4" w:space="0" w:color="auto"/>
              <w:right w:val="nil"/>
            </w:tcBorders>
            <w:shd w:val="clear" w:color="auto" w:fill="FFFFFF" w:themeFill="background1"/>
            <w:vAlign w:val="center"/>
            <w:hideMark/>
          </w:tcPr>
          <w:p w14:paraId="1FB290B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1,584,847</w:t>
            </w:r>
          </w:p>
        </w:tc>
        <w:tc>
          <w:tcPr>
            <w:tcW w:w="992" w:type="dxa"/>
            <w:tcBorders>
              <w:top w:val="nil"/>
              <w:left w:val="nil"/>
              <w:bottom w:val="single" w:sz="4" w:space="0" w:color="auto"/>
              <w:right w:val="single" w:sz="4" w:space="0" w:color="auto"/>
            </w:tcBorders>
            <w:shd w:val="clear" w:color="000000" w:fill="FFFFFF"/>
            <w:vAlign w:val="center"/>
            <w:hideMark/>
          </w:tcPr>
          <w:p w14:paraId="2067934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3,739,076</w:t>
            </w:r>
          </w:p>
        </w:tc>
        <w:tc>
          <w:tcPr>
            <w:tcW w:w="992" w:type="dxa"/>
            <w:tcBorders>
              <w:top w:val="nil"/>
              <w:left w:val="nil"/>
              <w:bottom w:val="single" w:sz="4" w:space="0" w:color="auto"/>
            </w:tcBorders>
            <w:shd w:val="clear" w:color="000000" w:fill="FFFFFF"/>
            <w:vAlign w:val="center"/>
            <w:hideMark/>
          </w:tcPr>
          <w:p w14:paraId="4089E4DB"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459</w:t>
            </w:r>
          </w:p>
        </w:tc>
      </w:tr>
      <w:tr w:rsidR="009E58CE" w:rsidRPr="009E58CE" w14:paraId="66E8335F" w14:textId="77777777" w:rsidTr="00C935F0">
        <w:trPr>
          <w:trHeight w:val="283"/>
        </w:trPr>
        <w:tc>
          <w:tcPr>
            <w:tcW w:w="14889" w:type="dxa"/>
            <w:gridSpan w:val="14"/>
            <w:tcBorders>
              <w:top w:val="single" w:sz="4" w:space="0" w:color="auto"/>
              <w:bottom w:val="single" w:sz="4" w:space="0" w:color="auto"/>
            </w:tcBorders>
            <w:shd w:val="clear" w:color="auto" w:fill="auto"/>
            <w:noWrap/>
            <w:vAlign w:val="center"/>
            <w:hideMark/>
          </w:tcPr>
          <w:p w14:paraId="5995E7BD"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Tasmania</w:t>
            </w:r>
          </w:p>
        </w:tc>
      </w:tr>
      <w:tr w:rsidR="009E58CE" w:rsidRPr="009E58CE" w14:paraId="72511C1B" w14:textId="77777777" w:rsidTr="004C0DDC">
        <w:trPr>
          <w:trHeight w:val="198"/>
        </w:trPr>
        <w:tc>
          <w:tcPr>
            <w:tcW w:w="1281" w:type="dxa"/>
            <w:vMerge w:val="restart"/>
            <w:tcBorders>
              <w:top w:val="single" w:sz="4" w:space="0" w:color="auto"/>
              <w:bottom w:val="single" w:sz="4" w:space="0" w:color="000000"/>
              <w:right w:val="single" w:sz="4" w:space="0" w:color="auto"/>
            </w:tcBorders>
            <w:shd w:val="clear" w:color="000000" w:fill="FFFFFF"/>
            <w:noWrap/>
            <w:vAlign w:val="center"/>
            <w:hideMark/>
          </w:tcPr>
          <w:p w14:paraId="7507AB0F"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Tasmanian</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23A5FB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6,796,000</w:t>
            </w:r>
          </w:p>
        </w:tc>
        <w:tc>
          <w:tcPr>
            <w:tcW w:w="1059" w:type="dxa"/>
            <w:tcBorders>
              <w:top w:val="single" w:sz="4" w:space="0" w:color="auto"/>
              <w:left w:val="nil"/>
              <w:bottom w:val="nil"/>
              <w:right w:val="single" w:sz="4" w:space="0" w:color="auto"/>
            </w:tcBorders>
            <w:shd w:val="clear" w:color="000000" w:fill="FFFFFF"/>
            <w:vAlign w:val="center"/>
            <w:hideMark/>
          </w:tcPr>
          <w:p w14:paraId="54763C9A"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single" w:sz="4" w:space="0" w:color="auto"/>
              <w:left w:val="nil"/>
              <w:bottom w:val="nil"/>
              <w:right w:val="single" w:sz="4" w:space="0" w:color="auto"/>
            </w:tcBorders>
            <w:shd w:val="clear" w:color="000000" w:fill="FFFFFF"/>
            <w:noWrap/>
            <w:vAlign w:val="center"/>
            <w:hideMark/>
          </w:tcPr>
          <w:p w14:paraId="56FFD35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4,821,410</w:t>
            </w:r>
          </w:p>
        </w:tc>
        <w:tc>
          <w:tcPr>
            <w:tcW w:w="902" w:type="dxa"/>
            <w:tcBorders>
              <w:top w:val="single" w:sz="4" w:space="0" w:color="auto"/>
              <w:left w:val="nil"/>
              <w:bottom w:val="nil"/>
              <w:right w:val="nil"/>
            </w:tcBorders>
            <w:shd w:val="clear" w:color="000000" w:fill="FFFFFF"/>
            <w:vAlign w:val="center"/>
            <w:hideMark/>
          </w:tcPr>
          <w:p w14:paraId="2F5B599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942,820</w:t>
            </w:r>
          </w:p>
        </w:tc>
        <w:tc>
          <w:tcPr>
            <w:tcW w:w="993" w:type="dxa"/>
            <w:tcBorders>
              <w:top w:val="single" w:sz="4" w:space="0" w:color="auto"/>
              <w:left w:val="nil"/>
              <w:bottom w:val="nil"/>
              <w:right w:val="nil"/>
            </w:tcBorders>
            <w:shd w:val="clear" w:color="000000" w:fill="FFFFFF"/>
            <w:vAlign w:val="center"/>
            <w:hideMark/>
          </w:tcPr>
          <w:p w14:paraId="5E88DD6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2,261,880</w:t>
            </w:r>
          </w:p>
        </w:tc>
        <w:tc>
          <w:tcPr>
            <w:tcW w:w="991" w:type="dxa"/>
            <w:tcBorders>
              <w:top w:val="single" w:sz="4" w:space="0" w:color="auto"/>
              <w:left w:val="nil"/>
              <w:bottom w:val="nil"/>
              <w:right w:val="nil"/>
            </w:tcBorders>
            <w:shd w:val="clear" w:color="000000" w:fill="FFFFFF"/>
            <w:noWrap/>
            <w:vAlign w:val="center"/>
            <w:hideMark/>
          </w:tcPr>
          <w:p w14:paraId="43A2B9A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3,204,700</w:t>
            </w:r>
          </w:p>
        </w:tc>
        <w:tc>
          <w:tcPr>
            <w:tcW w:w="1160" w:type="dxa"/>
            <w:tcBorders>
              <w:top w:val="single" w:sz="4" w:space="0" w:color="auto"/>
              <w:left w:val="single" w:sz="4" w:space="0" w:color="auto"/>
              <w:bottom w:val="nil"/>
              <w:right w:val="nil"/>
            </w:tcBorders>
            <w:shd w:val="clear" w:color="000000" w:fill="FFFFFF"/>
            <w:noWrap/>
            <w:vAlign w:val="center"/>
            <w:hideMark/>
          </w:tcPr>
          <w:p w14:paraId="54B9BB9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977,860</w:t>
            </w:r>
          </w:p>
        </w:tc>
        <w:tc>
          <w:tcPr>
            <w:tcW w:w="1130" w:type="dxa"/>
            <w:tcBorders>
              <w:top w:val="single" w:sz="4" w:space="0" w:color="auto"/>
              <w:left w:val="nil"/>
              <w:bottom w:val="nil"/>
              <w:right w:val="nil"/>
            </w:tcBorders>
            <w:shd w:val="clear" w:color="000000" w:fill="FFFFFF"/>
            <w:vAlign w:val="center"/>
            <w:hideMark/>
          </w:tcPr>
          <w:p w14:paraId="745FAF2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284,180</w:t>
            </w:r>
          </w:p>
        </w:tc>
        <w:tc>
          <w:tcPr>
            <w:tcW w:w="1279" w:type="dxa"/>
            <w:tcBorders>
              <w:top w:val="single" w:sz="4" w:space="0" w:color="auto"/>
              <w:left w:val="nil"/>
              <w:bottom w:val="nil"/>
              <w:right w:val="nil"/>
            </w:tcBorders>
            <w:shd w:val="clear" w:color="000000" w:fill="FFFFFF"/>
            <w:noWrap/>
            <w:vAlign w:val="center"/>
            <w:hideMark/>
          </w:tcPr>
          <w:p w14:paraId="15D0718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1,262,040</w:t>
            </w:r>
          </w:p>
        </w:tc>
        <w:tc>
          <w:tcPr>
            <w:tcW w:w="1135" w:type="dxa"/>
            <w:tcBorders>
              <w:top w:val="single" w:sz="4" w:space="0" w:color="auto"/>
              <w:left w:val="nil"/>
              <w:bottom w:val="nil"/>
              <w:right w:val="nil"/>
            </w:tcBorders>
            <w:shd w:val="clear" w:color="000000" w:fill="FFFFFF"/>
            <w:vAlign w:val="center"/>
            <w:hideMark/>
          </w:tcPr>
          <w:p w14:paraId="78A0C8D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2,200</w:t>
            </w:r>
          </w:p>
        </w:tc>
        <w:tc>
          <w:tcPr>
            <w:tcW w:w="992" w:type="dxa"/>
            <w:tcBorders>
              <w:top w:val="single" w:sz="4" w:space="0" w:color="auto"/>
              <w:left w:val="nil"/>
              <w:bottom w:val="nil"/>
              <w:right w:val="nil"/>
            </w:tcBorders>
            <w:shd w:val="clear" w:color="auto" w:fill="FFFFFF" w:themeFill="background1"/>
            <w:vAlign w:val="center"/>
            <w:hideMark/>
          </w:tcPr>
          <w:p w14:paraId="4B450CA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286,380</w:t>
            </w:r>
          </w:p>
        </w:tc>
        <w:tc>
          <w:tcPr>
            <w:tcW w:w="992" w:type="dxa"/>
            <w:tcBorders>
              <w:top w:val="single" w:sz="4" w:space="0" w:color="auto"/>
              <w:left w:val="nil"/>
              <w:bottom w:val="nil"/>
              <w:right w:val="single" w:sz="4" w:space="0" w:color="auto"/>
            </w:tcBorders>
            <w:shd w:val="clear" w:color="auto" w:fill="auto"/>
            <w:vAlign w:val="center"/>
            <w:hideMark/>
          </w:tcPr>
          <w:p w14:paraId="330295D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1,264,240</w:t>
            </w:r>
          </w:p>
        </w:tc>
        <w:tc>
          <w:tcPr>
            <w:tcW w:w="992" w:type="dxa"/>
            <w:tcBorders>
              <w:top w:val="single" w:sz="4" w:space="0" w:color="auto"/>
              <w:left w:val="nil"/>
              <w:bottom w:val="nil"/>
            </w:tcBorders>
            <w:shd w:val="clear" w:color="000000" w:fill="FFFFFF"/>
            <w:vAlign w:val="center"/>
            <w:hideMark/>
          </w:tcPr>
          <w:p w14:paraId="053C3886"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50</w:t>
            </w:r>
          </w:p>
        </w:tc>
      </w:tr>
      <w:tr w:rsidR="009E58CE" w:rsidRPr="009E58CE" w14:paraId="04BD92BD" w14:textId="77777777" w:rsidTr="004C0DDC">
        <w:trPr>
          <w:trHeight w:val="198"/>
        </w:trPr>
        <w:tc>
          <w:tcPr>
            <w:tcW w:w="1281" w:type="dxa"/>
            <w:vMerge/>
            <w:tcBorders>
              <w:top w:val="single" w:sz="4" w:space="0" w:color="auto"/>
              <w:bottom w:val="single" w:sz="4" w:space="0" w:color="000000"/>
              <w:right w:val="single" w:sz="4" w:space="0" w:color="auto"/>
            </w:tcBorders>
            <w:vAlign w:val="center"/>
            <w:hideMark/>
          </w:tcPr>
          <w:p w14:paraId="2CB03730"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F41FE2E"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nil"/>
              <w:bottom w:val="nil"/>
              <w:right w:val="single" w:sz="4" w:space="0" w:color="auto"/>
            </w:tcBorders>
            <w:shd w:val="clear" w:color="000000" w:fill="FFFFFF"/>
            <w:vAlign w:val="center"/>
            <w:hideMark/>
          </w:tcPr>
          <w:p w14:paraId="21C1316F"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single" w:sz="4" w:space="0" w:color="auto"/>
            </w:tcBorders>
            <w:shd w:val="clear" w:color="000000" w:fill="FFFFFF"/>
            <w:noWrap/>
            <w:vAlign w:val="center"/>
            <w:hideMark/>
          </w:tcPr>
          <w:p w14:paraId="0B92399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1,804,000</w:t>
            </w:r>
          </w:p>
        </w:tc>
        <w:tc>
          <w:tcPr>
            <w:tcW w:w="902" w:type="dxa"/>
            <w:tcBorders>
              <w:top w:val="nil"/>
              <w:left w:val="nil"/>
              <w:bottom w:val="nil"/>
              <w:right w:val="nil"/>
            </w:tcBorders>
            <w:shd w:val="clear" w:color="000000" w:fill="FFFFFF"/>
            <w:vAlign w:val="center"/>
            <w:hideMark/>
          </w:tcPr>
          <w:p w14:paraId="03B7BCD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53,500</w:t>
            </w:r>
          </w:p>
        </w:tc>
        <w:tc>
          <w:tcPr>
            <w:tcW w:w="993" w:type="dxa"/>
            <w:tcBorders>
              <w:top w:val="nil"/>
              <w:left w:val="nil"/>
              <w:bottom w:val="nil"/>
              <w:right w:val="nil"/>
            </w:tcBorders>
            <w:shd w:val="clear" w:color="000000" w:fill="FFFFFF"/>
            <w:vAlign w:val="center"/>
            <w:hideMark/>
          </w:tcPr>
          <w:p w14:paraId="3AD3F79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1,496,500</w:t>
            </w:r>
          </w:p>
        </w:tc>
        <w:tc>
          <w:tcPr>
            <w:tcW w:w="991" w:type="dxa"/>
            <w:tcBorders>
              <w:top w:val="nil"/>
              <w:left w:val="nil"/>
              <w:bottom w:val="nil"/>
              <w:right w:val="nil"/>
            </w:tcBorders>
            <w:shd w:val="clear" w:color="000000" w:fill="FFFFFF"/>
            <w:noWrap/>
            <w:vAlign w:val="center"/>
            <w:hideMark/>
          </w:tcPr>
          <w:p w14:paraId="70CE4F3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1,550,000</w:t>
            </w:r>
          </w:p>
        </w:tc>
        <w:tc>
          <w:tcPr>
            <w:tcW w:w="1160" w:type="dxa"/>
            <w:tcBorders>
              <w:top w:val="nil"/>
              <w:left w:val="single" w:sz="4" w:space="0" w:color="auto"/>
              <w:bottom w:val="nil"/>
              <w:right w:val="nil"/>
            </w:tcBorders>
            <w:shd w:val="clear" w:color="000000" w:fill="FFFFFF"/>
            <w:noWrap/>
            <w:vAlign w:val="center"/>
            <w:hideMark/>
          </w:tcPr>
          <w:p w14:paraId="35C2F33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1,326,740</w:t>
            </w:r>
          </w:p>
        </w:tc>
        <w:tc>
          <w:tcPr>
            <w:tcW w:w="1130" w:type="dxa"/>
            <w:tcBorders>
              <w:top w:val="nil"/>
              <w:left w:val="nil"/>
              <w:bottom w:val="nil"/>
              <w:right w:val="nil"/>
            </w:tcBorders>
            <w:shd w:val="clear" w:color="000000" w:fill="FFFFFF"/>
            <w:vAlign w:val="center"/>
            <w:hideMark/>
          </w:tcPr>
          <w:p w14:paraId="12FA2C6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149,960</w:t>
            </w:r>
          </w:p>
        </w:tc>
        <w:tc>
          <w:tcPr>
            <w:tcW w:w="1279" w:type="dxa"/>
            <w:tcBorders>
              <w:top w:val="nil"/>
              <w:left w:val="nil"/>
              <w:bottom w:val="nil"/>
              <w:right w:val="nil"/>
            </w:tcBorders>
            <w:shd w:val="clear" w:color="000000" w:fill="FFFFFF"/>
            <w:noWrap/>
            <w:vAlign w:val="center"/>
            <w:hideMark/>
          </w:tcPr>
          <w:p w14:paraId="22870D1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1,476,700</w:t>
            </w:r>
          </w:p>
        </w:tc>
        <w:tc>
          <w:tcPr>
            <w:tcW w:w="1135" w:type="dxa"/>
            <w:tcBorders>
              <w:top w:val="nil"/>
              <w:left w:val="nil"/>
              <w:bottom w:val="nil"/>
              <w:right w:val="nil"/>
            </w:tcBorders>
            <w:shd w:val="clear" w:color="000000" w:fill="FFFFFF"/>
            <w:vAlign w:val="center"/>
            <w:hideMark/>
          </w:tcPr>
          <w:p w14:paraId="320E0DB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5,800</w:t>
            </w:r>
          </w:p>
        </w:tc>
        <w:tc>
          <w:tcPr>
            <w:tcW w:w="992" w:type="dxa"/>
            <w:tcBorders>
              <w:top w:val="nil"/>
              <w:left w:val="nil"/>
              <w:bottom w:val="nil"/>
              <w:right w:val="nil"/>
            </w:tcBorders>
            <w:shd w:val="clear" w:color="auto" w:fill="FFFFFF" w:themeFill="background1"/>
            <w:vAlign w:val="center"/>
            <w:hideMark/>
          </w:tcPr>
          <w:p w14:paraId="6031D21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155,760</w:t>
            </w:r>
          </w:p>
        </w:tc>
        <w:tc>
          <w:tcPr>
            <w:tcW w:w="992" w:type="dxa"/>
            <w:tcBorders>
              <w:top w:val="nil"/>
              <w:left w:val="nil"/>
              <w:bottom w:val="nil"/>
              <w:right w:val="single" w:sz="4" w:space="0" w:color="auto"/>
            </w:tcBorders>
            <w:shd w:val="clear" w:color="000000" w:fill="FFFFFF"/>
            <w:vAlign w:val="center"/>
            <w:hideMark/>
          </w:tcPr>
          <w:p w14:paraId="7255B2A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1,482,500</w:t>
            </w:r>
          </w:p>
        </w:tc>
        <w:tc>
          <w:tcPr>
            <w:tcW w:w="992" w:type="dxa"/>
            <w:tcBorders>
              <w:top w:val="nil"/>
              <w:left w:val="nil"/>
              <w:bottom w:val="nil"/>
            </w:tcBorders>
            <w:shd w:val="clear" w:color="000000" w:fill="FFFFFF"/>
            <w:vAlign w:val="center"/>
            <w:hideMark/>
          </w:tcPr>
          <w:p w14:paraId="5CB41CB1"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2</w:t>
            </w:r>
          </w:p>
        </w:tc>
      </w:tr>
      <w:tr w:rsidR="009E58CE" w:rsidRPr="009E58CE" w14:paraId="7FDF6DDB" w14:textId="77777777" w:rsidTr="004C0DDC">
        <w:trPr>
          <w:trHeight w:val="198"/>
        </w:trPr>
        <w:tc>
          <w:tcPr>
            <w:tcW w:w="1281" w:type="dxa"/>
            <w:vMerge/>
            <w:tcBorders>
              <w:top w:val="single" w:sz="4" w:space="0" w:color="auto"/>
              <w:bottom w:val="single" w:sz="4" w:space="0" w:color="000000"/>
              <w:right w:val="single" w:sz="4" w:space="0" w:color="auto"/>
            </w:tcBorders>
            <w:vAlign w:val="center"/>
            <w:hideMark/>
          </w:tcPr>
          <w:p w14:paraId="77B3075E"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A2E8F85"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nil"/>
              <w:bottom w:val="single" w:sz="4" w:space="0" w:color="auto"/>
              <w:right w:val="single" w:sz="4" w:space="0" w:color="auto"/>
            </w:tcBorders>
            <w:shd w:val="clear" w:color="000000" w:fill="FFFFFF"/>
            <w:vAlign w:val="center"/>
            <w:hideMark/>
          </w:tcPr>
          <w:p w14:paraId="5744AA38"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single" w:sz="4" w:space="0" w:color="auto"/>
            </w:tcBorders>
            <w:shd w:val="clear" w:color="000000" w:fill="FFFFFF"/>
            <w:noWrap/>
            <w:vAlign w:val="center"/>
            <w:hideMark/>
          </w:tcPr>
          <w:p w14:paraId="00431C6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6,625,410</w:t>
            </w:r>
          </w:p>
        </w:tc>
        <w:tc>
          <w:tcPr>
            <w:tcW w:w="902" w:type="dxa"/>
            <w:tcBorders>
              <w:top w:val="nil"/>
              <w:left w:val="nil"/>
              <w:bottom w:val="single" w:sz="4" w:space="0" w:color="auto"/>
              <w:right w:val="nil"/>
            </w:tcBorders>
            <w:shd w:val="clear" w:color="000000" w:fill="FFFFFF"/>
            <w:vAlign w:val="center"/>
            <w:hideMark/>
          </w:tcPr>
          <w:p w14:paraId="29A68BF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996,320</w:t>
            </w:r>
          </w:p>
        </w:tc>
        <w:tc>
          <w:tcPr>
            <w:tcW w:w="993" w:type="dxa"/>
            <w:tcBorders>
              <w:top w:val="nil"/>
              <w:left w:val="nil"/>
              <w:bottom w:val="single" w:sz="4" w:space="0" w:color="auto"/>
              <w:right w:val="nil"/>
            </w:tcBorders>
            <w:shd w:val="clear" w:color="000000" w:fill="FFFFFF"/>
            <w:vAlign w:val="center"/>
            <w:hideMark/>
          </w:tcPr>
          <w:p w14:paraId="7555558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3,758,380</w:t>
            </w:r>
          </w:p>
        </w:tc>
        <w:tc>
          <w:tcPr>
            <w:tcW w:w="991" w:type="dxa"/>
            <w:tcBorders>
              <w:top w:val="nil"/>
              <w:left w:val="nil"/>
              <w:bottom w:val="single" w:sz="4" w:space="0" w:color="auto"/>
              <w:right w:val="nil"/>
            </w:tcBorders>
            <w:shd w:val="clear" w:color="000000" w:fill="FFFFFF"/>
            <w:noWrap/>
            <w:vAlign w:val="center"/>
            <w:hideMark/>
          </w:tcPr>
          <w:p w14:paraId="65C01F5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4,754,700</w:t>
            </w:r>
          </w:p>
        </w:tc>
        <w:tc>
          <w:tcPr>
            <w:tcW w:w="1160" w:type="dxa"/>
            <w:tcBorders>
              <w:top w:val="nil"/>
              <w:left w:val="single" w:sz="4" w:space="0" w:color="auto"/>
              <w:bottom w:val="single" w:sz="4" w:space="0" w:color="auto"/>
              <w:right w:val="nil"/>
            </w:tcBorders>
            <w:shd w:val="clear" w:color="000000" w:fill="FFFFFF"/>
            <w:noWrap/>
            <w:vAlign w:val="center"/>
            <w:hideMark/>
          </w:tcPr>
          <w:p w14:paraId="167F6F6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2,304,600</w:t>
            </w:r>
          </w:p>
        </w:tc>
        <w:tc>
          <w:tcPr>
            <w:tcW w:w="1130" w:type="dxa"/>
            <w:tcBorders>
              <w:top w:val="nil"/>
              <w:left w:val="nil"/>
              <w:bottom w:val="single" w:sz="4" w:space="0" w:color="auto"/>
              <w:right w:val="nil"/>
            </w:tcBorders>
            <w:shd w:val="clear" w:color="000000" w:fill="FFFFFF"/>
            <w:vAlign w:val="center"/>
            <w:hideMark/>
          </w:tcPr>
          <w:p w14:paraId="31E2772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434,140</w:t>
            </w:r>
          </w:p>
        </w:tc>
        <w:tc>
          <w:tcPr>
            <w:tcW w:w="1279" w:type="dxa"/>
            <w:tcBorders>
              <w:top w:val="nil"/>
              <w:left w:val="nil"/>
              <w:bottom w:val="single" w:sz="4" w:space="0" w:color="auto"/>
              <w:right w:val="nil"/>
            </w:tcBorders>
            <w:shd w:val="clear" w:color="000000" w:fill="FFFFFF"/>
            <w:noWrap/>
            <w:vAlign w:val="center"/>
            <w:hideMark/>
          </w:tcPr>
          <w:p w14:paraId="5800C7E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2,738,740</w:t>
            </w:r>
          </w:p>
        </w:tc>
        <w:tc>
          <w:tcPr>
            <w:tcW w:w="1135" w:type="dxa"/>
            <w:tcBorders>
              <w:top w:val="nil"/>
              <w:left w:val="nil"/>
              <w:bottom w:val="single" w:sz="4" w:space="0" w:color="auto"/>
              <w:right w:val="nil"/>
            </w:tcBorders>
            <w:shd w:val="clear" w:color="000000" w:fill="FFFFFF"/>
            <w:vAlign w:val="center"/>
            <w:hideMark/>
          </w:tcPr>
          <w:p w14:paraId="3101315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8,000</w:t>
            </w:r>
          </w:p>
        </w:tc>
        <w:tc>
          <w:tcPr>
            <w:tcW w:w="992" w:type="dxa"/>
            <w:tcBorders>
              <w:top w:val="nil"/>
              <w:left w:val="nil"/>
              <w:bottom w:val="single" w:sz="4" w:space="0" w:color="auto"/>
              <w:right w:val="nil"/>
            </w:tcBorders>
            <w:shd w:val="clear" w:color="auto" w:fill="FFFFFF" w:themeFill="background1"/>
            <w:vAlign w:val="center"/>
            <w:hideMark/>
          </w:tcPr>
          <w:p w14:paraId="15CDF92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442,140</w:t>
            </w:r>
          </w:p>
        </w:tc>
        <w:tc>
          <w:tcPr>
            <w:tcW w:w="992" w:type="dxa"/>
            <w:tcBorders>
              <w:top w:val="nil"/>
              <w:left w:val="nil"/>
              <w:bottom w:val="single" w:sz="4" w:space="0" w:color="auto"/>
              <w:right w:val="single" w:sz="4" w:space="0" w:color="auto"/>
            </w:tcBorders>
            <w:shd w:val="clear" w:color="000000" w:fill="FFFFFF"/>
            <w:vAlign w:val="center"/>
            <w:hideMark/>
          </w:tcPr>
          <w:p w14:paraId="19DCD36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2,746,740</w:t>
            </w:r>
          </w:p>
        </w:tc>
        <w:tc>
          <w:tcPr>
            <w:tcW w:w="992" w:type="dxa"/>
            <w:tcBorders>
              <w:top w:val="nil"/>
              <w:left w:val="nil"/>
              <w:bottom w:val="single" w:sz="4" w:space="0" w:color="auto"/>
            </w:tcBorders>
            <w:shd w:val="clear" w:color="000000" w:fill="FFFFFF"/>
            <w:vAlign w:val="center"/>
            <w:hideMark/>
          </w:tcPr>
          <w:p w14:paraId="47A77FD2"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52</w:t>
            </w:r>
          </w:p>
        </w:tc>
      </w:tr>
      <w:tr w:rsidR="009E58CE" w:rsidRPr="009E58CE" w14:paraId="75B1C176" w14:textId="77777777" w:rsidTr="00C935F0">
        <w:trPr>
          <w:trHeight w:val="283"/>
        </w:trPr>
        <w:tc>
          <w:tcPr>
            <w:tcW w:w="14889" w:type="dxa"/>
            <w:gridSpan w:val="14"/>
            <w:tcBorders>
              <w:top w:val="single" w:sz="4" w:space="0" w:color="auto"/>
              <w:bottom w:val="nil"/>
            </w:tcBorders>
            <w:shd w:val="clear" w:color="auto" w:fill="auto"/>
            <w:noWrap/>
            <w:vAlign w:val="center"/>
            <w:hideMark/>
          </w:tcPr>
          <w:p w14:paraId="39867135"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Victoria</w:t>
            </w:r>
          </w:p>
        </w:tc>
      </w:tr>
      <w:tr w:rsidR="009E58CE" w:rsidRPr="009E58CE" w14:paraId="68002B65" w14:textId="77777777" w:rsidTr="004C0DDC">
        <w:trPr>
          <w:trHeight w:val="198"/>
        </w:trPr>
        <w:tc>
          <w:tcPr>
            <w:tcW w:w="1281" w:type="dxa"/>
            <w:vMerge w:val="restart"/>
            <w:tcBorders>
              <w:top w:val="single" w:sz="4" w:space="0" w:color="auto"/>
              <w:bottom w:val="single" w:sz="4" w:space="0" w:color="000000"/>
              <w:right w:val="single" w:sz="4" w:space="0" w:color="auto"/>
            </w:tcBorders>
            <w:shd w:val="clear" w:color="000000" w:fill="FFFFFF"/>
            <w:vAlign w:val="center"/>
            <w:hideMark/>
          </w:tcPr>
          <w:p w14:paraId="3F57C973"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 xml:space="preserve">East Gippsland </w:t>
            </w:r>
          </w:p>
        </w:tc>
        <w:tc>
          <w:tcPr>
            <w:tcW w:w="992"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5D804B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1,225,000</w:t>
            </w:r>
          </w:p>
        </w:tc>
        <w:tc>
          <w:tcPr>
            <w:tcW w:w="1059" w:type="dxa"/>
            <w:tcBorders>
              <w:top w:val="single" w:sz="4" w:space="0" w:color="auto"/>
              <w:left w:val="single" w:sz="4" w:space="0" w:color="auto"/>
              <w:bottom w:val="nil"/>
              <w:right w:val="single" w:sz="4" w:space="0" w:color="auto"/>
            </w:tcBorders>
            <w:shd w:val="clear" w:color="000000" w:fill="FFFFFF"/>
            <w:vAlign w:val="center"/>
            <w:hideMark/>
          </w:tcPr>
          <w:p w14:paraId="6B3A96D5"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single" w:sz="4" w:space="0" w:color="auto"/>
              <w:left w:val="nil"/>
              <w:bottom w:val="nil"/>
              <w:right w:val="nil"/>
            </w:tcBorders>
            <w:shd w:val="clear" w:color="000000" w:fill="FFFFFF"/>
            <w:noWrap/>
            <w:vAlign w:val="center"/>
            <w:hideMark/>
          </w:tcPr>
          <w:p w14:paraId="41B950D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1,163,497</w:t>
            </w:r>
          </w:p>
        </w:tc>
        <w:tc>
          <w:tcPr>
            <w:tcW w:w="902" w:type="dxa"/>
            <w:tcBorders>
              <w:top w:val="single" w:sz="4" w:space="0" w:color="auto"/>
              <w:left w:val="single" w:sz="4" w:space="0" w:color="auto"/>
              <w:bottom w:val="nil"/>
              <w:right w:val="nil"/>
            </w:tcBorders>
            <w:shd w:val="clear" w:color="000000" w:fill="FFFFFF"/>
            <w:vAlign w:val="center"/>
            <w:hideMark/>
          </w:tcPr>
          <w:p w14:paraId="7D5FB58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64,017</w:t>
            </w:r>
          </w:p>
        </w:tc>
        <w:tc>
          <w:tcPr>
            <w:tcW w:w="993" w:type="dxa"/>
            <w:tcBorders>
              <w:top w:val="single" w:sz="4" w:space="0" w:color="auto"/>
              <w:left w:val="nil"/>
              <w:bottom w:val="nil"/>
              <w:right w:val="nil"/>
            </w:tcBorders>
            <w:shd w:val="clear" w:color="000000" w:fill="FFFFFF"/>
            <w:vAlign w:val="center"/>
            <w:hideMark/>
          </w:tcPr>
          <w:p w14:paraId="5BC4D3D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1,014,040</w:t>
            </w:r>
          </w:p>
        </w:tc>
        <w:tc>
          <w:tcPr>
            <w:tcW w:w="991" w:type="dxa"/>
            <w:tcBorders>
              <w:top w:val="single" w:sz="4" w:space="0" w:color="auto"/>
              <w:left w:val="nil"/>
              <w:bottom w:val="nil"/>
              <w:right w:val="single" w:sz="4" w:space="0" w:color="auto"/>
            </w:tcBorders>
            <w:shd w:val="clear" w:color="000000" w:fill="FFFFFF"/>
            <w:noWrap/>
            <w:vAlign w:val="center"/>
            <w:hideMark/>
          </w:tcPr>
          <w:p w14:paraId="28FEBA7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1,078,057</w:t>
            </w:r>
          </w:p>
        </w:tc>
        <w:tc>
          <w:tcPr>
            <w:tcW w:w="1160" w:type="dxa"/>
            <w:tcBorders>
              <w:top w:val="single" w:sz="4" w:space="0" w:color="auto"/>
              <w:left w:val="nil"/>
              <w:bottom w:val="nil"/>
              <w:right w:val="nil"/>
            </w:tcBorders>
            <w:shd w:val="clear" w:color="000000" w:fill="FFFFFF"/>
            <w:noWrap/>
            <w:vAlign w:val="center"/>
            <w:hideMark/>
          </w:tcPr>
          <w:p w14:paraId="4F4524C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496,361</w:t>
            </w:r>
          </w:p>
        </w:tc>
        <w:tc>
          <w:tcPr>
            <w:tcW w:w="1130" w:type="dxa"/>
            <w:tcBorders>
              <w:top w:val="single" w:sz="4" w:space="0" w:color="auto"/>
              <w:left w:val="nil"/>
              <w:bottom w:val="nil"/>
              <w:right w:val="nil"/>
            </w:tcBorders>
            <w:shd w:val="clear" w:color="000000" w:fill="FFFFFF"/>
            <w:vAlign w:val="center"/>
            <w:hideMark/>
          </w:tcPr>
          <w:p w14:paraId="2AA0B83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10,293</w:t>
            </w:r>
          </w:p>
        </w:tc>
        <w:tc>
          <w:tcPr>
            <w:tcW w:w="1279" w:type="dxa"/>
            <w:tcBorders>
              <w:top w:val="single" w:sz="4" w:space="0" w:color="auto"/>
              <w:left w:val="nil"/>
              <w:bottom w:val="nil"/>
              <w:right w:val="nil"/>
            </w:tcBorders>
            <w:shd w:val="clear" w:color="000000" w:fill="FFFFFF"/>
            <w:noWrap/>
            <w:vAlign w:val="center"/>
            <w:hideMark/>
          </w:tcPr>
          <w:p w14:paraId="72C6F7B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506,653</w:t>
            </w:r>
          </w:p>
        </w:tc>
        <w:tc>
          <w:tcPr>
            <w:tcW w:w="1135" w:type="dxa"/>
            <w:tcBorders>
              <w:top w:val="single" w:sz="4" w:space="0" w:color="auto"/>
              <w:left w:val="nil"/>
              <w:bottom w:val="nil"/>
              <w:right w:val="nil"/>
            </w:tcBorders>
            <w:shd w:val="clear" w:color="000000" w:fill="FFFFFF"/>
            <w:vAlign w:val="center"/>
            <w:hideMark/>
          </w:tcPr>
          <w:p w14:paraId="561AA92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35,796</w:t>
            </w:r>
          </w:p>
        </w:tc>
        <w:tc>
          <w:tcPr>
            <w:tcW w:w="992" w:type="dxa"/>
            <w:tcBorders>
              <w:top w:val="single" w:sz="4" w:space="0" w:color="auto"/>
              <w:left w:val="nil"/>
              <w:bottom w:val="nil"/>
              <w:right w:val="nil"/>
            </w:tcBorders>
            <w:shd w:val="clear" w:color="auto" w:fill="FFFFFF" w:themeFill="background1"/>
            <w:vAlign w:val="center"/>
            <w:hideMark/>
          </w:tcPr>
          <w:p w14:paraId="57D856D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46,089</w:t>
            </w:r>
          </w:p>
        </w:tc>
        <w:tc>
          <w:tcPr>
            <w:tcW w:w="992" w:type="dxa"/>
            <w:tcBorders>
              <w:top w:val="single" w:sz="4" w:space="0" w:color="auto"/>
              <w:left w:val="nil"/>
              <w:bottom w:val="nil"/>
              <w:right w:val="single" w:sz="4" w:space="0" w:color="auto"/>
            </w:tcBorders>
            <w:shd w:val="clear" w:color="000000" w:fill="FFFFFF"/>
            <w:vAlign w:val="center"/>
            <w:hideMark/>
          </w:tcPr>
          <w:p w14:paraId="21888B3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542,449</w:t>
            </w:r>
          </w:p>
        </w:tc>
        <w:tc>
          <w:tcPr>
            <w:tcW w:w="992" w:type="dxa"/>
            <w:tcBorders>
              <w:top w:val="single" w:sz="4" w:space="0" w:color="auto"/>
              <w:left w:val="nil"/>
              <w:bottom w:val="nil"/>
            </w:tcBorders>
            <w:shd w:val="clear" w:color="000000" w:fill="FFFFFF"/>
            <w:vAlign w:val="center"/>
            <w:hideMark/>
          </w:tcPr>
          <w:p w14:paraId="0E51824B"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29</w:t>
            </w:r>
          </w:p>
        </w:tc>
      </w:tr>
      <w:tr w:rsidR="009E58CE" w:rsidRPr="009E58CE" w14:paraId="3F89C483" w14:textId="77777777" w:rsidTr="004C0DDC">
        <w:trPr>
          <w:trHeight w:val="198"/>
        </w:trPr>
        <w:tc>
          <w:tcPr>
            <w:tcW w:w="1281" w:type="dxa"/>
            <w:vMerge/>
            <w:tcBorders>
              <w:top w:val="single" w:sz="4" w:space="0" w:color="auto"/>
              <w:bottom w:val="single" w:sz="4" w:space="0" w:color="000000"/>
              <w:right w:val="single" w:sz="4" w:space="0" w:color="auto"/>
            </w:tcBorders>
            <w:vAlign w:val="center"/>
            <w:hideMark/>
          </w:tcPr>
          <w:p w14:paraId="698DABB6"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single" w:sz="4" w:space="0" w:color="auto"/>
              <w:left w:val="single" w:sz="4" w:space="0" w:color="auto"/>
              <w:bottom w:val="single" w:sz="4" w:space="0" w:color="000000"/>
              <w:right w:val="nil"/>
            </w:tcBorders>
            <w:vAlign w:val="center"/>
            <w:hideMark/>
          </w:tcPr>
          <w:p w14:paraId="7B016624"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7FB86B09"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nil"/>
            </w:tcBorders>
            <w:shd w:val="clear" w:color="000000" w:fill="FFFFFF"/>
            <w:noWrap/>
            <w:vAlign w:val="center"/>
            <w:hideMark/>
          </w:tcPr>
          <w:p w14:paraId="60EF312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46,947</w:t>
            </w:r>
          </w:p>
        </w:tc>
        <w:tc>
          <w:tcPr>
            <w:tcW w:w="902" w:type="dxa"/>
            <w:tcBorders>
              <w:top w:val="nil"/>
              <w:left w:val="single" w:sz="4" w:space="0" w:color="auto"/>
              <w:bottom w:val="nil"/>
              <w:right w:val="nil"/>
            </w:tcBorders>
            <w:shd w:val="clear" w:color="000000" w:fill="FFFFFF"/>
            <w:vAlign w:val="center"/>
            <w:hideMark/>
          </w:tcPr>
          <w:p w14:paraId="533C986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1,660</w:t>
            </w:r>
          </w:p>
        </w:tc>
        <w:tc>
          <w:tcPr>
            <w:tcW w:w="993" w:type="dxa"/>
            <w:tcBorders>
              <w:top w:val="nil"/>
              <w:left w:val="nil"/>
              <w:bottom w:val="nil"/>
              <w:right w:val="nil"/>
            </w:tcBorders>
            <w:shd w:val="clear" w:color="000000" w:fill="FFFFFF"/>
            <w:vAlign w:val="center"/>
            <w:hideMark/>
          </w:tcPr>
          <w:p w14:paraId="56AE8F7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39,667</w:t>
            </w:r>
          </w:p>
        </w:tc>
        <w:tc>
          <w:tcPr>
            <w:tcW w:w="991" w:type="dxa"/>
            <w:tcBorders>
              <w:top w:val="nil"/>
              <w:left w:val="nil"/>
              <w:bottom w:val="nil"/>
              <w:right w:val="single" w:sz="4" w:space="0" w:color="auto"/>
            </w:tcBorders>
            <w:shd w:val="clear" w:color="000000" w:fill="FFFFFF"/>
            <w:noWrap/>
            <w:vAlign w:val="center"/>
            <w:hideMark/>
          </w:tcPr>
          <w:p w14:paraId="01C293F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41,327</w:t>
            </w:r>
          </w:p>
        </w:tc>
        <w:tc>
          <w:tcPr>
            <w:tcW w:w="1160" w:type="dxa"/>
            <w:tcBorders>
              <w:top w:val="nil"/>
              <w:left w:val="nil"/>
              <w:bottom w:val="nil"/>
              <w:right w:val="nil"/>
            </w:tcBorders>
            <w:shd w:val="clear" w:color="000000" w:fill="FFFFFF"/>
            <w:noWrap/>
            <w:vAlign w:val="center"/>
            <w:hideMark/>
          </w:tcPr>
          <w:p w14:paraId="20B3F68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29,694</w:t>
            </w:r>
          </w:p>
        </w:tc>
        <w:tc>
          <w:tcPr>
            <w:tcW w:w="1130" w:type="dxa"/>
            <w:tcBorders>
              <w:top w:val="nil"/>
              <w:left w:val="nil"/>
              <w:bottom w:val="nil"/>
              <w:right w:val="nil"/>
            </w:tcBorders>
            <w:shd w:val="clear" w:color="000000" w:fill="FFFFFF"/>
            <w:vAlign w:val="center"/>
            <w:hideMark/>
          </w:tcPr>
          <w:p w14:paraId="3305539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323</w:t>
            </w:r>
          </w:p>
        </w:tc>
        <w:tc>
          <w:tcPr>
            <w:tcW w:w="1279" w:type="dxa"/>
            <w:tcBorders>
              <w:top w:val="nil"/>
              <w:left w:val="nil"/>
              <w:bottom w:val="nil"/>
              <w:right w:val="nil"/>
            </w:tcBorders>
            <w:shd w:val="clear" w:color="000000" w:fill="FFFFFF"/>
            <w:noWrap/>
            <w:vAlign w:val="center"/>
            <w:hideMark/>
          </w:tcPr>
          <w:p w14:paraId="6E63A6D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30,017</w:t>
            </w:r>
          </w:p>
        </w:tc>
        <w:tc>
          <w:tcPr>
            <w:tcW w:w="1135" w:type="dxa"/>
            <w:tcBorders>
              <w:top w:val="nil"/>
              <w:left w:val="nil"/>
              <w:bottom w:val="nil"/>
              <w:right w:val="nil"/>
            </w:tcBorders>
            <w:shd w:val="clear" w:color="000000" w:fill="FFFFFF"/>
            <w:vAlign w:val="center"/>
            <w:hideMark/>
          </w:tcPr>
          <w:p w14:paraId="00042C5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9,434</w:t>
            </w:r>
          </w:p>
        </w:tc>
        <w:tc>
          <w:tcPr>
            <w:tcW w:w="992" w:type="dxa"/>
            <w:tcBorders>
              <w:top w:val="nil"/>
              <w:left w:val="nil"/>
              <w:bottom w:val="nil"/>
              <w:right w:val="nil"/>
            </w:tcBorders>
            <w:shd w:val="clear" w:color="auto" w:fill="FFFFFF" w:themeFill="background1"/>
            <w:vAlign w:val="center"/>
            <w:hideMark/>
          </w:tcPr>
          <w:p w14:paraId="3B2511D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9,757</w:t>
            </w:r>
          </w:p>
        </w:tc>
        <w:tc>
          <w:tcPr>
            <w:tcW w:w="992" w:type="dxa"/>
            <w:tcBorders>
              <w:top w:val="nil"/>
              <w:left w:val="nil"/>
              <w:bottom w:val="nil"/>
              <w:right w:val="single" w:sz="4" w:space="0" w:color="auto"/>
            </w:tcBorders>
            <w:shd w:val="clear" w:color="000000" w:fill="FFFFFF"/>
            <w:vAlign w:val="center"/>
            <w:hideMark/>
          </w:tcPr>
          <w:p w14:paraId="182A4CF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39,451</w:t>
            </w:r>
          </w:p>
        </w:tc>
        <w:tc>
          <w:tcPr>
            <w:tcW w:w="992" w:type="dxa"/>
            <w:tcBorders>
              <w:top w:val="nil"/>
              <w:left w:val="nil"/>
              <w:bottom w:val="nil"/>
            </w:tcBorders>
            <w:shd w:val="clear" w:color="000000" w:fill="FFFFFF"/>
            <w:vAlign w:val="center"/>
            <w:hideMark/>
          </w:tcPr>
          <w:p w14:paraId="29D73144"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16</w:t>
            </w:r>
          </w:p>
        </w:tc>
      </w:tr>
      <w:tr w:rsidR="009E58CE" w:rsidRPr="009E58CE" w14:paraId="715F4F19" w14:textId="77777777" w:rsidTr="004C0DDC">
        <w:trPr>
          <w:trHeight w:val="198"/>
        </w:trPr>
        <w:tc>
          <w:tcPr>
            <w:tcW w:w="1281" w:type="dxa"/>
            <w:vMerge/>
            <w:tcBorders>
              <w:top w:val="single" w:sz="4" w:space="0" w:color="auto"/>
              <w:bottom w:val="single" w:sz="4" w:space="0" w:color="000000"/>
              <w:right w:val="single" w:sz="4" w:space="0" w:color="auto"/>
            </w:tcBorders>
            <w:vAlign w:val="center"/>
            <w:hideMark/>
          </w:tcPr>
          <w:p w14:paraId="2344A205"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single" w:sz="4" w:space="0" w:color="auto"/>
              <w:left w:val="single" w:sz="4" w:space="0" w:color="auto"/>
              <w:bottom w:val="single" w:sz="4" w:space="0" w:color="000000"/>
              <w:right w:val="nil"/>
            </w:tcBorders>
            <w:vAlign w:val="center"/>
            <w:hideMark/>
          </w:tcPr>
          <w:p w14:paraId="1B0857C9"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2A1C75D0"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nil"/>
            </w:tcBorders>
            <w:shd w:val="clear" w:color="000000" w:fill="FFFFFF"/>
            <w:noWrap/>
            <w:vAlign w:val="center"/>
            <w:hideMark/>
          </w:tcPr>
          <w:p w14:paraId="20E0847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1,210,444</w:t>
            </w:r>
          </w:p>
        </w:tc>
        <w:tc>
          <w:tcPr>
            <w:tcW w:w="902" w:type="dxa"/>
            <w:tcBorders>
              <w:top w:val="nil"/>
              <w:left w:val="single" w:sz="4" w:space="0" w:color="auto"/>
              <w:bottom w:val="single" w:sz="4" w:space="0" w:color="auto"/>
              <w:right w:val="nil"/>
            </w:tcBorders>
            <w:shd w:val="clear" w:color="000000" w:fill="FFFFFF"/>
            <w:vAlign w:val="center"/>
            <w:hideMark/>
          </w:tcPr>
          <w:p w14:paraId="6046327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65,677</w:t>
            </w:r>
          </w:p>
        </w:tc>
        <w:tc>
          <w:tcPr>
            <w:tcW w:w="993" w:type="dxa"/>
            <w:tcBorders>
              <w:top w:val="nil"/>
              <w:left w:val="nil"/>
              <w:bottom w:val="single" w:sz="4" w:space="0" w:color="auto"/>
              <w:right w:val="nil"/>
            </w:tcBorders>
            <w:shd w:val="clear" w:color="000000" w:fill="FFFFFF"/>
            <w:vAlign w:val="center"/>
            <w:hideMark/>
          </w:tcPr>
          <w:p w14:paraId="000A5D9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1,053,707</w:t>
            </w:r>
          </w:p>
        </w:tc>
        <w:tc>
          <w:tcPr>
            <w:tcW w:w="991" w:type="dxa"/>
            <w:tcBorders>
              <w:top w:val="nil"/>
              <w:left w:val="nil"/>
              <w:bottom w:val="single" w:sz="4" w:space="0" w:color="auto"/>
              <w:right w:val="single" w:sz="4" w:space="0" w:color="auto"/>
            </w:tcBorders>
            <w:shd w:val="clear" w:color="000000" w:fill="FFFFFF"/>
            <w:noWrap/>
            <w:vAlign w:val="center"/>
            <w:hideMark/>
          </w:tcPr>
          <w:p w14:paraId="28B52E5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1,119,384</w:t>
            </w:r>
          </w:p>
        </w:tc>
        <w:tc>
          <w:tcPr>
            <w:tcW w:w="1160" w:type="dxa"/>
            <w:tcBorders>
              <w:top w:val="nil"/>
              <w:left w:val="nil"/>
              <w:bottom w:val="single" w:sz="4" w:space="0" w:color="auto"/>
              <w:right w:val="nil"/>
            </w:tcBorders>
            <w:shd w:val="clear" w:color="000000" w:fill="FFFFFF"/>
            <w:noWrap/>
            <w:vAlign w:val="center"/>
            <w:hideMark/>
          </w:tcPr>
          <w:p w14:paraId="49BF9A3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526,055</w:t>
            </w:r>
          </w:p>
        </w:tc>
        <w:tc>
          <w:tcPr>
            <w:tcW w:w="1130" w:type="dxa"/>
            <w:tcBorders>
              <w:top w:val="nil"/>
              <w:left w:val="nil"/>
              <w:bottom w:val="single" w:sz="4" w:space="0" w:color="auto"/>
              <w:right w:val="nil"/>
            </w:tcBorders>
            <w:shd w:val="clear" w:color="000000" w:fill="FFFFFF"/>
            <w:vAlign w:val="center"/>
            <w:hideMark/>
          </w:tcPr>
          <w:p w14:paraId="568B486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10,615</w:t>
            </w:r>
          </w:p>
        </w:tc>
        <w:tc>
          <w:tcPr>
            <w:tcW w:w="1279" w:type="dxa"/>
            <w:tcBorders>
              <w:top w:val="nil"/>
              <w:left w:val="nil"/>
              <w:bottom w:val="single" w:sz="4" w:space="0" w:color="auto"/>
              <w:right w:val="nil"/>
            </w:tcBorders>
            <w:shd w:val="clear" w:color="000000" w:fill="FFFFFF"/>
            <w:noWrap/>
            <w:vAlign w:val="center"/>
            <w:hideMark/>
          </w:tcPr>
          <w:p w14:paraId="38667CC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536,671</w:t>
            </w:r>
          </w:p>
        </w:tc>
        <w:tc>
          <w:tcPr>
            <w:tcW w:w="1135" w:type="dxa"/>
            <w:tcBorders>
              <w:top w:val="nil"/>
              <w:left w:val="nil"/>
              <w:bottom w:val="single" w:sz="4" w:space="0" w:color="auto"/>
              <w:right w:val="nil"/>
            </w:tcBorders>
            <w:shd w:val="clear" w:color="000000" w:fill="FFFFFF"/>
            <w:vAlign w:val="center"/>
            <w:hideMark/>
          </w:tcPr>
          <w:p w14:paraId="4ECCB4F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45,229</w:t>
            </w:r>
          </w:p>
        </w:tc>
        <w:tc>
          <w:tcPr>
            <w:tcW w:w="992" w:type="dxa"/>
            <w:tcBorders>
              <w:top w:val="nil"/>
              <w:left w:val="nil"/>
              <w:bottom w:val="single" w:sz="4" w:space="0" w:color="auto"/>
              <w:right w:val="nil"/>
            </w:tcBorders>
            <w:shd w:val="clear" w:color="auto" w:fill="FFFFFF" w:themeFill="background1"/>
            <w:vAlign w:val="center"/>
            <w:hideMark/>
          </w:tcPr>
          <w:p w14:paraId="1E46E15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55,844</w:t>
            </w:r>
          </w:p>
        </w:tc>
        <w:tc>
          <w:tcPr>
            <w:tcW w:w="992" w:type="dxa"/>
            <w:tcBorders>
              <w:top w:val="nil"/>
              <w:left w:val="nil"/>
              <w:bottom w:val="single" w:sz="4" w:space="0" w:color="auto"/>
              <w:right w:val="single" w:sz="4" w:space="0" w:color="auto"/>
            </w:tcBorders>
            <w:shd w:val="clear" w:color="000000" w:fill="FFFFFF"/>
            <w:vAlign w:val="center"/>
            <w:hideMark/>
          </w:tcPr>
          <w:p w14:paraId="204075C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581,900</w:t>
            </w:r>
            <w:r w:rsidRPr="002F2D01">
              <w:rPr>
                <w:rFonts w:asciiTheme="majorHAnsi" w:hAnsiTheme="majorHAnsi"/>
                <w:sz w:val="16"/>
                <w:szCs w:val="16"/>
                <w:lang w:eastAsia="en-AU"/>
              </w:rPr>
              <w:t> </w:t>
            </w:r>
          </w:p>
        </w:tc>
        <w:tc>
          <w:tcPr>
            <w:tcW w:w="992" w:type="dxa"/>
            <w:tcBorders>
              <w:top w:val="nil"/>
              <w:left w:val="nil"/>
              <w:bottom w:val="single" w:sz="4" w:space="0" w:color="auto"/>
            </w:tcBorders>
            <w:shd w:val="clear" w:color="000000" w:fill="FFFFFF"/>
            <w:vAlign w:val="center"/>
            <w:hideMark/>
          </w:tcPr>
          <w:p w14:paraId="63F2B6E5"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45</w:t>
            </w:r>
          </w:p>
        </w:tc>
      </w:tr>
      <w:tr w:rsidR="009E58CE" w:rsidRPr="009E58CE" w14:paraId="40DFA65E" w14:textId="77777777" w:rsidTr="004C0DDC">
        <w:trPr>
          <w:trHeight w:val="198"/>
        </w:trPr>
        <w:tc>
          <w:tcPr>
            <w:tcW w:w="1281" w:type="dxa"/>
            <w:vMerge w:val="restart"/>
            <w:tcBorders>
              <w:top w:val="nil"/>
              <w:bottom w:val="single" w:sz="4" w:space="0" w:color="000000"/>
              <w:right w:val="single" w:sz="4" w:space="0" w:color="auto"/>
            </w:tcBorders>
            <w:shd w:val="clear" w:color="000000" w:fill="FFFFFF"/>
            <w:vAlign w:val="center"/>
            <w:hideMark/>
          </w:tcPr>
          <w:p w14:paraId="706A5F1A"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 xml:space="preserve">Central Highlands </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3BCF4D6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1,130,000</w:t>
            </w:r>
          </w:p>
        </w:tc>
        <w:tc>
          <w:tcPr>
            <w:tcW w:w="1059" w:type="dxa"/>
            <w:tcBorders>
              <w:top w:val="nil"/>
              <w:left w:val="single" w:sz="4" w:space="0" w:color="auto"/>
              <w:bottom w:val="nil"/>
              <w:right w:val="single" w:sz="4" w:space="0" w:color="auto"/>
            </w:tcBorders>
            <w:shd w:val="clear" w:color="000000" w:fill="FFFFFF"/>
            <w:vAlign w:val="center"/>
            <w:hideMark/>
          </w:tcPr>
          <w:p w14:paraId="1AD82921"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nil"/>
              <w:left w:val="nil"/>
              <w:bottom w:val="nil"/>
              <w:right w:val="nil"/>
            </w:tcBorders>
            <w:shd w:val="clear" w:color="000000" w:fill="FFFFFF"/>
            <w:noWrap/>
            <w:vAlign w:val="center"/>
            <w:hideMark/>
          </w:tcPr>
          <w:p w14:paraId="71AE94E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1,040,473</w:t>
            </w:r>
          </w:p>
        </w:tc>
        <w:tc>
          <w:tcPr>
            <w:tcW w:w="902" w:type="dxa"/>
            <w:tcBorders>
              <w:top w:val="nil"/>
              <w:left w:val="single" w:sz="4" w:space="0" w:color="auto"/>
              <w:bottom w:val="nil"/>
              <w:right w:val="nil"/>
            </w:tcBorders>
            <w:shd w:val="clear" w:color="000000" w:fill="FFFFFF"/>
            <w:vAlign w:val="center"/>
            <w:hideMark/>
          </w:tcPr>
          <w:p w14:paraId="519256E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107,045</w:t>
            </w:r>
          </w:p>
        </w:tc>
        <w:tc>
          <w:tcPr>
            <w:tcW w:w="993" w:type="dxa"/>
            <w:tcBorders>
              <w:top w:val="nil"/>
              <w:left w:val="nil"/>
              <w:bottom w:val="nil"/>
              <w:right w:val="nil"/>
            </w:tcBorders>
            <w:shd w:val="clear" w:color="000000" w:fill="FFFFFF"/>
            <w:vAlign w:val="center"/>
            <w:hideMark/>
          </w:tcPr>
          <w:p w14:paraId="761D9E2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584,676</w:t>
            </w:r>
          </w:p>
        </w:tc>
        <w:tc>
          <w:tcPr>
            <w:tcW w:w="991" w:type="dxa"/>
            <w:tcBorders>
              <w:top w:val="nil"/>
              <w:left w:val="nil"/>
              <w:bottom w:val="nil"/>
              <w:right w:val="single" w:sz="4" w:space="0" w:color="auto"/>
            </w:tcBorders>
            <w:shd w:val="clear" w:color="000000" w:fill="FFFFFF"/>
            <w:noWrap/>
            <w:vAlign w:val="center"/>
            <w:hideMark/>
          </w:tcPr>
          <w:p w14:paraId="694A53F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691,721</w:t>
            </w:r>
          </w:p>
        </w:tc>
        <w:tc>
          <w:tcPr>
            <w:tcW w:w="1160" w:type="dxa"/>
            <w:tcBorders>
              <w:top w:val="nil"/>
              <w:left w:val="nil"/>
              <w:bottom w:val="nil"/>
              <w:right w:val="nil"/>
            </w:tcBorders>
            <w:shd w:val="clear" w:color="000000" w:fill="FFFFFF"/>
            <w:noWrap/>
            <w:vAlign w:val="center"/>
            <w:hideMark/>
          </w:tcPr>
          <w:p w14:paraId="6384950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171,322</w:t>
            </w:r>
          </w:p>
        </w:tc>
        <w:tc>
          <w:tcPr>
            <w:tcW w:w="1130" w:type="dxa"/>
            <w:tcBorders>
              <w:top w:val="nil"/>
              <w:left w:val="nil"/>
              <w:bottom w:val="nil"/>
              <w:right w:val="nil"/>
            </w:tcBorders>
            <w:shd w:val="clear" w:color="000000" w:fill="FFFFFF"/>
            <w:vAlign w:val="center"/>
            <w:hideMark/>
          </w:tcPr>
          <w:p w14:paraId="70562D5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85,967</w:t>
            </w:r>
          </w:p>
        </w:tc>
        <w:tc>
          <w:tcPr>
            <w:tcW w:w="1279" w:type="dxa"/>
            <w:tcBorders>
              <w:top w:val="nil"/>
              <w:left w:val="nil"/>
              <w:bottom w:val="nil"/>
              <w:right w:val="nil"/>
            </w:tcBorders>
            <w:shd w:val="clear" w:color="000000" w:fill="FFFFFF"/>
            <w:noWrap/>
            <w:vAlign w:val="center"/>
            <w:hideMark/>
          </w:tcPr>
          <w:p w14:paraId="35176AB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257,290</w:t>
            </w:r>
          </w:p>
        </w:tc>
        <w:tc>
          <w:tcPr>
            <w:tcW w:w="1135" w:type="dxa"/>
            <w:tcBorders>
              <w:top w:val="nil"/>
              <w:left w:val="nil"/>
              <w:bottom w:val="nil"/>
              <w:right w:val="nil"/>
            </w:tcBorders>
            <w:shd w:val="clear" w:color="000000" w:fill="FFFFFF"/>
            <w:vAlign w:val="center"/>
            <w:hideMark/>
          </w:tcPr>
          <w:p w14:paraId="5E65697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28,437</w:t>
            </w:r>
          </w:p>
        </w:tc>
        <w:tc>
          <w:tcPr>
            <w:tcW w:w="992" w:type="dxa"/>
            <w:tcBorders>
              <w:top w:val="nil"/>
              <w:left w:val="nil"/>
              <w:bottom w:val="nil"/>
              <w:right w:val="nil"/>
            </w:tcBorders>
            <w:shd w:val="clear" w:color="auto" w:fill="FFFFFF" w:themeFill="background1"/>
            <w:vAlign w:val="center"/>
            <w:hideMark/>
          </w:tcPr>
          <w:p w14:paraId="738BA72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114,404</w:t>
            </w:r>
          </w:p>
        </w:tc>
        <w:tc>
          <w:tcPr>
            <w:tcW w:w="992" w:type="dxa"/>
            <w:tcBorders>
              <w:top w:val="nil"/>
              <w:left w:val="nil"/>
              <w:bottom w:val="nil"/>
              <w:right w:val="single" w:sz="4" w:space="0" w:color="auto"/>
            </w:tcBorders>
            <w:shd w:val="clear" w:color="000000" w:fill="FFFFFF"/>
            <w:vAlign w:val="center"/>
            <w:hideMark/>
          </w:tcPr>
          <w:p w14:paraId="4F99B5A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285,727</w:t>
            </w:r>
          </w:p>
        </w:tc>
        <w:tc>
          <w:tcPr>
            <w:tcW w:w="992" w:type="dxa"/>
            <w:tcBorders>
              <w:top w:val="nil"/>
              <w:left w:val="nil"/>
              <w:bottom w:val="nil"/>
            </w:tcBorders>
            <w:shd w:val="clear" w:color="000000" w:fill="FFFFFF"/>
            <w:vAlign w:val="center"/>
            <w:hideMark/>
          </w:tcPr>
          <w:p w14:paraId="56DB9493"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25</w:t>
            </w:r>
          </w:p>
        </w:tc>
      </w:tr>
      <w:tr w:rsidR="009E58CE" w:rsidRPr="009E58CE" w14:paraId="17DCAD29" w14:textId="77777777" w:rsidTr="004C0DDC">
        <w:trPr>
          <w:trHeight w:val="198"/>
        </w:trPr>
        <w:tc>
          <w:tcPr>
            <w:tcW w:w="1281" w:type="dxa"/>
            <w:vMerge/>
            <w:tcBorders>
              <w:top w:val="nil"/>
              <w:bottom w:val="single" w:sz="4" w:space="0" w:color="000000"/>
              <w:right w:val="single" w:sz="4" w:space="0" w:color="auto"/>
            </w:tcBorders>
            <w:vAlign w:val="center"/>
            <w:hideMark/>
          </w:tcPr>
          <w:p w14:paraId="5EFE2B41"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57CE44EA"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1F3698DB"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nil"/>
            </w:tcBorders>
            <w:shd w:val="clear" w:color="000000" w:fill="FFFFFF"/>
            <w:noWrap/>
            <w:vAlign w:val="center"/>
            <w:hideMark/>
          </w:tcPr>
          <w:p w14:paraId="0C92C6D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89,476</w:t>
            </w:r>
          </w:p>
        </w:tc>
        <w:tc>
          <w:tcPr>
            <w:tcW w:w="902" w:type="dxa"/>
            <w:tcBorders>
              <w:top w:val="nil"/>
              <w:left w:val="single" w:sz="4" w:space="0" w:color="auto"/>
              <w:bottom w:val="nil"/>
              <w:right w:val="nil"/>
            </w:tcBorders>
            <w:shd w:val="clear" w:color="000000" w:fill="FFFFFF"/>
            <w:vAlign w:val="center"/>
            <w:hideMark/>
          </w:tcPr>
          <w:p w14:paraId="75E362F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8,241</w:t>
            </w:r>
          </w:p>
        </w:tc>
        <w:tc>
          <w:tcPr>
            <w:tcW w:w="993" w:type="dxa"/>
            <w:tcBorders>
              <w:top w:val="nil"/>
              <w:left w:val="nil"/>
              <w:bottom w:val="nil"/>
              <w:right w:val="nil"/>
            </w:tcBorders>
            <w:shd w:val="clear" w:color="000000" w:fill="FFFFFF"/>
            <w:vAlign w:val="center"/>
            <w:hideMark/>
          </w:tcPr>
          <w:p w14:paraId="2F59CD9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11,037</w:t>
            </w:r>
          </w:p>
        </w:tc>
        <w:tc>
          <w:tcPr>
            <w:tcW w:w="991" w:type="dxa"/>
            <w:tcBorders>
              <w:top w:val="nil"/>
              <w:left w:val="nil"/>
              <w:bottom w:val="nil"/>
              <w:right w:val="single" w:sz="4" w:space="0" w:color="auto"/>
            </w:tcBorders>
            <w:shd w:val="clear" w:color="000000" w:fill="FFFFFF"/>
            <w:noWrap/>
            <w:vAlign w:val="center"/>
            <w:hideMark/>
          </w:tcPr>
          <w:p w14:paraId="2331FF5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19,278</w:t>
            </w:r>
          </w:p>
        </w:tc>
        <w:tc>
          <w:tcPr>
            <w:tcW w:w="1160" w:type="dxa"/>
            <w:tcBorders>
              <w:top w:val="nil"/>
              <w:left w:val="nil"/>
              <w:bottom w:val="nil"/>
              <w:right w:val="nil"/>
            </w:tcBorders>
            <w:shd w:val="clear" w:color="000000" w:fill="FFFFFF"/>
            <w:noWrap/>
            <w:vAlign w:val="center"/>
            <w:hideMark/>
          </w:tcPr>
          <w:p w14:paraId="501D776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6,290</w:t>
            </w:r>
          </w:p>
        </w:tc>
        <w:tc>
          <w:tcPr>
            <w:tcW w:w="1130" w:type="dxa"/>
            <w:tcBorders>
              <w:top w:val="nil"/>
              <w:left w:val="nil"/>
              <w:bottom w:val="nil"/>
              <w:right w:val="nil"/>
            </w:tcBorders>
            <w:shd w:val="clear" w:color="000000" w:fill="FFFFFF"/>
            <w:vAlign w:val="center"/>
            <w:hideMark/>
          </w:tcPr>
          <w:p w14:paraId="1579CF1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1,408</w:t>
            </w:r>
          </w:p>
        </w:tc>
        <w:tc>
          <w:tcPr>
            <w:tcW w:w="1279" w:type="dxa"/>
            <w:tcBorders>
              <w:top w:val="nil"/>
              <w:left w:val="nil"/>
              <w:bottom w:val="nil"/>
              <w:right w:val="nil"/>
            </w:tcBorders>
            <w:shd w:val="clear" w:color="000000" w:fill="FFFFFF"/>
            <w:noWrap/>
            <w:vAlign w:val="center"/>
            <w:hideMark/>
          </w:tcPr>
          <w:p w14:paraId="7D0A225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7,698</w:t>
            </w:r>
          </w:p>
        </w:tc>
        <w:tc>
          <w:tcPr>
            <w:tcW w:w="1135" w:type="dxa"/>
            <w:tcBorders>
              <w:top w:val="nil"/>
              <w:left w:val="nil"/>
              <w:bottom w:val="nil"/>
              <w:right w:val="nil"/>
            </w:tcBorders>
            <w:shd w:val="clear" w:color="000000" w:fill="FFFFFF"/>
            <w:vAlign w:val="center"/>
            <w:hideMark/>
          </w:tcPr>
          <w:p w14:paraId="08D4F31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446</w:t>
            </w:r>
          </w:p>
        </w:tc>
        <w:tc>
          <w:tcPr>
            <w:tcW w:w="992" w:type="dxa"/>
            <w:tcBorders>
              <w:top w:val="nil"/>
              <w:left w:val="nil"/>
              <w:bottom w:val="nil"/>
              <w:right w:val="nil"/>
            </w:tcBorders>
            <w:shd w:val="clear" w:color="auto" w:fill="FFFFFF" w:themeFill="background1"/>
            <w:vAlign w:val="center"/>
            <w:hideMark/>
          </w:tcPr>
          <w:p w14:paraId="6C7DD6A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1,854</w:t>
            </w:r>
          </w:p>
        </w:tc>
        <w:tc>
          <w:tcPr>
            <w:tcW w:w="992" w:type="dxa"/>
            <w:tcBorders>
              <w:top w:val="nil"/>
              <w:left w:val="nil"/>
              <w:bottom w:val="nil"/>
              <w:right w:val="single" w:sz="4" w:space="0" w:color="auto"/>
            </w:tcBorders>
            <w:shd w:val="clear" w:color="000000" w:fill="FFFFFF"/>
            <w:vAlign w:val="center"/>
            <w:hideMark/>
          </w:tcPr>
          <w:p w14:paraId="32A17C3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8,144</w:t>
            </w:r>
          </w:p>
        </w:tc>
        <w:tc>
          <w:tcPr>
            <w:tcW w:w="992" w:type="dxa"/>
            <w:tcBorders>
              <w:top w:val="nil"/>
              <w:left w:val="nil"/>
              <w:bottom w:val="nil"/>
            </w:tcBorders>
            <w:shd w:val="clear" w:color="000000" w:fill="FFFFFF"/>
            <w:vAlign w:val="center"/>
            <w:hideMark/>
          </w:tcPr>
          <w:p w14:paraId="7827545F"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15</w:t>
            </w:r>
          </w:p>
        </w:tc>
      </w:tr>
      <w:tr w:rsidR="00480491" w:rsidRPr="009E58CE" w14:paraId="15A9CBA8" w14:textId="77777777" w:rsidTr="004C0DDC">
        <w:trPr>
          <w:trHeight w:val="198"/>
        </w:trPr>
        <w:tc>
          <w:tcPr>
            <w:tcW w:w="1281" w:type="dxa"/>
            <w:vMerge/>
            <w:tcBorders>
              <w:top w:val="nil"/>
              <w:bottom w:val="single" w:sz="4" w:space="0" w:color="000000"/>
              <w:right w:val="single" w:sz="4" w:space="0" w:color="auto"/>
            </w:tcBorders>
            <w:vAlign w:val="center"/>
            <w:hideMark/>
          </w:tcPr>
          <w:p w14:paraId="07EBC00F"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7A33C1D5"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2EA00609"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nil"/>
            </w:tcBorders>
            <w:shd w:val="clear" w:color="000000" w:fill="FFFFFF"/>
            <w:noWrap/>
            <w:vAlign w:val="center"/>
            <w:hideMark/>
          </w:tcPr>
          <w:p w14:paraId="4C14524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1,129,949</w:t>
            </w:r>
          </w:p>
        </w:tc>
        <w:tc>
          <w:tcPr>
            <w:tcW w:w="902" w:type="dxa"/>
            <w:tcBorders>
              <w:top w:val="nil"/>
              <w:left w:val="single" w:sz="4" w:space="0" w:color="auto"/>
              <w:bottom w:val="single" w:sz="4" w:space="0" w:color="auto"/>
              <w:right w:val="nil"/>
            </w:tcBorders>
            <w:shd w:val="clear" w:color="000000" w:fill="FFFFFF"/>
            <w:vAlign w:val="center"/>
            <w:hideMark/>
          </w:tcPr>
          <w:p w14:paraId="42A51A7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115,286</w:t>
            </w:r>
          </w:p>
        </w:tc>
        <w:tc>
          <w:tcPr>
            <w:tcW w:w="993" w:type="dxa"/>
            <w:tcBorders>
              <w:top w:val="nil"/>
              <w:left w:val="nil"/>
              <w:bottom w:val="single" w:sz="4" w:space="0" w:color="auto"/>
              <w:right w:val="nil"/>
            </w:tcBorders>
            <w:shd w:val="clear" w:color="000000" w:fill="FFFFFF"/>
            <w:vAlign w:val="center"/>
            <w:hideMark/>
          </w:tcPr>
          <w:p w14:paraId="52F4918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595,713</w:t>
            </w:r>
          </w:p>
        </w:tc>
        <w:tc>
          <w:tcPr>
            <w:tcW w:w="991" w:type="dxa"/>
            <w:tcBorders>
              <w:top w:val="nil"/>
              <w:left w:val="nil"/>
              <w:bottom w:val="single" w:sz="4" w:space="0" w:color="auto"/>
              <w:right w:val="single" w:sz="4" w:space="0" w:color="auto"/>
            </w:tcBorders>
            <w:shd w:val="clear" w:color="000000" w:fill="FFFFFF"/>
            <w:noWrap/>
            <w:vAlign w:val="center"/>
            <w:hideMark/>
          </w:tcPr>
          <w:p w14:paraId="0B7EF90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710,999</w:t>
            </w:r>
          </w:p>
        </w:tc>
        <w:tc>
          <w:tcPr>
            <w:tcW w:w="1160" w:type="dxa"/>
            <w:tcBorders>
              <w:top w:val="nil"/>
              <w:left w:val="nil"/>
              <w:bottom w:val="single" w:sz="4" w:space="0" w:color="auto"/>
              <w:right w:val="nil"/>
            </w:tcBorders>
            <w:shd w:val="clear" w:color="000000" w:fill="FFFFFF"/>
            <w:noWrap/>
            <w:vAlign w:val="center"/>
            <w:hideMark/>
          </w:tcPr>
          <w:p w14:paraId="2123478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177,612</w:t>
            </w:r>
          </w:p>
        </w:tc>
        <w:tc>
          <w:tcPr>
            <w:tcW w:w="1130" w:type="dxa"/>
            <w:tcBorders>
              <w:top w:val="nil"/>
              <w:left w:val="nil"/>
              <w:bottom w:val="single" w:sz="4" w:space="0" w:color="auto"/>
              <w:right w:val="nil"/>
            </w:tcBorders>
            <w:shd w:val="clear" w:color="000000" w:fill="FFFFFF"/>
            <w:vAlign w:val="center"/>
            <w:hideMark/>
          </w:tcPr>
          <w:p w14:paraId="617AAC7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87,376</w:t>
            </w:r>
          </w:p>
        </w:tc>
        <w:tc>
          <w:tcPr>
            <w:tcW w:w="1279" w:type="dxa"/>
            <w:tcBorders>
              <w:top w:val="nil"/>
              <w:left w:val="nil"/>
              <w:bottom w:val="single" w:sz="4" w:space="0" w:color="auto"/>
              <w:right w:val="nil"/>
            </w:tcBorders>
            <w:shd w:val="clear" w:color="000000" w:fill="FFFFFF"/>
            <w:noWrap/>
            <w:vAlign w:val="center"/>
            <w:hideMark/>
          </w:tcPr>
          <w:p w14:paraId="3A36A56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264,988</w:t>
            </w:r>
          </w:p>
        </w:tc>
        <w:tc>
          <w:tcPr>
            <w:tcW w:w="1135" w:type="dxa"/>
            <w:tcBorders>
              <w:top w:val="nil"/>
              <w:left w:val="nil"/>
              <w:bottom w:val="single" w:sz="4" w:space="0" w:color="auto"/>
              <w:right w:val="nil"/>
            </w:tcBorders>
            <w:shd w:val="clear" w:color="000000" w:fill="FFFFFF"/>
            <w:vAlign w:val="center"/>
            <w:hideMark/>
          </w:tcPr>
          <w:p w14:paraId="5D7409E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28,883</w:t>
            </w:r>
          </w:p>
        </w:tc>
        <w:tc>
          <w:tcPr>
            <w:tcW w:w="992" w:type="dxa"/>
            <w:tcBorders>
              <w:top w:val="nil"/>
              <w:left w:val="nil"/>
              <w:bottom w:val="single" w:sz="4" w:space="0" w:color="auto"/>
              <w:right w:val="nil"/>
            </w:tcBorders>
            <w:shd w:val="clear" w:color="auto" w:fill="FFFFFF" w:themeFill="background1"/>
            <w:vAlign w:val="center"/>
            <w:hideMark/>
          </w:tcPr>
          <w:p w14:paraId="47ADBB1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116,259</w:t>
            </w:r>
          </w:p>
        </w:tc>
        <w:tc>
          <w:tcPr>
            <w:tcW w:w="992" w:type="dxa"/>
            <w:tcBorders>
              <w:top w:val="nil"/>
              <w:left w:val="nil"/>
              <w:bottom w:val="single" w:sz="4" w:space="0" w:color="auto"/>
              <w:right w:val="single" w:sz="4" w:space="0" w:color="auto"/>
            </w:tcBorders>
            <w:shd w:val="clear" w:color="000000" w:fill="FFFFFF"/>
            <w:vAlign w:val="center"/>
            <w:hideMark/>
          </w:tcPr>
          <w:p w14:paraId="6EEE393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293,871</w:t>
            </w:r>
          </w:p>
        </w:tc>
        <w:tc>
          <w:tcPr>
            <w:tcW w:w="992" w:type="dxa"/>
            <w:tcBorders>
              <w:top w:val="nil"/>
              <w:left w:val="nil"/>
              <w:bottom w:val="single" w:sz="4" w:space="0" w:color="auto"/>
            </w:tcBorders>
            <w:shd w:val="clear" w:color="000000" w:fill="FFFFFF"/>
            <w:vAlign w:val="center"/>
            <w:hideMark/>
          </w:tcPr>
          <w:p w14:paraId="4415DC1B" w14:textId="4364CC99" w:rsidR="00F84522"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40</w:t>
            </w:r>
          </w:p>
        </w:tc>
      </w:tr>
      <w:tr w:rsidR="00480491" w:rsidRPr="009E58CE" w14:paraId="18A21C99" w14:textId="77777777" w:rsidTr="004C0DDC">
        <w:trPr>
          <w:trHeight w:val="198"/>
        </w:trPr>
        <w:tc>
          <w:tcPr>
            <w:tcW w:w="1281" w:type="dxa"/>
            <w:vMerge w:val="restart"/>
            <w:tcBorders>
              <w:top w:val="nil"/>
              <w:bottom w:val="single" w:sz="4" w:space="0" w:color="000000"/>
              <w:right w:val="single" w:sz="4" w:space="0" w:color="auto"/>
            </w:tcBorders>
            <w:shd w:val="clear" w:color="000000" w:fill="FFFFFF"/>
            <w:vAlign w:val="center"/>
            <w:hideMark/>
          </w:tcPr>
          <w:p w14:paraId="2DF6A953"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lastRenderedPageBreak/>
              <w:t xml:space="preserve">North East </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6ACA9EF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2,318,000</w:t>
            </w:r>
          </w:p>
        </w:tc>
        <w:tc>
          <w:tcPr>
            <w:tcW w:w="1059" w:type="dxa"/>
            <w:tcBorders>
              <w:top w:val="nil"/>
              <w:left w:val="single" w:sz="4" w:space="0" w:color="auto"/>
              <w:bottom w:val="nil"/>
              <w:right w:val="single" w:sz="4" w:space="0" w:color="auto"/>
            </w:tcBorders>
            <w:shd w:val="clear" w:color="000000" w:fill="FFFFFF"/>
            <w:vAlign w:val="center"/>
            <w:hideMark/>
          </w:tcPr>
          <w:p w14:paraId="7A40F39E"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single" w:sz="4" w:space="0" w:color="auto"/>
              <w:left w:val="nil"/>
              <w:bottom w:val="nil"/>
              <w:right w:val="nil"/>
            </w:tcBorders>
            <w:shd w:val="clear" w:color="000000" w:fill="FFFFFF"/>
            <w:noWrap/>
            <w:vAlign w:val="center"/>
            <w:hideMark/>
          </w:tcPr>
          <w:p w14:paraId="28CEF3B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2,278,860</w:t>
            </w:r>
          </w:p>
        </w:tc>
        <w:tc>
          <w:tcPr>
            <w:tcW w:w="902" w:type="dxa"/>
            <w:tcBorders>
              <w:top w:val="nil"/>
              <w:left w:val="single" w:sz="4" w:space="0" w:color="auto"/>
              <w:bottom w:val="nil"/>
              <w:right w:val="nil"/>
            </w:tcBorders>
            <w:shd w:val="clear" w:color="000000" w:fill="FFFFFF"/>
            <w:vAlign w:val="center"/>
            <w:hideMark/>
          </w:tcPr>
          <w:p w14:paraId="26680B3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173,602</w:t>
            </w:r>
          </w:p>
        </w:tc>
        <w:tc>
          <w:tcPr>
            <w:tcW w:w="993" w:type="dxa"/>
            <w:tcBorders>
              <w:top w:val="nil"/>
              <w:left w:val="nil"/>
              <w:bottom w:val="nil"/>
              <w:right w:val="nil"/>
            </w:tcBorders>
            <w:shd w:val="clear" w:color="000000" w:fill="FFFFFF"/>
            <w:vAlign w:val="center"/>
            <w:hideMark/>
          </w:tcPr>
          <w:p w14:paraId="008434F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1,077,910</w:t>
            </w:r>
          </w:p>
        </w:tc>
        <w:tc>
          <w:tcPr>
            <w:tcW w:w="991" w:type="dxa"/>
            <w:tcBorders>
              <w:top w:val="nil"/>
              <w:left w:val="nil"/>
              <w:bottom w:val="nil"/>
              <w:right w:val="single" w:sz="4" w:space="0" w:color="auto"/>
            </w:tcBorders>
            <w:shd w:val="clear" w:color="000000" w:fill="FFFFFF"/>
            <w:noWrap/>
            <w:vAlign w:val="center"/>
            <w:hideMark/>
          </w:tcPr>
          <w:p w14:paraId="6AF0FA1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1,251,511</w:t>
            </w:r>
          </w:p>
        </w:tc>
        <w:tc>
          <w:tcPr>
            <w:tcW w:w="1160" w:type="dxa"/>
            <w:tcBorders>
              <w:top w:val="nil"/>
              <w:left w:val="nil"/>
              <w:bottom w:val="nil"/>
              <w:right w:val="nil"/>
            </w:tcBorders>
            <w:shd w:val="clear" w:color="000000" w:fill="FFFFFF"/>
            <w:noWrap/>
            <w:vAlign w:val="center"/>
            <w:hideMark/>
          </w:tcPr>
          <w:p w14:paraId="39B62E3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372,279</w:t>
            </w:r>
          </w:p>
        </w:tc>
        <w:tc>
          <w:tcPr>
            <w:tcW w:w="1130" w:type="dxa"/>
            <w:tcBorders>
              <w:top w:val="nil"/>
              <w:left w:val="nil"/>
              <w:bottom w:val="nil"/>
              <w:right w:val="nil"/>
            </w:tcBorders>
            <w:shd w:val="clear" w:color="000000" w:fill="FFFFFF"/>
            <w:vAlign w:val="center"/>
            <w:hideMark/>
          </w:tcPr>
          <w:p w14:paraId="1D173F9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173,599</w:t>
            </w:r>
          </w:p>
        </w:tc>
        <w:tc>
          <w:tcPr>
            <w:tcW w:w="1279" w:type="dxa"/>
            <w:tcBorders>
              <w:top w:val="nil"/>
              <w:left w:val="nil"/>
              <w:bottom w:val="nil"/>
              <w:right w:val="nil"/>
            </w:tcBorders>
            <w:shd w:val="clear" w:color="000000" w:fill="FFFFFF"/>
            <w:noWrap/>
            <w:vAlign w:val="center"/>
            <w:hideMark/>
          </w:tcPr>
          <w:p w14:paraId="1FEFF86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545,878</w:t>
            </w:r>
          </w:p>
        </w:tc>
        <w:tc>
          <w:tcPr>
            <w:tcW w:w="1135" w:type="dxa"/>
            <w:tcBorders>
              <w:top w:val="nil"/>
              <w:left w:val="nil"/>
              <w:bottom w:val="nil"/>
              <w:right w:val="nil"/>
            </w:tcBorders>
            <w:shd w:val="clear" w:color="000000" w:fill="FFFFFF"/>
            <w:vAlign w:val="center"/>
            <w:hideMark/>
          </w:tcPr>
          <w:p w14:paraId="541A1C4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110,874</w:t>
            </w:r>
          </w:p>
        </w:tc>
        <w:tc>
          <w:tcPr>
            <w:tcW w:w="992" w:type="dxa"/>
            <w:tcBorders>
              <w:top w:val="nil"/>
              <w:left w:val="nil"/>
              <w:bottom w:val="nil"/>
              <w:right w:val="nil"/>
            </w:tcBorders>
            <w:shd w:val="clear" w:color="auto" w:fill="FFFFFF" w:themeFill="background1"/>
            <w:vAlign w:val="center"/>
            <w:hideMark/>
          </w:tcPr>
          <w:p w14:paraId="08BBAFD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284,473</w:t>
            </w:r>
          </w:p>
        </w:tc>
        <w:tc>
          <w:tcPr>
            <w:tcW w:w="992" w:type="dxa"/>
            <w:tcBorders>
              <w:top w:val="nil"/>
              <w:left w:val="nil"/>
              <w:bottom w:val="nil"/>
              <w:right w:val="single" w:sz="4" w:space="0" w:color="auto"/>
            </w:tcBorders>
            <w:shd w:val="clear" w:color="000000" w:fill="FFFFFF"/>
            <w:vAlign w:val="center"/>
            <w:hideMark/>
          </w:tcPr>
          <w:p w14:paraId="235612C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656,752</w:t>
            </w:r>
          </w:p>
        </w:tc>
        <w:tc>
          <w:tcPr>
            <w:tcW w:w="992" w:type="dxa"/>
            <w:tcBorders>
              <w:top w:val="nil"/>
              <w:left w:val="nil"/>
              <w:bottom w:val="nil"/>
            </w:tcBorders>
            <w:shd w:val="clear" w:color="000000" w:fill="FFFFFF"/>
            <w:vAlign w:val="center"/>
            <w:hideMark/>
          </w:tcPr>
          <w:p w14:paraId="381BABFF"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48</w:t>
            </w:r>
          </w:p>
        </w:tc>
      </w:tr>
      <w:tr w:rsidR="009E58CE" w:rsidRPr="009E58CE" w14:paraId="149E758E" w14:textId="77777777" w:rsidTr="004C0DDC">
        <w:trPr>
          <w:trHeight w:val="198"/>
        </w:trPr>
        <w:tc>
          <w:tcPr>
            <w:tcW w:w="1281" w:type="dxa"/>
            <w:vMerge/>
            <w:tcBorders>
              <w:top w:val="nil"/>
              <w:bottom w:val="single" w:sz="4" w:space="0" w:color="000000"/>
              <w:right w:val="single" w:sz="4" w:space="0" w:color="auto"/>
            </w:tcBorders>
            <w:vAlign w:val="center"/>
            <w:hideMark/>
          </w:tcPr>
          <w:p w14:paraId="1E2FCD96"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2AEEA938"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20DE85E3"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nil"/>
            </w:tcBorders>
            <w:shd w:val="clear" w:color="000000" w:fill="FFFFFF"/>
            <w:noWrap/>
            <w:vAlign w:val="center"/>
            <w:hideMark/>
          </w:tcPr>
          <w:p w14:paraId="13C3265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38,870</w:t>
            </w:r>
          </w:p>
        </w:tc>
        <w:tc>
          <w:tcPr>
            <w:tcW w:w="902" w:type="dxa"/>
            <w:tcBorders>
              <w:top w:val="nil"/>
              <w:left w:val="single" w:sz="4" w:space="0" w:color="auto"/>
              <w:bottom w:val="nil"/>
              <w:right w:val="nil"/>
            </w:tcBorders>
            <w:shd w:val="clear" w:color="000000" w:fill="FFFFFF"/>
            <w:vAlign w:val="center"/>
            <w:hideMark/>
          </w:tcPr>
          <w:p w14:paraId="40A1A48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1,230</w:t>
            </w:r>
          </w:p>
        </w:tc>
        <w:tc>
          <w:tcPr>
            <w:tcW w:w="993" w:type="dxa"/>
            <w:tcBorders>
              <w:top w:val="nil"/>
              <w:left w:val="nil"/>
              <w:bottom w:val="nil"/>
              <w:right w:val="nil"/>
            </w:tcBorders>
            <w:shd w:val="clear" w:color="000000" w:fill="FFFFFF"/>
            <w:vAlign w:val="center"/>
            <w:hideMark/>
          </w:tcPr>
          <w:p w14:paraId="1431A43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27,120</w:t>
            </w:r>
          </w:p>
        </w:tc>
        <w:tc>
          <w:tcPr>
            <w:tcW w:w="991" w:type="dxa"/>
            <w:tcBorders>
              <w:top w:val="nil"/>
              <w:left w:val="nil"/>
              <w:bottom w:val="nil"/>
              <w:right w:val="single" w:sz="4" w:space="0" w:color="auto"/>
            </w:tcBorders>
            <w:shd w:val="clear" w:color="000000" w:fill="FFFFFF"/>
            <w:noWrap/>
            <w:vAlign w:val="center"/>
            <w:hideMark/>
          </w:tcPr>
          <w:p w14:paraId="4F767FC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28,350</w:t>
            </w:r>
          </w:p>
        </w:tc>
        <w:tc>
          <w:tcPr>
            <w:tcW w:w="1160" w:type="dxa"/>
            <w:tcBorders>
              <w:top w:val="nil"/>
              <w:left w:val="nil"/>
              <w:bottom w:val="nil"/>
              <w:right w:val="nil"/>
            </w:tcBorders>
            <w:shd w:val="clear" w:color="000000" w:fill="FFFFFF"/>
            <w:noWrap/>
            <w:vAlign w:val="center"/>
            <w:hideMark/>
          </w:tcPr>
          <w:p w14:paraId="10115B1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22,567</w:t>
            </w:r>
          </w:p>
        </w:tc>
        <w:tc>
          <w:tcPr>
            <w:tcW w:w="1130" w:type="dxa"/>
            <w:tcBorders>
              <w:top w:val="nil"/>
              <w:left w:val="nil"/>
              <w:bottom w:val="nil"/>
              <w:right w:val="nil"/>
            </w:tcBorders>
            <w:shd w:val="clear" w:color="000000" w:fill="FFFFFF"/>
            <w:vAlign w:val="center"/>
            <w:hideMark/>
          </w:tcPr>
          <w:p w14:paraId="04E0AB7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2,438</w:t>
            </w:r>
          </w:p>
        </w:tc>
        <w:tc>
          <w:tcPr>
            <w:tcW w:w="1279" w:type="dxa"/>
            <w:tcBorders>
              <w:top w:val="nil"/>
              <w:left w:val="nil"/>
              <w:bottom w:val="nil"/>
              <w:right w:val="nil"/>
            </w:tcBorders>
            <w:shd w:val="clear" w:color="000000" w:fill="FFFFFF"/>
            <w:noWrap/>
            <w:vAlign w:val="center"/>
            <w:hideMark/>
          </w:tcPr>
          <w:p w14:paraId="3A1DF45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25,005</w:t>
            </w:r>
          </w:p>
        </w:tc>
        <w:tc>
          <w:tcPr>
            <w:tcW w:w="1135" w:type="dxa"/>
            <w:tcBorders>
              <w:top w:val="nil"/>
              <w:left w:val="nil"/>
              <w:bottom w:val="nil"/>
              <w:right w:val="nil"/>
            </w:tcBorders>
            <w:shd w:val="clear" w:color="000000" w:fill="FFFFFF"/>
            <w:vAlign w:val="center"/>
            <w:hideMark/>
          </w:tcPr>
          <w:p w14:paraId="2A33120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2" w:type="dxa"/>
            <w:tcBorders>
              <w:top w:val="nil"/>
              <w:left w:val="nil"/>
              <w:bottom w:val="nil"/>
              <w:right w:val="nil"/>
            </w:tcBorders>
            <w:shd w:val="clear" w:color="auto" w:fill="FFFFFF" w:themeFill="background1"/>
            <w:vAlign w:val="center"/>
            <w:hideMark/>
          </w:tcPr>
          <w:p w14:paraId="04479CB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2,438</w:t>
            </w:r>
          </w:p>
        </w:tc>
        <w:tc>
          <w:tcPr>
            <w:tcW w:w="992" w:type="dxa"/>
            <w:tcBorders>
              <w:top w:val="nil"/>
              <w:left w:val="nil"/>
              <w:bottom w:val="nil"/>
              <w:right w:val="single" w:sz="4" w:space="0" w:color="auto"/>
            </w:tcBorders>
            <w:shd w:val="clear" w:color="000000" w:fill="FFFFFF"/>
            <w:vAlign w:val="center"/>
            <w:hideMark/>
          </w:tcPr>
          <w:p w14:paraId="4A54E4B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25,005</w:t>
            </w:r>
          </w:p>
        </w:tc>
        <w:tc>
          <w:tcPr>
            <w:tcW w:w="992" w:type="dxa"/>
            <w:tcBorders>
              <w:top w:val="nil"/>
              <w:left w:val="nil"/>
              <w:bottom w:val="nil"/>
            </w:tcBorders>
            <w:shd w:val="clear" w:color="000000" w:fill="FFFFFF"/>
            <w:vAlign w:val="center"/>
            <w:hideMark/>
          </w:tcPr>
          <w:p w14:paraId="35D70318"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w:t>
            </w:r>
          </w:p>
        </w:tc>
      </w:tr>
      <w:tr w:rsidR="00480491" w:rsidRPr="009E58CE" w14:paraId="0DD70B26" w14:textId="77777777" w:rsidTr="004C0DDC">
        <w:trPr>
          <w:trHeight w:val="198"/>
        </w:trPr>
        <w:tc>
          <w:tcPr>
            <w:tcW w:w="1281" w:type="dxa"/>
            <w:vMerge/>
            <w:tcBorders>
              <w:top w:val="nil"/>
              <w:bottom w:val="single" w:sz="4" w:space="0" w:color="000000"/>
              <w:right w:val="single" w:sz="4" w:space="0" w:color="auto"/>
            </w:tcBorders>
            <w:vAlign w:val="center"/>
            <w:hideMark/>
          </w:tcPr>
          <w:p w14:paraId="1E108727"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7B1DB057"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3D02FD41"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nil"/>
            </w:tcBorders>
            <w:shd w:val="clear" w:color="000000" w:fill="FFFFFF"/>
            <w:noWrap/>
            <w:vAlign w:val="center"/>
            <w:hideMark/>
          </w:tcPr>
          <w:p w14:paraId="36BA85F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2,317,730</w:t>
            </w:r>
          </w:p>
        </w:tc>
        <w:tc>
          <w:tcPr>
            <w:tcW w:w="902" w:type="dxa"/>
            <w:tcBorders>
              <w:top w:val="nil"/>
              <w:left w:val="single" w:sz="4" w:space="0" w:color="auto"/>
              <w:bottom w:val="single" w:sz="4" w:space="0" w:color="auto"/>
              <w:right w:val="nil"/>
            </w:tcBorders>
            <w:shd w:val="clear" w:color="000000" w:fill="FFFFFF"/>
            <w:vAlign w:val="center"/>
            <w:hideMark/>
          </w:tcPr>
          <w:p w14:paraId="2CB36A3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174,832</w:t>
            </w:r>
          </w:p>
        </w:tc>
        <w:tc>
          <w:tcPr>
            <w:tcW w:w="993" w:type="dxa"/>
            <w:tcBorders>
              <w:top w:val="nil"/>
              <w:left w:val="nil"/>
              <w:bottom w:val="single" w:sz="4" w:space="0" w:color="auto"/>
              <w:right w:val="nil"/>
            </w:tcBorders>
            <w:shd w:val="clear" w:color="000000" w:fill="FFFFFF"/>
            <w:vAlign w:val="center"/>
            <w:hideMark/>
          </w:tcPr>
          <w:p w14:paraId="79FFA7D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1,105,030</w:t>
            </w:r>
          </w:p>
        </w:tc>
        <w:tc>
          <w:tcPr>
            <w:tcW w:w="991" w:type="dxa"/>
            <w:tcBorders>
              <w:top w:val="nil"/>
              <w:left w:val="nil"/>
              <w:bottom w:val="single" w:sz="4" w:space="0" w:color="auto"/>
              <w:right w:val="single" w:sz="4" w:space="0" w:color="auto"/>
            </w:tcBorders>
            <w:shd w:val="clear" w:color="000000" w:fill="FFFFFF"/>
            <w:noWrap/>
            <w:vAlign w:val="center"/>
            <w:hideMark/>
          </w:tcPr>
          <w:p w14:paraId="5FD78CD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1,279,861</w:t>
            </w:r>
          </w:p>
        </w:tc>
        <w:tc>
          <w:tcPr>
            <w:tcW w:w="1160" w:type="dxa"/>
            <w:tcBorders>
              <w:top w:val="nil"/>
              <w:left w:val="nil"/>
              <w:bottom w:val="single" w:sz="4" w:space="0" w:color="auto"/>
              <w:right w:val="nil"/>
            </w:tcBorders>
            <w:shd w:val="clear" w:color="000000" w:fill="FFFFFF"/>
            <w:noWrap/>
            <w:vAlign w:val="center"/>
            <w:hideMark/>
          </w:tcPr>
          <w:p w14:paraId="6B441AD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394,846</w:t>
            </w:r>
          </w:p>
        </w:tc>
        <w:tc>
          <w:tcPr>
            <w:tcW w:w="1130" w:type="dxa"/>
            <w:tcBorders>
              <w:top w:val="nil"/>
              <w:left w:val="nil"/>
              <w:bottom w:val="single" w:sz="4" w:space="0" w:color="auto"/>
              <w:right w:val="nil"/>
            </w:tcBorders>
            <w:shd w:val="clear" w:color="000000" w:fill="FFFFFF"/>
            <w:vAlign w:val="center"/>
            <w:hideMark/>
          </w:tcPr>
          <w:p w14:paraId="2EC7273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176,037</w:t>
            </w:r>
          </w:p>
        </w:tc>
        <w:tc>
          <w:tcPr>
            <w:tcW w:w="1279" w:type="dxa"/>
            <w:tcBorders>
              <w:top w:val="nil"/>
              <w:left w:val="nil"/>
              <w:bottom w:val="single" w:sz="4" w:space="0" w:color="auto"/>
              <w:right w:val="nil"/>
            </w:tcBorders>
            <w:shd w:val="clear" w:color="000000" w:fill="FFFFFF"/>
            <w:noWrap/>
            <w:vAlign w:val="center"/>
            <w:hideMark/>
          </w:tcPr>
          <w:p w14:paraId="293832F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570,883</w:t>
            </w:r>
          </w:p>
        </w:tc>
        <w:tc>
          <w:tcPr>
            <w:tcW w:w="1135" w:type="dxa"/>
            <w:tcBorders>
              <w:top w:val="nil"/>
              <w:left w:val="nil"/>
              <w:bottom w:val="single" w:sz="4" w:space="0" w:color="auto"/>
              <w:right w:val="nil"/>
            </w:tcBorders>
            <w:shd w:val="clear" w:color="000000" w:fill="FFFFFF"/>
            <w:vAlign w:val="center"/>
            <w:hideMark/>
          </w:tcPr>
          <w:p w14:paraId="6C06DF6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110,874</w:t>
            </w:r>
          </w:p>
        </w:tc>
        <w:tc>
          <w:tcPr>
            <w:tcW w:w="992" w:type="dxa"/>
            <w:tcBorders>
              <w:top w:val="nil"/>
              <w:left w:val="nil"/>
              <w:bottom w:val="single" w:sz="4" w:space="0" w:color="auto"/>
              <w:right w:val="nil"/>
            </w:tcBorders>
            <w:shd w:val="clear" w:color="auto" w:fill="FFFFFF" w:themeFill="background1"/>
            <w:vAlign w:val="center"/>
            <w:hideMark/>
          </w:tcPr>
          <w:p w14:paraId="5EB45CE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286,911</w:t>
            </w:r>
          </w:p>
        </w:tc>
        <w:tc>
          <w:tcPr>
            <w:tcW w:w="992" w:type="dxa"/>
            <w:tcBorders>
              <w:top w:val="nil"/>
              <w:left w:val="nil"/>
              <w:bottom w:val="single" w:sz="4" w:space="0" w:color="auto"/>
              <w:right w:val="single" w:sz="4" w:space="0" w:color="auto"/>
            </w:tcBorders>
            <w:shd w:val="clear" w:color="000000" w:fill="FFFFFF"/>
            <w:vAlign w:val="center"/>
            <w:hideMark/>
          </w:tcPr>
          <w:p w14:paraId="485E2EC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681,757</w:t>
            </w:r>
          </w:p>
        </w:tc>
        <w:tc>
          <w:tcPr>
            <w:tcW w:w="992" w:type="dxa"/>
            <w:tcBorders>
              <w:top w:val="nil"/>
              <w:left w:val="nil"/>
              <w:bottom w:val="single" w:sz="4" w:space="0" w:color="auto"/>
            </w:tcBorders>
            <w:shd w:val="clear" w:color="000000" w:fill="FFFFFF"/>
            <w:vAlign w:val="center"/>
            <w:hideMark/>
          </w:tcPr>
          <w:p w14:paraId="6035DFC9"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57</w:t>
            </w:r>
          </w:p>
        </w:tc>
      </w:tr>
      <w:tr w:rsidR="00480491" w:rsidRPr="009E58CE" w14:paraId="6654BE41" w14:textId="77777777" w:rsidTr="004C0DDC">
        <w:trPr>
          <w:trHeight w:val="198"/>
        </w:trPr>
        <w:tc>
          <w:tcPr>
            <w:tcW w:w="1281" w:type="dxa"/>
            <w:vMerge w:val="restart"/>
            <w:tcBorders>
              <w:top w:val="nil"/>
              <w:bottom w:val="single" w:sz="4" w:space="0" w:color="000000"/>
              <w:right w:val="single" w:sz="4" w:space="0" w:color="auto"/>
            </w:tcBorders>
            <w:shd w:val="clear" w:color="000000" w:fill="FFFFFF"/>
            <w:vAlign w:val="center"/>
            <w:hideMark/>
          </w:tcPr>
          <w:p w14:paraId="0DD35E37"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 xml:space="preserve">Gippsland </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00D21A4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2,662,000</w:t>
            </w:r>
          </w:p>
        </w:tc>
        <w:tc>
          <w:tcPr>
            <w:tcW w:w="1059" w:type="dxa"/>
            <w:tcBorders>
              <w:top w:val="nil"/>
              <w:left w:val="single" w:sz="4" w:space="0" w:color="auto"/>
              <w:bottom w:val="nil"/>
              <w:right w:val="nil"/>
            </w:tcBorders>
            <w:shd w:val="clear" w:color="000000" w:fill="FFFFFF"/>
            <w:vAlign w:val="center"/>
            <w:hideMark/>
          </w:tcPr>
          <w:p w14:paraId="1747F044"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single" w:sz="4" w:space="0" w:color="auto"/>
              <w:left w:val="single" w:sz="4" w:space="0" w:color="auto"/>
              <w:bottom w:val="nil"/>
              <w:right w:val="single" w:sz="4" w:space="0" w:color="auto"/>
            </w:tcBorders>
            <w:shd w:val="clear" w:color="000000" w:fill="FFFFFF"/>
            <w:noWrap/>
            <w:vAlign w:val="center"/>
            <w:hideMark/>
          </w:tcPr>
          <w:p w14:paraId="3DD9109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2,313,312</w:t>
            </w:r>
          </w:p>
        </w:tc>
        <w:tc>
          <w:tcPr>
            <w:tcW w:w="902" w:type="dxa"/>
            <w:tcBorders>
              <w:top w:val="nil"/>
              <w:left w:val="nil"/>
              <w:bottom w:val="nil"/>
              <w:right w:val="nil"/>
            </w:tcBorders>
            <w:shd w:val="clear" w:color="000000" w:fill="FFFFFF"/>
            <w:vAlign w:val="center"/>
            <w:hideMark/>
          </w:tcPr>
          <w:p w14:paraId="4B5E0C1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179,340</w:t>
            </w:r>
          </w:p>
        </w:tc>
        <w:tc>
          <w:tcPr>
            <w:tcW w:w="993" w:type="dxa"/>
            <w:tcBorders>
              <w:top w:val="nil"/>
              <w:left w:val="nil"/>
              <w:bottom w:val="nil"/>
              <w:right w:val="nil"/>
            </w:tcBorders>
            <w:shd w:val="clear" w:color="000000" w:fill="FFFFFF"/>
            <w:vAlign w:val="center"/>
            <w:hideMark/>
          </w:tcPr>
          <w:p w14:paraId="7202BC5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1,246,320</w:t>
            </w:r>
          </w:p>
        </w:tc>
        <w:tc>
          <w:tcPr>
            <w:tcW w:w="991" w:type="dxa"/>
            <w:tcBorders>
              <w:top w:val="nil"/>
              <w:left w:val="nil"/>
              <w:bottom w:val="nil"/>
              <w:right w:val="single" w:sz="4" w:space="0" w:color="auto"/>
            </w:tcBorders>
            <w:shd w:val="clear" w:color="000000" w:fill="FFFFFF"/>
            <w:noWrap/>
            <w:vAlign w:val="center"/>
            <w:hideMark/>
          </w:tcPr>
          <w:p w14:paraId="6E00950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1,425,660</w:t>
            </w:r>
          </w:p>
        </w:tc>
        <w:tc>
          <w:tcPr>
            <w:tcW w:w="1160" w:type="dxa"/>
            <w:tcBorders>
              <w:top w:val="nil"/>
              <w:left w:val="nil"/>
              <w:bottom w:val="nil"/>
              <w:right w:val="nil"/>
            </w:tcBorders>
            <w:shd w:val="clear" w:color="000000" w:fill="FFFFFF"/>
            <w:noWrap/>
            <w:vAlign w:val="center"/>
            <w:hideMark/>
          </w:tcPr>
          <w:p w14:paraId="2762CAC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422,730</w:t>
            </w:r>
          </w:p>
        </w:tc>
        <w:tc>
          <w:tcPr>
            <w:tcW w:w="1130" w:type="dxa"/>
            <w:tcBorders>
              <w:top w:val="nil"/>
              <w:left w:val="nil"/>
              <w:bottom w:val="nil"/>
              <w:right w:val="nil"/>
            </w:tcBorders>
            <w:shd w:val="clear" w:color="000000" w:fill="FFFFFF"/>
            <w:vAlign w:val="center"/>
            <w:hideMark/>
          </w:tcPr>
          <w:p w14:paraId="140ABB1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255,490</w:t>
            </w:r>
          </w:p>
        </w:tc>
        <w:tc>
          <w:tcPr>
            <w:tcW w:w="1279" w:type="dxa"/>
            <w:tcBorders>
              <w:top w:val="nil"/>
              <w:left w:val="nil"/>
              <w:bottom w:val="nil"/>
              <w:right w:val="nil"/>
            </w:tcBorders>
            <w:shd w:val="clear" w:color="000000" w:fill="FFFFFF"/>
            <w:noWrap/>
            <w:vAlign w:val="center"/>
            <w:hideMark/>
          </w:tcPr>
          <w:p w14:paraId="7AB7558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678,220</w:t>
            </w:r>
          </w:p>
        </w:tc>
        <w:tc>
          <w:tcPr>
            <w:tcW w:w="1135" w:type="dxa"/>
            <w:tcBorders>
              <w:top w:val="nil"/>
              <w:left w:val="nil"/>
              <w:bottom w:val="nil"/>
              <w:right w:val="nil"/>
            </w:tcBorders>
            <w:shd w:val="clear" w:color="000000" w:fill="FFFFFF"/>
            <w:vAlign w:val="center"/>
            <w:hideMark/>
          </w:tcPr>
          <w:p w14:paraId="66596B3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108,692</w:t>
            </w:r>
          </w:p>
        </w:tc>
        <w:tc>
          <w:tcPr>
            <w:tcW w:w="992" w:type="dxa"/>
            <w:tcBorders>
              <w:top w:val="nil"/>
              <w:left w:val="nil"/>
              <w:bottom w:val="nil"/>
              <w:right w:val="nil"/>
            </w:tcBorders>
            <w:shd w:val="clear" w:color="auto" w:fill="FFFFFF" w:themeFill="background1"/>
            <w:vAlign w:val="center"/>
            <w:hideMark/>
          </w:tcPr>
          <w:p w14:paraId="0F73265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364,182</w:t>
            </w:r>
          </w:p>
        </w:tc>
        <w:tc>
          <w:tcPr>
            <w:tcW w:w="992" w:type="dxa"/>
            <w:tcBorders>
              <w:top w:val="nil"/>
              <w:left w:val="nil"/>
              <w:bottom w:val="nil"/>
              <w:right w:val="single" w:sz="4" w:space="0" w:color="auto"/>
            </w:tcBorders>
            <w:shd w:val="clear" w:color="000000" w:fill="FFFFFF"/>
            <w:vAlign w:val="center"/>
            <w:hideMark/>
          </w:tcPr>
          <w:p w14:paraId="4F9215F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786,912</w:t>
            </w:r>
          </w:p>
        </w:tc>
        <w:tc>
          <w:tcPr>
            <w:tcW w:w="992" w:type="dxa"/>
            <w:tcBorders>
              <w:top w:val="nil"/>
              <w:left w:val="nil"/>
              <w:bottom w:val="nil"/>
            </w:tcBorders>
            <w:shd w:val="clear" w:color="000000" w:fill="FFFFFF"/>
            <w:vAlign w:val="center"/>
            <w:hideMark/>
          </w:tcPr>
          <w:p w14:paraId="3261A070"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67</w:t>
            </w:r>
          </w:p>
        </w:tc>
      </w:tr>
      <w:tr w:rsidR="009E58CE" w:rsidRPr="009E58CE" w14:paraId="2C9A60AA" w14:textId="77777777" w:rsidTr="004C0DDC">
        <w:trPr>
          <w:trHeight w:val="198"/>
        </w:trPr>
        <w:tc>
          <w:tcPr>
            <w:tcW w:w="1281" w:type="dxa"/>
            <w:vMerge/>
            <w:tcBorders>
              <w:top w:val="nil"/>
              <w:bottom w:val="single" w:sz="4" w:space="0" w:color="000000"/>
              <w:right w:val="single" w:sz="4" w:space="0" w:color="auto"/>
            </w:tcBorders>
            <w:vAlign w:val="center"/>
            <w:hideMark/>
          </w:tcPr>
          <w:p w14:paraId="5C13AE16"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7A0A6019"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nil"/>
            </w:tcBorders>
            <w:shd w:val="clear" w:color="000000" w:fill="FFFFFF"/>
            <w:vAlign w:val="center"/>
            <w:hideMark/>
          </w:tcPr>
          <w:p w14:paraId="7B15A4AD"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single" w:sz="4" w:space="0" w:color="auto"/>
              <w:bottom w:val="nil"/>
              <w:right w:val="single" w:sz="4" w:space="0" w:color="auto"/>
            </w:tcBorders>
            <w:shd w:val="clear" w:color="000000" w:fill="FFFFFF"/>
            <w:noWrap/>
            <w:vAlign w:val="center"/>
            <w:hideMark/>
          </w:tcPr>
          <w:p w14:paraId="085B7BF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298,566</w:t>
            </w:r>
          </w:p>
        </w:tc>
        <w:tc>
          <w:tcPr>
            <w:tcW w:w="902" w:type="dxa"/>
            <w:tcBorders>
              <w:top w:val="nil"/>
              <w:left w:val="nil"/>
              <w:bottom w:val="nil"/>
              <w:right w:val="nil"/>
            </w:tcBorders>
            <w:shd w:val="clear" w:color="000000" w:fill="FFFFFF"/>
            <w:vAlign w:val="center"/>
            <w:hideMark/>
          </w:tcPr>
          <w:p w14:paraId="38AF2A4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18,595</w:t>
            </w:r>
          </w:p>
        </w:tc>
        <w:tc>
          <w:tcPr>
            <w:tcW w:w="993" w:type="dxa"/>
            <w:tcBorders>
              <w:top w:val="nil"/>
              <w:left w:val="nil"/>
              <w:bottom w:val="nil"/>
              <w:right w:val="nil"/>
            </w:tcBorders>
            <w:shd w:val="clear" w:color="000000" w:fill="FFFFFF"/>
            <w:vAlign w:val="center"/>
            <w:hideMark/>
          </w:tcPr>
          <w:p w14:paraId="32F5386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99,957</w:t>
            </w:r>
          </w:p>
        </w:tc>
        <w:tc>
          <w:tcPr>
            <w:tcW w:w="991" w:type="dxa"/>
            <w:tcBorders>
              <w:top w:val="nil"/>
              <w:left w:val="nil"/>
              <w:bottom w:val="nil"/>
              <w:right w:val="single" w:sz="4" w:space="0" w:color="auto"/>
            </w:tcBorders>
            <w:shd w:val="clear" w:color="000000" w:fill="FFFFFF"/>
            <w:noWrap/>
            <w:vAlign w:val="center"/>
            <w:hideMark/>
          </w:tcPr>
          <w:p w14:paraId="048104F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118,552</w:t>
            </w:r>
          </w:p>
        </w:tc>
        <w:tc>
          <w:tcPr>
            <w:tcW w:w="1160" w:type="dxa"/>
            <w:tcBorders>
              <w:top w:val="nil"/>
              <w:left w:val="nil"/>
              <w:bottom w:val="nil"/>
              <w:right w:val="nil"/>
            </w:tcBorders>
            <w:shd w:val="clear" w:color="000000" w:fill="FFFFFF"/>
            <w:noWrap/>
            <w:vAlign w:val="center"/>
            <w:hideMark/>
          </w:tcPr>
          <w:p w14:paraId="64A8006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77,367</w:t>
            </w:r>
          </w:p>
        </w:tc>
        <w:tc>
          <w:tcPr>
            <w:tcW w:w="1130" w:type="dxa"/>
            <w:tcBorders>
              <w:top w:val="nil"/>
              <w:left w:val="nil"/>
              <w:bottom w:val="nil"/>
              <w:right w:val="nil"/>
            </w:tcBorders>
            <w:shd w:val="clear" w:color="000000" w:fill="FFFFFF"/>
            <w:vAlign w:val="center"/>
            <w:hideMark/>
          </w:tcPr>
          <w:p w14:paraId="1C250BC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10,924</w:t>
            </w:r>
          </w:p>
        </w:tc>
        <w:tc>
          <w:tcPr>
            <w:tcW w:w="1279" w:type="dxa"/>
            <w:tcBorders>
              <w:top w:val="nil"/>
              <w:left w:val="nil"/>
              <w:bottom w:val="nil"/>
              <w:right w:val="nil"/>
            </w:tcBorders>
            <w:shd w:val="clear" w:color="000000" w:fill="FFFFFF"/>
            <w:noWrap/>
            <w:vAlign w:val="center"/>
            <w:hideMark/>
          </w:tcPr>
          <w:p w14:paraId="54416AE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88,291</w:t>
            </w:r>
          </w:p>
        </w:tc>
        <w:tc>
          <w:tcPr>
            <w:tcW w:w="1135" w:type="dxa"/>
            <w:tcBorders>
              <w:top w:val="nil"/>
              <w:left w:val="nil"/>
              <w:bottom w:val="nil"/>
              <w:right w:val="nil"/>
            </w:tcBorders>
            <w:shd w:val="clear" w:color="000000" w:fill="FFFFFF"/>
            <w:vAlign w:val="center"/>
            <w:hideMark/>
          </w:tcPr>
          <w:p w14:paraId="6CAF97D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2,571</w:t>
            </w:r>
          </w:p>
        </w:tc>
        <w:tc>
          <w:tcPr>
            <w:tcW w:w="992" w:type="dxa"/>
            <w:tcBorders>
              <w:top w:val="nil"/>
              <w:left w:val="nil"/>
              <w:bottom w:val="nil"/>
              <w:right w:val="nil"/>
            </w:tcBorders>
            <w:shd w:val="clear" w:color="auto" w:fill="FFFFFF" w:themeFill="background1"/>
            <w:vAlign w:val="center"/>
            <w:hideMark/>
          </w:tcPr>
          <w:p w14:paraId="2761884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13,495</w:t>
            </w:r>
          </w:p>
        </w:tc>
        <w:tc>
          <w:tcPr>
            <w:tcW w:w="992" w:type="dxa"/>
            <w:tcBorders>
              <w:top w:val="nil"/>
              <w:left w:val="nil"/>
              <w:bottom w:val="nil"/>
              <w:right w:val="single" w:sz="4" w:space="0" w:color="auto"/>
            </w:tcBorders>
            <w:shd w:val="clear" w:color="000000" w:fill="FFFFFF"/>
            <w:vAlign w:val="center"/>
            <w:hideMark/>
          </w:tcPr>
          <w:p w14:paraId="63B5A57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90,862</w:t>
            </w:r>
          </w:p>
        </w:tc>
        <w:tc>
          <w:tcPr>
            <w:tcW w:w="992" w:type="dxa"/>
            <w:tcBorders>
              <w:top w:val="nil"/>
              <w:left w:val="nil"/>
              <w:bottom w:val="nil"/>
            </w:tcBorders>
            <w:shd w:val="clear" w:color="000000" w:fill="FFFFFF"/>
            <w:vAlign w:val="center"/>
            <w:hideMark/>
          </w:tcPr>
          <w:p w14:paraId="4A9AB83A"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56</w:t>
            </w:r>
          </w:p>
        </w:tc>
      </w:tr>
      <w:tr w:rsidR="009E58CE" w:rsidRPr="009E58CE" w14:paraId="1D8A03AB" w14:textId="77777777" w:rsidTr="004C0DDC">
        <w:trPr>
          <w:trHeight w:val="198"/>
        </w:trPr>
        <w:tc>
          <w:tcPr>
            <w:tcW w:w="1281" w:type="dxa"/>
            <w:vMerge/>
            <w:tcBorders>
              <w:top w:val="nil"/>
              <w:bottom w:val="single" w:sz="4" w:space="0" w:color="000000"/>
              <w:right w:val="single" w:sz="4" w:space="0" w:color="auto"/>
            </w:tcBorders>
            <w:vAlign w:val="center"/>
            <w:hideMark/>
          </w:tcPr>
          <w:p w14:paraId="397B1A32" w14:textId="77777777" w:rsidR="009E58CE" w:rsidRPr="00F435C6" w:rsidRDefault="009E58CE" w:rsidP="00FA515E">
            <w:pPr>
              <w:spacing w:before="0" w:after="0"/>
              <w:rPr>
                <w:rFonts w:asciiTheme="majorHAnsi" w:hAnsiTheme="majorHAnsi" w:cs="Arial"/>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42A8D218"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nil"/>
            </w:tcBorders>
            <w:shd w:val="clear" w:color="000000" w:fill="FFFFFF"/>
            <w:vAlign w:val="center"/>
            <w:hideMark/>
          </w:tcPr>
          <w:p w14:paraId="6190CC11"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single" w:sz="4" w:space="0" w:color="auto"/>
              <w:bottom w:val="single" w:sz="4" w:space="0" w:color="auto"/>
              <w:right w:val="single" w:sz="4" w:space="0" w:color="auto"/>
            </w:tcBorders>
            <w:shd w:val="clear" w:color="000000" w:fill="FFFFFF"/>
            <w:noWrap/>
            <w:vAlign w:val="center"/>
            <w:hideMark/>
          </w:tcPr>
          <w:p w14:paraId="0AF190D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2,611,878</w:t>
            </w:r>
          </w:p>
        </w:tc>
        <w:tc>
          <w:tcPr>
            <w:tcW w:w="902" w:type="dxa"/>
            <w:tcBorders>
              <w:top w:val="nil"/>
              <w:left w:val="nil"/>
              <w:bottom w:val="single" w:sz="4" w:space="0" w:color="auto"/>
              <w:right w:val="nil"/>
            </w:tcBorders>
            <w:shd w:val="clear" w:color="000000" w:fill="FFFFFF"/>
            <w:vAlign w:val="center"/>
            <w:hideMark/>
          </w:tcPr>
          <w:p w14:paraId="704ECB8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197,935</w:t>
            </w:r>
          </w:p>
        </w:tc>
        <w:tc>
          <w:tcPr>
            <w:tcW w:w="993" w:type="dxa"/>
            <w:tcBorders>
              <w:top w:val="nil"/>
              <w:left w:val="nil"/>
              <w:bottom w:val="single" w:sz="4" w:space="0" w:color="auto"/>
              <w:right w:val="nil"/>
            </w:tcBorders>
            <w:shd w:val="clear" w:color="000000" w:fill="FFFFFF"/>
            <w:vAlign w:val="center"/>
            <w:hideMark/>
          </w:tcPr>
          <w:p w14:paraId="19E27C5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1,346,277</w:t>
            </w:r>
          </w:p>
        </w:tc>
        <w:tc>
          <w:tcPr>
            <w:tcW w:w="991" w:type="dxa"/>
            <w:tcBorders>
              <w:top w:val="nil"/>
              <w:left w:val="nil"/>
              <w:bottom w:val="single" w:sz="4" w:space="0" w:color="auto"/>
              <w:right w:val="single" w:sz="4" w:space="0" w:color="auto"/>
            </w:tcBorders>
            <w:shd w:val="clear" w:color="000000" w:fill="FFFFFF"/>
            <w:noWrap/>
            <w:vAlign w:val="center"/>
            <w:hideMark/>
          </w:tcPr>
          <w:p w14:paraId="20C9EDE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1,544,212</w:t>
            </w:r>
          </w:p>
        </w:tc>
        <w:tc>
          <w:tcPr>
            <w:tcW w:w="1160" w:type="dxa"/>
            <w:tcBorders>
              <w:top w:val="nil"/>
              <w:left w:val="nil"/>
              <w:bottom w:val="single" w:sz="4" w:space="0" w:color="auto"/>
              <w:right w:val="nil"/>
            </w:tcBorders>
            <w:shd w:val="clear" w:color="000000" w:fill="FFFFFF"/>
            <w:noWrap/>
            <w:vAlign w:val="center"/>
            <w:hideMark/>
          </w:tcPr>
          <w:p w14:paraId="7DB882E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500,097</w:t>
            </w:r>
          </w:p>
        </w:tc>
        <w:tc>
          <w:tcPr>
            <w:tcW w:w="1130" w:type="dxa"/>
            <w:tcBorders>
              <w:top w:val="nil"/>
              <w:left w:val="nil"/>
              <w:bottom w:val="single" w:sz="4" w:space="0" w:color="auto"/>
              <w:right w:val="nil"/>
            </w:tcBorders>
            <w:shd w:val="clear" w:color="000000" w:fill="FFFFFF"/>
            <w:vAlign w:val="center"/>
            <w:hideMark/>
          </w:tcPr>
          <w:p w14:paraId="2A826C1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266,414</w:t>
            </w:r>
          </w:p>
        </w:tc>
        <w:tc>
          <w:tcPr>
            <w:tcW w:w="1279" w:type="dxa"/>
            <w:tcBorders>
              <w:top w:val="nil"/>
              <w:left w:val="nil"/>
              <w:bottom w:val="single" w:sz="4" w:space="0" w:color="auto"/>
              <w:right w:val="nil"/>
            </w:tcBorders>
            <w:shd w:val="clear" w:color="000000" w:fill="FFFFFF"/>
            <w:noWrap/>
            <w:vAlign w:val="center"/>
            <w:hideMark/>
          </w:tcPr>
          <w:p w14:paraId="6878E97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766,511</w:t>
            </w:r>
          </w:p>
        </w:tc>
        <w:tc>
          <w:tcPr>
            <w:tcW w:w="1135" w:type="dxa"/>
            <w:tcBorders>
              <w:top w:val="nil"/>
              <w:left w:val="nil"/>
              <w:bottom w:val="single" w:sz="4" w:space="0" w:color="auto"/>
              <w:right w:val="nil"/>
            </w:tcBorders>
            <w:shd w:val="clear" w:color="000000" w:fill="FFFFFF"/>
            <w:vAlign w:val="center"/>
            <w:hideMark/>
          </w:tcPr>
          <w:p w14:paraId="01A289C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111,263</w:t>
            </w:r>
          </w:p>
        </w:tc>
        <w:tc>
          <w:tcPr>
            <w:tcW w:w="992" w:type="dxa"/>
            <w:tcBorders>
              <w:top w:val="nil"/>
              <w:left w:val="nil"/>
              <w:bottom w:val="single" w:sz="4" w:space="0" w:color="auto"/>
              <w:right w:val="nil"/>
            </w:tcBorders>
            <w:shd w:val="clear" w:color="auto" w:fill="FFFFFF" w:themeFill="background1"/>
            <w:vAlign w:val="center"/>
            <w:hideMark/>
          </w:tcPr>
          <w:p w14:paraId="538B51B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377,677</w:t>
            </w:r>
          </w:p>
        </w:tc>
        <w:tc>
          <w:tcPr>
            <w:tcW w:w="992" w:type="dxa"/>
            <w:tcBorders>
              <w:top w:val="nil"/>
              <w:left w:val="nil"/>
              <w:bottom w:val="single" w:sz="4" w:space="0" w:color="auto"/>
              <w:right w:val="single" w:sz="4" w:space="0" w:color="auto"/>
            </w:tcBorders>
            <w:shd w:val="clear" w:color="000000" w:fill="FFFFFF"/>
            <w:vAlign w:val="center"/>
            <w:hideMark/>
          </w:tcPr>
          <w:p w14:paraId="22CA671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877,774</w:t>
            </w:r>
          </w:p>
        </w:tc>
        <w:tc>
          <w:tcPr>
            <w:tcW w:w="992" w:type="dxa"/>
            <w:tcBorders>
              <w:top w:val="nil"/>
              <w:left w:val="nil"/>
              <w:bottom w:val="single" w:sz="4" w:space="0" w:color="auto"/>
            </w:tcBorders>
            <w:shd w:val="clear" w:color="000000" w:fill="FFFFFF"/>
            <w:vAlign w:val="center"/>
            <w:hideMark/>
          </w:tcPr>
          <w:p w14:paraId="49E2D173"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123</w:t>
            </w:r>
          </w:p>
        </w:tc>
      </w:tr>
      <w:tr w:rsidR="009E58CE" w:rsidRPr="009E58CE" w14:paraId="2F1D1849" w14:textId="77777777" w:rsidTr="004C0DDC">
        <w:trPr>
          <w:trHeight w:val="198"/>
        </w:trPr>
        <w:tc>
          <w:tcPr>
            <w:tcW w:w="1281" w:type="dxa"/>
            <w:vMerge w:val="restart"/>
            <w:tcBorders>
              <w:top w:val="nil"/>
              <w:bottom w:val="single" w:sz="4" w:space="0" w:color="000000"/>
              <w:right w:val="single" w:sz="4" w:space="0" w:color="auto"/>
            </w:tcBorders>
            <w:shd w:val="clear" w:color="000000" w:fill="FFFFFF"/>
            <w:vAlign w:val="center"/>
            <w:hideMark/>
          </w:tcPr>
          <w:p w14:paraId="52BB7742"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West Victoria</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7CDB0B6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5,779,000</w:t>
            </w:r>
          </w:p>
        </w:tc>
        <w:tc>
          <w:tcPr>
            <w:tcW w:w="1059" w:type="dxa"/>
            <w:tcBorders>
              <w:top w:val="nil"/>
              <w:left w:val="single" w:sz="4" w:space="0" w:color="auto"/>
              <w:bottom w:val="nil"/>
              <w:right w:val="single" w:sz="4" w:space="0" w:color="auto"/>
            </w:tcBorders>
            <w:shd w:val="clear" w:color="000000" w:fill="FFFFFF"/>
            <w:vAlign w:val="center"/>
            <w:hideMark/>
          </w:tcPr>
          <w:p w14:paraId="7A511B86"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nil"/>
              <w:left w:val="nil"/>
              <w:bottom w:val="nil"/>
              <w:right w:val="nil"/>
            </w:tcBorders>
            <w:shd w:val="clear" w:color="000000" w:fill="FFFFFF"/>
            <w:noWrap/>
            <w:vAlign w:val="center"/>
            <w:hideMark/>
          </w:tcPr>
          <w:p w14:paraId="1499CB0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5,077,347</w:t>
            </w:r>
          </w:p>
        </w:tc>
        <w:tc>
          <w:tcPr>
            <w:tcW w:w="902" w:type="dxa"/>
            <w:tcBorders>
              <w:top w:val="nil"/>
              <w:left w:val="single" w:sz="4" w:space="0" w:color="auto"/>
              <w:bottom w:val="nil"/>
              <w:right w:val="nil"/>
            </w:tcBorders>
            <w:shd w:val="clear" w:color="000000" w:fill="FFFFFF"/>
            <w:vAlign w:val="center"/>
            <w:hideMark/>
          </w:tcPr>
          <w:p w14:paraId="6B0DD1C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246,781</w:t>
            </w:r>
          </w:p>
        </w:tc>
        <w:tc>
          <w:tcPr>
            <w:tcW w:w="993" w:type="dxa"/>
            <w:tcBorders>
              <w:top w:val="nil"/>
              <w:left w:val="nil"/>
              <w:bottom w:val="nil"/>
              <w:right w:val="nil"/>
            </w:tcBorders>
            <w:shd w:val="clear" w:color="000000" w:fill="FFFFFF"/>
            <w:vAlign w:val="center"/>
            <w:hideMark/>
          </w:tcPr>
          <w:p w14:paraId="0C35DF7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721,223</w:t>
            </w:r>
          </w:p>
        </w:tc>
        <w:tc>
          <w:tcPr>
            <w:tcW w:w="991" w:type="dxa"/>
            <w:tcBorders>
              <w:top w:val="nil"/>
              <w:left w:val="nil"/>
              <w:bottom w:val="nil"/>
              <w:right w:val="single" w:sz="4" w:space="0" w:color="auto"/>
            </w:tcBorders>
            <w:shd w:val="clear" w:color="000000" w:fill="FFFFFF"/>
            <w:noWrap/>
            <w:vAlign w:val="center"/>
            <w:hideMark/>
          </w:tcPr>
          <w:p w14:paraId="09CBA5B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968,002</w:t>
            </w:r>
          </w:p>
        </w:tc>
        <w:tc>
          <w:tcPr>
            <w:tcW w:w="1160" w:type="dxa"/>
            <w:tcBorders>
              <w:top w:val="nil"/>
              <w:left w:val="nil"/>
              <w:bottom w:val="nil"/>
              <w:right w:val="nil"/>
            </w:tcBorders>
            <w:shd w:val="clear" w:color="000000" w:fill="FFFFFF"/>
            <w:noWrap/>
            <w:vAlign w:val="center"/>
            <w:hideMark/>
          </w:tcPr>
          <w:p w14:paraId="64A209A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347,873</w:t>
            </w:r>
          </w:p>
        </w:tc>
        <w:tc>
          <w:tcPr>
            <w:tcW w:w="1130" w:type="dxa"/>
            <w:tcBorders>
              <w:top w:val="nil"/>
              <w:left w:val="nil"/>
              <w:bottom w:val="nil"/>
              <w:right w:val="nil"/>
            </w:tcBorders>
            <w:shd w:val="clear" w:color="000000" w:fill="FFFFFF"/>
            <w:vAlign w:val="center"/>
            <w:hideMark/>
          </w:tcPr>
          <w:p w14:paraId="3758CB7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145,193</w:t>
            </w:r>
          </w:p>
        </w:tc>
        <w:tc>
          <w:tcPr>
            <w:tcW w:w="1279" w:type="dxa"/>
            <w:tcBorders>
              <w:top w:val="nil"/>
              <w:left w:val="nil"/>
              <w:bottom w:val="nil"/>
              <w:right w:val="nil"/>
            </w:tcBorders>
            <w:shd w:val="clear" w:color="000000" w:fill="FFFFFF"/>
            <w:noWrap/>
            <w:vAlign w:val="center"/>
            <w:hideMark/>
          </w:tcPr>
          <w:p w14:paraId="6481995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493,066</w:t>
            </w:r>
          </w:p>
        </w:tc>
        <w:tc>
          <w:tcPr>
            <w:tcW w:w="1135" w:type="dxa"/>
            <w:tcBorders>
              <w:top w:val="nil"/>
              <w:left w:val="nil"/>
              <w:bottom w:val="nil"/>
              <w:right w:val="nil"/>
            </w:tcBorders>
            <w:shd w:val="clear" w:color="000000" w:fill="FFFFFF"/>
            <w:vAlign w:val="center"/>
            <w:hideMark/>
          </w:tcPr>
          <w:p w14:paraId="5AE4C95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4,390</w:t>
            </w:r>
          </w:p>
        </w:tc>
        <w:tc>
          <w:tcPr>
            <w:tcW w:w="992" w:type="dxa"/>
            <w:tcBorders>
              <w:top w:val="nil"/>
              <w:left w:val="nil"/>
              <w:bottom w:val="nil"/>
              <w:right w:val="nil"/>
            </w:tcBorders>
            <w:shd w:val="clear" w:color="auto" w:fill="FFFFFF" w:themeFill="background1"/>
            <w:vAlign w:val="center"/>
            <w:hideMark/>
          </w:tcPr>
          <w:p w14:paraId="160DF36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149,583</w:t>
            </w:r>
          </w:p>
        </w:tc>
        <w:tc>
          <w:tcPr>
            <w:tcW w:w="992" w:type="dxa"/>
            <w:tcBorders>
              <w:top w:val="nil"/>
              <w:left w:val="nil"/>
              <w:bottom w:val="nil"/>
              <w:right w:val="single" w:sz="4" w:space="0" w:color="auto"/>
            </w:tcBorders>
            <w:shd w:val="clear" w:color="000000" w:fill="FFFFFF"/>
            <w:vAlign w:val="center"/>
            <w:hideMark/>
          </w:tcPr>
          <w:p w14:paraId="3040024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497,456</w:t>
            </w:r>
          </w:p>
        </w:tc>
        <w:tc>
          <w:tcPr>
            <w:tcW w:w="992" w:type="dxa"/>
            <w:tcBorders>
              <w:top w:val="nil"/>
              <w:left w:val="nil"/>
              <w:bottom w:val="nil"/>
            </w:tcBorders>
            <w:shd w:val="clear" w:color="000000" w:fill="FFFFFF"/>
            <w:vAlign w:val="center"/>
            <w:hideMark/>
          </w:tcPr>
          <w:p w14:paraId="22A500D1"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184</w:t>
            </w:r>
          </w:p>
        </w:tc>
      </w:tr>
      <w:tr w:rsidR="009E58CE" w:rsidRPr="009E58CE" w14:paraId="0802887E" w14:textId="77777777" w:rsidTr="004C0DDC">
        <w:trPr>
          <w:trHeight w:val="198"/>
        </w:trPr>
        <w:tc>
          <w:tcPr>
            <w:tcW w:w="1281" w:type="dxa"/>
            <w:vMerge/>
            <w:tcBorders>
              <w:top w:val="nil"/>
              <w:bottom w:val="single" w:sz="4" w:space="0" w:color="000000"/>
              <w:right w:val="single" w:sz="4" w:space="0" w:color="auto"/>
            </w:tcBorders>
            <w:vAlign w:val="center"/>
            <w:hideMark/>
          </w:tcPr>
          <w:p w14:paraId="0A397181"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58C41231"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74FAC1B5"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nil"/>
            </w:tcBorders>
            <w:shd w:val="clear" w:color="000000" w:fill="FFFFFF"/>
            <w:noWrap/>
            <w:vAlign w:val="center"/>
            <w:hideMark/>
          </w:tcPr>
          <w:p w14:paraId="52E629C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585,813</w:t>
            </w:r>
          </w:p>
        </w:tc>
        <w:tc>
          <w:tcPr>
            <w:tcW w:w="902" w:type="dxa"/>
            <w:tcBorders>
              <w:top w:val="nil"/>
              <w:left w:val="single" w:sz="4" w:space="0" w:color="auto"/>
              <w:bottom w:val="nil"/>
              <w:right w:val="nil"/>
            </w:tcBorders>
            <w:shd w:val="clear" w:color="000000" w:fill="FFFFFF"/>
            <w:vAlign w:val="center"/>
            <w:hideMark/>
          </w:tcPr>
          <w:p w14:paraId="62DD75D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8,404</w:t>
            </w:r>
          </w:p>
        </w:tc>
        <w:tc>
          <w:tcPr>
            <w:tcW w:w="993" w:type="dxa"/>
            <w:tcBorders>
              <w:top w:val="nil"/>
              <w:left w:val="nil"/>
              <w:bottom w:val="nil"/>
              <w:right w:val="nil"/>
            </w:tcBorders>
            <w:shd w:val="clear" w:color="000000" w:fill="FFFFFF"/>
            <w:vAlign w:val="center"/>
            <w:hideMark/>
          </w:tcPr>
          <w:p w14:paraId="64FF461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94,891</w:t>
            </w:r>
          </w:p>
        </w:tc>
        <w:tc>
          <w:tcPr>
            <w:tcW w:w="991" w:type="dxa"/>
            <w:tcBorders>
              <w:top w:val="nil"/>
              <w:left w:val="nil"/>
              <w:bottom w:val="nil"/>
              <w:right w:val="single" w:sz="4" w:space="0" w:color="auto"/>
            </w:tcBorders>
            <w:shd w:val="clear" w:color="000000" w:fill="FFFFFF"/>
            <w:noWrap/>
            <w:vAlign w:val="center"/>
            <w:hideMark/>
          </w:tcPr>
          <w:p w14:paraId="30310A5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103,294</w:t>
            </w:r>
          </w:p>
        </w:tc>
        <w:tc>
          <w:tcPr>
            <w:tcW w:w="1160" w:type="dxa"/>
            <w:tcBorders>
              <w:top w:val="nil"/>
              <w:left w:val="nil"/>
              <w:bottom w:val="nil"/>
              <w:right w:val="nil"/>
            </w:tcBorders>
            <w:shd w:val="clear" w:color="000000" w:fill="FFFFFF"/>
            <w:noWrap/>
            <w:vAlign w:val="center"/>
            <w:hideMark/>
          </w:tcPr>
          <w:p w14:paraId="6467977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75,537</w:t>
            </w:r>
          </w:p>
        </w:tc>
        <w:tc>
          <w:tcPr>
            <w:tcW w:w="1130" w:type="dxa"/>
            <w:tcBorders>
              <w:top w:val="nil"/>
              <w:left w:val="nil"/>
              <w:bottom w:val="nil"/>
              <w:right w:val="nil"/>
            </w:tcBorders>
            <w:shd w:val="clear" w:color="000000" w:fill="FFFFFF"/>
            <w:vAlign w:val="center"/>
            <w:hideMark/>
          </w:tcPr>
          <w:p w14:paraId="752A3F2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11,013</w:t>
            </w:r>
          </w:p>
        </w:tc>
        <w:tc>
          <w:tcPr>
            <w:tcW w:w="1279" w:type="dxa"/>
            <w:tcBorders>
              <w:top w:val="nil"/>
              <w:left w:val="nil"/>
              <w:bottom w:val="nil"/>
              <w:right w:val="nil"/>
            </w:tcBorders>
            <w:shd w:val="clear" w:color="000000" w:fill="FFFFFF"/>
            <w:noWrap/>
            <w:vAlign w:val="center"/>
            <w:hideMark/>
          </w:tcPr>
          <w:p w14:paraId="70C5278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86,550</w:t>
            </w:r>
          </w:p>
        </w:tc>
        <w:tc>
          <w:tcPr>
            <w:tcW w:w="1135" w:type="dxa"/>
            <w:tcBorders>
              <w:top w:val="nil"/>
              <w:left w:val="nil"/>
              <w:bottom w:val="nil"/>
              <w:right w:val="nil"/>
            </w:tcBorders>
            <w:shd w:val="clear" w:color="000000" w:fill="FFFFFF"/>
            <w:vAlign w:val="center"/>
            <w:hideMark/>
          </w:tcPr>
          <w:p w14:paraId="568A9C7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2" w:type="dxa"/>
            <w:tcBorders>
              <w:top w:val="nil"/>
              <w:left w:val="nil"/>
              <w:bottom w:val="nil"/>
              <w:right w:val="nil"/>
            </w:tcBorders>
            <w:shd w:val="clear" w:color="auto" w:fill="FFFFFF" w:themeFill="background1"/>
            <w:vAlign w:val="center"/>
            <w:hideMark/>
          </w:tcPr>
          <w:p w14:paraId="1EA2730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11,013</w:t>
            </w:r>
          </w:p>
        </w:tc>
        <w:tc>
          <w:tcPr>
            <w:tcW w:w="992" w:type="dxa"/>
            <w:tcBorders>
              <w:top w:val="nil"/>
              <w:left w:val="nil"/>
              <w:bottom w:val="nil"/>
              <w:right w:val="single" w:sz="4" w:space="0" w:color="auto"/>
            </w:tcBorders>
            <w:shd w:val="clear" w:color="000000" w:fill="FFFFFF"/>
            <w:vAlign w:val="center"/>
            <w:hideMark/>
          </w:tcPr>
          <w:p w14:paraId="5922B00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86,550</w:t>
            </w:r>
          </w:p>
        </w:tc>
        <w:tc>
          <w:tcPr>
            <w:tcW w:w="992" w:type="dxa"/>
            <w:tcBorders>
              <w:top w:val="nil"/>
              <w:left w:val="nil"/>
              <w:bottom w:val="nil"/>
            </w:tcBorders>
            <w:shd w:val="clear" w:color="000000" w:fill="FFFFFF"/>
            <w:vAlign w:val="center"/>
            <w:hideMark/>
          </w:tcPr>
          <w:p w14:paraId="22C8AF87"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76</w:t>
            </w:r>
          </w:p>
        </w:tc>
      </w:tr>
      <w:tr w:rsidR="009E58CE" w:rsidRPr="009E58CE" w14:paraId="27B28148" w14:textId="77777777" w:rsidTr="004C0DDC">
        <w:trPr>
          <w:trHeight w:val="198"/>
        </w:trPr>
        <w:tc>
          <w:tcPr>
            <w:tcW w:w="1281" w:type="dxa"/>
            <w:vMerge/>
            <w:tcBorders>
              <w:top w:val="nil"/>
              <w:bottom w:val="single" w:sz="4" w:space="0" w:color="000000"/>
              <w:right w:val="single" w:sz="4" w:space="0" w:color="auto"/>
            </w:tcBorders>
            <w:vAlign w:val="center"/>
            <w:hideMark/>
          </w:tcPr>
          <w:p w14:paraId="643AF0F6"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443AE722"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22C1CE0F"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nil"/>
              <w:right w:val="nil"/>
            </w:tcBorders>
            <w:shd w:val="clear" w:color="000000" w:fill="FFFFFF"/>
            <w:noWrap/>
            <w:vAlign w:val="center"/>
            <w:hideMark/>
          </w:tcPr>
          <w:p w14:paraId="000ACC9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5,663,160</w:t>
            </w:r>
          </w:p>
        </w:tc>
        <w:tc>
          <w:tcPr>
            <w:tcW w:w="902" w:type="dxa"/>
            <w:tcBorders>
              <w:top w:val="nil"/>
              <w:left w:val="single" w:sz="4" w:space="0" w:color="auto"/>
              <w:bottom w:val="single" w:sz="4" w:space="0" w:color="auto"/>
              <w:right w:val="nil"/>
            </w:tcBorders>
            <w:shd w:val="clear" w:color="000000" w:fill="FFFFFF"/>
            <w:vAlign w:val="center"/>
            <w:hideMark/>
          </w:tcPr>
          <w:p w14:paraId="3957D76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255,185</w:t>
            </w:r>
          </w:p>
        </w:tc>
        <w:tc>
          <w:tcPr>
            <w:tcW w:w="993" w:type="dxa"/>
            <w:tcBorders>
              <w:top w:val="nil"/>
              <w:left w:val="nil"/>
              <w:bottom w:val="single" w:sz="4" w:space="0" w:color="auto"/>
              <w:right w:val="nil"/>
            </w:tcBorders>
            <w:shd w:val="clear" w:color="000000" w:fill="FFFFFF"/>
            <w:vAlign w:val="center"/>
            <w:hideMark/>
          </w:tcPr>
          <w:p w14:paraId="79F08C9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816,114</w:t>
            </w:r>
          </w:p>
        </w:tc>
        <w:tc>
          <w:tcPr>
            <w:tcW w:w="991" w:type="dxa"/>
            <w:tcBorders>
              <w:top w:val="nil"/>
              <w:left w:val="nil"/>
              <w:bottom w:val="single" w:sz="4" w:space="0" w:color="auto"/>
              <w:right w:val="single" w:sz="4" w:space="0" w:color="auto"/>
            </w:tcBorders>
            <w:shd w:val="clear" w:color="000000" w:fill="FFFFFF"/>
            <w:noWrap/>
            <w:vAlign w:val="center"/>
            <w:hideMark/>
          </w:tcPr>
          <w:p w14:paraId="1C4EB7C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1,071,296</w:t>
            </w:r>
          </w:p>
        </w:tc>
        <w:tc>
          <w:tcPr>
            <w:tcW w:w="1160" w:type="dxa"/>
            <w:tcBorders>
              <w:top w:val="nil"/>
              <w:left w:val="nil"/>
              <w:bottom w:val="single" w:sz="4" w:space="0" w:color="auto"/>
              <w:right w:val="nil"/>
            </w:tcBorders>
            <w:shd w:val="clear" w:color="000000" w:fill="FFFFFF"/>
            <w:noWrap/>
            <w:vAlign w:val="center"/>
            <w:hideMark/>
          </w:tcPr>
          <w:p w14:paraId="12EE14C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423,410</w:t>
            </w:r>
          </w:p>
        </w:tc>
        <w:tc>
          <w:tcPr>
            <w:tcW w:w="1130" w:type="dxa"/>
            <w:tcBorders>
              <w:top w:val="nil"/>
              <w:left w:val="nil"/>
              <w:bottom w:val="single" w:sz="4" w:space="0" w:color="auto"/>
              <w:right w:val="nil"/>
            </w:tcBorders>
            <w:shd w:val="clear" w:color="000000" w:fill="FFFFFF"/>
            <w:vAlign w:val="center"/>
            <w:hideMark/>
          </w:tcPr>
          <w:p w14:paraId="52A0FAC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156,206</w:t>
            </w:r>
          </w:p>
        </w:tc>
        <w:tc>
          <w:tcPr>
            <w:tcW w:w="1279" w:type="dxa"/>
            <w:tcBorders>
              <w:top w:val="nil"/>
              <w:left w:val="nil"/>
              <w:bottom w:val="single" w:sz="4" w:space="0" w:color="auto"/>
              <w:right w:val="nil"/>
            </w:tcBorders>
            <w:shd w:val="clear" w:color="000000" w:fill="FFFFFF"/>
            <w:noWrap/>
            <w:vAlign w:val="center"/>
            <w:hideMark/>
          </w:tcPr>
          <w:p w14:paraId="04C26DC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579,616</w:t>
            </w:r>
          </w:p>
        </w:tc>
        <w:tc>
          <w:tcPr>
            <w:tcW w:w="1135" w:type="dxa"/>
            <w:tcBorders>
              <w:top w:val="nil"/>
              <w:left w:val="nil"/>
              <w:bottom w:val="single" w:sz="4" w:space="0" w:color="auto"/>
              <w:right w:val="nil"/>
            </w:tcBorders>
            <w:shd w:val="clear" w:color="000000" w:fill="FFFFFF"/>
            <w:vAlign w:val="center"/>
            <w:hideMark/>
          </w:tcPr>
          <w:p w14:paraId="31F9527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4,390</w:t>
            </w:r>
          </w:p>
        </w:tc>
        <w:tc>
          <w:tcPr>
            <w:tcW w:w="992" w:type="dxa"/>
            <w:tcBorders>
              <w:top w:val="nil"/>
              <w:left w:val="nil"/>
              <w:bottom w:val="single" w:sz="4" w:space="0" w:color="auto"/>
              <w:right w:val="nil"/>
            </w:tcBorders>
            <w:shd w:val="clear" w:color="auto" w:fill="FFFFFF" w:themeFill="background1"/>
            <w:vAlign w:val="center"/>
            <w:hideMark/>
          </w:tcPr>
          <w:p w14:paraId="44DC7DE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160,596</w:t>
            </w:r>
          </w:p>
        </w:tc>
        <w:tc>
          <w:tcPr>
            <w:tcW w:w="992" w:type="dxa"/>
            <w:tcBorders>
              <w:top w:val="nil"/>
              <w:left w:val="nil"/>
              <w:bottom w:val="single" w:sz="4" w:space="0" w:color="auto"/>
              <w:right w:val="single" w:sz="4" w:space="0" w:color="auto"/>
            </w:tcBorders>
            <w:shd w:val="clear" w:color="000000" w:fill="FFFFFF"/>
            <w:vAlign w:val="center"/>
            <w:hideMark/>
          </w:tcPr>
          <w:p w14:paraId="59D72AB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584,006</w:t>
            </w:r>
          </w:p>
        </w:tc>
        <w:tc>
          <w:tcPr>
            <w:tcW w:w="992" w:type="dxa"/>
            <w:tcBorders>
              <w:top w:val="nil"/>
              <w:left w:val="nil"/>
              <w:bottom w:val="single" w:sz="4" w:space="0" w:color="auto"/>
            </w:tcBorders>
            <w:shd w:val="clear" w:color="000000" w:fill="FFFFFF"/>
            <w:vAlign w:val="center"/>
            <w:hideMark/>
          </w:tcPr>
          <w:p w14:paraId="2E8E6481"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260</w:t>
            </w:r>
          </w:p>
        </w:tc>
      </w:tr>
      <w:tr w:rsidR="009E58CE" w:rsidRPr="009E58CE" w14:paraId="6F26F81C" w14:textId="77777777" w:rsidTr="004C0DDC">
        <w:trPr>
          <w:trHeight w:val="198"/>
        </w:trPr>
        <w:tc>
          <w:tcPr>
            <w:tcW w:w="1281" w:type="dxa"/>
            <w:vMerge w:val="restart"/>
            <w:tcBorders>
              <w:top w:val="nil"/>
              <w:bottom w:val="single" w:sz="4" w:space="0" w:color="000000"/>
              <w:right w:val="single" w:sz="4" w:space="0" w:color="auto"/>
            </w:tcBorders>
            <w:shd w:val="clear" w:color="000000" w:fill="FFFFFF"/>
            <w:vAlign w:val="center"/>
            <w:hideMark/>
          </w:tcPr>
          <w:p w14:paraId="06166786"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Total Victorian RFA regions</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248E344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13,114,000</w:t>
            </w:r>
          </w:p>
        </w:tc>
        <w:tc>
          <w:tcPr>
            <w:tcW w:w="1059" w:type="dxa"/>
            <w:tcBorders>
              <w:top w:val="nil"/>
              <w:left w:val="single" w:sz="4" w:space="0" w:color="auto"/>
              <w:bottom w:val="nil"/>
              <w:right w:val="single" w:sz="4" w:space="0" w:color="auto"/>
            </w:tcBorders>
            <w:shd w:val="clear" w:color="000000" w:fill="FFFFFF"/>
            <w:vAlign w:val="center"/>
            <w:hideMark/>
          </w:tcPr>
          <w:p w14:paraId="7E787542"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single" w:sz="4" w:space="0" w:color="auto"/>
              <w:left w:val="nil"/>
              <w:bottom w:val="nil"/>
              <w:right w:val="nil"/>
            </w:tcBorders>
            <w:shd w:val="clear" w:color="000000" w:fill="FFFFFF"/>
            <w:noWrap/>
            <w:vAlign w:val="center"/>
            <w:hideMark/>
          </w:tcPr>
          <w:p w14:paraId="6E3773A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11,873,489</w:t>
            </w:r>
          </w:p>
        </w:tc>
        <w:tc>
          <w:tcPr>
            <w:tcW w:w="902" w:type="dxa"/>
            <w:tcBorders>
              <w:top w:val="nil"/>
              <w:left w:val="single" w:sz="4" w:space="0" w:color="auto"/>
              <w:bottom w:val="nil"/>
              <w:right w:val="nil"/>
            </w:tcBorders>
            <w:shd w:val="clear" w:color="000000" w:fill="FFFFFF"/>
            <w:vAlign w:val="center"/>
            <w:hideMark/>
          </w:tcPr>
          <w:p w14:paraId="605C2E6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770,784</w:t>
            </w:r>
          </w:p>
        </w:tc>
        <w:tc>
          <w:tcPr>
            <w:tcW w:w="993" w:type="dxa"/>
            <w:tcBorders>
              <w:top w:val="nil"/>
              <w:left w:val="nil"/>
              <w:bottom w:val="nil"/>
              <w:right w:val="nil"/>
            </w:tcBorders>
            <w:shd w:val="clear" w:color="000000" w:fill="FFFFFF"/>
            <w:vAlign w:val="center"/>
            <w:hideMark/>
          </w:tcPr>
          <w:p w14:paraId="4B6DC8F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4,644,169</w:t>
            </w:r>
          </w:p>
        </w:tc>
        <w:tc>
          <w:tcPr>
            <w:tcW w:w="991" w:type="dxa"/>
            <w:tcBorders>
              <w:top w:val="nil"/>
              <w:left w:val="nil"/>
              <w:bottom w:val="nil"/>
              <w:right w:val="single" w:sz="4" w:space="0" w:color="auto"/>
            </w:tcBorders>
            <w:shd w:val="clear" w:color="000000" w:fill="FFFFFF"/>
            <w:noWrap/>
            <w:vAlign w:val="center"/>
            <w:hideMark/>
          </w:tcPr>
          <w:p w14:paraId="4DC37C8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5,414,951</w:t>
            </w:r>
          </w:p>
        </w:tc>
        <w:tc>
          <w:tcPr>
            <w:tcW w:w="1160" w:type="dxa"/>
            <w:tcBorders>
              <w:top w:val="nil"/>
              <w:left w:val="nil"/>
              <w:bottom w:val="nil"/>
              <w:right w:val="nil"/>
            </w:tcBorders>
            <w:shd w:val="clear" w:color="000000" w:fill="FFFFFF"/>
            <w:noWrap/>
            <w:vAlign w:val="center"/>
            <w:hideMark/>
          </w:tcPr>
          <w:p w14:paraId="5F8C335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1,810,565</w:t>
            </w:r>
          </w:p>
        </w:tc>
        <w:tc>
          <w:tcPr>
            <w:tcW w:w="1130" w:type="dxa"/>
            <w:tcBorders>
              <w:top w:val="nil"/>
              <w:left w:val="nil"/>
              <w:bottom w:val="nil"/>
              <w:right w:val="nil"/>
            </w:tcBorders>
            <w:shd w:val="clear" w:color="000000" w:fill="FFFFFF"/>
            <w:vAlign w:val="center"/>
            <w:hideMark/>
          </w:tcPr>
          <w:p w14:paraId="209B29B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670,542</w:t>
            </w:r>
          </w:p>
        </w:tc>
        <w:tc>
          <w:tcPr>
            <w:tcW w:w="1279" w:type="dxa"/>
            <w:tcBorders>
              <w:top w:val="nil"/>
              <w:left w:val="nil"/>
              <w:bottom w:val="nil"/>
              <w:right w:val="nil"/>
            </w:tcBorders>
            <w:shd w:val="clear" w:color="000000" w:fill="FFFFFF"/>
            <w:noWrap/>
            <w:vAlign w:val="center"/>
            <w:hideMark/>
          </w:tcPr>
          <w:p w14:paraId="7B9CFEE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2,481,107</w:t>
            </w:r>
          </w:p>
        </w:tc>
        <w:tc>
          <w:tcPr>
            <w:tcW w:w="1135" w:type="dxa"/>
            <w:tcBorders>
              <w:top w:val="nil"/>
              <w:left w:val="nil"/>
              <w:bottom w:val="nil"/>
              <w:right w:val="nil"/>
            </w:tcBorders>
            <w:shd w:val="clear" w:color="000000" w:fill="FFFFFF"/>
            <w:vAlign w:val="center"/>
            <w:hideMark/>
          </w:tcPr>
          <w:p w14:paraId="50EC4D3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288,189</w:t>
            </w:r>
          </w:p>
        </w:tc>
        <w:tc>
          <w:tcPr>
            <w:tcW w:w="992" w:type="dxa"/>
            <w:tcBorders>
              <w:top w:val="nil"/>
              <w:left w:val="nil"/>
              <w:bottom w:val="nil"/>
              <w:right w:val="nil"/>
            </w:tcBorders>
            <w:shd w:val="clear" w:color="auto" w:fill="FFFFFF" w:themeFill="background1"/>
            <w:vAlign w:val="center"/>
            <w:hideMark/>
          </w:tcPr>
          <w:p w14:paraId="145C35A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958,731</w:t>
            </w:r>
          </w:p>
        </w:tc>
        <w:tc>
          <w:tcPr>
            <w:tcW w:w="992" w:type="dxa"/>
            <w:tcBorders>
              <w:top w:val="nil"/>
              <w:left w:val="nil"/>
              <w:bottom w:val="nil"/>
              <w:right w:val="single" w:sz="4" w:space="0" w:color="auto"/>
            </w:tcBorders>
            <w:shd w:val="clear" w:color="000000" w:fill="FFFFFF"/>
            <w:vAlign w:val="center"/>
            <w:hideMark/>
          </w:tcPr>
          <w:p w14:paraId="3082A08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2,769,296</w:t>
            </w:r>
          </w:p>
        </w:tc>
        <w:tc>
          <w:tcPr>
            <w:tcW w:w="992" w:type="dxa"/>
            <w:tcBorders>
              <w:top w:val="nil"/>
              <w:left w:val="nil"/>
              <w:bottom w:val="nil"/>
            </w:tcBorders>
            <w:shd w:val="clear" w:color="000000" w:fill="FFFFFF"/>
            <w:vAlign w:val="center"/>
            <w:hideMark/>
          </w:tcPr>
          <w:p w14:paraId="1E564878"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261</w:t>
            </w:r>
          </w:p>
        </w:tc>
      </w:tr>
      <w:tr w:rsidR="009E58CE" w:rsidRPr="009E58CE" w14:paraId="69F35B8E" w14:textId="77777777" w:rsidTr="004C0DDC">
        <w:trPr>
          <w:trHeight w:val="198"/>
        </w:trPr>
        <w:tc>
          <w:tcPr>
            <w:tcW w:w="1281" w:type="dxa"/>
            <w:vMerge/>
            <w:tcBorders>
              <w:top w:val="nil"/>
              <w:bottom w:val="single" w:sz="4" w:space="0" w:color="000000"/>
              <w:right w:val="single" w:sz="4" w:space="0" w:color="auto"/>
            </w:tcBorders>
            <w:vAlign w:val="center"/>
            <w:hideMark/>
          </w:tcPr>
          <w:p w14:paraId="4509462E"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0FD61DDE"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2444883F"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nil"/>
            </w:tcBorders>
            <w:shd w:val="clear" w:color="000000" w:fill="FFFFFF"/>
            <w:noWrap/>
            <w:vAlign w:val="center"/>
            <w:hideMark/>
          </w:tcPr>
          <w:p w14:paraId="742B8E0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1,059,672</w:t>
            </w:r>
          </w:p>
        </w:tc>
        <w:tc>
          <w:tcPr>
            <w:tcW w:w="902" w:type="dxa"/>
            <w:tcBorders>
              <w:top w:val="nil"/>
              <w:left w:val="single" w:sz="4" w:space="0" w:color="auto"/>
              <w:bottom w:val="nil"/>
              <w:right w:val="nil"/>
            </w:tcBorders>
            <w:shd w:val="clear" w:color="000000" w:fill="FFFFFF"/>
            <w:vAlign w:val="center"/>
            <w:hideMark/>
          </w:tcPr>
          <w:p w14:paraId="45F3DA9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38,131</w:t>
            </w:r>
          </w:p>
        </w:tc>
        <w:tc>
          <w:tcPr>
            <w:tcW w:w="993" w:type="dxa"/>
            <w:tcBorders>
              <w:top w:val="nil"/>
              <w:left w:val="nil"/>
              <w:bottom w:val="nil"/>
              <w:right w:val="nil"/>
            </w:tcBorders>
            <w:shd w:val="clear" w:color="000000" w:fill="FFFFFF"/>
            <w:vAlign w:val="center"/>
            <w:hideMark/>
          </w:tcPr>
          <w:p w14:paraId="3716847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272,671</w:t>
            </w:r>
          </w:p>
        </w:tc>
        <w:tc>
          <w:tcPr>
            <w:tcW w:w="991" w:type="dxa"/>
            <w:tcBorders>
              <w:top w:val="nil"/>
              <w:left w:val="nil"/>
              <w:bottom w:val="nil"/>
              <w:right w:val="single" w:sz="4" w:space="0" w:color="auto"/>
            </w:tcBorders>
            <w:shd w:val="clear" w:color="000000" w:fill="FFFFFF"/>
            <w:noWrap/>
            <w:vAlign w:val="center"/>
            <w:hideMark/>
          </w:tcPr>
          <w:p w14:paraId="75E585E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310,801</w:t>
            </w:r>
          </w:p>
        </w:tc>
        <w:tc>
          <w:tcPr>
            <w:tcW w:w="1160" w:type="dxa"/>
            <w:tcBorders>
              <w:top w:val="nil"/>
              <w:left w:val="nil"/>
              <w:bottom w:val="nil"/>
              <w:right w:val="nil"/>
            </w:tcBorders>
            <w:shd w:val="clear" w:color="000000" w:fill="FFFFFF"/>
            <w:noWrap/>
            <w:vAlign w:val="center"/>
            <w:hideMark/>
          </w:tcPr>
          <w:p w14:paraId="014DD3B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211,455</w:t>
            </w:r>
          </w:p>
        </w:tc>
        <w:tc>
          <w:tcPr>
            <w:tcW w:w="1130" w:type="dxa"/>
            <w:tcBorders>
              <w:top w:val="nil"/>
              <w:left w:val="nil"/>
              <w:bottom w:val="nil"/>
              <w:right w:val="nil"/>
            </w:tcBorders>
            <w:shd w:val="clear" w:color="000000" w:fill="FFFFFF"/>
            <w:vAlign w:val="center"/>
            <w:hideMark/>
          </w:tcPr>
          <w:p w14:paraId="21C0F31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26,106</w:t>
            </w:r>
          </w:p>
        </w:tc>
        <w:tc>
          <w:tcPr>
            <w:tcW w:w="1279" w:type="dxa"/>
            <w:tcBorders>
              <w:top w:val="nil"/>
              <w:left w:val="nil"/>
              <w:bottom w:val="nil"/>
              <w:right w:val="nil"/>
            </w:tcBorders>
            <w:shd w:val="clear" w:color="000000" w:fill="FFFFFF"/>
            <w:noWrap/>
            <w:vAlign w:val="center"/>
            <w:hideMark/>
          </w:tcPr>
          <w:p w14:paraId="023BB09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237,562</w:t>
            </w:r>
          </w:p>
        </w:tc>
        <w:tc>
          <w:tcPr>
            <w:tcW w:w="1135" w:type="dxa"/>
            <w:tcBorders>
              <w:top w:val="nil"/>
              <w:left w:val="nil"/>
              <w:bottom w:val="nil"/>
              <w:right w:val="nil"/>
            </w:tcBorders>
            <w:shd w:val="clear" w:color="000000" w:fill="FFFFFF"/>
            <w:vAlign w:val="center"/>
            <w:hideMark/>
          </w:tcPr>
          <w:p w14:paraId="46F2B5B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12,450</w:t>
            </w:r>
          </w:p>
        </w:tc>
        <w:tc>
          <w:tcPr>
            <w:tcW w:w="992" w:type="dxa"/>
            <w:tcBorders>
              <w:top w:val="nil"/>
              <w:left w:val="nil"/>
              <w:bottom w:val="nil"/>
              <w:right w:val="nil"/>
            </w:tcBorders>
            <w:shd w:val="clear" w:color="auto" w:fill="FFFFFF" w:themeFill="background1"/>
            <w:vAlign w:val="center"/>
            <w:hideMark/>
          </w:tcPr>
          <w:p w14:paraId="6832CED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38,556</w:t>
            </w:r>
          </w:p>
        </w:tc>
        <w:tc>
          <w:tcPr>
            <w:tcW w:w="992" w:type="dxa"/>
            <w:tcBorders>
              <w:top w:val="nil"/>
              <w:left w:val="nil"/>
              <w:bottom w:val="nil"/>
              <w:right w:val="single" w:sz="4" w:space="0" w:color="auto"/>
            </w:tcBorders>
            <w:shd w:val="clear" w:color="000000" w:fill="FFFFFF"/>
            <w:vAlign w:val="center"/>
            <w:hideMark/>
          </w:tcPr>
          <w:p w14:paraId="0035151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250,012</w:t>
            </w:r>
          </w:p>
        </w:tc>
        <w:tc>
          <w:tcPr>
            <w:tcW w:w="992" w:type="dxa"/>
            <w:tcBorders>
              <w:top w:val="nil"/>
              <w:left w:val="nil"/>
              <w:bottom w:val="nil"/>
            </w:tcBorders>
            <w:shd w:val="clear" w:color="000000" w:fill="FFFFFF"/>
            <w:vAlign w:val="center"/>
            <w:hideMark/>
          </w:tcPr>
          <w:p w14:paraId="0F772C83"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121</w:t>
            </w:r>
          </w:p>
        </w:tc>
      </w:tr>
      <w:tr w:rsidR="009E58CE" w:rsidRPr="009E58CE" w14:paraId="6D7E592D" w14:textId="77777777" w:rsidTr="004C0DDC">
        <w:trPr>
          <w:trHeight w:val="198"/>
        </w:trPr>
        <w:tc>
          <w:tcPr>
            <w:tcW w:w="1281" w:type="dxa"/>
            <w:vMerge/>
            <w:tcBorders>
              <w:top w:val="nil"/>
              <w:bottom w:val="single" w:sz="4" w:space="0" w:color="000000"/>
              <w:right w:val="single" w:sz="4" w:space="0" w:color="auto"/>
            </w:tcBorders>
            <w:vAlign w:val="center"/>
            <w:hideMark/>
          </w:tcPr>
          <w:p w14:paraId="380C471C"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nil"/>
              <w:left w:val="single" w:sz="4" w:space="0" w:color="auto"/>
              <w:bottom w:val="single" w:sz="4" w:space="0" w:color="000000"/>
              <w:right w:val="nil"/>
            </w:tcBorders>
            <w:vAlign w:val="center"/>
            <w:hideMark/>
          </w:tcPr>
          <w:p w14:paraId="4A10D822"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03407DD3"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nil"/>
            </w:tcBorders>
            <w:shd w:val="clear" w:color="000000" w:fill="FFFFFF"/>
            <w:noWrap/>
            <w:vAlign w:val="center"/>
            <w:hideMark/>
          </w:tcPr>
          <w:p w14:paraId="5C27C99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12,933,161</w:t>
            </w:r>
          </w:p>
        </w:tc>
        <w:tc>
          <w:tcPr>
            <w:tcW w:w="902" w:type="dxa"/>
            <w:tcBorders>
              <w:top w:val="nil"/>
              <w:left w:val="single" w:sz="4" w:space="0" w:color="auto"/>
              <w:bottom w:val="single" w:sz="4" w:space="0" w:color="auto"/>
              <w:right w:val="nil"/>
            </w:tcBorders>
            <w:shd w:val="clear" w:color="000000" w:fill="FFFFFF"/>
            <w:vAlign w:val="center"/>
            <w:hideMark/>
          </w:tcPr>
          <w:p w14:paraId="7D6D79B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808,915</w:t>
            </w:r>
          </w:p>
        </w:tc>
        <w:tc>
          <w:tcPr>
            <w:tcW w:w="993" w:type="dxa"/>
            <w:tcBorders>
              <w:top w:val="nil"/>
              <w:left w:val="nil"/>
              <w:bottom w:val="single" w:sz="4" w:space="0" w:color="auto"/>
              <w:right w:val="nil"/>
            </w:tcBorders>
            <w:shd w:val="clear" w:color="000000" w:fill="FFFFFF"/>
            <w:vAlign w:val="center"/>
            <w:hideMark/>
          </w:tcPr>
          <w:p w14:paraId="6BE2C2A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4,916,840</w:t>
            </w:r>
          </w:p>
        </w:tc>
        <w:tc>
          <w:tcPr>
            <w:tcW w:w="991" w:type="dxa"/>
            <w:tcBorders>
              <w:top w:val="nil"/>
              <w:left w:val="nil"/>
              <w:bottom w:val="single" w:sz="4" w:space="0" w:color="auto"/>
              <w:right w:val="single" w:sz="4" w:space="0" w:color="auto"/>
            </w:tcBorders>
            <w:shd w:val="clear" w:color="000000" w:fill="FFFFFF"/>
            <w:noWrap/>
            <w:vAlign w:val="center"/>
            <w:hideMark/>
          </w:tcPr>
          <w:p w14:paraId="75539AB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5,725,752</w:t>
            </w:r>
          </w:p>
        </w:tc>
        <w:tc>
          <w:tcPr>
            <w:tcW w:w="1160" w:type="dxa"/>
            <w:tcBorders>
              <w:top w:val="nil"/>
              <w:left w:val="nil"/>
              <w:bottom w:val="single" w:sz="4" w:space="0" w:color="auto"/>
              <w:right w:val="nil"/>
            </w:tcBorders>
            <w:shd w:val="clear" w:color="000000" w:fill="FFFFFF"/>
            <w:noWrap/>
            <w:vAlign w:val="center"/>
            <w:hideMark/>
          </w:tcPr>
          <w:p w14:paraId="2364963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2,022,020</w:t>
            </w:r>
          </w:p>
        </w:tc>
        <w:tc>
          <w:tcPr>
            <w:tcW w:w="1130" w:type="dxa"/>
            <w:tcBorders>
              <w:top w:val="nil"/>
              <w:left w:val="nil"/>
              <w:bottom w:val="single" w:sz="4" w:space="0" w:color="auto"/>
              <w:right w:val="nil"/>
            </w:tcBorders>
            <w:shd w:val="clear" w:color="000000" w:fill="FFFFFF"/>
            <w:vAlign w:val="center"/>
            <w:hideMark/>
          </w:tcPr>
          <w:p w14:paraId="64E4579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696,648</w:t>
            </w:r>
          </w:p>
        </w:tc>
        <w:tc>
          <w:tcPr>
            <w:tcW w:w="1279" w:type="dxa"/>
            <w:tcBorders>
              <w:top w:val="nil"/>
              <w:left w:val="nil"/>
              <w:bottom w:val="single" w:sz="4" w:space="0" w:color="auto"/>
              <w:right w:val="nil"/>
            </w:tcBorders>
            <w:shd w:val="clear" w:color="000000" w:fill="FFFFFF"/>
            <w:noWrap/>
            <w:vAlign w:val="center"/>
            <w:hideMark/>
          </w:tcPr>
          <w:p w14:paraId="2700DC8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2,718,669</w:t>
            </w:r>
          </w:p>
        </w:tc>
        <w:tc>
          <w:tcPr>
            <w:tcW w:w="1135" w:type="dxa"/>
            <w:tcBorders>
              <w:top w:val="nil"/>
              <w:left w:val="nil"/>
              <w:bottom w:val="single" w:sz="4" w:space="0" w:color="auto"/>
              <w:right w:val="nil"/>
            </w:tcBorders>
            <w:shd w:val="clear" w:color="000000" w:fill="FFFFFF"/>
            <w:vAlign w:val="center"/>
            <w:hideMark/>
          </w:tcPr>
          <w:p w14:paraId="6718E20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300,639</w:t>
            </w:r>
          </w:p>
        </w:tc>
        <w:tc>
          <w:tcPr>
            <w:tcW w:w="992" w:type="dxa"/>
            <w:tcBorders>
              <w:top w:val="nil"/>
              <w:left w:val="nil"/>
              <w:bottom w:val="single" w:sz="4" w:space="0" w:color="auto"/>
              <w:right w:val="nil"/>
            </w:tcBorders>
            <w:shd w:val="clear" w:color="auto" w:fill="FFFFFF" w:themeFill="background1"/>
            <w:vAlign w:val="center"/>
            <w:hideMark/>
          </w:tcPr>
          <w:p w14:paraId="40A3650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997,287</w:t>
            </w:r>
          </w:p>
        </w:tc>
        <w:tc>
          <w:tcPr>
            <w:tcW w:w="992" w:type="dxa"/>
            <w:tcBorders>
              <w:top w:val="nil"/>
              <w:left w:val="nil"/>
              <w:bottom w:val="single" w:sz="4" w:space="0" w:color="auto"/>
              <w:right w:val="single" w:sz="4" w:space="0" w:color="auto"/>
            </w:tcBorders>
            <w:shd w:val="clear" w:color="000000" w:fill="FFFFFF"/>
            <w:vAlign w:val="center"/>
            <w:hideMark/>
          </w:tcPr>
          <w:p w14:paraId="5768AD5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3,019,308</w:t>
            </w:r>
          </w:p>
        </w:tc>
        <w:tc>
          <w:tcPr>
            <w:tcW w:w="992" w:type="dxa"/>
            <w:tcBorders>
              <w:top w:val="nil"/>
              <w:left w:val="nil"/>
              <w:bottom w:val="single" w:sz="4" w:space="0" w:color="auto"/>
            </w:tcBorders>
            <w:shd w:val="clear" w:color="000000" w:fill="FFFFFF"/>
            <w:vAlign w:val="center"/>
            <w:hideMark/>
          </w:tcPr>
          <w:p w14:paraId="65CFBC79"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382</w:t>
            </w:r>
          </w:p>
        </w:tc>
      </w:tr>
      <w:tr w:rsidR="009E58CE" w:rsidRPr="009E58CE" w14:paraId="06007ED5" w14:textId="77777777" w:rsidTr="00C935F0">
        <w:trPr>
          <w:trHeight w:val="283"/>
        </w:trPr>
        <w:tc>
          <w:tcPr>
            <w:tcW w:w="14889" w:type="dxa"/>
            <w:gridSpan w:val="14"/>
            <w:tcBorders>
              <w:top w:val="single" w:sz="4" w:space="0" w:color="auto"/>
              <w:bottom w:val="single" w:sz="4" w:space="0" w:color="auto"/>
            </w:tcBorders>
            <w:shd w:val="clear" w:color="auto" w:fill="auto"/>
            <w:noWrap/>
            <w:vAlign w:val="center"/>
            <w:hideMark/>
          </w:tcPr>
          <w:p w14:paraId="233010C8"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Western Australia</w:t>
            </w:r>
          </w:p>
        </w:tc>
      </w:tr>
      <w:tr w:rsidR="009E58CE" w:rsidRPr="009E58CE" w14:paraId="14AA1F0A" w14:textId="77777777" w:rsidTr="004C0DDC">
        <w:trPr>
          <w:trHeight w:val="198"/>
        </w:trPr>
        <w:tc>
          <w:tcPr>
            <w:tcW w:w="1281" w:type="dxa"/>
            <w:vMerge w:val="restart"/>
            <w:tcBorders>
              <w:top w:val="single" w:sz="4" w:space="0" w:color="auto"/>
              <w:bottom w:val="single" w:sz="4" w:space="0" w:color="000000"/>
              <w:right w:val="single" w:sz="4" w:space="0" w:color="auto"/>
            </w:tcBorders>
            <w:shd w:val="clear" w:color="000000" w:fill="FFFFFF"/>
            <w:vAlign w:val="center"/>
            <w:hideMark/>
          </w:tcPr>
          <w:p w14:paraId="5C0E715E" w14:textId="77777777" w:rsidR="009E58CE" w:rsidRPr="00F435C6" w:rsidRDefault="009E58CE" w:rsidP="00FA515E">
            <w:pPr>
              <w:spacing w:before="0" w:after="0"/>
              <w:rPr>
                <w:rFonts w:asciiTheme="majorHAnsi" w:hAnsiTheme="majorHAnsi" w:cs="Arial"/>
                <w:bCs/>
                <w:sz w:val="16"/>
                <w:szCs w:val="16"/>
                <w:lang w:eastAsia="en-AU"/>
              </w:rPr>
            </w:pPr>
            <w:r w:rsidRPr="00F435C6">
              <w:rPr>
                <w:rFonts w:asciiTheme="majorHAnsi" w:hAnsiTheme="majorHAnsi" w:cs="Arial"/>
                <w:bCs/>
                <w:sz w:val="16"/>
                <w:szCs w:val="16"/>
                <w:lang w:eastAsia="en-AU"/>
              </w:rPr>
              <w:t>South-West Forest Region of WA</w:t>
            </w:r>
          </w:p>
        </w:tc>
        <w:tc>
          <w:tcPr>
            <w:tcW w:w="992"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12001A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4,257,000</w:t>
            </w:r>
          </w:p>
        </w:tc>
        <w:tc>
          <w:tcPr>
            <w:tcW w:w="1059" w:type="dxa"/>
            <w:tcBorders>
              <w:top w:val="single" w:sz="4" w:space="0" w:color="auto"/>
              <w:left w:val="nil"/>
              <w:bottom w:val="nil"/>
              <w:right w:val="single" w:sz="4" w:space="0" w:color="auto"/>
            </w:tcBorders>
            <w:shd w:val="clear" w:color="000000" w:fill="FFFFFF"/>
            <w:vAlign w:val="center"/>
            <w:hideMark/>
          </w:tcPr>
          <w:p w14:paraId="33EB7F91"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nil"/>
              <w:left w:val="nil"/>
              <w:bottom w:val="nil"/>
              <w:right w:val="nil"/>
            </w:tcBorders>
            <w:shd w:val="clear" w:color="000000" w:fill="FFFFFF"/>
            <w:noWrap/>
            <w:vAlign w:val="center"/>
            <w:hideMark/>
          </w:tcPr>
          <w:p w14:paraId="6C899DB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3,573,550</w:t>
            </w:r>
          </w:p>
        </w:tc>
        <w:tc>
          <w:tcPr>
            <w:tcW w:w="902" w:type="dxa"/>
            <w:tcBorders>
              <w:top w:val="single" w:sz="4" w:space="0" w:color="auto"/>
              <w:left w:val="single" w:sz="4" w:space="0" w:color="auto"/>
              <w:bottom w:val="nil"/>
              <w:right w:val="nil"/>
            </w:tcBorders>
            <w:shd w:val="clear" w:color="000000" w:fill="FFFFFF"/>
            <w:vAlign w:val="center"/>
            <w:hideMark/>
          </w:tcPr>
          <w:p w14:paraId="7675411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302,596</w:t>
            </w:r>
          </w:p>
        </w:tc>
        <w:tc>
          <w:tcPr>
            <w:tcW w:w="993" w:type="dxa"/>
            <w:tcBorders>
              <w:top w:val="single" w:sz="4" w:space="0" w:color="auto"/>
              <w:left w:val="nil"/>
              <w:bottom w:val="nil"/>
              <w:right w:val="nil"/>
            </w:tcBorders>
            <w:shd w:val="clear" w:color="000000" w:fill="FFFFFF"/>
            <w:vAlign w:val="center"/>
            <w:hideMark/>
          </w:tcPr>
          <w:p w14:paraId="0B4FCD4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1,932,279</w:t>
            </w:r>
          </w:p>
        </w:tc>
        <w:tc>
          <w:tcPr>
            <w:tcW w:w="991" w:type="dxa"/>
            <w:tcBorders>
              <w:top w:val="single" w:sz="4" w:space="0" w:color="auto"/>
              <w:left w:val="nil"/>
              <w:bottom w:val="nil"/>
              <w:right w:val="single" w:sz="4" w:space="0" w:color="auto"/>
            </w:tcBorders>
            <w:shd w:val="clear" w:color="000000" w:fill="FFFFFF"/>
            <w:noWrap/>
            <w:vAlign w:val="center"/>
            <w:hideMark/>
          </w:tcPr>
          <w:p w14:paraId="0F82EB3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2,234,875</w:t>
            </w:r>
          </w:p>
        </w:tc>
        <w:tc>
          <w:tcPr>
            <w:tcW w:w="1160" w:type="dxa"/>
            <w:tcBorders>
              <w:top w:val="single" w:sz="4" w:space="0" w:color="auto"/>
              <w:left w:val="nil"/>
              <w:bottom w:val="nil"/>
              <w:right w:val="nil"/>
            </w:tcBorders>
            <w:shd w:val="clear" w:color="000000" w:fill="FFFFFF"/>
            <w:noWrap/>
            <w:vAlign w:val="center"/>
            <w:hideMark/>
          </w:tcPr>
          <w:p w14:paraId="2C878A2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602,627</w:t>
            </w:r>
          </w:p>
        </w:tc>
        <w:tc>
          <w:tcPr>
            <w:tcW w:w="1130" w:type="dxa"/>
            <w:tcBorders>
              <w:top w:val="single" w:sz="4" w:space="0" w:color="auto"/>
              <w:left w:val="nil"/>
              <w:bottom w:val="nil"/>
              <w:right w:val="nil"/>
            </w:tcBorders>
            <w:shd w:val="clear" w:color="000000" w:fill="FFFFFF"/>
            <w:vAlign w:val="center"/>
            <w:hideMark/>
          </w:tcPr>
          <w:p w14:paraId="66CCECB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99,132</w:t>
            </w:r>
          </w:p>
        </w:tc>
        <w:tc>
          <w:tcPr>
            <w:tcW w:w="1279" w:type="dxa"/>
            <w:tcBorders>
              <w:top w:val="single" w:sz="4" w:space="0" w:color="auto"/>
              <w:left w:val="nil"/>
              <w:bottom w:val="nil"/>
              <w:right w:val="nil"/>
            </w:tcBorders>
            <w:shd w:val="clear" w:color="000000" w:fill="FFFFFF"/>
            <w:noWrap/>
            <w:vAlign w:val="center"/>
            <w:hideMark/>
          </w:tcPr>
          <w:p w14:paraId="5EA0FDF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701,759</w:t>
            </w:r>
          </w:p>
        </w:tc>
        <w:tc>
          <w:tcPr>
            <w:tcW w:w="1135" w:type="dxa"/>
            <w:tcBorders>
              <w:top w:val="single" w:sz="4" w:space="0" w:color="auto"/>
              <w:left w:val="nil"/>
              <w:bottom w:val="nil"/>
              <w:right w:val="nil"/>
            </w:tcBorders>
            <w:shd w:val="clear" w:color="000000" w:fill="FFFFFF"/>
            <w:vAlign w:val="center"/>
            <w:hideMark/>
          </w:tcPr>
          <w:p w14:paraId="613AF6D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100,982</w:t>
            </w:r>
          </w:p>
        </w:tc>
        <w:tc>
          <w:tcPr>
            <w:tcW w:w="992" w:type="dxa"/>
            <w:tcBorders>
              <w:top w:val="single" w:sz="4" w:space="0" w:color="auto"/>
              <w:left w:val="nil"/>
              <w:bottom w:val="nil"/>
              <w:right w:val="nil"/>
            </w:tcBorders>
            <w:shd w:val="clear" w:color="auto" w:fill="FFFFFF" w:themeFill="background1"/>
            <w:vAlign w:val="center"/>
            <w:hideMark/>
          </w:tcPr>
          <w:p w14:paraId="2E1D873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200,114</w:t>
            </w:r>
          </w:p>
        </w:tc>
        <w:tc>
          <w:tcPr>
            <w:tcW w:w="992" w:type="dxa"/>
            <w:tcBorders>
              <w:top w:val="single" w:sz="4" w:space="0" w:color="auto"/>
              <w:left w:val="nil"/>
              <w:bottom w:val="nil"/>
              <w:right w:val="single" w:sz="4" w:space="0" w:color="auto"/>
            </w:tcBorders>
            <w:shd w:val="clear" w:color="000000" w:fill="FFFFFF"/>
            <w:vAlign w:val="center"/>
            <w:hideMark/>
          </w:tcPr>
          <w:p w14:paraId="3DD8A69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802,741</w:t>
            </w:r>
          </w:p>
        </w:tc>
        <w:tc>
          <w:tcPr>
            <w:tcW w:w="992" w:type="dxa"/>
            <w:tcBorders>
              <w:top w:val="single" w:sz="4" w:space="0" w:color="auto"/>
              <w:left w:val="nil"/>
              <w:bottom w:val="nil"/>
            </w:tcBorders>
            <w:shd w:val="clear" w:color="000000" w:fill="FFFFFF"/>
            <w:vAlign w:val="center"/>
            <w:hideMark/>
          </w:tcPr>
          <w:p w14:paraId="3B7BBA62"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21</w:t>
            </w:r>
          </w:p>
        </w:tc>
      </w:tr>
      <w:tr w:rsidR="009E58CE" w:rsidRPr="009E58CE" w14:paraId="0B2922B7" w14:textId="77777777" w:rsidTr="004C0DDC">
        <w:trPr>
          <w:trHeight w:val="198"/>
        </w:trPr>
        <w:tc>
          <w:tcPr>
            <w:tcW w:w="1281" w:type="dxa"/>
            <w:vMerge/>
            <w:tcBorders>
              <w:top w:val="single" w:sz="4" w:space="0" w:color="auto"/>
              <w:bottom w:val="single" w:sz="4" w:space="0" w:color="000000"/>
              <w:right w:val="single" w:sz="4" w:space="0" w:color="auto"/>
            </w:tcBorders>
            <w:vAlign w:val="center"/>
            <w:hideMark/>
          </w:tcPr>
          <w:p w14:paraId="5D758983"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single" w:sz="4" w:space="0" w:color="auto"/>
              <w:left w:val="single" w:sz="4" w:space="0" w:color="auto"/>
              <w:bottom w:val="single" w:sz="4" w:space="0" w:color="000000"/>
              <w:right w:val="single" w:sz="4" w:space="0" w:color="000000"/>
            </w:tcBorders>
            <w:vAlign w:val="center"/>
            <w:hideMark/>
          </w:tcPr>
          <w:p w14:paraId="0129605A"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nil"/>
              <w:bottom w:val="nil"/>
              <w:right w:val="single" w:sz="4" w:space="0" w:color="auto"/>
            </w:tcBorders>
            <w:shd w:val="clear" w:color="000000" w:fill="FFFFFF"/>
            <w:vAlign w:val="center"/>
            <w:hideMark/>
          </w:tcPr>
          <w:p w14:paraId="2B62168B"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nil"/>
            </w:tcBorders>
            <w:shd w:val="clear" w:color="000000" w:fill="FFFFFF"/>
            <w:noWrap/>
            <w:vAlign w:val="center"/>
            <w:hideMark/>
          </w:tcPr>
          <w:p w14:paraId="6D078EA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562,000</w:t>
            </w:r>
          </w:p>
        </w:tc>
        <w:tc>
          <w:tcPr>
            <w:tcW w:w="902" w:type="dxa"/>
            <w:tcBorders>
              <w:top w:val="nil"/>
              <w:left w:val="single" w:sz="4" w:space="0" w:color="auto"/>
              <w:bottom w:val="nil"/>
              <w:right w:val="nil"/>
            </w:tcBorders>
            <w:shd w:val="clear" w:color="000000" w:fill="FFFFFF"/>
            <w:vAlign w:val="center"/>
            <w:hideMark/>
          </w:tcPr>
          <w:p w14:paraId="55F8EFA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48,053</w:t>
            </w:r>
          </w:p>
        </w:tc>
        <w:tc>
          <w:tcPr>
            <w:tcW w:w="993" w:type="dxa"/>
            <w:tcBorders>
              <w:top w:val="nil"/>
              <w:left w:val="nil"/>
              <w:bottom w:val="nil"/>
              <w:right w:val="nil"/>
            </w:tcBorders>
            <w:shd w:val="clear" w:color="000000" w:fill="FFFFFF"/>
            <w:vAlign w:val="center"/>
            <w:hideMark/>
          </w:tcPr>
          <w:p w14:paraId="4A0DC9E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350,578</w:t>
            </w:r>
          </w:p>
        </w:tc>
        <w:tc>
          <w:tcPr>
            <w:tcW w:w="991" w:type="dxa"/>
            <w:tcBorders>
              <w:top w:val="nil"/>
              <w:left w:val="nil"/>
              <w:bottom w:val="nil"/>
              <w:right w:val="single" w:sz="4" w:space="0" w:color="auto"/>
            </w:tcBorders>
            <w:shd w:val="clear" w:color="000000" w:fill="FFFFFF"/>
            <w:noWrap/>
            <w:vAlign w:val="center"/>
            <w:hideMark/>
          </w:tcPr>
          <w:p w14:paraId="0E06A72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398,631</w:t>
            </w:r>
          </w:p>
        </w:tc>
        <w:tc>
          <w:tcPr>
            <w:tcW w:w="1160" w:type="dxa"/>
            <w:tcBorders>
              <w:top w:val="nil"/>
              <w:left w:val="nil"/>
              <w:bottom w:val="nil"/>
              <w:right w:val="nil"/>
            </w:tcBorders>
            <w:shd w:val="clear" w:color="000000" w:fill="FFFFFF"/>
            <w:noWrap/>
            <w:vAlign w:val="center"/>
            <w:hideMark/>
          </w:tcPr>
          <w:p w14:paraId="3046C0D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310,267</w:t>
            </w:r>
          </w:p>
        </w:tc>
        <w:tc>
          <w:tcPr>
            <w:tcW w:w="1130" w:type="dxa"/>
            <w:tcBorders>
              <w:top w:val="nil"/>
              <w:left w:val="nil"/>
              <w:bottom w:val="nil"/>
              <w:right w:val="nil"/>
            </w:tcBorders>
            <w:shd w:val="clear" w:color="000000" w:fill="FFFFFF"/>
            <w:vAlign w:val="center"/>
            <w:hideMark/>
          </w:tcPr>
          <w:p w14:paraId="256174E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9,888</w:t>
            </w:r>
          </w:p>
        </w:tc>
        <w:tc>
          <w:tcPr>
            <w:tcW w:w="1279" w:type="dxa"/>
            <w:tcBorders>
              <w:top w:val="nil"/>
              <w:left w:val="nil"/>
              <w:bottom w:val="nil"/>
              <w:right w:val="nil"/>
            </w:tcBorders>
            <w:shd w:val="clear" w:color="000000" w:fill="FFFFFF"/>
            <w:noWrap/>
            <w:vAlign w:val="center"/>
            <w:hideMark/>
          </w:tcPr>
          <w:p w14:paraId="26CF094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320,155</w:t>
            </w:r>
          </w:p>
        </w:tc>
        <w:tc>
          <w:tcPr>
            <w:tcW w:w="1135" w:type="dxa"/>
            <w:tcBorders>
              <w:top w:val="nil"/>
              <w:left w:val="nil"/>
              <w:bottom w:val="nil"/>
              <w:right w:val="nil"/>
            </w:tcBorders>
            <w:shd w:val="clear" w:color="000000" w:fill="FFFFFF"/>
            <w:vAlign w:val="center"/>
            <w:hideMark/>
          </w:tcPr>
          <w:p w14:paraId="6FA4B61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17,676</w:t>
            </w:r>
          </w:p>
        </w:tc>
        <w:tc>
          <w:tcPr>
            <w:tcW w:w="992" w:type="dxa"/>
            <w:tcBorders>
              <w:top w:val="nil"/>
              <w:left w:val="nil"/>
              <w:bottom w:val="nil"/>
              <w:right w:val="nil"/>
            </w:tcBorders>
            <w:shd w:val="clear" w:color="auto" w:fill="FFFFFF" w:themeFill="background1"/>
            <w:vAlign w:val="center"/>
            <w:hideMark/>
          </w:tcPr>
          <w:p w14:paraId="1CE9CE5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27,564</w:t>
            </w:r>
          </w:p>
        </w:tc>
        <w:tc>
          <w:tcPr>
            <w:tcW w:w="992" w:type="dxa"/>
            <w:tcBorders>
              <w:top w:val="nil"/>
              <w:left w:val="nil"/>
              <w:bottom w:val="nil"/>
              <w:right w:val="single" w:sz="4" w:space="0" w:color="auto"/>
            </w:tcBorders>
            <w:shd w:val="clear" w:color="000000" w:fill="FFFFFF"/>
            <w:vAlign w:val="center"/>
            <w:hideMark/>
          </w:tcPr>
          <w:p w14:paraId="509DDEE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337,831</w:t>
            </w:r>
          </w:p>
        </w:tc>
        <w:tc>
          <w:tcPr>
            <w:tcW w:w="992" w:type="dxa"/>
            <w:tcBorders>
              <w:top w:val="nil"/>
              <w:left w:val="nil"/>
              <w:bottom w:val="nil"/>
            </w:tcBorders>
            <w:shd w:val="clear" w:color="000000" w:fill="FFFFFF"/>
            <w:vAlign w:val="center"/>
            <w:hideMark/>
          </w:tcPr>
          <w:p w14:paraId="537D5B6C"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5</w:t>
            </w:r>
          </w:p>
        </w:tc>
      </w:tr>
      <w:tr w:rsidR="009E58CE" w:rsidRPr="009E58CE" w14:paraId="7787581B" w14:textId="77777777" w:rsidTr="004C0DDC">
        <w:trPr>
          <w:trHeight w:val="198"/>
        </w:trPr>
        <w:tc>
          <w:tcPr>
            <w:tcW w:w="1281" w:type="dxa"/>
            <w:vMerge/>
            <w:tcBorders>
              <w:top w:val="single" w:sz="4" w:space="0" w:color="auto"/>
              <w:bottom w:val="single" w:sz="4" w:space="0" w:color="000000"/>
              <w:right w:val="single" w:sz="4" w:space="0" w:color="auto"/>
            </w:tcBorders>
            <w:vAlign w:val="center"/>
            <w:hideMark/>
          </w:tcPr>
          <w:p w14:paraId="44259036"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single" w:sz="4" w:space="0" w:color="auto"/>
              <w:left w:val="single" w:sz="4" w:space="0" w:color="auto"/>
              <w:bottom w:val="single" w:sz="4" w:space="0" w:color="000000"/>
              <w:right w:val="single" w:sz="4" w:space="0" w:color="000000"/>
            </w:tcBorders>
            <w:vAlign w:val="center"/>
            <w:hideMark/>
          </w:tcPr>
          <w:p w14:paraId="701A3743"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nil"/>
              <w:bottom w:val="single" w:sz="4" w:space="0" w:color="auto"/>
              <w:right w:val="single" w:sz="4" w:space="0" w:color="auto"/>
            </w:tcBorders>
            <w:shd w:val="clear" w:color="000000" w:fill="FFFFFF"/>
            <w:vAlign w:val="center"/>
            <w:hideMark/>
          </w:tcPr>
          <w:p w14:paraId="38C708C4"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nil"/>
              <w:right w:val="nil"/>
            </w:tcBorders>
            <w:shd w:val="clear" w:color="000000" w:fill="FFFFFF"/>
            <w:noWrap/>
            <w:vAlign w:val="center"/>
            <w:hideMark/>
          </w:tcPr>
          <w:p w14:paraId="46A811C2"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4,135,550</w:t>
            </w:r>
          </w:p>
        </w:tc>
        <w:tc>
          <w:tcPr>
            <w:tcW w:w="902" w:type="dxa"/>
            <w:tcBorders>
              <w:top w:val="nil"/>
              <w:left w:val="single" w:sz="4" w:space="0" w:color="auto"/>
              <w:bottom w:val="single" w:sz="4" w:space="0" w:color="auto"/>
              <w:right w:val="nil"/>
            </w:tcBorders>
            <w:shd w:val="clear" w:color="000000" w:fill="FFFFFF"/>
            <w:vAlign w:val="center"/>
            <w:hideMark/>
          </w:tcPr>
          <w:p w14:paraId="38BE0F0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350,649</w:t>
            </w:r>
          </w:p>
        </w:tc>
        <w:tc>
          <w:tcPr>
            <w:tcW w:w="993" w:type="dxa"/>
            <w:tcBorders>
              <w:top w:val="nil"/>
              <w:left w:val="nil"/>
              <w:bottom w:val="single" w:sz="4" w:space="0" w:color="auto"/>
              <w:right w:val="nil"/>
            </w:tcBorders>
            <w:shd w:val="clear" w:color="000000" w:fill="FFFFFF"/>
            <w:vAlign w:val="center"/>
            <w:hideMark/>
          </w:tcPr>
          <w:p w14:paraId="6E543BD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2,282,857</w:t>
            </w:r>
          </w:p>
        </w:tc>
        <w:tc>
          <w:tcPr>
            <w:tcW w:w="991" w:type="dxa"/>
            <w:tcBorders>
              <w:top w:val="nil"/>
              <w:left w:val="nil"/>
              <w:bottom w:val="single" w:sz="4" w:space="0" w:color="auto"/>
              <w:right w:val="single" w:sz="4" w:space="0" w:color="auto"/>
            </w:tcBorders>
            <w:shd w:val="clear" w:color="000000" w:fill="FFFFFF"/>
            <w:noWrap/>
            <w:vAlign w:val="center"/>
            <w:hideMark/>
          </w:tcPr>
          <w:p w14:paraId="30878F7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2,633,506</w:t>
            </w:r>
          </w:p>
        </w:tc>
        <w:tc>
          <w:tcPr>
            <w:tcW w:w="1160" w:type="dxa"/>
            <w:tcBorders>
              <w:top w:val="nil"/>
              <w:left w:val="nil"/>
              <w:bottom w:val="single" w:sz="4" w:space="0" w:color="auto"/>
              <w:right w:val="nil"/>
            </w:tcBorders>
            <w:shd w:val="clear" w:color="000000" w:fill="FFFFFF"/>
            <w:noWrap/>
            <w:vAlign w:val="center"/>
            <w:hideMark/>
          </w:tcPr>
          <w:p w14:paraId="5B97166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912,894</w:t>
            </w:r>
          </w:p>
        </w:tc>
        <w:tc>
          <w:tcPr>
            <w:tcW w:w="1130" w:type="dxa"/>
            <w:tcBorders>
              <w:top w:val="nil"/>
              <w:left w:val="nil"/>
              <w:bottom w:val="single" w:sz="4" w:space="0" w:color="auto"/>
              <w:right w:val="nil"/>
            </w:tcBorders>
            <w:shd w:val="clear" w:color="000000" w:fill="FFFFFF"/>
            <w:vAlign w:val="center"/>
            <w:hideMark/>
          </w:tcPr>
          <w:p w14:paraId="4E434F4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109,020</w:t>
            </w:r>
          </w:p>
        </w:tc>
        <w:tc>
          <w:tcPr>
            <w:tcW w:w="1279" w:type="dxa"/>
            <w:tcBorders>
              <w:top w:val="nil"/>
              <w:left w:val="nil"/>
              <w:bottom w:val="single" w:sz="4" w:space="0" w:color="auto"/>
              <w:right w:val="nil"/>
            </w:tcBorders>
            <w:shd w:val="clear" w:color="000000" w:fill="FFFFFF"/>
            <w:noWrap/>
            <w:vAlign w:val="center"/>
            <w:hideMark/>
          </w:tcPr>
          <w:p w14:paraId="074512D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1,021,914</w:t>
            </w:r>
          </w:p>
        </w:tc>
        <w:tc>
          <w:tcPr>
            <w:tcW w:w="1135" w:type="dxa"/>
            <w:tcBorders>
              <w:top w:val="nil"/>
              <w:left w:val="nil"/>
              <w:bottom w:val="single" w:sz="4" w:space="0" w:color="auto"/>
              <w:right w:val="nil"/>
            </w:tcBorders>
            <w:shd w:val="clear" w:color="000000" w:fill="FFFFFF"/>
            <w:vAlign w:val="center"/>
            <w:hideMark/>
          </w:tcPr>
          <w:p w14:paraId="7FEF7BFE"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118,658</w:t>
            </w:r>
          </w:p>
        </w:tc>
        <w:tc>
          <w:tcPr>
            <w:tcW w:w="992" w:type="dxa"/>
            <w:tcBorders>
              <w:top w:val="nil"/>
              <w:left w:val="nil"/>
              <w:bottom w:val="single" w:sz="4" w:space="0" w:color="auto"/>
              <w:right w:val="nil"/>
            </w:tcBorders>
            <w:shd w:val="clear" w:color="auto" w:fill="FFFFFF" w:themeFill="background1"/>
            <w:vAlign w:val="center"/>
            <w:hideMark/>
          </w:tcPr>
          <w:p w14:paraId="2174B59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227,678</w:t>
            </w:r>
          </w:p>
        </w:tc>
        <w:tc>
          <w:tcPr>
            <w:tcW w:w="992" w:type="dxa"/>
            <w:tcBorders>
              <w:top w:val="nil"/>
              <w:left w:val="nil"/>
              <w:bottom w:val="single" w:sz="4" w:space="0" w:color="auto"/>
              <w:right w:val="single" w:sz="4" w:space="0" w:color="auto"/>
            </w:tcBorders>
            <w:shd w:val="clear" w:color="000000" w:fill="FFFFFF"/>
            <w:vAlign w:val="center"/>
            <w:hideMark/>
          </w:tcPr>
          <w:p w14:paraId="15670E2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1,140,572</w:t>
            </w:r>
          </w:p>
        </w:tc>
        <w:tc>
          <w:tcPr>
            <w:tcW w:w="992" w:type="dxa"/>
            <w:tcBorders>
              <w:top w:val="nil"/>
              <w:left w:val="nil"/>
              <w:bottom w:val="single" w:sz="4" w:space="0" w:color="auto"/>
            </w:tcBorders>
            <w:shd w:val="clear" w:color="000000" w:fill="FFFFFF"/>
            <w:vAlign w:val="center"/>
            <w:hideMark/>
          </w:tcPr>
          <w:p w14:paraId="2D963BF8"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26</w:t>
            </w:r>
          </w:p>
        </w:tc>
      </w:tr>
      <w:tr w:rsidR="009E58CE" w:rsidRPr="009E58CE" w14:paraId="63E128AB" w14:textId="77777777" w:rsidTr="004C0DDC">
        <w:trPr>
          <w:trHeight w:val="283"/>
        </w:trPr>
        <w:tc>
          <w:tcPr>
            <w:tcW w:w="14889" w:type="dxa"/>
            <w:gridSpan w:val="14"/>
            <w:tcBorders>
              <w:top w:val="single" w:sz="4" w:space="0" w:color="auto"/>
              <w:bottom w:val="single" w:sz="4" w:space="0" w:color="auto"/>
            </w:tcBorders>
            <w:shd w:val="clear" w:color="auto" w:fill="auto"/>
            <w:noWrap/>
            <w:vAlign w:val="center"/>
            <w:hideMark/>
          </w:tcPr>
          <w:p w14:paraId="1E4BFACC"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 xml:space="preserve">Total </w:t>
            </w:r>
          </w:p>
        </w:tc>
      </w:tr>
      <w:tr w:rsidR="009E58CE" w:rsidRPr="009E58CE" w14:paraId="75093885" w14:textId="77777777" w:rsidTr="004C0DDC">
        <w:trPr>
          <w:trHeight w:val="198"/>
        </w:trPr>
        <w:tc>
          <w:tcPr>
            <w:tcW w:w="1281" w:type="dxa"/>
            <w:vMerge w:val="restart"/>
            <w:tcBorders>
              <w:top w:val="single" w:sz="4" w:space="0" w:color="auto"/>
              <w:bottom w:val="single" w:sz="4" w:space="0" w:color="000000"/>
              <w:right w:val="single" w:sz="4" w:space="0" w:color="auto"/>
            </w:tcBorders>
            <w:shd w:val="clear" w:color="000000" w:fill="FFFFFF"/>
            <w:vAlign w:val="center"/>
            <w:hideMark/>
          </w:tcPr>
          <w:p w14:paraId="4FE209AD" w14:textId="77777777" w:rsidR="009E58CE" w:rsidRPr="002F2D01" w:rsidRDefault="009E58CE" w:rsidP="00FA515E">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Total all RFA regions</w:t>
            </w:r>
          </w:p>
        </w:tc>
        <w:tc>
          <w:tcPr>
            <w:tcW w:w="992"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D9A1EB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39,190,000</w:t>
            </w:r>
          </w:p>
        </w:tc>
        <w:tc>
          <w:tcPr>
            <w:tcW w:w="1059" w:type="dxa"/>
            <w:tcBorders>
              <w:top w:val="single" w:sz="4" w:space="0" w:color="auto"/>
              <w:left w:val="single" w:sz="4" w:space="0" w:color="auto"/>
              <w:bottom w:val="nil"/>
              <w:right w:val="single" w:sz="4" w:space="0" w:color="auto"/>
            </w:tcBorders>
            <w:shd w:val="clear" w:color="000000" w:fill="FFFFFF"/>
            <w:vAlign w:val="center"/>
            <w:hideMark/>
          </w:tcPr>
          <w:p w14:paraId="0C994FC4"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Forests</w:t>
            </w:r>
          </w:p>
        </w:tc>
        <w:tc>
          <w:tcPr>
            <w:tcW w:w="991" w:type="dxa"/>
            <w:tcBorders>
              <w:top w:val="single" w:sz="4" w:space="0" w:color="auto"/>
              <w:left w:val="nil"/>
              <w:bottom w:val="nil"/>
              <w:right w:val="single" w:sz="4" w:space="0" w:color="auto"/>
            </w:tcBorders>
            <w:shd w:val="clear" w:color="000000" w:fill="FFFFFF"/>
            <w:noWrap/>
            <w:vAlign w:val="center"/>
            <w:hideMark/>
          </w:tcPr>
          <w:p w14:paraId="7095BA4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34,580,685</w:t>
            </w:r>
          </w:p>
        </w:tc>
        <w:tc>
          <w:tcPr>
            <w:tcW w:w="902" w:type="dxa"/>
            <w:tcBorders>
              <w:top w:val="single" w:sz="4" w:space="0" w:color="auto"/>
              <w:left w:val="nil"/>
              <w:bottom w:val="nil"/>
              <w:right w:val="nil"/>
            </w:tcBorders>
            <w:shd w:val="clear" w:color="000000" w:fill="FFFFFF"/>
            <w:vAlign w:val="center"/>
            <w:hideMark/>
          </w:tcPr>
          <w:p w14:paraId="3B18898A"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5,597,751</w:t>
            </w:r>
          </w:p>
        </w:tc>
        <w:tc>
          <w:tcPr>
            <w:tcW w:w="993" w:type="dxa"/>
            <w:tcBorders>
              <w:top w:val="single" w:sz="4" w:space="0" w:color="auto"/>
              <w:left w:val="nil"/>
              <w:bottom w:val="nil"/>
              <w:right w:val="nil"/>
            </w:tcBorders>
            <w:shd w:val="clear" w:color="000000" w:fill="FFFFFF"/>
            <w:vAlign w:val="center"/>
            <w:hideMark/>
          </w:tcPr>
          <w:p w14:paraId="3761594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13,576,988</w:t>
            </w:r>
          </w:p>
        </w:tc>
        <w:tc>
          <w:tcPr>
            <w:tcW w:w="991" w:type="dxa"/>
            <w:tcBorders>
              <w:top w:val="single" w:sz="4" w:space="0" w:color="auto"/>
              <w:left w:val="nil"/>
              <w:bottom w:val="nil"/>
              <w:right w:val="single" w:sz="4" w:space="0" w:color="auto"/>
            </w:tcBorders>
            <w:shd w:val="clear" w:color="000000" w:fill="FFFFFF"/>
            <w:noWrap/>
            <w:vAlign w:val="center"/>
            <w:hideMark/>
          </w:tcPr>
          <w:p w14:paraId="2CAA28EC"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19,174,737</w:t>
            </w:r>
          </w:p>
        </w:tc>
        <w:tc>
          <w:tcPr>
            <w:tcW w:w="1160" w:type="dxa"/>
            <w:tcBorders>
              <w:top w:val="single" w:sz="4" w:space="0" w:color="auto"/>
              <w:left w:val="nil"/>
              <w:bottom w:val="nil"/>
              <w:right w:val="nil"/>
            </w:tcBorders>
            <w:shd w:val="clear" w:color="000000" w:fill="FFFFFF"/>
            <w:noWrap/>
            <w:vAlign w:val="center"/>
            <w:hideMark/>
          </w:tcPr>
          <w:p w14:paraId="16F0A77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5,400,267</w:t>
            </w:r>
          </w:p>
        </w:tc>
        <w:tc>
          <w:tcPr>
            <w:tcW w:w="1130" w:type="dxa"/>
            <w:tcBorders>
              <w:top w:val="single" w:sz="4" w:space="0" w:color="auto"/>
              <w:left w:val="nil"/>
              <w:bottom w:val="nil"/>
              <w:right w:val="nil"/>
            </w:tcBorders>
            <w:shd w:val="clear" w:color="000000" w:fill="FFFFFF"/>
            <w:vAlign w:val="center"/>
            <w:hideMark/>
          </w:tcPr>
          <w:p w14:paraId="2954A5B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2,364,038</w:t>
            </w:r>
          </w:p>
        </w:tc>
        <w:tc>
          <w:tcPr>
            <w:tcW w:w="1279" w:type="dxa"/>
            <w:tcBorders>
              <w:top w:val="single" w:sz="4" w:space="0" w:color="auto"/>
              <w:left w:val="nil"/>
              <w:bottom w:val="nil"/>
              <w:right w:val="nil"/>
            </w:tcBorders>
            <w:shd w:val="clear" w:color="000000" w:fill="FFFFFF"/>
            <w:noWrap/>
            <w:vAlign w:val="center"/>
            <w:hideMark/>
          </w:tcPr>
          <w:p w14:paraId="2F664D80"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7,764,305</w:t>
            </w:r>
          </w:p>
        </w:tc>
        <w:tc>
          <w:tcPr>
            <w:tcW w:w="1135" w:type="dxa"/>
            <w:tcBorders>
              <w:top w:val="single" w:sz="4" w:space="0" w:color="auto"/>
              <w:left w:val="nil"/>
              <w:bottom w:val="nil"/>
              <w:right w:val="nil"/>
            </w:tcBorders>
            <w:shd w:val="clear" w:color="000000" w:fill="FFFFFF"/>
            <w:vAlign w:val="center"/>
            <w:hideMark/>
          </w:tcPr>
          <w:p w14:paraId="02B7F02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633,172</w:t>
            </w:r>
          </w:p>
        </w:tc>
        <w:tc>
          <w:tcPr>
            <w:tcW w:w="992" w:type="dxa"/>
            <w:tcBorders>
              <w:top w:val="single" w:sz="4" w:space="0" w:color="auto"/>
              <w:left w:val="nil"/>
              <w:bottom w:val="nil"/>
              <w:right w:val="nil"/>
            </w:tcBorders>
            <w:shd w:val="clear" w:color="auto" w:fill="FFFFFF" w:themeFill="background1"/>
            <w:vAlign w:val="center"/>
            <w:hideMark/>
          </w:tcPr>
          <w:p w14:paraId="6585F5E4"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2,997,210</w:t>
            </w:r>
          </w:p>
        </w:tc>
        <w:tc>
          <w:tcPr>
            <w:tcW w:w="992" w:type="dxa"/>
            <w:tcBorders>
              <w:top w:val="single" w:sz="4" w:space="0" w:color="auto"/>
              <w:left w:val="nil"/>
              <w:bottom w:val="nil"/>
              <w:right w:val="single" w:sz="4" w:space="0" w:color="auto"/>
            </w:tcBorders>
            <w:shd w:val="clear" w:color="000000" w:fill="FFFFFF"/>
            <w:vAlign w:val="center"/>
            <w:hideMark/>
          </w:tcPr>
          <w:p w14:paraId="5F371C3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8,397,478</w:t>
            </w:r>
          </w:p>
        </w:tc>
        <w:tc>
          <w:tcPr>
            <w:tcW w:w="992" w:type="dxa"/>
            <w:tcBorders>
              <w:top w:val="single" w:sz="4" w:space="0" w:color="auto"/>
              <w:left w:val="nil"/>
              <w:bottom w:val="nil"/>
            </w:tcBorders>
            <w:shd w:val="clear" w:color="000000" w:fill="FFFFFF"/>
            <w:vAlign w:val="center"/>
            <w:hideMark/>
          </w:tcPr>
          <w:p w14:paraId="604292DE"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738</w:t>
            </w:r>
          </w:p>
        </w:tc>
      </w:tr>
      <w:tr w:rsidR="009E58CE" w:rsidRPr="009E58CE" w14:paraId="2AB893C7" w14:textId="77777777" w:rsidTr="004C0DDC">
        <w:trPr>
          <w:trHeight w:val="198"/>
        </w:trPr>
        <w:tc>
          <w:tcPr>
            <w:tcW w:w="1281" w:type="dxa"/>
            <w:vMerge/>
            <w:tcBorders>
              <w:top w:val="single" w:sz="4" w:space="0" w:color="auto"/>
              <w:bottom w:val="single" w:sz="4" w:space="0" w:color="000000"/>
              <w:right w:val="single" w:sz="4" w:space="0" w:color="auto"/>
            </w:tcBorders>
            <w:vAlign w:val="center"/>
            <w:hideMark/>
          </w:tcPr>
          <w:p w14:paraId="7DCA3967"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single" w:sz="4" w:space="0" w:color="auto"/>
              <w:left w:val="single" w:sz="4" w:space="0" w:color="auto"/>
              <w:bottom w:val="single" w:sz="4" w:space="0" w:color="000000"/>
              <w:right w:val="nil"/>
            </w:tcBorders>
            <w:vAlign w:val="center"/>
            <w:hideMark/>
          </w:tcPr>
          <w:p w14:paraId="5209249F"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nil"/>
              <w:right w:val="single" w:sz="4" w:space="0" w:color="auto"/>
            </w:tcBorders>
            <w:shd w:val="clear" w:color="000000" w:fill="FFFFFF"/>
            <w:vAlign w:val="center"/>
            <w:hideMark/>
          </w:tcPr>
          <w:p w14:paraId="43CEB982"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Non-forests</w:t>
            </w:r>
          </w:p>
        </w:tc>
        <w:tc>
          <w:tcPr>
            <w:tcW w:w="991" w:type="dxa"/>
            <w:tcBorders>
              <w:top w:val="nil"/>
              <w:left w:val="nil"/>
              <w:bottom w:val="nil"/>
              <w:right w:val="single" w:sz="4" w:space="0" w:color="auto"/>
            </w:tcBorders>
            <w:shd w:val="clear" w:color="000000" w:fill="FFFFFF"/>
            <w:noWrap/>
            <w:vAlign w:val="center"/>
            <w:hideMark/>
          </w:tcPr>
          <w:p w14:paraId="6CAF909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4,106,894</w:t>
            </w:r>
          </w:p>
        </w:tc>
        <w:tc>
          <w:tcPr>
            <w:tcW w:w="902" w:type="dxa"/>
            <w:tcBorders>
              <w:top w:val="nil"/>
              <w:left w:val="nil"/>
              <w:bottom w:val="nil"/>
              <w:right w:val="nil"/>
            </w:tcBorders>
            <w:shd w:val="clear" w:color="000000" w:fill="FFFFFF"/>
            <w:vAlign w:val="center"/>
            <w:hideMark/>
          </w:tcPr>
          <w:p w14:paraId="264A949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184,463</w:t>
            </w:r>
          </w:p>
        </w:tc>
        <w:tc>
          <w:tcPr>
            <w:tcW w:w="993" w:type="dxa"/>
            <w:tcBorders>
              <w:top w:val="nil"/>
              <w:left w:val="nil"/>
              <w:bottom w:val="nil"/>
              <w:right w:val="nil"/>
            </w:tcBorders>
            <w:shd w:val="clear" w:color="000000" w:fill="FFFFFF"/>
            <w:vAlign w:val="center"/>
            <w:hideMark/>
          </w:tcPr>
          <w:p w14:paraId="16337DC9"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2,305,823</w:t>
            </w:r>
          </w:p>
        </w:tc>
        <w:tc>
          <w:tcPr>
            <w:tcW w:w="991" w:type="dxa"/>
            <w:tcBorders>
              <w:top w:val="nil"/>
              <w:left w:val="nil"/>
              <w:bottom w:val="nil"/>
              <w:right w:val="single" w:sz="4" w:space="0" w:color="auto"/>
            </w:tcBorders>
            <w:shd w:val="clear" w:color="000000" w:fill="FFFFFF"/>
            <w:noWrap/>
            <w:vAlign w:val="center"/>
            <w:hideMark/>
          </w:tcPr>
          <w:p w14:paraId="506D5771"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2,490,285</w:t>
            </w:r>
          </w:p>
        </w:tc>
        <w:tc>
          <w:tcPr>
            <w:tcW w:w="1160" w:type="dxa"/>
            <w:tcBorders>
              <w:top w:val="nil"/>
              <w:left w:val="nil"/>
              <w:bottom w:val="nil"/>
              <w:right w:val="nil"/>
            </w:tcBorders>
            <w:shd w:val="clear" w:color="000000" w:fill="FFFFFF"/>
            <w:noWrap/>
            <w:vAlign w:val="center"/>
            <w:hideMark/>
          </w:tcPr>
          <w:p w14:paraId="0DC0789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1,993,476</w:t>
            </w:r>
          </w:p>
        </w:tc>
        <w:tc>
          <w:tcPr>
            <w:tcW w:w="1130" w:type="dxa"/>
            <w:tcBorders>
              <w:top w:val="nil"/>
              <w:left w:val="nil"/>
              <w:bottom w:val="nil"/>
              <w:right w:val="nil"/>
            </w:tcBorders>
            <w:shd w:val="clear" w:color="000000" w:fill="FFFFFF"/>
            <w:vAlign w:val="center"/>
            <w:hideMark/>
          </w:tcPr>
          <w:p w14:paraId="2BDE4FC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209,421</w:t>
            </w:r>
          </w:p>
        </w:tc>
        <w:tc>
          <w:tcPr>
            <w:tcW w:w="1279" w:type="dxa"/>
            <w:tcBorders>
              <w:top w:val="nil"/>
              <w:left w:val="nil"/>
              <w:bottom w:val="nil"/>
              <w:right w:val="nil"/>
            </w:tcBorders>
            <w:shd w:val="clear" w:color="000000" w:fill="FFFFFF"/>
            <w:noWrap/>
            <w:vAlign w:val="center"/>
            <w:hideMark/>
          </w:tcPr>
          <w:p w14:paraId="0AA878B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2,202,896</w:t>
            </w:r>
          </w:p>
        </w:tc>
        <w:tc>
          <w:tcPr>
            <w:tcW w:w="1135" w:type="dxa"/>
            <w:tcBorders>
              <w:top w:val="nil"/>
              <w:left w:val="nil"/>
              <w:bottom w:val="nil"/>
              <w:right w:val="nil"/>
            </w:tcBorders>
            <w:shd w:val="clear" w:color="000000" w:fill="FFFFFF"/>
            <w:vAlign w:val="center"/>
            <w:hideMark/>
          </w:tcPr>
          <w:p w14:paraId="7C2BC70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45,322</w:t>
            </w:r>
          </w:p>
        </w:tc>
        <w:tc>
          <w:tcPr>
            <w:tcW w:w="992" w:type="dxa"/>
            <w:tcBorders>
              <w:top w:val="nil"/>
              <w:left w:val="nil"/>
              <w:bottom w:val="nil"/>
              <w:right w:val="nil"/>
            </w:tcBorders>
            <w:shd w:val="clear" w:color="auto" w:fill="FFFFFF" w:themeFill="background1"/>
            <w:vAlign w:val="center"/>
            <w:hideMark/>
          </w:tcPr>
          <w:p w14:paraId="367EC9A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254,743</w:t>
            </w:r>
          </w:p>
        </w:tc>
        <w:tc>
          <w:tcPr>
            <w:tcW w:w="992" w:type="dxa"/>
            <w:tcBorders>
              <w:top w:val="nil"/>
              <w:left w:val="nil"/>
              <w:bottom w:val="nil"/>
              <w:right w:val="single" w:sz="4" w:space="0" w:color="auto"/>
            </w:tcBorders>
            <w:shd w:val="clear" w:color="000000" w:fill="FFFFFF"/>
            <w:vAlign w:val="center"/>
            <w:hideMark/>
          </w:tcPr>
          <w:p w14:paraId="390C0156"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2,248,218</w:t>
            </w:r>
          </w:p>
        </w:tc>
        <w:tc>
          <w:tcPr>
            <w:tcW w:w="992" w:type="dxa"/>
            <w:tcBorders>
              <w:top w:val="nil"/>
              <w:left w:val="nil"/>
              <w:bottom w:val="nil"/>
            </w:tcBorders>
            <w:shd w:val="clear" w:color="000000" w:fill="FFFFFF"/>
            <w:vAlign w:val="center"/>
            <w:hideMark/>
          </w:tcPr>
          <w:p w14:paraId="1C9C1404"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181</w:t>
            </w:r>
          </w:p>
        </w:tc>
      </w:tr>
      <w:tr w:rsidR="009E58CE" w:rsidRPr="009E58CE" w14:paraId="6F7359CA" w14:textId="77777777" w:rsidTr="004C0DDC">
        <w:trPr>
          <w:trHeight w:val="198"/>
        </w:trPr>
        <w:tc>
          <w:tcPr>
            <w:tcW w:w="1281" w:type="dxa"/>
            <w:vMerge/>
            <w:tcBorders>
              <w:top w:val="single" w:sz="4" w:space="0" w:color="auto"/>
              <w:bottom w:val="single" w:sz="4" w:space="0" w:color="auto"/>
              <w:right w:val="single" w:sz="4" w:space="0" w:color="auto"/>
            </w:tcBorders>
            <w:vAlign w:val="center"/>
            <w:hideMark/>
          </w:tcPr>
          <w:p w14:paraId="060A0739" w14:textId="77777777" w:rsidR="009E58CE" w:rsidRPr="002F2D01" w:rsidRDefault="009E58CE" w:rsidP="00FA515E">
            <w:pPr>
              <w:spacing w:before="0" w:after="0"/>
              <w:rPr>
                <w:rFonts w:asciiTheme="majorHAnsi" w:hAnsiTheme="majorHAnsi" w:cs="Arial"/>
                <w:b/>
                <w:bCs/>
                <w:sz w:val="16"/>
                <w:szCs w:val="16"/>
                <w:lang w:eastAsia="en-AU"/>
              </w:rPr>
            </w:pPr>
          </w:p>
        </w:tc>
        <w:tc>
          <w:tcPr>
            <w:tcW w:w="992" w:type="dxa"/>
            <w:vMerge/>
            <w:tcBorders>
              <w:top w:val="single" w:sz="4" w:space="0" w:color="auto"/>
              <w:left w:val="single" w:sz="4" w:space="0" w:color="auto"/>
              <w:bottom w:val="single" w:sz="4" w:space="0" w:color="auto"/>
              <w:right w:val="nil"/>
            </w:tcBorders>
            <w:vAlign w:val="center"/>
            <w:hideMark/>
          </w:tcPr>
          <w:p w14:paraId="49C3C596" w14:textId="77777777" w:rsidR="009E58CE" w:rsidRPr="002F2D01" w:rsidRDefault="009E58CE" w:rsidP="00FA515E">
            <w:pPr>
              <w:spacing w:before="0" w:after="0"/>
              <w:rPr>
                <w:rFonts w:asciiTheme="majorHAnsi" w:hAnsiTheme="majorHAnsi" w:cs="Arial"/>
                <w:sz w:val="16"/>
                <w:szCs w:val="16"/>
                <w:lang w:eastAsia="en-AU"/>
              </w:rPr>
            </w:pPr>
          </w:p>
        </w:tc>
        <w:tc>
          <w:tcPr>
            <w:tcW w:w="1059" w:type="dxa"/>
            <w:tcBorders>
              <w:top w:val="nil"/>
              <w:left w:val="single" w:sz="4" w:space="0" w:color="auto"/>
              <w:bottom w:val="single" w:sz="4" w:space="0" w:color="auto"/>
              <w:right w:val="single" w:sz="4" w:space="0" w:color="auto"/>
            </w:tcBorders>
            <w:shd w:val="clear" w:color="000000" w:fill="FFFFFF"/>
            <w:vAlign w:val="center"/>
            <w:hideMark/>
          </w:tcPr>
          <w:p w14:paraId="767FE7F3" w14:textId="77777777" w:rsidR="009E58CE" w:rsidRPr="002F2D01" w:rsidRDefault="009E58CE" w:rsidP="00FA515E">
            <w:pPr>
              <w:spacing w:before="0" w:after="0"/>
              <w:rPr>
                <w:rFonts w:asciiTheme="majorHAnsi" w:hAnsiTheme="majorHAnsi" w:cs="Arial"/>
                <w:bCs/>
                <w:sz w:val="16"/>
                <w:szCs w:val="16"/>
                <w:lang w:eastAsia="en-AU"/>
              </w:rPr>
            </w:pPr>
            <w:r w:rsidRPr="002F2D01">
              <w:rPr>
                <w:rFonts w:asciiTheme="majorHAnsi" w:hAnsiTheme="majorHAnsi" w:cs="Arial"/>
                <w:bCs/>
                <w:sz w:val="16"/>
                <w:szCs w:val="16"/>
                <w:lang w:eastAsia="en-AU"/>
              </w:rPr>
              <w:t>Total</w:t>
            </w:r>
          </w:p>
        </w:tc>
        <w:tc>
          <w:tcPr>
            <w:tcW w:w="991" w:type="dxa"/>
            <w:tcBorders>
              <w:top w:val="nil"/>
              <w:left w:val="nil"/>
              <w:bottom w:val="single" w:sz="4" w:space="0" w:color="auto"/>
              <w:right w:val="single" w:sz="4" w:space="0" w:color="auto"/>
            </w:tcBorders>
            <w:shd w:val="clear" w:color="000000" w:fill="FFFFFF"/>
            <w:noWrap/>
            <w:vAlign w:val="center"/>
            <w:hideMark/>
          </w:tcPr>
          <w:p w14:paraId="23F25B07"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38,687,580</w:t>
            </w:r>
          </w:p>
        </w:tc>
        <w:tc>
          <w:tcPr>
            <w:tcW w:w="902" w:type="dxa"/>
            <w:tcBorders>
              <w:top w:val="nil"/>
              <w:left w:val="nil"/>
              <w:bottom w:val="single" w:sz="4" w:space="0" w:color="auto"/>
              <w:right w:val="nil"/>
            </w:tcBorders>
            <w:shd w:val="clear" w:color="000000" w:fill="FFFFFF"/>
            <w:vAlign w:val="center"/>
            <w:hideMark/>
          </w:tcPr>
          <w:p w14:paraId="239AD7DD"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5,782,214</w:t>
            </w:r>
          </w:p>
        </w:tc>
        <w:tc>
          <w:tcPr>
            <w:tcW w:w="993" w:type="dxa"/>
            <w:tcBorders>
              <w:top w:val="nil"/>
              <w:left w:val="nil"/>
              <w:bottom w:val="single" w:sz="4" w:space="0" w:color="auto"/>
              <w:right w:val="nil"/>
            </w:tcBorders>
            <w:shd w:val="clear" w:color="000000" w:fill="FFFFFF"/>
            <w:vAlign w:val="center"/>
            <w:hideMark/>
          </w:tcPr>
          <w:p w14:paraId="0657F53B"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15,882,811</w:t>
            </w:r>
          </w:p>
        </w:tc>
        <w:tc>
          <w:tcPr>
            <w:tcW w:w="991" w:type="dxa"/>
            <w:tcBorders>
              <w:top w:val="nil"/>
              <w:left w:val="nil"/>
              <w:bottom w:val="single" w:sz="4" w:space="0" w:color="auto"/>
              <w:right w:val="single" w:sz="4" w:space="0" w:color="auto"/>
            </w:tcBorders>
            <w:shd w:val="clear" w:color="000000" w:fill="FFFFFF"/>
            <w:noWrap/>
            <w:vAlign w:val="center"/>
            <w:hideMark/>
          </w:tcPr>
          <w:p w14:paraId="776797E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21,665,022</w:t>
            </w:r>
          </w:p>
        </w:tc>
        <w:tc>
          <w:tcPr>
            <w:tcW w:w="1160" w:type="dxa"/>
            <w:tcBorders>
              <w:top w:val="nil"/>
              <w:left w:val="nil"/>
              <w:bottom w:val="single" w:sz="4" w:space="0" w:color="auto"/>
              <w:right w:val="nil"/>
            </w:tcBorders>
            <w:shd w:val="clear" w:color="000000" w:fill="FFFFFF"/>
            <w:noWrap/>
            <w:vAlign w:val="center"/>
            <w:hideMark/>
          </w:tcPr>
          <w:p w14:paraId="5C3B269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7,393,743</w:t>
            </w:r>
          </w:p>
        </w:tc>
        <w:tc>
          <w:tcPr>
            <w:tcW w:w="1130" w:type="dxa"/>
            <w:tcBorders>
              <w:top w:val="nil"/>
              <w:left w:val="nil"/>
              <w:bottom w:val="single" w:sz="4" w:space="0" w:color="auto"/>
              <w:right w:val="nil"/>
            </w:tcBorders>
            <w:shd w:val="clear" w:color="000000" w:fill="FFFFFF"/>
            <w:vAlign w:val="center"/>
            <w:hideMark/>
          </w:tcPr>
          <w:p w14:paraId="64459A78"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2,573,459</w:t>
            </w:r>
          </w:p>
        </w:tc>
        <w:tc>
          <w:tcPr>
            <w:tcW w:w="1279" w:type="dxa"/>
            <w:tcBorders>
              <w:top w:val="nil"/>
              <w:left w:val="nil"/>
              <w:bottom w:val="single" w:sz="4" w:space="0" w:color="auto"/>
              <w:right w:val="nil"/>
            </w:tcBorders>
            <w:shd w:val="clear" w:color="000000" w:fill="FFFFFF"/>
            <w:noWrap/>
            <w:vAlign w:val="center"/>
            <w:hideMark/>
          </w:tcPr>
          <w:p w14:paraId="5D43DF5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9,967,202</w:t>
            </w:r>
          </w:p>
        </w:tc>
        <w:tc>
          <w:tcPr>
            <w:tcW w:w="1135" w:type="dxa"/>
            <w:tcBorders>
              <w:top w:val="nil"/>
              <w:left w:val="nil"/>
              <w:bottom w:val="single" w:sz="4" w:space="0" w:color="auto"/>
              <w:right w:val="nil"/>
            </w:tcBorders>
            <w:shd w:val="clear" w:color="000000" w:fill="FFFFFF"/>
            <w:vAlign w:val="center"/>
            <w:hideMark/>
          </w:tcPr>
          <w:p w14:paraId="0FDBB5BF"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678,494</w:t>
            </w:r>
          </w:p>
        </w:tc>
        <w:tc>
          <w:tcPr>
            <w:tcW w:w="992" w:type="dxa"/>
            <w:tcBorders>
              <w:top w:val="nil"/>
              <w:left w:val="nil"/>
              <w:bottom w:val="single" w:sz="4" w:space="0" w:color="auto"/>
              <w:right w:val="nil"/>
            </w:tcBorders>
            <w:shd w:val="clear" w:color="auto" w:fill="FFFFFF" w:themeFill="background1"/>
            <w:vAlign w:val="center"/>
            <w:hideMark/>
          </w:tcPr>
          <w:p w14:paraId="7AD80925"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3,251,953</w:t>
            </w:r>
          </w:p>
        </w:tc>
        <w:tc>
          <w:tcPr>
            <w:tcW w:w="992" w:type="dxa"/>
            <w:tcBorders>
              <w:top w:val="nil"/>
              <w:left w:val="nil"/>
              <w:bottom w:val="single" w:sz="4" w:space="0" w:color="auto"/>
              <w:right w:val="single" w:sz="4" w:space="0" w:color="auto"/>
            </w:tcBorders>
            <w:shd w:val="clear" w:color="000000" w:fill="FFFFFF"/>
            <w:vAlign w:val="center"/>
            <w:hideMark/>
          </w:tcPr>
          <w:p w14:paraId="4CE3C973" w14:textId="77777777" w:rsidR="009E58CE" w:rsidRPr="002F2D01" w:rsidRDefault="009E58CE" w:rsidP="00FA515E">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10,645,696</w:t>
            </w:r>
          </w:p>
        </w:tc>
        <w:tc>
          <w:tcPr>
            <w:tcW w:w="992" w:type="dxa"/>
            <w:tcBorders>
              <w:top w:val="nil"/>
              <w:left w:val="nil"/>
              <w:bottom w:val="single" w:sz="4" w:space="0" w:color="auto"/>
            </w:tcBorders>
            <w:shd w:val="clear" w:color="000000" w:fill="FFFFFF"/>
            <w:vAlign w:val="center"/>
            <w:hideMark/>
          </w:tcPr>
          <w:p w14:paraId="59B4281A" w14:textId="77777777" w:rsidR="009E58CE" w:rsidRPr="002F2D01" w:rsidRDefault="009E58CE" w:rsidP="00FA515E">
            <w:pPr>
              <w:spacing w:before="0" w:after="0"/>
              <w:ind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919</w:t>
            </w:r>
          </w:p>
        </w:tc>
      </w:tr>
      <w:tr w:rsidR="009D3DC5" w:rsidRPr="009E58CE" w14:paraId="16629B51" w14:textId="77777777" w:rsidTr="004C0DDC">
        <w:trPr>
          <w:trHeight w:val="255"/>
        </w:trPr>
        <w:tc>
          <w:tcPr>
            <w:tcW w:w="14889" w:type="dxa"/>
            <w:gridSpan w:val="14"/>
            <w:tcBorders>
              <w:top w:val="single" w:sz="4" w:space="0" w:color="auto"/>
            </w:tcBorders>
            <w:vAlign w:val="center"/>
          </w:tcPr>
          <w:p w14:paraId="52CF908A" w14:textId="662471FC" w:rsidR="005C5680" w:rsidRDefault="009D3DC5" w:rsidP="00FA515E">
            <w:pPr>
              <w:spacing w:before="0" w:after="0"/>
              <w:rPr>
                <w:rFonts w:ascii="Calibri" w:hAnsi="Calibri" w:cs="Arial"/>
                <w:sz w:val="16"/>
                <w:szCs w:val="16"/>
                <w:lang w:eastAsia="en-AU"/>
              </w:rPr>
            </w:pPr>
            <w:r w:rsidRPr="009E58CE">
              <w:rPr>
                <w:rFonts w:ascii="Calibri" w:hAnsi="Calibri" w:cs="Arial"/>
                <w:sz w:val="16"/>
                <w:szCs w:val="16"/>
                <w:lang w:eastAsia="en-AU"/>
              </w:rPr>
              <w:t xml:space="preserve">Source: Regional forest agreements datasets held by the National Forest Inventory, ABARES, derived from </w:t>
            </w:r>
            <w:r>
              <w:rPr>
                <w:rFonts w:ascii="Calibri" w:hAnsi="Calibri" w:cs="Arial"/>
                <w:sz w:val="16"/>
                <w:szCs w:val="16"/>
                <w:lang w:eastAsia="en-AU"/>
              </w:rPr>
              <w:t>Australian</w:t>
            </w:r>
            <w:r w:rsidRPr="009E58CE">
              <w:rPr>
                <w:rFonts w:ascii="Calibri" w:hAnsi="Calibri" w:cs="Arial"/>
                <w:sz w:val="16"/>
                <w:szCs w:val="16"/>
                <w:lang w:eastAsia="en-AU"/>
              </w:rPr>
              <w:t xml:space="preserve"> and </w:t>
            </w:r>
            <w:r>
              <w:rPr>
                <w:rFonts w:ascii="Calibri" w:hAnsi="Calibri" w:cs="Arial"/>
                <w:sz w:val="16"/>
                <w:szCs w:val="16"/>
                <w:lang w:eastAsia="en-AU"/>
              </w:rPr>
              <w:t xml:space="preserve">State </w:t>
            </w:r>
            <w:r w:rsidRPr="009E58CE">
              <w:rPr>
                <w:rFonts w:ascii="Calibri" w:hAnsi="Calibri" w:cs="Arial"/>
                <w:sz w:val="16"/>
                <w:szCs w:val="16"/>
                <w:lang w:eastAsia="en-AU"/>
              </w:rPr>
              <w:t>Government data.</w:t>
            </w:r>
            <w:r w:rsidRPr="009E58CE">
              <w:rPr>
                <w:rFonts w:ascii="Calibri" w:hAnsi="Calibri" w:cs="Arial"/>
                <w:sz w:val="16"/>
                <w:szCs w:val="16"/>
                <w:lang w:eastAsia="en-AU"/>
              </w:rPr>
              <w:br/>
              <w:t>Terrestrial and estuarine waterbodies are included in the land area statement</w:t>
            </w:r>
            <w:r>
              <w:rPr>
                <w:rFonts w:ascii="Calibri" w:hAnsi="Calibri" w:cs="Arial"/>
                <w:sz w:val="16"/>
                <w:szCs w:val="16"/>
                <w:lang w:eastAsia="en-AU"/>
              </w:rPr>
              <w:t>s for terrestrial native ecosystems</w:t>
            </w:r>
            <w:r w:rsidRPr="009E58CE">
              <w:rPr>
                <w:rFonts w:ascii="Calibri" w:hAnsi="Calibri" w:cs="Arial"/>
                <w:sz w:val="16"/>
                <w:szCs w:val="16"/>
                <w:lang w:eastAsia="en-AU"/>
              </w:rPr>
              <w:t xml:space="preserve">. Plantations, major waterbodies, non-native communities and cleared land are not included in the area statements for terrestrial native ecosystems. </w:t>
            </w:r>
            <w:r>
              <w:rPr>
                <w:rFonts w:ascii="Calibri" w:hAnsi="Calibri" w:cs="Arial"/>
                <w:sz w:val="16"/>
                <w:szCs w:val="16"/>
                <w:lang w:eastAsia="en-AU"/>
              </w:rPr>
              <w:t xml:space="preserve">The </w:t>
            </w:r>
            <w:r>
              <w:rPr>
                <w:rFonts w:ascii="Calibri" w:hAnsi="Calibri" w:cs="Arial"/>
                <w:sz w:val="16"/>
                <w:szCs w:val="16"/>
              </w:rPr>
              <w:t>CAR reserve system includes formal and informal reserves and areas with values protected by management prescription.</w:t>
            </w:r>
            <w:r w:rsidRPr="009E58CE">
              <w:rPr>
                <w:rFonts w:ascii="Calibri" w:hAnsi="Calibri" w:cs="Arial"/>
                <w:sz w:val="16"/>
                <w:szCs w:val="16"/>
                <w:lang w:eastAsia="en-AU"/>
              </w:rPr>
              <w:br/>
              <w:t xml:space="preserve">The data used is validated </w:t>
            </w:r>
            <w:r>
              <w:rPr>
                <w:rFonts w:ascii="Calibri" w:hAnsi="Calibri" w:cs="Arial"/>
                <w:sz w:val="16"/>
                <w:szCs w:val="16"/>
                <w:lang w:eastAsia="en-AU"/>
              </w:rPr>
              <w:t>RFA</w:t>
            </w:r>
            <w:r w:rsidRPr="009E58CE">
              <w:rPr>
                <w:rFonts w:ascii="Calibri" w:hAnsi="Calibri" w:cs="Arial"/>
                <w:sz w:val="16"/>
                <w:szCs w:val="16"/>
                <w:lang w:eastAsia="en-AU"/>
              </w:rPr>
              <w:t xml:space="preserve"> data, usually finalised at or within six months after signing agreements</w:t>
            </w:r>
            <w:r>
              <w:rPr>
                <w:rFonts w:ascii="Calibri" w:hAnsi="Calibri" w:cs="Arial"/>
                <w:sz w:val="16"/>
                <w:szCs w:val="16"/>
                <w:lang w:eastAsia="en-AU"/>
              </w:rPr>
              <w:t xml:space="preserve"> or subsequent amendments or reviews</w:t>
            </w:r>
            <w:r w:rsidRPr="009E58CE">
              <w:rPr>
                <w:rFonts w:ascii="Calibri" w:hAnsi="Calibri" w:cs="Arial"/>
                <w:sz w:val="16"/>
                <w:szCs w:val="16"/>
                <w:lang w:eastAsia="en-AU"/>
              </w:rPr>
              <w:t xml:space="preserve">. ‘Pre-RFA’ refers </w:t>
            </w:r>
            <w:r w:rsidR="00E441F9">
              <w:rPr>
                <w:rFonts w:ascii="Calibri" w:hAnsi="Calibri" w:cs="Arial"/>
                <w:sz w:val="16"/>
                <w:szCs w:val="16"/>
                <w:lang w:eastAsia="en-AU"/>
              </w:rPr>
              <w:t>to immediately prior to the</w:t>
            </w:r>
            <w:r w:rsidRPr="009E58CE">
              <w:rPr>
                <w:rFonts w:ascii="Calibri" w:hAnsi="Calibri" w:cs="Arial"/>
                <w:sz w:val="16"/>
                <w:szCs w:val="16"/>
                <w:lang w:eastAsia="en-AU"/>
              </w:rPr>
              <w:t xml:space="preserve"> signing of the relevant RFA. </w:t>
            </w:r>
            <w:r w:rsidR="002747AB">
              <w:rPr>
                <w:rFonts w:ascii="Calibri" w:hAnsi="Calibri" w:cs="Arial"/>
                <w:sz w:val="16"/>
                <w:szCs w:val="16"/>
                <w:lang w:eastAsia="en-AU"/>
              </w:rPr>
              <w:t>‘</w:t>
            </w:r>
            <w:r w:rsidRPr="009E58CE">
              <w:rPr>
                <w:rFonts w:ascii="Calibri" w:hAnsi="Calibri" w:cs="Arial"/>
                <w:sz w:val="16"/>
                <w:szCs w:val="16"/>
                <w:lang w:eastAsia="en-AU"/>
              </w:rPr>
              <w:t xml:space="preserve">At RFA’ refers to changes on signing of the relevant </w:t>
            </w:r>
            <w:r>
              <w:rPr>
                <w:rFonts w:ascii="Calibri" w:hAnsi="Calibri" w:cs="Arial"/>
                <w:sz w:val="16"/>
                <w:szCs w:val="16"/>
                <w:lang w:eastAsia="en-AU"/>
              </w:rPr>
              <w:t>RFA</w:t>
            </w:r>
            <w:r w:rsidRPr="009E58CE">
              <w:rPr>
                <w:rFonts w:ascii="Calibri" w:hAnsi="Calibri" w:cs="Arial"/>
                <w:sz w:val="16"/>
                <w:szCs w:val="16"/>
                <w:lang w:eastAsia="en-AU"/>
              </w:rPr>
              <w:t xml:space="preserve">. ‘Post-RFA’ refers to </w:t>
            </w:r>
            <w:r>
              <w:rPr>
                <w:rFonts w:ascii="Calibri" w:hAnsi="Calibri" w:cs="Arial"/>
                <w:sz w:val="16"/>
                <w:szCs w:val="16"/>
                <w:lang w:eastAsia="en-AU"/>
              </w:rPr>
              <w:t xml:space="preserve">immediately </w:t>
            </w:r>
            <w:r w:rsidRPr="009E58CE">
              <w:rPr>
                <w:rFonts w:ascii="Calibri" w:hAnsi="Calibri" w:cs="Arial"/>
                <w:sz w:val="16"/>
                <w:szCs w:val="16"/>
                <w:lang w:eastAsia="en-AU"/>
              </w:rPr>
              <w:t xml:space="preserve">after the date of signing of the relevant </w:t>
            </w:r>
            <w:r>
              <w:rPr>
                <w:rFonts w:ascii="Calibri" w:hAnsi="Calibri" w:cs="Arial"/>
                <w:sz w:val="16"/>
                <w:szCs w:val="16"/>
                <w:lang w:eastAsia="en-AU"/>
              </w:rPr>
              <w:t>RFA</w:t>
            </w:r>
            <w:r w:rsidRPr="009E58CE">
              <w:rPr>
                <w:rFonts w:ascii="Calibri" w:hAnsi="Calibri" w:cs="Arial"/>
                <w:sz w:val="16"/>
                <w:szCs w:val="16"/>
                <w:lang w:eastAsia="en-AU"/>
              </w:rPr>
              <w:t>.</w:t>
            </w:r>
            <w:r>
              <w:rPr>
                <w:rFonts w:ascii="Calibri" w:hAnsi="Calibri" w:cs="Arial"/>
                <w:sz w:val="16"/>
                <w:szCs w:val="16"/>
                <w:lang w:eastAsia="en-AU"/>
              </w:rPr>
              <w:t xml:space="preserve"> </w:t>
            </w:r>
            <w:r w:rsidRPr="009E58CE">
              <w:rPr>
                <w:rFonts w:ascii="Calibri" w:hAnsi="Calibri" w:cs="Arial"/>
                <w:sz w:val="16"/>
                <w:szCs w:val="16"/>
                <w:lang w:eastAsia="en-AU"/>
              </w:rPr>
              <w:t>Signing dates are: East Gippsland, 3 February 1997; Tasmanian, 8 November 19</w:t>
            </w:r>
            <w:r>
              <w:rPr>
                <w:rFonts w:ascii="Calibri" w:hAnsi="Calibri" w:cs="Arial"/>
                <w:sz w:val="16"/>
                <w:szCs w:val="16"/>
                <w:lang w:eastAsia="en-AU"/>
              </w:rPr>
              <w:t xml:space="preserve">97; </w:t>
            </w:r>
            <w:r w:rsidRPr="009E58CE">
              <w:rPr>
                <w:rFonts w:ascii="Calibri" w:hAnsi="Calibri" w:cs="Arial"/>
                <w:sz w:val="16"/>
                <w:szCs w:val="16"/>
                <w:lang w:eastAsia="en-AU"/>
              </w:rPr>
              <w:t>Central Highlands, 27 March 1998; South-West Forest Region of Western Australia, 4 May 1999</w:t>
            </w:r>
            <w:r>
              <w:rPr>
                <w:rFonts w:ascii="Calibri" w:hAnsi="Calibri" w:cs="Arial"/>
                <w:sz w:val="16"/>
                <w:szCs w:val="16"/>
                <w:lang w:eastAsia="en-AU"/>
              </w:rPr>
              <w:t xml:space="preserve">; </w:t>
            </w:r>
            <w:r w:rsidR="00432B6E">
              <w:rPr>
                <w:rFonts w:ascii="Calibri" w:hAnsi="Calibri" w:cs="Arial"/>
                <w:sz w:val="16"/>
                <w:szCs w:val="16"/>
                <w:lang w:eastAsia="en-AU"/>
              </w:rPr>
              <w:t xml:space="preserve">North East (Vic.), </w:t>
            </w:r>
            <w:r w:rsidRPr="009E58CE">
              <w:rPr>
                <w:rFonts w:ascii="Calibri" w:hAnsi="Calibri" w:cs="Arial"/>
                <w:sz w:val="16"/>
                <w:szCs w:val="16"/>
                <w:lang w:eastAsia="en-AU"/>
              </w:rPr>
              <w:t>9 August 1999; Eden, 26 August 1999; Gippsland, 31 March 2000; West Victoria, 31 March 2000; Upper and Lower North East (NSW), 31 March 20</w:t>
            </w:r>
            <w:r>
              <w:rPr>
                <w:rFonts w:ascii="Calibri" w:hAnsi="Calibri" w:cs="Arial"/>
                <w:sz w:val="16"/>
                <w:szCs w:val="16"/>
                <w:lang w:eastAsia="en-AU"/>
              </w:rPr>
              <w:t>00; Southern NSW, 24 April 2001.</w:t>
            </w:r>
            <w:r w:rsidRPr="009E58CE">
              <w:rPr>
                <w:rFonts w:ascii="Calibri" w:hAnsi="Calibri" w:cs="Arial"/>
                <w:sz w:val="16"/>
                <w:szCs w:val="16"/>
                <w:lang w:eastAsia="en-AU"/>
              </w:rPr>
              <w:br/>
              <w:t>Count of ecosystem types post-RFA totals for a state may be less than the sum of individual region count of types as some types occur across multiple regions.</w:t>
            </w:r>
          </w:p>
          <w:p w14:paraId="458361FC" w14:textId="11404C6E" w:rsidR="009D3DC5" w:rsidRDefault="005C5680" w:rsidP="00FA515E">
            <w:pPr>
              <w:spacing w:before="0" w:after="0"/>
              <w:rPr>
                <w:rFonts w:ascii="Calibri" w:hAnsi="Calibri" w:cs="Arial"/>
                <w:sz w:val="16"/>
                <w:szCs w:val="16"/>
                <w:lang w:eastAsia="en-AU"/>
              </w:rPr>
            </w:pPr>
            <w:r w:rsidRPr="005C5680">
              <w:rPr>
                <w:rFonts w:ascii="Calibri" w:hAnsi="Calibri" w:cs="Arial"/>
                <w:sz w:val="16"/>
                <w:szCs w:val="16"/>
                <w:lang w:eastAsia="en-AU"/>
              </w:rPr>
              <w:t xml:space="preserve">Victorian data presented </w:t>
            </w:r>
            <w:r>
              <w:rPr>
                <w:rFonts w:ascii="Calibri" w:hAnsi="Calibri" w:cs="Arial"/>
                <w:sz w:val="16"/>
                <w:szCs w:val="16"/>
                <w:lang w:eastAsia="en-AU"/>
              </w:rPr>
              <w:t xml:space="preserve">in this table </w:t>
            </w:r>
            <w:r w:rsidR="0044624F">
              <w:rPr>
                <w:rFonts w:ascii="Calibri" w:hAnsi="Calibri" w:cs="Arial"/>
                <w:sz w:val="16"/>
                <w:szCs w:val="16"/>
                <w:lang w:eastAsia="en-AU"/>
              </w:rPr>
              <w:t>are</w:t>
            </w:r>
            <w:r w:rsidRPr="005C5680">
              <w:rPr>
                <w:rFonts w:ascii="Calibri" w:hAnsi="Calibri" w:cs="Arial"/>
                <w:sz w:val="16"/>
                <w:szCs w:val="16"/>
                <w:lang w:eastAsia="en-AU"/>
              </w:rPr>
              <w:t xml:space="preserve"> based on the EVCs used at the time of signing RFAs</w:t>
            </w:r>
            <w:r>
              <w:rPr>
                <w:rFonts w:ascii="Calibri" w:hAnsi="Calibri" w:cs="Arial"/>
                <w:sz w:val="16"/>
                <w:szCs w:val="16"/>
                <w:lang w:eastAsia="en-AU"/>
              </w:rPr>
              <w:t>.</w:t>
            </w:r>
            <w:r w:rsidR="009D3DC5" w:rsidRPr="009E58CE">
              <w:rPr>
                <w:rFonts w:ascii="Calibri" w:hAnsi="Calibri" w:cs="Arial"/>
                <w:sz w:val="16"/>
                <w:szCs w:val="16"/>
                <w:lang w:eastAsia="en-AU"/>
              </w:rPr>
              <w:br/>
              <w:t>Totals may not tally due to rounding.</w:t>
            </w:r>
          </w:p>
          <w:p w14:paraId="1A420AEE" w14:textId="790C0B4C" w:rsidR="00527F4B" w:rsidRPr="00527F4B" w:rsidRDefault="00674019" w:rsidP="00527F4B">
            <w:pPr>
              <w:pStyle w:val="FootnoteText"/>
              <w:spacing w:before="0"/>
              <w:rPr>
                <w:rFonts w:asciiTheme="minorHAnsi" w:eastAsiaTheme="minorEastAsia" w:hAnsiTheme="minorHAnsi"/>
                <w:sz w:val="16"/>
              </w:rPr>
            </w:pPr>
            <w:r>
              <w:rPr>
                <w:rFonts w:asciiTheme="minorHAnsi" w:hAnsiTheme="minorHAnsi"/>
                <w:noProof/>
                <w:sz w:val="16"/>
              </w:rPr>
              <w:t>This</w:t>
            </w:r>
            <w:r w:rsidR="00527F4B">
              <w:rPr>
                <w:rFonts w:asciiTheme="minorHAnsi" w:hAnsiTheme="minorHAnsi"/>
                <w:noProof/>
                <w:sz w:val="16"/>
              </w:rPr>
              <w:t xml:space="preserve"> table</w:t>
            </w:r>
            <w:r w:rsidR="00527F4B" w:rsidRPr="00831C40">
              <w:rPr>
                <w:rFonts w:asciiTheme="minorHAnsi" w:hAnsiTheme="minorHAnsi"/>
                <w:noProof/>
                <w:sz w:val="16"/>
              </w:rPr>
              <w:t xml:space="preserve">, together with other data in this report, is available in Microsoft Excel </w:t>
            </w:r>
            <w:r w:rsidR="00DB0CD3">
              <w:rPr>
                <w:rFonts w:asciiTheme="minorHAnsi" w:hAnsiTheme="minorHAnsi"/>
                <w:noProof/>
                <w:sz w:val="16"/>
              </w:rPr>
              <w:t>at</w:t>
            </w:r>
            <w:r w:rsidR="00527F4B" w:rsidRPr="00831C40">
              <w:rPr>
                <w:rFonts w:asciiTheme="minorHAnsi" w:hAnsiTheme="minorHAnsi"/>
                <w:noProof/>
                <w:sz w:val="16"/>
              </w:rPr>
              <w:t xml:space="preserve"> </w:t>
            </w:r>
            <w:hyperlink r:id="rId42" w:history="1">
              <w:r w:rsidR="0090070F" w:rsidRPr="0090070F">
                <w:rPr>
                  <w:rStyle w:val="Hyperlink"/>
                  <w:rFonts w:asciiTheme="minorHAnsi" w:hAnsiTheme="minorHAnsi"/>
                  <w:noProof/>
                  <w:color w:val="0070C0"/>
                  <w:sz w:val="16"/>
                </w:rPr>
                <w:t>doi.org/10.25814/pczx-xk66</w:t>
              </w:r>
            </w:hyperlink>
            <w:r w:rsidR="0090070F">
              <w:rPr>
                <w:rFonts w:asciiTheme="minorHAnsi" w:hAnsiTheme="minorHAnsi"/>
                <w:noProof/>
                <w:sz w:val="16"/>
              </w:rPr>
              <w:t>.</w:t>
            </w:r>
          </w:p>
          <w:p w14:paraId="6AB0A97A" w14:textId="05B60D13" w:rsidR="00527F4B" w:rsidRPr="009E58CE" w:rsidRDefault="00527F4B" w:rsidP="00FA515E">
            <w:pPr>
              <w:spacing w:before="0" w:after="0"/>
              <w:rPr>
                <w:rFonts w:ascii="Calibri" w:hAnsi="Calibri" w:cs="Arial"/>
                <w:sz w:val="16"/>
                <w:szCs w:val="16"/>
                <w:lang w:eastAsia="en-AU"/>
              </w:rPr>
            </w:pPr>
          </w:p>
        </w:tc>
      </w:tr>
    </w:tbl>
    <w:p w14:paraId="4F8D144A" w14:textId="77777777" w:rsidR="00E24F56" w:rsidRDefault="00E24F56" w:rsidP="004C0DDC">
      <w:pPr>
        <w:pStyle w:val="Caption"/>
      </w:pPr>
      <w:r>
        <w:br w:type="page"/>
      </w:r>
    </w:p>
    <w:p w14:paraId="40DE5240" w14:textId="604976B4" w:rsidR="00FA3F28" w:rsidRDefault="00FA3F28" w:rsidP="004C0DDC">
      <w:pPr>
        <w:pStyle w:val="Caption"/>
      </w:pPr>
      <w:bookmarkStart w:id="38" w:name="_Ref55396102"/>
      <w:bookmarkStart w:id="39" w:name="_Toc58234965"/>
      <w:r>
        <w:lastRenderedPageBreak/>
        <w:t xml:space="preserve">Table </w:t>
      </w:r>
      <w:r w:rsidR="000E2D33">
        <w:t>A</w:t>
      </w:r>
      <w:r w:rsidR="00DD454E">
        <w:rPr>
          <w:noProof/>
        </w:rPr>
        <w:fldChar w:fldCharType="begin"/>
      </w:r>
      <w:r w:rsidR="00DD454E">
        <w:rPr>
          <w:noProof/>
        </w:rPr>
        <w:instrText xml:space="preserve"> SEQ Table \* ARABIC </w:instrText>
      </w:r>
      <w:r w:rsidR="00DD454E">
        <w:rPr>
          <w:noProof/>
        </w:rPr>
        <w:fldChar w:fldCharType="separate"/>
      </w:r>
      <w:r w:rsidR="00CC3B42">
        <w:rPr>
          <w:noProof/>
        </w:rPr>
        <w:t>2</w:t>
      </w:r>
      <w:r w:rsidR="00DD454E">
        <w:rPr>
          <w:noProof/>
        </w:rPr>
        <w:fldChar w:fldCharType="end"/>
      </w:r>
      <w:bookmarkEnd w:id="38"/>
      <w:r>
        <w:t xml:space="preserve"> Proportions of native forest and non-forest ecosystems reserve</w:t>
      </w:r>
      <w:r w:rsidR="006337C5">
        <w:t>d</w:t>
      </w:r>
      <w:r>
        <w:t xml:space="preserve"> before and</w:t>
      </w:r>
      <w:r w:rsidR="00DC5285">
        <w:t xml:space="preserve"> immediately</w:t>
      </w:r>
      <w:r>
        <w:t xml:space="preserve"> after RFAs</w:t>
      </w:r>
      <w:r w:rsidR="00361D8F">
        <w:t xml:space="preserve"> were signed</w:t>
      </w:r>
      <w:bookmarkEnd w:id="39"/>
    </w:p>
    <w:tbl>
      <w:tblPr>
        <w:tblW w:w="13381" w:type="dxa"/>
        <w:tblInd w:w="-426" w:type="dxa"/>
        <w:tblCellMar>
          <w:left w:w="0" w:type="dxa"/>
          <w:right w:w="0" w:type="dxa"/>
        </w:tblCellMar>
        <w:tblLook w:val="04A0" w:firstRow="1" w:lastRow="0" w:firstColumn="1" w:lastColumn="0" w:noHBand="0" w:noVBand="1"/>
      </w:tblPr>
      <w:tblGrid>
        <w:gridCol w:w="1725"/>
        <w:gridCol w:w="1126"/>
        <w:gridCol w:w="1384"/>
        <w:gridCol w:w="1579"/>
        <w:gridCol w:w="1409"/>
        <w:gridCol w:w="1543"/>
        <w:gridCol w:w="1539"/>
        <w:gridCol w:w="1477"/>
        <w:gridCol w:w="1615"/>
      </w:tblGrid>
      <w:tr w:rsidR="00FA3F28" w14:paraId="58AC78B4" w14:textId="77777777" w:rsidTr="004C0DDC">
        <w:trPr>
          <w:trHeight w:val="1125"/>
          <w:tblHeader/>
        </w:trPr>
        <w:tc>
          <w:tcPr>
            <w:tcW w:w="1717" w:type="dxa"/>
            <w:tcBorders>
              <w:top w:val="single" w:sz="4" w:space="0" w:color="auto"/>
              <w:bottom w:val="single" w:sz="4" w:space="0" w:color="auto"/>
              <w:right w:val="single" w:sz="4" w:space="0" w:color="auto"/>
            </w:tcBorders>
            <w:shd w:val="clear" w:color="000000" w:fill="FFFFFF"/>
            <w:vAlign w:val="bottom"/>
            <w:hideMark/>
          </w:tcPr>
          <w:p w14:paraId="0CF63EDA" w14:textId="77777777" w:rsidR="00F84522" w:rsidRPr="002F2D01" w:rsidRDefault="00F8452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RFA state and region</w:t>
            </w:r>
          </w:p>
        </w:tc>
        <w:tc>
          <w:tcPr>
            <w:tcW w:w="1126" w:type="dxa"/>
            <w:tcBorders>
              <w:top w:val="single" w:sz="4" w:space="0" w:color="auto"/>
              <w:left w:val="nil"/>
              <w:bottom w:val="single" w:sz="4" w:space="0" w:color="auto"/>
              <w:right w:val="single" w:sz="4" w:space="0" w:color="auto"/>
            </w:tcBorders>
            <w:shd w:val="clear" w:color="000000" w:fill="FFFFFF"/>
            <w:vAlign w:val="bottom"/>
            <w:hideMark/>
          </w:tcPr>
          <w:p w14:paraId="5DD5F5AE" w14:textId="77777777" w:rsidR="00F84522" w:rsidRPr="002F2D01" w:rsidRDefault="00F8452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Terrestrial native ecosystems</w:t>
            </w:r>
          </w:p>
        </w:tc>
        <w:tc>
          <w:tcPr>
            <w:tcW w:w="1384" w:type="dxa"/>
            <w:tcBorders>
              <w:top w:val="single" w:sz="4" w:space="0" w:color="auto"/>
              <w:left w:val="nil"/>
              <w:bottom w:val="single" w:sz="4" w:space="0" w:color="auto"/>
              <w:right w:val="single" w:sz="4" w:space="0" w:color="auto"/>
            </w:tcBorders>
            <w:shd w:val="clear" w:color="000000" w:fill="FFFFFF"/>
            <w:vAlign w:val="bottom"/>
            <w:hideMark/>
          </w:tcPr>
          <w:p w14:paraId="743EEECC" w14:textId="26BC1E8B" w:rsidR="00F84522" w:rsidRPr="002F2D01" w:rsidRDefault="00F8452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Proportion of pre-1750 area</w:t>
            </w:r>
            <w:r w:rsidR="00F700E4" w:rsidRPr="002F2D01">
              <w:rPr>
                <w:rFonts w:asciiTheme="majorHAnsi" w:hAnsiTheme="majorHAnsi" w:cs="Arial"/>
                <w:b/>
                <w:bCs/>
                <w:sz w:val="16"/>
                <w:szCs w:val="16"/>
              </w:rPr>
              <w:t xml:space="preserve"> remaining</w:t>
            </w:r>
            <w:r w:rsidRPr="002F2D01">
              <w:rPr>
                <w:rFonts w:asciiTheme="majorHAnsi" w:hAnsiTheme="majorHAnsi" w:cs="Arial"/>
                <w:b/>
                <w:bCs/>
                <w:sz w:val="16"/>
                <w:szCs w:val="16"/>
              </w:rPr>
              <w:t xml:space="preserve"> by RFA date (%)</w:t>
            </w:r>
          </w:p>
        </w:tc>
        <w:tc>
          <w:tcPr>
            <w:tcW w:w="1579" w:type="dxa"/>
            <w:tcBorders>
              <w:top w:val="single" w:sz="4" w:space="0" w:color="auto"/>
              <w:left w:val="nil"/>
              <w:bottom w:val="single" w:sz="4" w:space="0" w:color="auto"/>
              <w:right w:val="single" w:sz="4" w:space="0" w:color="auto"/>
            </w:tcBorders>
            <w:shd w:val="clear" w:color="000000" w:fill="FFFFFF"/>
            <w:vAlign w:val="bottom"/>
            <w:hideMark/>
          </w:tcPr>
          <w:p w14:paraId="2D5BF91A" w14:textId="31011CC6" w:rsidR="00F84522" w:rsidRPr="002F2D01" w:rsidRDefault="00F8452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 xml:space="preserve">Proportion of </w:t>
            </w:r>
            <w:r w:rsidR="00F065F6" w:rsidRPr="002F2D01">
              <w:rPr>
                <w:rFonts w:asciiTheme="majorHAnsi" w:hAnsiTheme="majorHAnsi" w:cs="Arial"/>
                <w:b/>
                <w:bCs/>
                <w:sz w:val="16"/>
                <w:szCs w:val="16"/>
              </w:rPr>
              <w:t>area o</w:t>
            </w:r>
            <w:r w:rsidR="00CD45E1" w:rsidRPr="002F2D01">
              <w:rPr>
                <w:rFonts w:asciiTheme="majorHAnsi" w:hAnsiTheme="majorHAnsi" w:cs="Arial"/>
                <w:b/>
                <w:bCs/>
                <w:sz w:val="16"/>
                <w:szCs w:val="16"/>
              </w:rPr>
              <w:t>n</w:t>
            </w:r>
            <w:r w:rsidR="00F065F6" w:rsidRPr="002F2D01">
              <w:rPr>
                <w:rFonts w:asciiTheme="majorHAnsi" w:hAnsiTheme="majorHAnsi" w:cs="Arial"/>
                <w:b/>
                <w:bCs/>
                <w:sz w:val="16"/>
                <w:szCs w:val="16"/>
              </w:rPr>
              <w:t xml:space="preserve"> </w:t>
            </w:r>
            <w:r w:rsidRPr="002F2D01">
              <w:rPr>
                <w:rFonts w:asciiTheme="majorHAnsi" w:hAnsiTheme="majorHAnsi" w:cs="Arial"/>
                <w:b/>
                <w:bCs/>
                <w:sz w:val="16"/>
                <w:szCs w:val="16"/>
              </w:rPr>
              <w:t xml:space="preserve">public </w:t>
            </w:r>
            <w:r w:rsidR="00F065F6" w:rsidRPr="002F2D01">
              <w:rPr>
                <w:rFonts w:asciiTheme="majorHAnsi" w:hAnsiTheme="majorHAnsi" w:cs="Arial"/>
                <w:b/>
                <w:bCs/>
                <w:sz w:val="16"/>
                <w:szCs w:val="16"/>
              </w:rPr>
              <w:t xml:space="preserve">land </w:t>
            </w:r>
            <w:r w:rsidRPr="002F2D01">
              <w:rPr>
                <w:rFonts w:asciiTheme="majorHAnsi" w:hAnsiTheme="majorHAnsi" w:cs="Arial"/>
                <w:b/>
                <w:bCs/>
                <w:sz w:val="16"/>
                <w:szCs w:val="16"/>
              </w:rPr>
              <w:t>in formal and informal reserves pre-RFA (%)</w:t>
            </w:r>
          </w:p>
        </w:tc>
        <w:tc>
          <w:tcPr>
            <w:tcW w:w="1401" w:type="dxa"/>
            <w:tcBorders>
              <w:top w:val="single" w:sz="4" w:space="0" w:color="auto"/>
              <w:left w:val="nil"/>
              <w:bottom w:val="single" w:sz="4" w:space="0" w:color="auto"/>
              <w:right w:val="single" w:sz="4" w:space="0" w:color="auto"/>
            </w:tcBorders>
            <w:shd w:val="clear" w:color="000000" w:fill="FFFFFF"/>
            <w:vAlign w:val="bottom"/>
            <w:hideMark/>
          </w:tcPr>
          <w:p w14:paraId="3C7030FD" w14:textId="20B51CEB" w:rsidR="00F84522" w:rsidRPr="002F2D01" w:rsidRDefault="00077B7D" w:rsidP="00CB0E93">
            <w:pPr>
              <w:spacing w:before="0" w:after="0"/>
              <w:ind w:left="57" w:right="57"/>
              <w:jc w:val="right"/>
              <w:rPr>
                <w:rFonts w:asciiTheme="majorHAnsi" w:hAnsiTheme="majorHAnsi" w:cs="Arial"/>
                <w:b/>
                <w:bCs/>
                <w:sz w:val="16"/>
                <w:szCs w:val="16"/>
              </w:rPr>
            </w:pPr>
            <w:r>
              <w:rPr>
                <w:rFonts w:asciiTheme="majorHAnsi" w:hAnsiTheme="majorHAnsi" w:cs="Arial"/>
                <w:b/>
                <w:bCs/>
                <w:sz w:val="16"/>
                <w:szCs w:val="16"/>
              </w:rPr>
              <w:t>Proportional c</w:t>
            </w:r>
            <w:r w:rsidR="00F84522" w:rsidRPr="002F2D01">
              <w:rPr>
                <w:rFonts w:asciiTheme="majorHAnsi" w:hAnsiTheme="majorHAnsi" w:cs="Arial"/>
                <w:b/>
                <w:bCs/>
                <w:sz w:val="16"/>
                <w:szCs w:val="16"/>
              </w:rPr>
              <w:t xml:space="preserve">hange in </w:t>
            </w:r>
            <w:r w:rsidR="00F065F6" w:rsidRPr="002F2D01">
              <w:rPr>
                <w:rFonts w:asciiTheme="majorHAnsi" w:hAnsiTheme="majorHAnsi" w:cs="Arial"/>
                <w:b/>
                <w:bCs/>
                <w:sz w:val="16"/>
                <w:szCs w:val="16"/>
              </w:rPr>
              <w:t xml:space="preserve">area of </w:t>
            </w:r>
            <w:r w:rsidR="00F84522" w:rsidRPr="002F2D01">
              <w:rPr>
                <w:rFonts w:asciiTheme="majorHAnsi" w:hAnsiTheme="majorHAnsi" w:cs="Arial"/>
                <w:b/>
                <w:bCs/>
                <w:sz w:val="16"/>
                <w:szCs w:val="16"/>
              </w:rPr>
              <w:t>formal and informal public reserves at RFA (%)</w:t>
            </w:r>
          </w:p>
        </w:tc>
        <w:tc>
          <w:tcPr>
            <w:tcW w:w="1543" w:type="dxa"/>
            <w:tcBorders>
              <w:top w:val="single" w:sz="4" w:space="0" w:color="auto"/>
              <w:left w:val="nil"/>
              <w:bottom w:val="single" w:sz="4" w:space="0" w:color="auto"/>
              <w:right w:val="single" w:sz="4" w:space="0" w:color="auto"/>
            </w:tcBorders>
            <w:shd w:val="clear" w:color="000000" w:fill="FFFFFF"/>
            <w:vAlign w:val="bottom"/>
            <w:hideMark/>
          </w:tcPr>
          <w:p w14:paraId="37142BE2" w14:textId="30DAAA12" w:rsidR="00F84522" w:rsidRPr="002F2D01" w:rsidRDefault="00F8452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 xml:space="preserve">Proportion of </w:t>
            </w:r>
            <w:r w:rsidR="00F065F6" w:rsidRPr="002F2D01">
              <w:rPr>
                <w:rFonts w:asciiTheme="majorHAnsi" w:hAnsiTheme="majorHAnsi" w:cs="Arial"/>
                <w:b/>
                <w:bCs/>
                <w:sz w:val="16"/>
                <w:szCs w:val="16"/>
              </w:rPr>
              <w:t xml:space="preserve">area on </w:t>
            </w:r>
            <w:r w:rsidRPr="002F2D01">
              <w:rPr>
                <w:rFonts w:asciiTheme="majorHAnsi" w:hAnsiTheme="majorHAnsi" w:cs="Arial"/>
                <w:b/>
                <w:bCs/>
                <w:sz w:val="16"/>
                <w:szCs w:val="16"/>
              </w:rPr>
              <w:t>public land in formal and informal reserves post-RFA (%)</w:t>
            </w:r>
          </w:p>
        </w:tc>
        <w:tc>
          <w:tcPr>
            <w:tcW w:w="1542" w:type="dxa"/>
            <w:tcBorders>
              <w:top w:val="single" w:sz="4" w:space="0" w:color="auto"/>
              <w:left w:val="nil"/>
              <w:bottom w:val="single" w:sz="4" w:space="0" w:color="auto"/>
              <w:right w:val="single" w:sz="4" w:space="0" w:color="auto"/>
            </w:tcBorders>
            <w:shd w:val="clear" w:color="000000" w:fill="FFFFFF"/>
            <w:vAlign w:val="bottom"/>
            <w:hideMark/>
          </w:tcPr>
          <w:p w14:paraId="1BE44C01" w14:textId="70FBC1B9" w:rsidR="00F84522" w:rsidRPr="002F2D01" w:rsidRDefault="00395523"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 xml:space="preserve">Proportion of pre-1750 area in the </w:t>
            </w:r>
            <w:r w:rsidR="00F84522" w:rsidRPr="002F2D01">
              <w:rPr>
                <w:rFonts w:asciiTheme="majorHAnsi" w:hAnsiTheme="majorHAnsi" w:cs="Arial"/>
                <w:b/>
                <w:bCs/>
                <w:sz w:val="16"/>
                <w:szCs w:val="16"/>
              </w:rPr>
              <w:t>CAR reserve system post-RFA</w:t>
            </w:r>
            <w:r w:rsidRPr="002F2D01">
              <w:rPr>
                <w:rFonts w:asciiTheme="majorHAnsi" w:hAnsiTheme="majorHAnsi" w:cs="Arial"/>
                <w:b/>
                <w:bCs/>
                <w:sz w:val="16"/>
                <w:szCs w:val="16"/>
              </w:rPr>
              <w:t xml:space="preserve"> </w:t>
            </w:r>
            <w:r w:rsidR="00F84522" w:rsidRPr="002F2D01">
              <w:rPr>
                <w:rFonts w:asciiTheme="majorHAnsi" w:hAnsiTheme="majorHAnsi" w:cs="Arial"/>
                <w:b/>
                <w:bCs/>
                <w:sz w:val="16"/>
                <w:szCs w:val="16"/>
              </w:rPr>
              <w:t>(%)</w:t>
            </w:r>
          </w:p>
        </w:tc>
        <w:tc>
          <w:tcPr>
            <w:tcW w:w="1482" w:type="dxa"/>
            <w:tcBorders>
              <w:top w:val="single" w:sz="4" w:space="0" w:color="auto"/>
              <w:left w:val="nil"/>
              <w:bottom w:val="single" w:sz="4" w:space="0" w:color="auto"/>
              <w:right w:val="single" w:sz="4" w:space="0" w:color="auto"/>
            </w:tcBorders>
            <w:shd w:val="clear" w:color="000000" w:fill="FFFFFF"/>
            <w:vAlign w:val="bottom"/>
            <w:hideMark/>
          </w:tcPr>
          <w:p w14:paraId="2044801B" w14:textId="4781B0DA" w:rsidR="00F84522" w:rsidRPr="002F2D01" w:rsidRDefault="00395523"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Proportion of pre-RFA area in the</w:t>
            </w:r>
            <w:r w:rsidR="00F84522" w:rsidRPr="002F2D01">
              <w:rPr>
                <w:rFonts w:asciiTheme="majorHAnsi" w:hAnsiTheme="majorHAnsi" w:cs="Arial"/>
                <w:b/>
                <w:bCs/>
                <w:sz w:val="16"/>
                <w:szCs w:val="16"/>
              </w:rPr>
              <w:t xml:space="preserve"> CAR reserve system post-RFA</w:t>
            </w:r>
            <w:r w:rsidRPr="002F2D01">
              <w:rPr>
                <w:rFonts w:asciiTheme="majorHAnsi" w:hAnsiTheme="majorHAnsi" w:cs="Arial"/>
                <w:b/>
                <w:bCs/>
                <w:sz w:val="16"/>
                <w:szCs w:val="16"/>
              </w:rPr>
              <w:t xml:space="preserve"> </w:t>
            </w:r>
            <w:r w:rsidR="00F84522" w:rsidRPr="002F2D01">
              <w:rPr>
                <w:rFonts w:asciiTheme="majorHAnsi" w:hAnsiTheme="majorHAnsi" w:cs="Arial"/>
                <w:b/>
                <w:bCs/>
                <w:sz w:val="16"/>
                <w:szCs w:val="16"/>
              </w:rPr>
              <w:t>(%)</w:t>
            </w:r>
          </w:p>
        </w:tc>
        <w:tc>
          <w:tcPr>
            <w:tcW w:w="1607" w:type="dxa"/>
            <w:tcBorders>
              <w:top w:val="single" w:sz="4" w:space="0" w:color="auto"/>
              <w:left w:val="nil"/>
              <w:bottom w:val="single" w:sz="4" w:space="0" w:color="auto"/>
            </w:tcBorders>
            <w:shd w:val="clear" w:color="000000" w:fill="FFFFFF"/>
            <w:vAlign w:val="bottom"/>
            <w:hideMark/>
          </w:tcPr>
          <w:p w14:paraId="7EF3590E" w14:textId="4FBB3401" w:rsidR="00F84522" w:rsidRPr="002F2D01" w:rsidRDefault="00395523"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 xml:space="preserve">Proportion of </w:t>
            </w:r>
            <w:r w:rsidR="00F065F6" w:rsidRPr="002F2D01">
              <w:rPr>
                <w:rFonts w:asciiTheme="majorHAnsi" w:hAnsiTheme="majorHAnsi" w:cs="Arial"/>
                <w:b/>
                <w:bCs/>
                <w:sz w:val="16"/>
                <w:szCs w:val="16"/>
              </w:rPr>
              <w:t xml:space="preserve">area on </w:t>
            </w:r>
            <w:r w:rsidRPr="002F2D01">
              <w:rPr>
                <w:rFonts w:asciiTheme="majorHAnsi" w:hAnsiTheme="majorHAnsi" w:cs="Arial"/>
                <w:b/>
                <w:bCs/>
                <w:sz w:val="16"/>
                <w:szCs w:val="16"/>
              </w:rPr>
              <w:t>public land in the CAR reserve system post-RFA (</w:t>
            </w:r>
            <w:r w:rsidR="00F84522" w:rsidRPr="002F2D01">
              <w:rPr>
                <w:rFonts w:asciiTheme="majorHAnsi" w:hAnsiTheme="majorHAnsi" w:cs="Arial"/>
                <w:b/>
                <w:bCs/>
                <w:sz w:val="16"/>
                <w:szCs w:val="16"/>
              </w:rPr>
              <w:t>%)</w:t>
            </w:r>
          </w:p>
        </w:tc>
      </w:tr>
      <w:tr w:rsidR="00FA3F28" w14:paraId="70B50BD6" w14:textId="77777777" w:rsidTr="004C0DDC">
        <w:trPr>
          <w:trHeight w:val="737"/>
        </w:trPr>
        <w:tc>
          <w:tcPr>
            <w:tcW w:w="1717" w:type="dxa"/>
            <w:tcBorders>
              <w:top w:val="nil"/>
              <w:bottom w:val="nil"/>
              <w:right w:val="single" w:sz="4" w:space="0" w:color="auto"/>
            </w:tcBorders>
            <w:shd w:val="clear" w:color="000000" w:fill="FFFFFF"/>
            <w:vAlign w:val="center"/>
            <w:hideMark/>
          </w:tcPr>
          <w:p w14:paraId="3E73406D" w14:textId="6F5806FA" w:rsidR="00790DF4" w:rsidRPr="00510890" w:rsidRDefault="00790DF4" w:rsidP="00CB0E93">
            <w:pPr>
              <w:spacing w:before="0" w:after="0"/>
              <w:ind w:left="57" w:right="57"/>
              <w:rPr>
                <w:rFonts w:asciiTheme="majorHAnsi" w:hAnsiTheme="majorHAnsi" w:cs="Arial"/>
                <w:b/>
                <w:bCs/>
                <w:sz w:val="16"/>
                <w:szCs w:val="16"/>
              </w:rPr>
            </w:pPr>
            <w:r w:rsidRPr="00510890">
              <w:rPr>
                <w:rFonts w:asciiTheme="majorHAnsi" w:hAnsiTheme="majorHAnsi" w:cs="Arial"/>
                <w:b/>
                <w:bCs/>
                <w:sz w:val="16"/>
                <w:szCs w:val="16"/>
              </w:rPr>
              <w:t>Derivation of figures</w:t>
            </w:r>
          </w:p>
          <w:p w14:paraId="6B9F6CBA" w14:textId="6A174E3F" w:rsidR="00F84522" w:rsidRPr="002F2D01" w:rsidRDefault="00790DF4" w:rsidP="00CB0E93">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w:t>
            </w:r>
            <w:r w:rsidR="006337C5" w:rsidRPr="002F2D01">
              <w:rPr>
                <w:rFonts w:asciiTheme="majorHAnsi" w:hAnsiTheme="majorHAnsi" w:cs="Arial"/>
                <w:bCs/>
                <w:sz w:val="16"/>
                <w:szCs w:val="16"/>
              </w:rPr>
              <w:t>Column code</w:t>
            </w:r>
            <w:r w:rsidRPr="002F2D01">
              <w:rPr>
                <w:rFonts w:asciiTheme="majorHAnsi" w:hAnsiTheme="majorHAnsi" w:cs="Arial"/>
                <w:bCs/>
                <w:sz w:val="16"/>
                <w:szCs w:val="16"/>
              </w:rPr>
              <w:t>s</w:t>
            </w:r>
            <w:r w:rsidR="006337C5" w:rsidRPr="002F2D01">
              <w:rPr>
                <w:rFonts w:asciiTheme="majorHAnsi" w:hAnsiTheme="majorHAnsi" w:cs="Arial"/>
                <w:bCs/>
                <w:sz w:val="16"/>
                <w:szCs w:val="16"/>
              </w:rPr>
              <w:t xml:space="preserve"> from </w:t>
            </w:r>
            <w:r w:rsidR="00CD45E1" w:rsidRPr="002F2D01">
              <w:rPr>
                <w:rFonts w:asciiTheme="majorHAnsi" w:hAnsiTheme="majorHAnsi" w:cs="Arial"/>
                <w:bCs/>
                <w:sz w:val="16"/>
                <w:szCs w:val="16"/>
              </w:rPr>
              <w:t>Table</w:t>
            </w:r>
            <w:r w:rsidRPr="002F2D01">
              <w:rPr>
                <w:rFonts w:asciiTheme="majorHAnsi" w:hAnsiTheme="majorHAnsi" w:cs="Arial"/>
                <w:bCs/>
                <w:sz w:val="16"/>
                <w:szCs w:val="16"/>
              </w:rPr>
              <w:t xml:space="preserve"> </w:t>
            </w:r>
            <w:r w:rsidR="000429F0">
              <w:rPr>
                <w:rFonts w:asciiTheme="majorHAnsi" w:hAnsiTheme="majorHAnsi" w:cs="Arial"/>
                <w:bCs/>
                <w:sz w:val="16"/>
                <w:szCs w:val="16"/>
              </w:rPr>
              <w:t>A</w:t>
            </w:r>
            <w:r w:rsidRPr="002F2D01">
              <w:rPr>
                <w:rFonts w:asciiTheme="majorHAnsi" w:hAnsiTheme="majorHAnsi" w:cs="Arial"/>
                <w:bCs/>
                <w:sz w:val="16"/>
                <w:szCs w:val="16"/>
              </w:rPr>
              <w:t>1)</w:t>
            </w:r>
          </w:p>
        </w:tc>
        <w:tc>
          <w:tcPr>
            <w:tcW w:w="1126" w:type="dxa"/>
            <w:tcBorders>
              <w:top w:val="nil"/>
              <w:left w:val="nil"/>
              <w:bottom w:val="nil"/>
              <w:right w:val="single" w:sz="4" w:space="0" w:color="auto"/>
            </w:tcBorders>
            <w:shd w:val="clear" w:color="000000" w:fill="FFFFFF"/>
            <w:vAlign w:val="center"/>
            <w:hideMark/>
          </w:tcPr>
          <w:p w14:paraId="5E1B0584" w14:textId="77777777" w:rsidR="00F84522" w:rsidRPr="002F2D01" w:rsidRDefault="00F84522" w:rsidP="00CB0E93">
            <w:pPr>
              <w:spacing w:before="0" w:after="0"/>
              <w:ind w:left="57" w:right="57"/>
              <w:jc w:val="center"/>
              <w:rPr>
                <w:rFonts w:asciiTheme="majorHAnsi" w:hAnsiTheme="majorHAnsi" w:cs="Arial"/>
                <w:bCs/>
                <w:sz w:val="16"/>
                <w:szCs w:val="16"/>
              </w:rPr>
            </w:pPr>
            <w:r w:rsidRPr="002F2D01">
              <w:rPr>
                <w:rFonts w:asciiTheme="majorHAnsi" w:hAnsiTheme="majorHAnsi" w:cs="Arial"/>
                <w:bCs/>
                <w:sz w:val="16"/>
                <w:szCs w:val="16"/>
              </w:rPr>
              <w:t> </w:t>
            </w:r>
          </w:p>
        </w:tc>
        <w:tc>
          <w:tcPr>
            <w:tcW w:w="1384" w:type="dxa"/>
            <w:tcBorders>
              <w:top w:val="nil"/>
              <w:left w:val="nil"/>
              <w:bottom w:val="nil"/>
              <w:right w:val="single" w:sz="4" w:space="0" w:color="auto"/>
            </w:tcBorders>
            <w:shd w:val="clear" w:color="000000" w:fill="FFFFFF"/>
            <w:vAlign w:val="center"/>
            <w:hideMark/>
          </w:tcPr>
          <w:p w14:paraId="4DAF9329" w14:textId="01791891" w:rsidR="00F84522" w:rsidRPr="002F2D01" w:rsidRDefault="0024614C" w:rsidP="00CB0E93">
            <w:pPr>
              <w:spacing w:before="0" w:after="0"/>
              <w:ind w:left="57" w:right="57"/>
              <w:jc w:val="center"/>
              <w:rPr>
                <w:rFonts w:asciiTheme="majorHAnsi" w:hAnsiTheme="majorHAnsi" w:cs="Arial"/>
                <w:bCs/>
                <w:sz w:val="16"/>
                <w:szCs w:val="16"/>
              </w:rPr>
            </w:pPr>
            <w:r w:rsidRPr="002F2D01">
              <w:rPr>
                <w:rFonts w:asciiTheme="majorHAnsi" w:hAnsiTheme="majorHAnsi" w:cs="Arial"/>
                <w:bCs/>
                <w:sz w:val="16"/>
                <w:szCs w:val="16"/>
              </w:rPr>
              <w:t>=</w:t>
            </w:r>
            <w:r w:rsidR="00F84522" w:rsidRPr="002F2D01">
              <w:rPr>
                <w:rFonts w:asciiTheme="majorHAnsi" w:hAnsiTheme="majorHAnsi" w:cs="Arial"/>
                <w:bCs/>
                <w:sz w:val="16"/>
                <w:szCs w:val="16"/>
              </w:rPr>
              <w:t>E/B</w:t>
            </w:r>
          </w:p>
        </w:tc>
        <w:tc>
          <w:tcPr>
            <w:tcW w:w="1579" w:type="dxa"/>
            <w:tcBorders>
              <w:top w:val="nil"/>
              <w:left w:val="nil"/>
              <w:bottom w:val="nil"/>
              <w:right w:val="single" w:sz="4" w:space="0" w:color="auto"/>
            </w:tcBorders>
            <w:shd w:val="clear" w:color="000000" w:fill="FFFFFF"/>
            <w:vAlign w:val="center"/>
            <w:hideMark/>
          </w:tcPr>
          <w:p w14:paraId="63AD6F8C" w14:textId="5E3DF89E" w:rsidR="00F84522" w:rsidRPr="002F2D01" w:rsidRDefault="0024614C" w:rsidP="00CB0E93">
            <w:pPr>
              <w:spacing w:before="0" w:after="0"/>
              <w:ind w:left="57" w:right="57"/>
              <w:jc w:val="center"/>
              <w:rPr>
                <w:rFonts w:asciiTheme="majorHAnsi" w:hAnsiTheme="majorHAnsi" w:cs="Arial"/>
                <w:bCs/>
                <w:sz w:val="16"/>
                <w:szCs w:val="16"/>
              </w:rPr>
            </w:pPr>
            <w:r w:rsidRPr="002F2D01">
              <w:rPr>
                <w:rFonts w:asciiTheme="majorHAnsi" w:hAnsiTheme="majorHAnsi" w:cs="Arial"/>
                <w:bCs/>
                <w:sz w:val="16"/>
                <w:szCs w:val="16"/>
              </w:rPr>
              <w:t>=</w:t>
            </w:r>
            <w:r w:rsidR="00F84522" w:rsidRPr="002F2D01">
              <w:rPr>
                <w:rFonts w:asciiTheme="majorHAnsi" w:hAnsiTheme="majorHAnsi" w:cs="Arial"/>
                <w:bCs/>
                <w:sz w:val="16"/>
                <w:szCs w:val="16"/>
              </w:rPr>
              <w:t>F/D</w:t>
            </w:r>
          </w:p>
        </w:tc>
        <w:tc>
          <w:tcPr>
            <w:tcW w:w="1401" w:type="dxa"/>
            <w:tcBorders>
              <w:top w:val="nil"/>
              <w:left w:val="nil"/>
              <w:bottom w:val="nil"/>
              <w:right w:val="single" w:sz="4" w:space="0" w:color="auto"/>
            </w:tcBorders>
            <w:shd w:val="clear" w:color="000000" w:fill="FFFFFF"/>
            <w:vAlign w:val="center"/>
            <w:hideMark/>
          </w:tcPr>
          <w:p w14:paraId="0F9D3E08" w14:textId="2923BCB9" w:rsidR="00F84522" w:rsidRPr="002F2D01" w:rsidRDefault="0024614C" w:rsidP="00CB0E93">
            <w:pPr>
              <w:spacing w:before="0" w:after="0"/>
              <w:ind w:left="57" w:right="57"/>
              <w:jc w:val="center"/>
              <w:rPr>
                <w:rFonts w:asciiTheme="majorHAnsi" w:hAnsiTheme="majorHAnsi" w:cs="Arial"/>
                <w:bCs/>
                <w:sz w:val="16"/>
                <w:szCs w:val="16"/>
              </w:rPr>
            </w:pPr>
            <w:r w:rsidRPr="002F2D01">
              <w:rPr>
                <w:rFonts w:asciiTheme="majorHAnsi" w:hAnsiTheme="majorHAnsi" w:cs="Arial"/>
                <w:bCs/>
                <w:sz w:val="16"/>
                <w:szCs w:val="16"/>
              </w:rPr>
              <w:t>=</w:t>
            </w:r>
            <w:r w:rsidR="00F84522" w:rsidRPr="002F2D01">
              <w:rPr>
                <w:rFonts w:asciiTheme="majorHAnsi" w:hAnsiTheme="majorHAnsi" w:cs="Arial"/>
                <w:bCs/>
                <w:sz w:val="16"/>
                <w:szCs w:val="16"/>
              </w:rPr>
              <w:t>(H-F)/F</w:t>
            </w:r>
          </w:p>
        </w:tc>
        <w:tc>
          <w:tcPr>
            <w:tcW w:w="1543" w:type="dxa"/>
            <w:tcBorders>
              <w:top w:val="nil"/>
              <w:left w:val="nil"/>
              <w:bottom w:val="nil"/>
              <w:right w:val="single" w:sz="4" w:space="0" w:color="auto"/>
            </w:tcBorders>
            <w:shd w:val="clear" w:color="000000" w:fill="FFFFFF"/>
            <w:vAlign w:val="center"/>
            <w:hideMark/>
          </w:tcPr>
          <w:p w14:paraId="1E61692A" w14:textId="599FA929" w:rsidR="00F84522" w:rsidRPr="002F2D01" w:rsidRDefault="0024614C" w:rsidP="00CB0E93">
            <w:pPr>
              <w:spacing w:before="0" w:after="0"/>
              <w:ind w:left="57" w:right="57"/>
              <w:jc w:val="center"/>
              <w:rPr>
                <w:rFonts w:asciiTheme="majorHAnsi" w:hAnsiTheme="majorHAnsi" w:cs="Arial"/>
                <w:bCs/>
                <w:sz w:val="16"/>
                <w:szCs w:val="16"/>
              </w:rPr>
            </w:pPr>
            <w:r w:rsidRPr="002F2D01">
              <w:rPr>
                <w:rFonts w:asciiTheme="majorHAnsi" w:hAnsiTheme="majorHAnsi" w:cs="Arial"/>
                <w:bCs/>
                <w:sz w:val="16"/>
                <w:szCs w:val="16"/>
              </w:rPr>
              <w:t>=</w:t>
            </w:r>
            <w:r w:rsidR="00F84522" w:rsidRPr="002F2D01">
              <w:rPr>
                <w:rFonts w:asciiTheme="majorHAnsi" w:hAnsiTheme="majorHAnsi" w:cs="Arial"/>
                <w:bCs/>
                <w:sz w:val="16"/>
                <w:szCs w:val="16"/>
              </w:rPr>
              <w:t>H/D</w:t>
            </w:r>
          </w:p>
        </w:tc>
        <w:tc>
          <w:tcPr>
            <w:tcW w:w="1542" w:type="dxa"/>
            <w:tcBorders>
              <w:top w:val="nil"/>
              <w:left w:val="nil"/>
              <w:bottom w:val="nil"/>
              <w:right w:val="single" w:sz="4" w:space="0" w:color="auto"/>
            </w:tcBorders>
            <w:shd w:val="clear" w:color="000000" w:fill="FFFFFF"/>
            <w:vAlign w:val="center"/>
            <w:hideMark/>
          </w:tcPr>
          <w:p w14:paraId="1A0C22D6" w14:textId="66A6B2CC" w:rsidR="00F84522" w:rsidRPr="002F2D01" w:rsidRDefault="0024614C" w:rsidP="00CB0E93">
            <w:pPr>
              <w:spacing w:before="0" w:after="0"/>
              <w:ind w:left="57" w:right="57"/>
              <w:jc w:val="center"/>
              <w:rPr>
                <w:rFonts w:asciiTheme="majorHAnsi" w:hAnsiTheme="majorHAnsi" w:cs="Arial"/>
                <w:bCs/>
                <w:sz w:val="16"/>
                <w:szCs w:val="16"/>
              </w:rPr>
            </w:pPr>
            <w:r w:rsidRPr="002F2D01">
              <w:rPr>
                <w:rFonts w:asciiTheme="majorHAnsi" w:hAnsiTheme="majorHAnsi" w:cs="Arial"/>
                <w:bCs/>
                <w:sz w:val="16"/>
                <w:szCs w:val="16"/>
              </w:rPr>
              <w:t>=</w:t>
            </w:r>
            <w:r w:rsidR="00F84522" w:rsidRPr="002F2D01">
              <w:rPr>
                <w:rFonts w:asciiTheme="majorHAnsi" w:hAnsiTheme="majorHAnsi" w:cs="Arial"/>
                <w:bCs/>
                <w:sz w:val="16"/>
                <w:szCs w:val="16"/>
              </w:rPr>
              <w:t>K/B</w:t>
            </w:r>
          </w:p>
        </w:tc>
        <w:tc>
          <w:tcPr>
            <w:tcW w:w="1482" w:type="dxa"/>
            <w:tcBorders>
              <w:top w:val="nil"/>
              <w:left w:val="nil"/>
              <w:bottom w:val="nil"/>
              <w:right w:val="single" w:sz="4" w:space="0" w:color="auto"/>
            </w:tcBorders>
            <w:shd w:val="clear" w:color="000000" w:fill="FFFFFF"/>
            <w:vAlign w:val="center"/>
            <w:hideMark/>
          </w:tcPr>
          <w:p w14:paraId="5EA13685" w14:textId="54CE5E65" w:rsidR="00F84522" w:rsidRPr="002F2D01" w:rsidRDefault="0024614C" w:rsidP="00CB0E93">
            <w:pPr>
              <w:spacing w:before="0" w:after="0"/>
              <w:ind w:left="57" w:right="57"/>
              <w:jc w:val="center"/>
              <w:rPr>
                <w:rFonts w:asciiTheme="majorHAnsi" w:hAnsiTheme="majorHAnsi" w:cs="Arial"/>
                <w:bCs/>
                <w:sz w:val="16"/>
                <w:szCs w:val="16"/>
              </w:rPr>
            </w:pPr>
            <w:r w:rsidRPr="002F2D01">
              <w:rPr>
                <w:rFonts w:asciiTheme="majorHAnsi" w:hAnsiTheme="majorHAnsi" w:cs="Arial"/>
                <w:bCs/>
                <w:sz w:val="16"/>
                <w:szCs w:val="16"/>
              </w:rPr>
              <w:t>=</w:t>
            </w:r>
            <w:r w:rsidR="00F84522" w:rsidRPr="002F2D01">
              <w:rPr>
                <w:rFonts w:asciiTheme="majorHAnsi" w:hAnsiTheme="majorHAnsi" w:cs="Arial"/>
                <w:bCs/>
                <w:sz w:val="16"/>
                <w:szCs w:val="16"/>
              </w:rPr>
              <w:t>K/E</w:t>
            </w:r>
          </w:p>
        </w:tc>
        <w:tc>
          <w:tcPr>
            <w:tcW w:w="1607" w:type="dxa"/>
            <w:tcBorders>
              <w:top w:val="nil"/>
              <w:left w:val="nil"/>
              <w:bottom w:val="nil"/>
            </w:tcBorders>
            <w:shd w:val="clear" w:color="000000" w:fill="FFFFFF"/>
            <w:vAlign w:val="center"/>
            <w:hideMark/>
          </w:tcPr>
          <w:p w14:paraId="69B570CB" w14:textId="6E3040E5" w:rsidR="00F84522" w:rsidRPr="002F2D01" w:rsidRDefault="0024614C" w:rsidP="00CB0E93">
            <w:pPr>
              <w:spacing w:before="0" w:after="0"/>
              <w:ind w:left="57" w:right="57"/>
              <w:jc w:val="center"/>
              <w:rPr>
                <w:rFonts w:asciiTheme="majorHAnsi" w:hAnsiTheme="majorHAnsi" w:cs="Arial"/>
                <w:bCs/>
                <w:sz w:val="16"/>
                <w:szCs w:val="16"/>
              </w:rPr>
            </w:pPr>
            <w:r w:rsidRPr="002F2D01">
              <w:rPr>
                <w:rFonts w:asciiTheme="majorHAnsi" w:hAnsiTheme="majorHAnsi" w:cs="Arial"/>
                <w:bCs/>
                <w:sz w:val="16"/>
                <w:szCs w:val="16"/>
              </w:rPr>
              <w:t>=</w:t>
            </w:r>
            <w:r w:rsidR="00F84522" w:rsidRPr="002F2D01">
              <w:rPr>
                <w:rFonts w:asciiTheme="majorHAnsi" w:hAnsiTheme="majorHAnsi" w:cs="Arial"/>
                <w:bCs/>
                <w:sz w:val="16"/>
                <w:szCs w:val="16"/>
              </w:rPr>
              <w:t>K/D</w:t>
            </w:r>
          </w:p>
        </w:tc>
      </w:tr>
      <w:tr w:rsidR="00FA3F28" w14:paraId="05D3F741" w14:textId="77777777" w:rsidTr="00C935F0">
        <w:trPr>
          <w:trHeight w:val="340"/>
        </w:trPr>
        <w:tc>
          <w:tcPr>
            <w:tcW w:w="13381" w:type="dxa"/>
            <w:gridSpan w:val="9"/>
            <w:tcBorders>
              <w:top w:val="single" w:sz="4" w:space="0" w:color="auto"/>
              <w:bottom w:val="single" w:sz="4" w:space="0" w:color="auto"/>
            </w:tcBorders>
            <w:shd w:val="clear" w:color="auto" w:fill="auto"/>
            <w:noWrap/>
            <w:vAlign w:val="center"/>
            <w:hideMark/>
          </w:tcPr>
          <w:p w14:paraId="6C9406C0" w14:textId="77777777" w:rsidR="00F84522" w:rsidRPr="002F2D01" w:rsidRDefault="00F84522" w:rsidP="00CB0E93">
            <w:pPr>
              <w:spacing w:before="0" w:after="0"/>
              <w:ind w:left="57"/>
              <w:rPr>
                <w:rFonts w:asciiTheme="majorHAnsi" w:hAnsiTheme="majorHAnsi" w:cs="Arial"/>
                <w:b/>
                <w:bCs/>
                <w:sz w:val="16"/>
                <w:szCs w:val="16"/>
              </w:rPr>
            </w:pPr>
            <w:r w:rsidRPr="002F2D01">
              <w:rPr>
                <w:rFonts w:asciiTheme="majorHAnsi" w:hAnsiTheme="majorHAnsi" w:cs="Arial"/>
                <w:b/>
                <w:bCs/>
                <w:sz w:val="16"/>
                <w:szCs w:val="16"/>
              </w:rPr>
              <w:t>New South Wales</w:t>
            </w:r>
          </w:p>
        </w:tc>
      </w:tr>
      <w:tr w:rsidR="00FA3F28" w14:paraId="16B20EAA" w14:textId="77777777" w:rsidTr="004C0DDC">
        <w:trPr>
          <w:trHeight w:val="227"/>
        </w:trPr>
        <w:tc>
          <w:tcPr>
            <w:tcW w:w="1717" w:type="dxa"/>
            <w:vMerge w:val="restart"/>
            <w:tcBorders>
              <w:top w:val="nil"/>
              <w:bottom w:val="single" w:sz="4" w:space="0" w:color="000000"/>
              <w:right w:val="single" w:sz="4" w:space="0" w:color="auto"/>
            </w:tcBorders>
            <w:shd w:val="clear" w:color="000000" w:fill="FFFFFF"/>
            <w:vAlign w:val="center"/>
            <w:hideMark/>
          </w:tcPr>
          <w:p w14:paraId="2FC123B3" w14:textId="77777777" w:rsidR="00F84522" w:rsidRPr="00F435C6" w:rsidRDefault="00F84522"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Eden</w:t>
            </w:r>
          </w:p>
        </w:tc>
        <w:tc>
          <w:tcPr>
            <w:tcW w:w="1126" w:type="dxa"/>
            <w:tcBorders>
              <w:top w:val="nil"/>
              <w:left w:val="nil"/>
              <w:bottom w:val="nil"/>
              <w:right w:val="single" w:sz="4" w:space="0" w:color="auto"/>
            </w:tcBorders>
            <w:shd w:val="clear" w:color="000000" w:fill="FFFFFF"/>
            <w:vAlign w:val="center"/>
            <w:hideMark/>
          </w:tcPr>
          <w:p w14:paraId="1F834E84"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B67D22F" w14:textId="427CB9CD"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69</w:t>
            </w:r>
          </w:p>
        </w:tc>
        <w:tc>
          <w:tcPr>
            <w:tcW w:w="1579"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28F6F95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37</w:t>
            </w:r>
          </w:p>
        </w:tc>
        <w:tc>
          <w:tcPr>
            <w:tcW w:w="1401" w:type="dxa"/>
            <w:tcBorders>
              <w:top w:val="nil"/>
              <w:left w:val="nil"/>
              <w:bottom w:val="nil"/>
              <w:right w:val="single" w:sz="4" w:space="0" w:color="auto"/>
            </w:tcBorders>
            <w:shd w:val="clear" w:color="000000" w:fill="FFFFFF"/>
            <w:noWrap/>
            <w:tcMar>
              <w:top w:w="0" w:type="dxa"/>
              <w:left w:w="0" w:type="dxa"/>
              <w:bottom w:w="0" w:type="dxa"/>
              <w:right w:w="180" w:type="dxa"/>
            </w:tcMar>
            <w:vAlign w:val="center"/>
            <w:hideMark/>
          </w:tcPr>
          <w:p w14:paraId="25C85526" w14:textId="3F264EDF"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17764C8"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61</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C61F53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33</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45083CE8"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48</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68155D88"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r>
      <w:tr w:rsidR="00FA3F28" w14:paraId="039900E7" w14:textId="77777777" w:rsidTr="004C0DDC">
        <w:trPr>
          <w:trHeight w:val="227"/>
        </w:trPr>
        <w:tc>
          <w:tcPr>
            <w:tcW w:w="1717" w:type="dxa"/>
            <w:vMerge/>
            <w:tcBorders>
              <w:top w:val="nil"/>
              <w:bottom w:val="single" w:sz="4" w:space="0" w:color="000000"/>
              <w:right w:val="single" w:sz="4" w:space="0" w:color="auto"/>
            </w:tcBorders>
            <w:vAlign w:val="center"/>
            <w:hideMark/>
          </w:tcPr>
          <w:p w14:paraId="47E94495"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nil"/>
              <w:right w:val="single" w:sz="4" w:space="0" w:color="auto"/>
            </w:tcBorders>
            <w:shd w:val="clear" w:color="000000" w:fill="FFFFFF"/>
            <w:vAlign w:val="center"/>
            <w:hideMark/>
          </w:tcPr>
          <w:p w14:paraId="5AF8E424"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9551505" w14:textId="3FCF18A2"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47</w:t>
            </w:r>
          </w:p>
        </w:tc>
        <w:tc>
          <w:tcPr>
            <w:tcW w:w="1579"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70140F6B"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69</w:t>
            </w:r>
          </w:p>
        </w:tc>
        <w:tc>
          <w:tcPr>
            <w:tcW w:w="1401" w:type="dxa"/>
            <w:tcBorders>
              <w:top w:val="nil"/>
              <w:left w:val="nil"/>
              <w:bottom w:val="nil"/>
              <w:right w:val="single" w:sz="4" w:space="0" w:color="auto"/>
            </w:tcBorders>
            <w:shd w:val="clear" w:color="000000" w:fill="FFFFFF"/>
            <w:noWrap/>
            <w:tcMar>
              <w:top w:w="0" w:type="dxa"/>
              <w:left w:w="0" w:type="dxa"/>
              <w:bottom w:w="0" w:type="dxa"/>
              <w:right w:w="180" w:type="dxa"/>
            </w:tcMar>
            <w:vAlign w:val="center"/>
            <w:hideMark/>
          </w:tcPr>
          <w:p w14:paraId="4CA07B53" w14:textId="3BAC990E"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20</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43A7F7F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83</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DDFBBC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26</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B32C7D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562925B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86</w:t>
            </w:r>
          </w:p>
        </w:tc>
      </w:tr>
      <w:tr w:rsidR="00FA3F28" w14:paraId="2542CD72" w14:textId="77777777" w:rsidTr="004C0DDC">
        <w:trPr>
          <w:trHeight w:val="227"/>
        </w:trPr>
        <w:tc>
          <w:tcPr>
            <w:tcW w:w="1717" w:type="dxa"/>
            <w:vMerge/>
            <w:tcBorders>
              <w:top w:val="nil"/>
              <w:bottom w:val="single" w:sz="4" w:space="0" w:color="000000"/>
              <w:right w:val="single" w:sz="4" w:space="0" w:color="auto"/>
            </w:tcBorders>
            <w:vAlign w:val="center"/>
            <w:hideMark/>
          </w:tcPr>
          <w:p w14:paraId="1FC45777"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4A5C36E3"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4EB28751" w14:textId="62763BCC"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68</w:t>
            </w:r>
          </w:p>
        </w:tc>
        <w:tc>
          <w:tcPr>
            <w:tcW w:w="1579" w:type="dxa"/>
            <w:tcBorders>
              <w:top w:val="nil"/>
              <w:left w:val="nil"/>
              <w:bottom w:val="single" w:sz="4" w:space="0" w:color="auto"/>
              <w:right w:val="single" w:sz="4" w:space="0" w:color="auto"/>
            </w:tcBorders>
            <w:shd w:val="clear" w:color="auto" w:fill="FFFFFF" w:themeFill="background1"/>
            <w:tcMar>
              <w:top w:w="0" w:type="dxa"/>
              <w:left w:w="0" w:type="dxa"/>
              <w:bottom w:w="0" w:type="dxa"/>
              <w:right w:w="180" w:type="dxa"/>
            </w:tcMar>
            <w:vAlign w:val="center"/>
            <w:hideMark/>
          </w:tcPr>
          <w:p w14:paraId="31FE1B0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38</w:t>
            </w:r>
          </w:p>
        </w:tc>
        <w:tc>
          <w:tcPr>
            <w:tcW w:w="1401" w:type="dxa"/>
            <w:tcBorders>
              <w:top w:val="nil"/>
              <w:left w:val="nil"/>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7C5E8A0A" w14:textId="677871F8"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61</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51E2A6E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61</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7F2AD7B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33</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9A19C5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48</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37F74C9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r>
      <w:tr w:rsidR="00FA3F28" w14:paraId="0D434DFB" w14:textId="77777777" w:rsidTr="004C0DDC">
        <w:trPr>
          <w:trHeight w:val="227"/>
        </w:trPr>
        <w:tc>
          <w:tcPr>
            <w:tcW w:w="1717" w:type="dxa"/>
            <w:vMerge w:val="restart"/>
            <w:tcBorders>
              <w:top w:val="nil"/>
              <w:bottom w:val="single" w:sz="4" w:space="0" w:color="000000"/>
              <w:right w:val="single" w:sz="4" w:space="0" w:color="auto"/>
            </w:tcBorders>
            <w:shd w:val="clear" w:color="000000" w:fill="FFFFFF"/>
            <w:vAlign w:val="center"/>
            <w:hideMark/>
          </w:tcPr>
          <w:p w14:paraId="0ED060EA" w14:textId="77777777" w:rsidR="00F84522" w:rsidRPr="00F435C6" w:rsidRDefault="00F84522"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Upper North East</w:t>
            </w:r>
          </w:p>
        </w:tc>
        <w:tc>
          <w:tcPr>
            <w:tcW w:w="1126" w:type="dxa"/>
            <w:tcBorders>
              <w:top w:val="nil"/>
              <w:left w:val="nil"/>
              <w:bottom w:val="nil"/>
              <w:right w:val="single" w:sz="4" w:space="0" w:color="auto"/>
            </w:tcBorders>
            <w:shd w:val="clear" w:color="000000" w:fill="FFFFFF"/>
            <w:vAlign w:val="center"/>
            <w:hideMark/>
          </w:tcPr>
          <w:p w14:paraId="6B22A3F5"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AF8DBA0" w14:textId="0A8F9EB1"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579"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280E591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23</w:t>
            </w:r>
          </w:p>
        </w:tc>
        <w:tc>
          <w:tcPr>
            <w:tcW w:w="1401" w:type="dxa"/>
            <w:tcBorders>
              <w:top w:val="nil"/>
              <w:left w:val="nil"/>
              <w:bottom w:val="nil"/>
              <w:right w:val="single" w:sz="4" w:space="0" w:color="auto"/>
            </w:tcBorders>
            <w:shd w:val="clear" w:color="000000" w:fill="FFFFFF"/>
            <w:noWrap/>
            <w:tcMar>
              <w:top w:w="0" w:type="dxa"/>
              <w:left w:w="0" w:type="dxa"/>
              <w:bottom w:w="0" w:type="dxa"/>
              <w:right w:w="180" w:type="dxa"/>
            </w:tcMar>
            <w:vAlign w:val="center"/>
            <w:hideMark/>
          </w:tcPr>
          <w:p w14:paraId="497C0079" w14:textId="12B926AA"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151</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52B023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4E01C7A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17</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5556EA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31</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2982780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68</w:t>
            </w:r>
          </w:p>
        </w:tc>
      </w:tr>
      <w:tr w:rsidR="00FA3F28" w14:paraId="677360D8" w14:textId="77777777" w:rsidTr="004C0DDC">
        <w:trPr>
          <w:trHeight w:val="227"/>
        </w:trPr>
        <w:tc>
          <w:tcPr>
            <w:tcW w:w="1717" w:type="dxa"/>
            <w:vMerge/>
            <w:tcBorders>
              <w:top w:val="nil"/>
              <w:bottom w:val="single" w:sz="4" w:space="0" w:color="000000"/>
              <w:right w:val="single" w:sz="4" w:space="0" w:color="auto"/>
            </w:tcBorders>
            <w:vAlign w:val="center"/>
            <w:hideMark/>
          </w:tcPr>
          <w:p w14:paraId="6A135AD1"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nil"/>
              <w:right w:val="single" w:sz="4" w:space="0" w:color="auto"/>
            </w:tcBorders>
            <w:shd w:val="clear" w:color="000000" w:fill="FFFFFF"/>
            <w:vAlign w:val="center"/>
            <w:hideMark/>
          </w:tcPr>
          <w:p w14:paraId="038FEC74"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436EE087" w14:textId="01155247"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58</w:t>
            </w:r>
          </w:p>
        </w:tc>
        <w:tc>
          <w:tcPr>
            <w:tcW w:w="1579"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0FA8725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51</w:t>
            </w:r>
          </w:p>
        </w:tc>
        <w:tc>
          <w:tcPr>
            <w:tcW w:w="1401" w:type="dxa"/>
            <w:tcBorders>
              <w:top w:val="nil"/>
              <w:left w:val="nil"/>
              <w:bottom w:val="nil"/>
              <w:right w:val="single" w:sz="4" w:space="0" w:color="auto"/>
            </w:tcBorders>
            <w:shd w:val="clear" w:color="000000" w:fill="FFFFFF"/>
            <w:noWrap/>
            <w:tcMar>
              <w:top w:w="0" w:type="dxa"/>
              <w:left w:w="0" w:type="dxa"/>
              <w:bottom w:w="0" w:type="dxa"/>
              <w:right w:w="180" w:type="dxa"/>
            </w:tcMar>
            <w:vAlign w:val="center"/>
            <w:hideMark/>
          </w:tcPr>
          <w:p w14:paraId="4C37182C" w14:textId="640D0CFD"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54</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8A71C0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78</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DEB6D1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40</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BC60ED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68</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4832FF2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94</w:t>
            </w:r>
          </w:p>
        </w:tc>
      </w:tr>
      <w:tr w:rsidR="00FA3F28" w14:paraId="5D82FDA0" w14:textId="77777777" w:rsidTr="004C0DDC">
        <w:trPr>
          <w:trHeight w:val="227"/>
        </w:trPr>
        <w:tc>
          <w:tcPr>
            <w:tcW w:w="1717" w:type="dxa"/>
            <w:vMerge/>
            <w:tcBorders>
              <w:top w:val="nil"/>
              <w:bottom w:val="single" w:sz="4" w:space="0" w:color="000000"/>
              <w:right w:val="single" w:sz="4" w:space="0" w:color="auto"/>
            </w:tcBorders>
            <w:vAlign w:val="center"/>
            <w:hideMark/>
          </w:tcPr>
          <w:p w14:paraId="50572AF7"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3B18202B"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796F4AE" w14:textId="2D9DF2EF"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579" w:type="dxa"/>
            <w:tcBorders>
              <w:top w:val="nil"/>
              <w:left w:val="nil"/>
              <w:bottom w:val="single" w:sz="4" w:space="0" w:color="auto"/>
              <w:right w:val="single" w:sz="4" w:space="0" w:color="auto"/>
            </w:tcBorders>
            <w:shd w:val="clear" w:color="auto" w:fill="FFFFFF" w:themeFill="background1"/>
            <w:tcMar>
              <w:top w:w="0" w:type="dxa"/>
              <w:left w:w="0" w:type="dxa"/>
              <w:bottom w:w="0" w:type="dxa"/>
              <w:right w:w="180" w:type="dxa"/>
            </w:tcMar>
            <w:vAlign w:val="center"/>
            <w:hideMark/>
          </w:tcPr>
          <w:p w14:paraId="65356FA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24</w:t>
            </w:r>
          </w:p>
        </w:tc>
        <w:tc>
          <w:tcPr>
            <w:tcW w:w="1401" w:type="dxa"/>
            <w:tcBorders>
              <w:top w:val="nil"/>
              <w:left w:val="nil"/>
              <w:bottom w:val="nil"/>
              <w:right w:val="single" w:sz="4" w:space="0" w:color="auto"/>
            </w:tcBorders>
            <w:shd w:val="clear" w:color="000000" w:fill="FFFFFF"/>
            <w:noWrap/>
            <w:tcMar>
              <w:top w:w="0" w:type="dxa"/>
              <w:left w:w="0" w:type="dxa"/>
              <w:bottom w:w="0" w:type="dxa"/>
              <w:right w:w="180" w:type="dxa"/>
            </w:tcMar>
            <w:vAlign w:val="center"/>
            <w:hideMark/>
          </w:tcPr>
          <w:p w14:paraId="4E086B13" w14:textId="63B83FD1"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142</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4008DD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58</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44E7E6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18</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254BEB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32</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282639C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69</w:t>
            </w:r>
          </w:p>
        </w:tc>
      </w:tr>
      <w:tr w:rsidR="00FA3F28" w14:paraId="0FD7FFD5" w14:textId="77777777" w:rsidTr="004C0DDC">
        <w:trPr>
          <w:trHeight w:val="227"/>
        </w:trPr>
        <w:tc>
          <w:tcPr>
            <w:tcW w:w="1717" w:type="dxa"/>
            <w:vMerge w:val="restart"/>
            <w:tcBorders>
              <w:top w:val="nil"/>
              <w:bottom w:val="single" w:sz="4" w:space="0" w:color="000000"/>
              <w:right w:val="single" w:sz="4" w:space="0" w:color="auto"/>
            </w:tcBorders>
            <w:shd w:val="clear" w:color="000000" w:fill="FFFFFF"/>
            <w:vAlign w:val="center"/>
            <w:hideMark/>
          </w:tcPr>
          <w:p w14:paraId="0548D2C6" w14:textId="77777777" w:rsidR="00F84522" w:rsidRPr="00F435C6" w:rsidRDefault="00F84522"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Lower North East</w:t>
            </w:r>
          </w:p>
        </w:tc>
        <w:tc>
          <w:tcPr>
            <w:tcW w:w="1126" w:type="dxa"/>
            <w:tcBorders>
              <w:top w:val="nil"/>
              <w:left w:val="nil"/>
              <w:bottom w:val="nil"/>
              <w:right w:val="single" w:sz="4" w:space="0" w:color="auto"/>
            </w:tcBorders>
            <w:shd w:val="clear" w:color="000000" w:fill="FFFFFF"/>
            <w:vAlign w:val="center"/>
            <w:hideMark/>
          </w:tcPr>
          <w:p w14:paraId="55CA9BC4"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58C6A3FD" w14:textId="2B66116A"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578E0F6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42</w:t>
            </w:r>
          </w:p>
        </w:tc>
        <w:tc>
          <w:tcPr>
            <w:tcW w:w="1401" w:type="dxa"/>
            <w:tcBorders>
              <w:top w:val="single" w:sz="4" w:space="0" w:color="auto"/>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7FF2C5B9" w14:textId="2E752312"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71</w:t>
            </w:r>
          </w:p>
        </w:tc>
        <w:tc>
          <w:tcPr>
            <w:tcW w:w="1543"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1F98577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71</w:t>
            </w:r>
          </w:p>
        </w:tc>
        <w:tc>
          <w:tcPr>
            <w:tcW w:w="1542"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325F9964"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24</w:t>
            </w:r>
          </w:p>
        </w:tc>
        <w:tc>
          <w:tcPr>
            <w:tcW w:w="1482"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188C572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42</w:t>
            </w:r>
          </w:p>
        </w:tc>
        <w:tc>
          <w:tcPr>
            <w:tcW w:w="1607" w:type="dxa"/>
            <w:tcBorders>
              <w:top w:val="single" w:sz="4" w:space="0" w:color="auto"/>
              <w:left w:val="nil"/>
              <w:bottom w:val="nil"/>
            </w:tcBorders>
            <w:shd w:val="clear" w:color="000000" w:fill="FFFFFF"/>
            <w:noWrap/>
            <w:tcMar>
              <w:top w:w="0" w:type="dxa"/>
              <w:left w:w="0" w:type="dxa"/>
              <w:bottom w:w="0" w:type="dxa"/>
              <w:right w:w="180" w:type="dxa"/>
            </w:tcMar>
            <w:vAlign w:val="center"/>
            <w:hideMark/>
          </w:tcPr>
          <w:p w14:paraId="5AF8A4D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77</w:t>
            </w:r>
          </w:p>
        </w:tc>
      </w:tr>
      <w:tr w:rsidR="00FA3F28" w14:paraId="1CD2C84B" w14:textId="77777777" w:rsidTr="004C0DDC">
        <w:trPr>
          <w:trHeight w:val="227"/>
        </w:trPr>
        <w:tc>
          <w:tcPr>
            <w:tcW w:w="1717" w:type="dxa"/>
            <w:vMerge/>
            <w:tcBorders>
              <w:top w:val="nil"/>
              <w:bottom w:val="single" w:sz="4" w:space="0" w:color="000000"/>
              <w:right w:val="single" w:sz="4" w:space="0" w:color="auto"/>
            </w:tcBorders>
            <w:vAlign w:val="center"/>
            <w:hideMark/>
          </w:tcPr>
          <w:p w14:paraId="6C7E454D"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nil"/>
              <w:right w:val="single" w:sz="4" w:space="0" w:color="auto"/>
            </w:tcBorders>
            <w:shd w:val="clear" w:color="000000" w:fill="FFFFFF"/>
            <w:vAlign w:val="center"/>
            <w:hideMark/>
          </w:tcPr>
          <w:p w14:paraId="43357A48"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5A0F7CA" w14:textId="552CDC8D"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27</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3B4F063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69</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61ADE29D" w14:textId="5ECF43D3"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26</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6DB863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87</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EB7C18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21</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A87DC3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78</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0918F09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93</w:t>
            </w:r>
          </w:p>
        </w:tc>
      </w:tr>
      <w:tr w:rsidR="00FA3F28" w14:paraId="3611596D" w14:textId="77777777" w:rsidTr="004C0DDC">
        <w:trPr>
          <w:trHeight w:val="227"/>
        </w:trPr>
        <w:tc>
          <w:tcPr>
            <w:tcW w:w="1717" w:type="dxa"/>
            <w:vMerge/>
            <w:tcBorders>
              <w:top w:val="nil"/>
              <w:bottom w:val="single" w:sz="4" w:space="0" w:color="000000"/>
              <w:right w:val="single" w:sz="4" w:space="0" w:color="auto"/>
            </w:tcBorders>
            <w:vAlign w:val="center"/>
            <w:hideMark/>
          </w:tcPr>
          <w:p w14:paraId="5D5AAD40"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7AB55F71"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1B1B612C" w14:textId="24F36B16"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c>
          <w:tcPr>
            <w:tcW w:w="1579" w:type="dxa"/>
            <w:tcBorders>
              <w:top w:val="nil"/>
              <w:left w:val="nil"/>
              <w:bottom w:val="single" w:sz="4" w:space="0" w:color="auto"/>
              <w:right w:val="nil"/>
            </w:tcBorders>
            <w:shd w:val="clear" w:color="auto" w:fill="FFFFFF" w:themeFill="background1"/>
            <w:tcMar>
              <w:top w:w="0" w:type="dxa"/>
              <w:left w:w="0" w:type="dxa"/>
              <w:bottom w:w="0" w:type="dxa"/>
              <w:right w:w="180" w:type="dxa"/>
            </w:tcMar>
            <w:vAlign w:val="center"/>
            <w:hideMark/>
          </w:tcPr>
          <w:p w14:paraId="046B96D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42</w:t>
            </w:r>
          </w:p>
        </w:tc>
        <w:tc>
          <w:tcPr>
            <w:tcW w:w="1401" w:type="dxa"/>
            <w:tcBorders>
              <w:top w:val="nil"/>
              <w:left w:val="single" w:sz="4" w:space="0" w:color="auto"/>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2E86CFB6" w14:textId="5069F122"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70</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04DB3A8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72</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69613CD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24</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5267B7E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43</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70062048"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77</w:t>
            </w:r>
          </w:p>
        </w:tc>
      </w:tr>
      <w:tr w:rsidR="00FA3F28" w14:paraId="4EF81B20" w14:textId="77777777" w:rsidTr="004C0DDC">
        <w:trPr>
          <w:trHeight w:val="227"/>
        </w:trPr>
        <w:tc>
          <w:tcPr>
            <w:tcW w:w="1717" w:type="dxa"/>
            <w:vMerge w:val="restart"/>
            <w:tcBorders>
              <w:top w:val="nil"/>
              <w:bottom w:val="single" w:sz="4" w:space="0" w:color="000000"/>
              <w:right w:val="single" w:sz="4" w:space="0" w:color="auto"/>
            </w:tcBorders>
            <w:shd w:val="clear" w:color="000000" w:fill="FFFFFF"/>
            <w:vAlign w:val="center"/>
            <w:hideMark/>
          </w:tcPr>
          <w:p w14:paraId="52A07A65" w14:textId="77777777" w:rsidR="00F84522" w:rsidRPr="00F435C6" w:rsidRDefault="00F84522"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Southern NSW</w:t>
            </w:r>
          </w:p>
        </w:tc>
        <w:tc>
          <w:tcPr>
            <w:tcW w:w="1126" w:type="dxa"/>
            <w:tcBorders>
              <w:top w:val="nil"/>
              <w:left w:val="nil"/>
              <w:bottom w:val="nil"/>
              <w:right w:val="single" w:sz="4" w:space="0" w:color="auto"/>
            </w:tcBorders>
            <w:shd w:val="clear" w:color="000000" w:fill="FFFFFF"/>
            <w:vAlign w:val="center"/>
            <w:hideMark/>
          </w:tcPr>
          <w:p w14:paraId="71845FB0"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E57CB76" w14:textId="63167784"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60</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092556B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787BA2A2" w14:textId="0B548C62"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40</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A1B14F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79</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C011CBB"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32</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1B7FE3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53</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5AA0340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81</w:t>
            </w:r>
          </w:p>
        </w:tc>
      </w:tr>
      <w:tr w:rsidR="00FA3F28" w14:paraId="76D319AA" w14:textId="77777777" w:rsidTr="004C0DDC">
        <w:trPr>
          <w:trHeight w:val="227"/>
        </w:trPr>
        <w:tc>
          <w:tcPr>
            <w:tcW w:w="1717" w:type="dxa"/>
            <w:vMerge/>
            <w:tcBorders>
              <w:top w:val="nil"/>
              <w:bottom w:val="single" w:sz="4" w:space="0" w:color="000000"/>
              <w:right w:val="single" w:sz="4" w:space="0" w:color="auto"/>
            </w:tcBorders>
            <w:vAlign w:val="center"/>
            <w:hideMark/>
          </w:tcPr>
          <w:p w14:paraId="1F3571C5"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nil"/>
              <w:right w:val="single" w:sz="4" w:space="0" w:color="auto"/>
            </w:tcBorders>
            <w:shd w:val="clear" w:color="000000" w:fill="FFFFFF"/>
            <w:vAlign w:val="center"/>
            <w:hideMark/>
          </w:tcPr>
          <w:p w14:paraId="605A4F8E"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3AAF53F" w14:textId="7B7B119E"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29</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508F32A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95</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2095FB92" w14:textId="459A35B6"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4E0C28B"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98</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D94124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24</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48F22F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85</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223C1A8B"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99</w:t>
            </w:r>
          </w:p>
        </w:tc>
      </w:tr>
      <w:tr w:rsidR="00FA3F28" w14:paraId="32C1D31A" w14:textId="77777777" w:rsidTr="004C0DDC">
        <w:trPr>
          <w:trHeight w:val="227"/>
        </w:trPr>
        <w:tc>
          <w:tcPr>
            <w:tcW w:w="1717" w:type="dxa"/>
            <w:vMerge/>
            <w:tcBorders>
              <w:top w:val="nil"/>
              <w:bottom w:val="single" w:sz="4" w:space="0" w:color="000000"/>
              <w:right w:val="single" w:sz="4" w:space="0" w:color="auto"/>
            </w:tcBorders>
            <w:vAlign w:val="center"/>
            <w:hideMark/>
          </w:tcPr>
          <w:p w14:paraId="1B8C806D"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78279E33"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2ED0B1B" w14:textId="689F88B0"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579" w:type="dxa"/>
            <w:tcBorders>
              <w:top w:val="nil"/>
              <w:left w:val="nil"/>
              <w:bottom w:val="single" w:sz="4" w:space="0" w:color="auto"/>
              <w:right w:val="nil"/>
            </w:tcBorders>
            <w:shd w:val="clear" w:color="auto" w:fill="FFFFFF" w:themeFill="background1"/>
            <w:tcMar>
              <w:top w:w="0" w:type="dxa"/>
              <w:left w:w="0" w:type="dxa"/>
              <w:bottom w:w="0" w:type="dxa"/>
              <w:right w:w="180" w:type="dxa"/>
            </w:tcMar>
            <w:vAlign w:val="center"/>
            <w:hideMark/>
          </w:tcPr>
          <w:p w14:paraId="7ACFD8F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58</w:t>
            </w:r>
          </w:p>
        </w:tc>
        <w:tc>
          <w:tcPr>
            <w:tcW w:w="1401" w:type="dxa"/>
            <w:tcBorders>
              <w:top w:val="nil"/>
              <w:left w:val="single" w:sz="4" w:space="0" w:color="auto"/>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12C31A28" w14:textId="480B641A"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37</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61CF1A6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80</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613542F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31</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53565A7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32D865B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82</w:t>
            </w:r>
          </w:p>
        </w:tc>
      </w:tr>
      <w:tr w:rsidR="00FA3F28" w14:paraId="0719EDB9" w14:textId="77777777" w:rsidTr="004C0DDC">
        <w:trPr>
          <w:trHeight w:val="227"/>
        </w:trPr>
        <w:tc>
          <w:tcPr>
            <w:tcW w:w="1717" w:type="dxa"/>
            <w:vMerge w:val="restart"/>
            <w:tcBorders>
              <w:top w:val="nil"/>
              <w:bottom w:val="nil"/>
              <w:right w:val="single" w:sz="4" w:space="0" w:color="auto"/>
            </w:tcBorders>
            <w:shd w:val="clear" w:color="000000" w:fill="FFFFFF"/>
            <w:vAlign w:val="center"/>
            <w:hideMark/>
          </w:tcPr>
          <w:p w14:paraId="50CC4ED5" w14:textId="77777777" w:rsidR="00F84522" w:rsidRPr="002F2D01" w:rsidRDefault="00F84522" w:rsidP="00CB0E93">
            <w:pPr>
              <w:spacing w:before="0" w:after="0"/>
              <w:ind w:left="57"/>
              <w:rPr>
                <w:rFonts w:asciiTheme="majorHAnsi" w:hAnsiTheme="majorHAnsi" w:cs="Arial"/>
                <w:b/>
                <w:bCs/>
                <w:sz w:val="16"/>
                <w:szCs w:val="16"/>
              </w:rPr>
            </w:pPr>
            <w:r w:rsidRPr="002F2D01">
              <w:rPr>
                <w:rFonts w:asciiTheme="majorHAnsi" w:hAnsiTheme="majorHAnsi" w:cs="Arial"/>
                <w:b/>
                <w:bCs/>
                <w:sz w:val="16"/>
                <w:szCs w:val="16"/>
              </w:rPr>
              <w:t>Total New South Wales RFA regions</w:t>
            </w:r>
          </w:p>
        </w:tc>
        <w:tc>
          <w:tcPr>
            <w:tcW w:w="1126" w:type="dxa"/>
            <w:tcBorders>
              <w:top w:val="nil"/>
              <w:left w:val="nil"/>
              <w:bottom w:val="nil"/>
              <w:right w:val="single" w:sz="4" w:space="0" w:color="auto"/>
            </w:tcBorders>
            <w:shd w:val="clear" w:color="000000" w:fill="FFFFFF"/>
            <w:vAlign w:val="center"/>
            <w:hideMark/>
          </w:tcPr>
          <w:p w14:paraId="48F918AC"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734496A" w14:textId="339D9205"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58</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4BF1338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42</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7F53DCCC" w14:textId="780C233E"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65</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4F4A74D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70</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672651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25</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D9D8B5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43</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3FF7238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75</w:t>
            </w:r>
          </w:p>
        </w:tc>
      </w:tr>
      <w:tr w:rsidR="00FA3F28" w14:paraId="4CA85110" w14:textId="77777777" w:rsidTr="004C0DDC">
        <w:trPr>
          <w:trHeight w:val="227"/>
        </w:trPr>
        <w:tc>
          <w:tcPr>
            <w:tcW w:w="1717" w:type="dxa"/>
            <w:vMerge/>
            <w:tcBorders>
              <w:top w:val="nil"/>
              <w:bottom w:val="nil"/>
              <w:right w:val="single" w:sz="4" w:space="0" w:color="auto"/>
            </w:tcBorders>
            <w:vAlign w:val="center"/>
            <w:hideMark/>
          </w:tcPr>
          <w:p w14:paraId="08C18E3A"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nil"/>
              <w:right w:val="single" w:sz="4" w:space="0" w:color="auto"/>
            </w:tcBorders>
            <w:shd w:val="clear" w:color="000000" w:fill="FFFFFF"/>
            <w:vAlign w:val="center"/>
            <w:hideMark/>
          </w:tcPr>
          <w:p w14:paraId="047A0D82"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5964DDCF" w14:textId="3D459617"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34</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0D9E472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78</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0C1BC3A3" w14:textId="04B0EDA6"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16</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02D075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91</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A7FD7F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26</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58C26F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77</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3CC0D49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96</w:t>
            </w:r>
          </w:p>
        </w:tc>
      </w:tr>
      <w:tr w:rsidR="00FA3F28" w14:paraId="62D4C4F0" w14:textId="77777777" w:rsidTr="004C0DDC">
        <w:trPr>
          <w:trHeight w:val="227"/>
        </w:trPr>
        <w:tc>
          <w:tcPr>
            <w:tcW w:w="1717" w:type="dxa"/>
            <w:vMerge/>
            <w:tcBorders>
              <w:top w:val="nil"/>
              <w:bottom w:val="nil"/>
              <w:right w:val="single" w:sz="4" w:space="0" w:color="auto"/>
            </w:tcBorders>
            <w:vAlign w:val="center"/>
            <w:hideMark/>
          </w:tcPr>
          <w:p w14:paraId="703AB318"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nil"/>
              <w:right w:val="single" w:sz="4" w:space="0" w:color="auto"/>
            </w:tcBorders>
            <w:shd w:val="clear" w:color="000000" w:fill="FFFFFF"/>
            <w:vAlign w:val="center"/>
            <w:hideMark/>
          </w:tcPr>
          <w:p w14:paraId="16F58938"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49DF997" w14:textId="4271BD46"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1B7D044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44</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261ACDC6" w14:textId="1299B0FB"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62</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D54E99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71</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D9121D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25</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3CBF79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44</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72E5540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76</w:t>
            </w:r>
          </w:p>
        </w:tc>
      </w:tr>
      <w:tr w:rsidR="00FA3F28" w14:paraId="28BEFF1B" w14:textId="77777777" w:rsidTr="00C935F0">
        <w:trPr>
          <w:trHeight w:val="340"/>
        </w:trPr>
        <w:tc>
          <w:tcPr>
            <w:tcW w:w="13381" w:type="dxa"/>
            <w:gridSpan w:val="9"/>
            <w:tcBorders>
              <w:top w:val="single" w:sz="4" w:space="0" w:color="auto"/>
              <w:bottom w:val="single" w:sz="4" w:space="0" w:color="auto"/>
            </w:tcBorders>
            <w:shd w:val="clear" w:color="auto" w:fill="auto"/>
            <w:noWrap/>
            <w:vAlign w:val="center"/>
            <w:hideMark/>
          </w:tcPr>
          <w:p w14:paraId="179420E7" w14:textId="77777777" w:rsidR="00F84522" w:rsidRPr="002F2D01" w:rsidRDefault="00F84522" w:rsidP="00CB0E93">
            <w:pPr>
              <w:spacing w:before="0" w:after="0"/>
              <w:ind w:left="57"/>
              <w:rPr>
                <w:rFonts w:asciiTheme="majorHAnsi" w:hAnsiTheme="majorHAnsi" w:cs="Arial"/>
                <w:b/>
                <w:bCs/>
                <w:sz w:val="16"/>
                <w:szCs w:val="16"/>
              </w:rPr>
            </w:pPr>
            <w:r w:rsidRPr="002F2D01">
              <w:rPr>
                <w:rFonts w:asciiTheme="majorHAnsi" w:hAnsiTheme="majorHAnsi" w:cs="Arial"/>
                <w:b/>
                <w:bCs/>
                <w:sz w:val="16"/>
                <w:szCs w:val="16"/>
              </w:rPr>
              <w:t>Tasmania</w:t>
            </w:r>
          </w:p>
        </w:tc>
      </w:tr>
      <w:tr w:rsidR="00FA3F28" w14:paraId="5EC3CC62" w14:textId="77777777" w:rsidTr="004C0DDC">
        <w:trPr>
          <w:trHeight w:val="227"/>
        </w:trPr>
        <w:tc>
          <w:tcPr>
            <w:tcW w:w="1717" w:type="dxa"/>
            <w:vMerge w:val="restart"/>
            <w:tcBorders>
              <w:top w:val="nil"/>
              <w:bottom w:val="single" w:sz="4" w:space="0" w:color="000000"/>
              <w:right w:val="single" w:sz="4" w:space="0" w:color="auto"/>
            </w:tcBorders>
            <w:shd w:val="clear" w:color="000000" w:fill="FFFFFF"/>
            <w:noWrap/>
            <w:vAlign w:val="center"/>
            <w:hideMark/>
          </w:tcPr>
          <w:p w14:paraId="424D89B2" w14:textId="77777777" w:rsidR="00F84522" w:rsidRPr="00F435C6" w:rsidRDefault="00F84522"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Tasmanian</w:t>
            </w:r>
          </w:p>
        </w:tc>
        <w:tc>
          <w:tcPr>
            <w:tcW w:w="1126" w:type="dxa"/>
            <w:tcBorders>
              <w:top w:val="nil"/>
              <w:left w:val="nil"/>
              <w:bottom w:val="nil"/>
              <w:right w:val="single" w:sz="4" w:space="0" w:color="auto"/>
            </w:tcBorders>
            <w:shd w:val="clear" w:color="000000" w:fill="FFFFFF"/>
            <w:vAlign w:val="center"/>
            <w:hideMark/>
          </w:tcPr>
          <w:p w14:paraId="33A8582B"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5C4B2FAD" w14:textId="0FCB0ED2"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66</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4B70F9A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43</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48276F63" w14:textId="2D273F16"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29</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BE9076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5CCC29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26</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B5311F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39</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7CE455F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r>
      <w:tr w:rsidR="00FA3F28" w14:paraId="035F09EA" w14:textId="77777777" w:rsidTr="004C0DDC">
        <w:trPr>
          <w:trHeight w:val="227"/>
        </w:trPr>
        <w:tc>
          <w:tcPr>
            <w:tcW w:w="1717" w:type="dxa"/>
            <w:vMerge/>
            <w:tcBorders>
              <w:top w:val="nil"/>
              <w:bottom w:val="single" w:sz="4" w:space="0" w:color="000000"/>
              <w:right w:val="single" w:sz="4" w:space="0" w:color="auto"/>
            </w:tcBorders>
            <w:vAlign w:val="center"/>
            <w:hideMark/>
          </w:tcPr>
          <w:p w14:paraId="1884C703"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nil"/>
              <w:right w:val="single" w:sz="4" w:space="0" w:color="auto"/>
            </w:tcBorders>
            <w:shd w:val="clear" w:color="000000" w:fill="FFFFFF"/>
            <w:vAlign w:val="center"/>
            <w:hideMark/>
          </w:tcPr>
          <w:p w14:paraId="38D377C9"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3A72E9E" w14:textId="4A926B6B"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86</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5FB419A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89</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1B48BC44" w14:textId="55AC07C8"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11</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506B30B4"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99</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B38457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82</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8CE3C3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96</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1AE94DE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99</w:t>
            </w:r>
          </w:p>
        </w:tc>
      </w:tr>
      <w:tr w:rsidR="00FA3F28" w14:paraId="5442DD40" w14:textId="77777777" w:rsidTr="004C0DDC">
        <w:trPr>
          <w:trHeight w:val="227"/>
        </w:trPr>
        <w:tc>
          <w:tcPr>
            <w:tcW w:w="1717" w:type="dxa"/>
            <w:vMerge/>
            <w:tcBorders>
              <w:top w:val="nil"/>
              <w:bottom w:val="single" w:sz="4" w:space="0" w:color="000000"/>
              <w:right w:val="single" w:sz="4" w:space="0" w:color="auto"/>
            </w:tcBorders>
            <w:vAlign w:val="center"/>
            <w:hideMark/>
          </w:tcPr>
          <w:p w14:paraId="700C0BCE"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192DC7B6"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0C535DEC" w14:textId="38DC7827"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72</w:t>
            </w:r>
          </w:p>
        </w:tc>
        <w:tc>
          <w:tcPr>
            <w:tcW w:w="1579" w:type="dxa"/>
            <w:tcBorders>
              <w:top w:val="nil"/>
              <w:left w:val="nil"/>
              <w:bottom w:val="single" w:sz="4" w:space="0" w:color="auto"/>
              <w:right w:val="nil"/>
            </w:tcBorders>
            <w:shd w:val="clear" w:color="auto" w:fill="FFFFFF" w:themeFill="background1"/>
            <w:tcMar>
              <w:top w:w="0" w:type="dxa"/>
              <w:left w:w="0" w:type="dxa"/>
              <w:bottom w:w="0" w:type="dxa"/>
              <w:right w:w="180" w:type="dxa"/>
            </w:tcMar>
            <w:vAlign w:val="center"/>
            <w:hideMark/>
          </w:tcPr>
          <w:p w14:paraId="7546E12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61</w:t>
            </w:r>
          </w:p>
        </w:tc>
        <w:tc>
          <w:tcPr>
            <w:tcW w:w="1401" w:type="dxa"/>
            <w:tcBorders>
              <w:top w:val="nil"/>
              <w:left w:val="single" w:sz="4" w:space="0" w:color="auto"/>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3B396F43" w14:textId="43B366DD"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19</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56E372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73</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1047B16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41</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96CD5F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58</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4F5A3F7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73</w:t>
            </w:r>
          </w:p>
        </w:tc>
      </w:tr>
      <w:tr w:rsidR="00FA3F28" w14:paraId="3351CBBD" w14:textId="77777777" w:rsidTr="00C935F0">
        <w:trPr>
          <w:trHeight w:val="340"/>
        </w:trPr>
        <w:tc>
          <w:tcPr>
            <w:tcW w:w="13381" w:type="dxa"/>
            <w:gridSpan w:val="9"/>
            <w:tcBorders>
              <w:top w:val="nil"/>
              <w:bottom w:val="nil"/>
            </w:tcBorders>
            <w:shd w:val="clear" w:color="auto" w:fill="auto"/>
            <w:noWrap/>
            <w:vAlign w:val="center"/>
            <w:hideMark/>
          </w:tcPr>
          <w:p w14:paraId="242ED298" w14:textId="77777777" w:rsidR="00F84522" w:rsidRPr="002F2D01" w:rsidRDefault="00F84522" w:rsidP="00CB0E93">
            <w:pPr>
              <w:spacing w:before="0" w:after="0"/>
              <w:ind w:left="57"/>
              <w:rPr>
                <w:rFonts w:asciiTheme="majorHAnsi" w:hAnsiTheme="majorHAnsi" w:cs="Arial"/>
                <w:b/>
                <w:bCs/>
                <w:sz w:val="16"/>
                <w:szCs w:val="16"/>
              </w:rPr>
            </w:pPr>
            <w:r w:rsidRPr="002F2D01">
              <w:rPr>
                <w:rFonts w:asciiTheme="majorHAnsi" w:hAnsiTheme="majorHAnsi" w:cs="Arial"/>
                <w:b/>
                <w:bCs/>
                <w:sz w:val="16"/>
                <w:szCs w:val="16"/>
              </w:rPr>
              <w:t>Victoria</w:t>
            </w:r>
          </w:p>
        </w:tc>
      </w:tr>
      <w:tr w:rsidR="00FA3F28" w14:paraId="736C9C6B" w14:textId="77777777" w:rsidTr="004C0DDC">
        <w:trPr>
          <w:trHeight w:val="227"/>
        </w:trPr>
        <w:tc>
          <w:tcPr>
            <w:tcW w:w="1717" w:type="dxa"/>
            <w:vMerge w:val="restart"/>
            <w:tcBorders>
              <w:top w:val="single" w:sz="4" w:space="0" w:color="auto"/>
              <w:bottom w:val="single" w:sz="4" w:space="0" w:color="000000"/>
              <w:right w:val="single" w:sz="4" w:space="0" w:color="auto"/>
            </w:tcBorders>
            <w:shd w:val="clear" w:color="000000" w:fill="FFFFFF"/>
            <w:vAlign w:val="center"/>
            <w:hideMark/>
          </w:tcPr>
          <w:p w14:paraId="6401E62D" w14:textId="5FB4B5C7" w:rsidR="00F84522" w:rsidRPr="00F435C6" w:rsidRDefault="00F84522"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East Gippsland</w:t>
            </w:r>
          </w:p>
        </w:tc>
        <w:tc>
          <w:tcPr>
            <w:tcW w:w="1126" w:type="dxa"/>
            <w:tcBorders>
              <w:top w:val="single" w:sz="4" w:space="0" w:color="auto"/>
              <w:left w:val="nil"/>
              <w:bottom w:val="nil"/>
              <w:right w:val="nil"/>
            </w:tcBorders>
            <w:shd w:val="clear" w:color="000000" w:fill="FFFFFF"/>
            <w:vAlign w:val="center"/>
            <w:hideMark/>
          </w:tcPr>
          <w:p w14:paraId="37E8485B"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single" w:sz="4" w:space="0" w:color="auto"/>
              <w:left w:val="single" w:sz="4" w:space="0" w:color="auto"/>
              <w:bottom w:val="nil"/>
              <w:right w:val="single" w:sz="4" w:space="0" w:color="auto"/>
            </w:tcBorders>
            <w:shd w:val="clear" w:color="000000" w:fill="FFFFFF"/>
            <w:tcMar>
              <w:top w:w="0" w:type="dxa"/>
              <w:left w:w="0" w:type="dxa"/>
              <w:bottom w:w="0" w:type="dxa"/>
              <w:right w:w="180" w:type="dxa"/>
            </w:tcMar>
            <w:vAlign w:val="center"/>
            <w:hideMark/>
          </w:tcPr>
          <w:p w14:paraId="652C9623" w14:textId="27B40EE2"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93</w:t>
            </w:r>
          </w:p>
        </w:tc>
        <w:tc>
          <w:tcPr>
            <w:tcW w:w="1579" w:type="dxa"/>
            <w:tcBorders>
              <w:top w:val="single" w:sz="4" w:space="0" w:color="auto"/>
              <w:left w:val="nil"/>
              <w:bottom w:val="nil"/>
              <w:right w:val="nil"/>
            </w:tcBorders>
            <w:shd w:val="clear" w:color="auto" w:fill="FFFFFF" w:themeFill="background1"/>
            <w:tcMar>
              <w:top w:w="0" w:type="dxa"/>
              <w:left w:w="0" w:type="dxa"/>
              <w:bottom w:w="0" w:type="dxa"/>
              <w:right w:w="180" w:type="dxa"/>
            </w:tcMar>
            <w:vAlign w:val="center"/>
            <w:hideMark/>
          </w:tcPr>
          <w:p w14:paraId="7A8896B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49</w:t>
            </w:r>
          </w:p>
        </w:tc>
        <w:tc>
          <w:tcPr>
            <w:tcW w:w="1401" w:type="dxa"/>
            <w:tcBorders>
              <w:top w:val="single" w:sz="4" w:space="0" w:color="auto"/>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650A56FF" w14:textId="547DF2A4"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w:t>
            </w:r>
          </w:p>
        </w:tc>
        <w:tc>
          <w:tcPr>
            <w:tcW w:w="1543"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58B86C2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50</w:t>
            </w:r>
          </w:p>
        </w:tc>
        <w:tc>
          <w:tcPr>
            <w:tcW w:w="1542"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3619BCC8"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47</w:t>
            </w:r>
          </w:p>
        </w:tc>
        <w:tc>
          <w:tcPr>
            <w:tcW w:w="1482"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146C095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50</w:t>
            </w:r>
          </w:p>
        </w:tc>
        <w:tc>
          <w:tcPr>
            <w:tcW w:w="1607" w:type="dxa"/>
            <w:tcBorders>
              <w:top w:val="single" w:sz="4" w:space="0" w:color="auto"/>
              <w:left w:val="nil"/>
              <w:bottom w:val="nil"/>
            </w:tcBorders>
            <w:shd w:val="clear" w:color="000000" w:fill="FFFFFF"/>
            <w:noWrap/>
            <w:tcMar>
              <w:top w:w="0" w:type="dxa"/>
              <w:left w:w="0" w:type="dxa"/>
              <w:bottom w:w="0" w:type="dxa"/>
              <w:right w:w="180" w:type="dxa"/>
            </w:tcMar>
            <w:vAlign w:val="center"/>
            <w:hideMark/>
          </w:tcPr>
          <w:p w14:paraId="0FB02448"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53</w:t>
            </w:r>
          </w:p>
        </w:tc>
      </w:tr>
      <w:tr w:rsidR="00FA3F28" w14:paraId="3C5D2912" w14:textId="77777777" w:rsidTr="004C0DDC">
        <w:trPr>
          <w:trHeight w:val="227"/>
        </w:trPr>
        <w:tc>
          <w:tcPr>
            <w:tcW w:w="1717" w:type="dxa"/>
            <w:vMerge/>
            <w:tcBorders>
              <w:top w:val="single" w:sz="4" w:space="0" w:color="auto"/>
              <w:bottom w:val="single" w:sz="4" w:space="0" w:color="000000"/>
              <w:right w:val="single" w:sz="4" w:space="0" w:color="auto"/>
            </w:tcBorders>
            <w:vAlign w:val="center"/>
            <w:hideMark/>
          </w:tcPr>
          <w:p w14:paraId="28B9B2E7"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right w:val="nil"/>
            </w:tcBorders>
            <w:shd w:val="clear" w:color="000000" w:fill="FFFFFF"/>
            <w:vAlign w:val="center"/>
            <w:hideMark/>
          </w:tcPr>
          <w:p w14:paraId="77110F79"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single" w:sz="4" w:space="0" w:color="auto"/>
              <w:bottom w:val="nil"/>
              <w:right w:val="single" w:sz="4" w:space="0" w:color="auto"/>
            </w:tcBorders>
            <w:shd w:val="clear" w:color="000000" w:fill="FFFFFF"/>
            <w:tcMar>
              <w:top w:w="0" w:type="dxa"/>
              <w:left w:w="0" w:type="dxa"/>
              <w:bottom w:w="0" w:type="dxa"/>
              <w:right w:w="180" w:type="dxa"/>
            </w:tcMar>
            <w:vAlign w:val="center"/>
            <w:hideMark/>
          </w:tcPr>
          <w:p w14:paraId="648B80B4" w14:textId="772AE6AB"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88</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56D55B0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75</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5211C2A8" w14:textId="7ED26CEB"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E6579D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76</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5FF88D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84</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7317D3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95</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609E84E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99</w:t>
            </w:r>
          </w:p>
        </w:tc>
      </w:tr>
      <w:tr w:rsidR="00FA3F28" w14:paraId="062D4797" w14:textId="77777777" w:rsidTr="004C0DDC">
        <w:trPr>
          <w:trHeight w:val="227"/>
        </w:trPr>
        <w:tc>
          <w:tcPr>
            <w:tcW w:w="1717" w:type="dxa"/>
            <w:vMerge/>
            <w:tcBorders>
              <w:top w:val="single" w:sz="4" w:space="0" w:color="auto"/>
              <w:bottom w:val="single" w:sz="4" w:space="0" w:color="000000"/>
              <w:right w:val="single" w:sz="4" w:space="0" w:color="auto"/>
            </w:tcBorders>
            <w:vAlign w:val="center"/>
            <w:hideMark/>
          </w:tcPr>
          <w:p w14:paraId="5CFD763F"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nil"/>
              <w:right w:val="nil"/>
            </w:tcBorders>
            <w:shd w:val="clear" w:color="000000" w:fill="FFFFFF"/>
            <w:vAlign w:val="center"/>
            <w:hideMark/>
          </w:tcPr>
          <w:p w14:paraId="02AE3F82"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single" w:sz="4" w:space="0" w:color="auto"/>
              <w:bottom w:val="single" w:sz="4" w:space="0" w:color="auto"/>
              <w:right w:val="single" w:sz="4" w:space="0" w:color="auto"/>
            </w:tcBorders>
            <w:shd w:val="clear" w:color="000000" w:fill="FFFFFF"/>
            <w:tcMar>
              <w:top w:w="0" w:type="dxa"/>
              <w:left w:w="0" w:type="dxa"/>
              <w:bottom w:w="0" w:type="dxa"/>
              <w:right w:w="180" w:type="dxa"/>
            </w:tcMar>
            <w:vAlign w:val="center"/>
            <w:hideMark/>
          </w:tcPr>
          <w:p w14:paraId="71C711ED" w14:textId="08A34BD2"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92</w:t>
            </w:r>
          </w:p>
        </w:tc>
        <w:tc>
          <w:tcPr>
            <w:tcW w:w="1579" w:type="dxa"/>
            <w:tcBorders>
              <w:top w:val="nil"/>
              <w:left w:val="nil"/>
              <w:bottom w:val="single" w:sz="4" w:space="0" w:color="auto"/>
              <w:right w:val="nil"/>
            </w:tcBorders>
            <w:shd w:val="clear" w:color="auto" w:fill="FFFFFF" w:themeFill="background1"/>
            <w:tcMar>
              <w:top w:w="0" w:type="dxa"/>
              <w:left w:w="0" w:type="dxa"/>
              <w:bottom w:w="0" w:type="dxa"/>
              <w:right w:w="180" w:type="dxa"/>
            </w:tcMar>
            <w:vAlign w:val="center"/>
            <w:hideMark/>
          </w:tcPr>
          <w:p w14:paraId="7D0797A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50</w:t>
            </w:r>
          </w:p>
        </w:tc>
        <w:tc>
          <w:tcPr>
            <w:tcW w:w="1401" w:type="dxa"/>
            <w:tcBorders>
              <w:top w:val="nil"/>
              <w:left w:val="single" w:sz="4" w:space="0" w:color="auto"/>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2752ABE1" w14:textId="69A9706D"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9989D1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51</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5ECF911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48</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5BFCE98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52</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1096D9C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r>
      <w:tr w:rsidR="00FA3F28" w14:paraId="044731CF" w14:textId="77777777" w:rsidTr="004C0DDC">
        <w:trPr>
          <w:trHeight w:val="227"/>
        </w:trPr>
        <w:tc>
          <w:tcPr>
            <w:tcW w:w="1717" w:type="dxa"/>
            <w:vMerge w:val="restart"/>
            <w:tcBorders>
              <w:top w:val="nil"/>
              <w:bottom w:val="single" w:sz="4" w:space="0" w:color="000000"/>
              <w:right w:val="single" w:sz="4" w:space="0" w:color="auto"/>
            </w:tcBorders>
            <w:shd w:val="clear" w:color="000000" w:fill="FFFFFF"/>
            <w:vAlign w:val="center"/>
            <w:hideMark/>
          </w:tcPr>
          <w:p w14:paraId="12202A59" w14:textId="22219198" w:rsidR="00F84522" w:rsidRPr="00F435C6" w:rsidRDefault="00BF0F21"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Central Highlands</w:t>
            </w:r>
          </w:p>
        </w:tc>
        <w:tc>
          <w:tcPr>
            <w:tcW w:w="1126" w:type="dxa"/>
            <w:tcBorders>
              <w:top w:val="single" w:sz="4" w:space="0" w:color="auto"/>
              <w:left w:val="nil"/>
              <w:bottom w:val="nil"/>
              <w:right w:val="single" w:sz="4" w:space="0" w:color="auto"/>
            </w:tcBorders>
            <w:shd w:val="clear" w:color="000000" w:fill="FFFFFF"/>
            <w:vAlign w:val="center"/>
            <w:hideMark/>
          </w:tcPr>
          <w:p w14:paraId="77055E89"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408B58B" w14:textId="528625E3"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66</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7D294E1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29</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34A4C156" w14:textId="244AE595"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50</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F99CE18"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44</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A843DF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27</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E4B19D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41</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222BC59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49</w:t>
            </w:r>
          </w:p>
        </w:tc>
      </w:tr>
      <w:tr w:rsidR="00FA3F28" w14:paraId="5745B914" w14:textId="77777777" w:rsidTr="004C0DDC">
        <w:trPr>
          <w:trHeight w:val="227"/>
        </w:trPr>
        <w:tc>
          <w:tcPr>
            <w:tcW w:w="1717" w:type="dxa"/>
            <w:vMerge/>
            <w:tcBorders>
              <w:top w:val="nil"/>
              <w:bottom w:val="single" w:sz="4" w:space="0" w:color="000000"/>
              <w:right w:val="single" w:sz="4" w:space="0" w:color="auto"/>
            </w:tcBorders>
            <w:vAlign w:val="center"/>
            <w:hideMark/>
          </w:tcPr>
          <w:p w14:paraId="3A4E756B"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nil"/>
              <w:right w:val="single" w:sz="4" w:space="0" w:color="auto"/>
            </w:tcBorders>
            <w:shd w:val="clear" w:color="000000" w:fill="FFFFFF"/>
            <w:vAlign w:val="center"/>
            <w:hideMark/>
          </w:tcPr>
          <w:p w14:paraId="6EFB4B95"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98F786F" w14:textId="5E75437E"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22</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500C03F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78017CDC" w14:textId="685652C1"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22</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C200B7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70</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464C4B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48DAD33B"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42</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0DE64DD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74</w:t>
            </w:r>
          </w:p>
        </w:tc>
      </w:tr>
      <w:tr w:rsidR="00FA3F28" w14:paraId="1078D093" w14:textId="77777777" w:rsidTr="004C0DDC">
        <w:trPr>
          <w:trHeight w:val="227"/>
        </w:trPr>
        <w:tc>
          <w:tcPr>
            <w:tcW w:w="1717" w:type="dxa"/>
            <w:vMerge/>
            <w:tcBorders>
              <w:top w:val="nil"/>
              <w:bottom w:val="single" w:sz="4" w:space="0" w:color="000000"/>
              <w:right w:val="single" w:sz="4" w:space="0" w:color="auto"/>
            </w:tcBorders>
            <w:vAlign w:val="center"/>
            <w:hideMark/>
          </w:tcPr>
          <w:p w14:paraId="28DA0B09"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4FE618C8"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4951998E" w14:textId="65186127"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c>
          <w:tcPr>
            <w:tcW w:w="1579" w:type="dxa"/>
            <w:tcBorders>
              <w:top w:val="nil"/>
              <w:left w:val="nil"/>
              <w:bottom w:val="single" w:sz="4" w:space="0" w:color="auto"/>
              <w:right w:val="nil"/>
            </w:tcBorders>
            <w:shd w:val="clear" w:color="auto" w:fill="FFFFFF" w:themeFill="background1"/>
            <w:tcMar>
              <w:top w:w="0" w:type="dxa"/>
              <w:left w:w="0" w:type="dxa"/>
              <w:bottom w:w="0" w:type="dxa"/>
              <w:right w:w="180" w:type="dxa"/>
            </w:tcMar>
            <w:vAlign w:val="center"/>
            <w:hideMark/>
          </w:tcPr>
          <w:p w14:paraId="5A7CC1D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30</w:t>
            </w:r>
          </w:p>
        </w:tc>
        <w:tc>
          <w:tcPr>
            <w:tcW w:w="1401" w:type="dxa"/>
            <w:tcBorders>
              <w:top w:val="nil"/>
              <w:left w:val="single" w:sz="4" w:space="0" w:color="auto"/>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7F24319C" w14:textId="52B196D8"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49</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A9020D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44</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7648929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26</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592DD8A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41</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4EDD079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49</w:t>
            </w:r>
          </w:p>
        </w:tc>
      </w:tr>
      <w:tr w:rsidR="00FA3F28" w14:paraId="083DD5CC" w14:textId="77777777" w:rsidTr="004C0DDC">
        <w:trPr>
          <w:trHeight w:val="227"/>
        </w:trPr>
        <w:tc>
          <w:tcPr>
            <w:tcW w:w="1717" w:type="dxa"/>
            <w:vMerge w:val="restart"/>
            <w:tcBorders>
              <w:top w:val="nil"/>
              <w:bottom w:val="single" w:sz="4" w:space="0" w:color="000000"/>
              <w:right w:val="single" w:sz="4" w:space="0" w:color="auto"/>
            </w:tcBorders>
            <w:shd w:val="clear" w:color="000000" w:fill="FFFFFF"/>
            <w:vAlign w:val="center"/>
            <w:hideMark/>
          </w:tcPr>
          <w:p w14:paraId="05E64B08" w14:textId="2A82E7B8" w:rsidR="00F84522" w:rsidRPr="00F435C6" w:rsidRDefault="00BF0F21"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lastRenderedPageBreak/>
              <w:t>North East</w:t>
            </w:r>
          </w:p>
        </w:tc>
        <w:tc>
          <w:tcPr>
            <w:tcW w:w="1126" w:type="dxa"/>
            <w:tcBorders>
              <w:top w:val="nil"/>
              <w:left w:val="nil"/>
              <w:bottom w:val="nil"/>
              <w:right w:val="single" w:sz="4" w:space="0" w:color="auto"/>
            </w:tcBorders>
            <w:shd w:val="clear" w:color="000000" w:fill="FFFFFF"/>
            <w:vAlign w:val="center"/>
            <w:hideMark/>
          </w:tcPr>
          <w:p w14:paraId="6ED92B26"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C594851" w14:textId="7A0A0319"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28381A7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35</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0B5C8600" w14:textId="01F4C96B"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47</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78D730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51</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881F8B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29</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D2FF21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52</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3366C26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61</w:t>
            </w:r>
          </w:p>
        </w:tc>
      </w:tr>
      <w:tr w:rsidR="00FA3F28" w14:paraId="1700ED90" w14:textId="77777777" w:rsidTr="004C0DDC">
        <w:trPr>
          <w:trHeight w:val="227"/>
        </w:trPr>
        <w:tc>
          <w:tcPr>
            <w:tcW w:w="1717" w:type="dxa"/>
            <w:vMerge/>
            <w:tcBorders>
              <w:top w:val="nil"/>
              <w:bottom w:val="single" w:sz="4" w:space="0" w:color="000000"/>
              <w:right w:val="single" w:sz="4" w:space="0" w:color="auto"/>
            </w:tcBorders>
            <w:vAlign w:val="center"/>
            <w:hideMark/>
          </w:tcPr>
          <w:p w14:paraId="473FB2CC"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nil"/>
              <w:right w:val="single" w:sz="4" w:space="0" w:color="auto"/>
            </w:tcBorders>
            <w:shd w:val="clear" w:color="000000" w:fill="FFFFFF"/>
            <w:vAlign w:val="center"/>
            <w:hideMark/>
          </w:tcPr>
          <w:p w14:paraId="71BB2515"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38A82D4" w14:textId="5CE89F4E"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73</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63C9BD94"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83</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4D7ACA4E" w14:textId="26DFC565"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11</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AAFEF9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92</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4A88861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64</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28C3C2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88</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08ED69C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92</w:t>
            </w:r>
          </w:p>
        </w:tc>
      </w:tr>
      <w:tr w:rsidR="00FA3F28" w14:paraId="68810CE0" w14:textId="77777777" w:rsidTr="004C0DDC">
        <w:trPr>
          <w:trHeight w:val="227"/>
        </w:trPr>
        <w:tc>
          <w:tcPr>
            <w:tcW w:w="1717" w:type="dxa"/>
            <w:vMerge/>
            <w:tcBorders>
              <w:top w:val="nil"/>
              <w:bottom w:val="single" w:sz="4" w:space="0" w:color="auto"/>
              <w:right w:val="single" w:sz="4" w:space="0" w:color="auto"/>
            </w:tcBorders>
            <w:vAlign w:val="center"/>
            <w:hideMark/>
          </w:tcPr>
          <w:p w14:paraId="19A66C1B"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208E0387"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032A22F8" w14:textId="683C8C1F"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579" w:type="dxa"/>
            <w:tcBorders>
              <w:top w:val="nil"/>
              <w:left w:val="nil"/>
              <w:bottom w:val="single" w:sz="4" w:space="0" w:color="auto"/>
              <w:right w:val="nil"/>
            </w:tcBorders>
            <w:shd w:val="clear" w:color="auto" w:fill="FFFFFF" w:themeFill="background1"/>
            <w:tcMar>
              <w:top w:w="0" w:type="dxa"/>
              <w:left w:w="0" w:type="dxa"/>
              <w:bottom w:w="0" w:type="dxa"/>
              <w:right w:w="180" w:type="dxa"/>
            </w:tcMar>
            <w:vAlign w:val="center"/>
            <w:hideMark/>
          </w:tcPr>
          <w:p w14:paraId="028C3E2B"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36</w:t>
            </w:r>
          </w:p>
        </w:tc>
        <w:tc>
          <w:tcPr>
            <w:tcW w:w="1401" w:type="dxa"/>
            <w:tcBorders>
              <w:top w:val="nil"/>
              <w:left w:val="single" w:sz="4" w:space="0" w:color="auto"/>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5939A255" w14:textId="71A47E05"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45</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131575E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52</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39583D9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29</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093F7F3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53</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63FFD45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62</w:t>
            </w:r>
          </w:p>
        </w:tc>
      </w:tr>
      <w:tr w:rsidR="00FA3F28" w14:paraId="46373FC1" w14:textId="77777777" w:rsidTr="004C0DDC">
        <w:trPr>
          <w:trHeight w:val="227"/>
        </w:trPr>
        <w:tc>
          <w:tcPr>
            <w:tcW w:w="1717" w:type="dxa"/>
            <w:vMerge w:val="restart"/>
            <w:tcBorders>
              <w:bottom w:val="single" w:sz="4" w:space="0" w:color="000000"/>
              <w:right w:val="single" w:sz="4" w:space="0" w:color="auto"/>
            </w:tcBorders>
            <w:shd w:val="clear" w:color="000000" w:fill="FFFFFF"/>
            <w:vAlign w:val="center"/>
            <w:hideMark/>
          </w:tcPr>
          <w:p w14:paraId="39D7EB55" w14:textId="58AA170E" w:rsidR="00F84522" w:rsidRPr="00F435C6" w:rsidRDefault="00BF0F21"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Gippsland</w:t>
            </w:r>
          </w:p>
        </w:tc>
        <w:tc>
          <w:tcPr>
            <w:tcW w:w="1126" w:type="dxa"/>
            <w:tcBorders>
              <w:left w:val="nil"/>
              <w:bottom w:val="nil"/>
              <w:right w:val="single" w:sz="4" w:space="0" w:color="auto"/>
            </w:tcBorders>
            <w:shd w:val="clear" w:color="000000" w:fill="FFFFFF"/>
            <w:vAlign w:val="center"/>
            <w:hideMark/>
          </w:tcPr>
          <w:p w14:paraId="2B6BDC52"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left w:val="nil"/>
              <w:bottom w:val="nil"/>
              <w:right w:val="single" w:sz="4" w:space="0" w:color="auto"/>
            </w:tcBorders>
            <w:shd w:val="clear" w:color="000000" w:fill="FFFFFF"/>
            <w:tcMar>
              <w:top w:w="0" w:type="dxa"/>
              <w:left w:w="0" w:type="dxa"/>
              <w:bottom w:w="0" w:type="dxa"/>
              <w:right w:w="180" w:type="dxa"/>
            </w:tcMar>
            <w:vAlign w:val="center"/>
            <w:hideMark/>
          </w:tcPr>
          <w:p w14:paraId="63EFF15B" w14:textId="0B6D609E"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62</w:t>
            </w:r>
          </w:p>
        </w:tc>
        <w:tc>
          <w:tcPr>
            <w:tcW w:w="1579" w:type="dxa"/>
            <w:tcBorders>
              <w:left w:val="nil"/>
              <w:bottom w:val="nil"/>
              <w:right w:val="nil"/>
            </w:tcBorders>
            <w:shd w:val="clear" w:color="auto" w:fill="FFFFFF" w:themeFill="background1"/>
            <w:tcMar>
              <w:top w:w="0" w:type="dxa"/>
              <w:left w:w="0" w:type="dxa"/>
              <w:bottom w:w="0" w:type="dxa"/>
              <w:right w:w="180" w:type="dxa"/>
            </w:tcMar>
            <w:vAlign w:val="center"/>
            <w:hideMark/>
          </w:tcPr>
          <w:p w14:paraId="070B196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34</w:t>
            </w:r>
          </w:p>
        </w:tc>
        <w:tc>
          <w:tcPr>
            <w:tcW w:w="1401" w:type="dxa"/>
            <w:tcBorders>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4FDA9375" w14:textId="4E837DDA"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60</w:t>
            </w:r>
          </w:p>
        </w:tc>
        <w:tc>
          <w:tcPr>
            <w:tcW w:w="1543" w:type="dxa"/>
            <w:tcBorders>
              <w:left w:val="nil"/>
              <w:bottom w:val="nil"/>
              <w:right w:val="single" w:sz="4" w:space="0" w:color="auto"/>
            </w:tcBorders>
            <w:shd w:val="clear" w:color="000000" w:fill="FFFFFF"/>
            <w:tcMar>
              <w:top w:w="0" w:type="dxa"/>
              <w:left w:w="0" w:type="dxa"/>
              <w:bottom w:w="0" w:type="dxa"/>
              <w:right w:w="180" w:type="dxa"/>
            </w:tcMar>
            <w:vAlign w:val="center"/>
            <w:hideMark/>
          </w:tcPr>
          <w:p w14:paraId="0F57BFD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54</w:t>
            </w:r>
          </w:p>
        </w:tc>
        <w:tc>
          <w:tcPr>
            <w:tcW w:w="1542" w:type="dxa"/>
            <w:tcBorders>
              <w:left w:val="nil"/>
              <w:bottom w:val="nil"/>
              <w:right w:val="single" w:sz="4" w:space="0" w:color="auto"/>
            </w:tcBorders>
            <w:shd w:val="clear" w:color="000000" w:fill="FFFFFF"/>
            <w:tcMar>
              <w:top w:w="0" w:type="dxa"/>
              <w:left w:w="0" w:type="dxa"/>
              <w:bottom w:w="0" w:type="dxa"/>
              <w:right w:w="180" w:type="dxa"/>
            </w:tcMar>
            <w:vAlign w:val="center"/>
            <w:hideMark/>
          </w:tcPr>
          <w:p w14:paraId="3466F71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34</w:t>
            </w:r>
          </w:p>
        </w:tc>
        <w:tc>
          <w:tcPr>
            <w:tcW w:w="1482" w:type="dxa"/>
            <w:tcBorders>
              <w:left w:val="nil"/>
              <w:bottom w:val="nil"/>
              <w:right w:val="single" w:sz="4" w:space="0" w:color="auto"/>
            </w:tcBorders>
            <w:shd w:val="clear" w:color="000000" w:fill="FFFFFF"/>
            <w:tcMar>
              <w:top w:w="0" w:type="dxa"/>
              <w:left w:w="0" w:type="dxa"/>
              <w:bottom w:w="0" w:type="dxa"/>
              <w:right w:w="180" w:type="dxa"/>
            </w:tcMar>
            <w:vAlign w:val="center"/>
            <w:hideMark/>
          </w:tcPr>
          <w:p w14:paraId="6D2112D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607" w:type="dxa"/>
            <w:tcBorders>
              <w:left w:val="nil"/>
              <w:bottom w:val="nil"/>
            </w:tcBorders>
            <w:shd w:val="clear" w:color="000000" w:fill="FFFFFF"/>
            <w:noWrap/>
            <w:tcMar>
              <w:top w:w="0" w:type="dxa"/>
              <w:left w:w="0" w:type="dxa"/>
              <w:bottom w:w="0" w:type="dxa"/>
              <w:right w:w="180" w:type="dxa"/>
            </w:tcMar>
            <w:vAlign w:val="center"/>
            <w:hideMark/>
          </w:tcPr>
          <w:p w14:paraId="28DD209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r>
      <w:tr w:rsidR="00FA3F28" w14:paraId="6F241BAD" w14:textId="77777777" w:rsidTr="004C0DDC">
        <w:trPr>
          <w:trHeight w:val="227"/>
        </w:trPr>
        <w:tc>
          <w:tcPr>
            <w:tcW w:w="1717" w:type="dxa"/>
            <w:vMerge/>
            <w:tcBorders>
              <w:top w:val="nil"/>
              <w:bottom w:val="single" w:sz="4" w:space="0" w:color="000000"/>
              <w:right w:val="single" w:sz="4" w:space="0" w:color="auto"/>
            </w:tcBorders>
            <w:vAlign w:val="center"/>
            <w:hideMark/>
          </w:tcPr>
          <w:p w14:paraId="5095AA3A"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nil"/>
              <w:right w:val="single" w:sz="4" w:space="0" w:color="auto"/>
            </w:tcBorders>
            <w:shd w:val="clear" w:color="000000" w:fill="FFFFFF"/>
            <w:vAlign w:val="center"/>
            <w:hideMark/>
          </w:tcPr>
          <w:p w14:paraId="18B0481E"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DCB6098" w14:textId="35742DE9"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40</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3E457BD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77</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0AABB72D" w14:textId="257FEDBD"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14</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89F004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88</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6DB8AB4"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30</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F64D144"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77</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49BCE82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91</w:t>
            </w:r>
          </w:p>
        </w:tc>
      </w:tr>
      <w:tr w:rsidR="00FA3F28" w14:paraId="01E9DD68" w14:textId="77777777" w:rsidTr="004C0DDC">
        <w:trPr>
          <w:trHeight w:val="227"/>
        </w:trPr>
        <w:tc>
          <w:tcPr>
            <w:tcW w:w="1717" w:type="dxa"/>
            <w:vMerge/>
            <w:tcBorders>
              <w:top w:val="nil"/>
              <w:bottom w:val="single" w:sz="4" w:space="0" w:color="000000"/>
              <w:right w:val="single" w:sz="4" w:space="0" w:color="auto"/>
            </w:tcBorders>
            <w:vAlign w:val="center"/>
            <w:hideMark/>
          </w:tcPr>
          <w:p w14:paraId="5746BC6C" w14:textId="77777777" w:rsidR="00F84522" w:rsidRPr="00F435C6" w:rsidRDefault="00F84522" w:rsidP="00CB0E93">
            <w:pPr>
              <w:spacing w:before="0" w:after="0"/>
              <w:ind w:left="57"/>
              <w:rPr>
                <w:rFonts w:asciiTheme="majorHAnsi" w:hAnsiTheme="majorHAnsi" w:cs="Arial"/>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4FB76FBF"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4B46DD89" w14:textId="6318EEAF"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59</w:t>
            </w:r>
          </w:p>
        </w:tc>
        <w:tc>
          <w:tcPr>
            <w:tcW w:w="1579" w:type="dxa"/>
            <w:tcBorders>
              <w:top w:val="nil"/>
              <w:left w:val="nil"/>
              <w:bottom w:val="single" w:sz="4" w:space="0" w:color="auto"/>
              <w:right w:val="nil"/>
            </w:tcBorders>
            <w:shd w:val="clear" w:color="auto" w:fill="FFFFFF" w:themeFill="background1"/>
            <w:tcMar>
              <w:top w:w="0" w:type="dxa"/>
              <w:left w:w="0" w:type="dxa"/>
              <w:bottom w:w="0" w:type="dxa"/>
              <w:right w:w="180" w:type="dxa"/>
            </w:tcMar>
            <w:vAlign w:val="center"/>
            <w:hideMark/>
          </w:tcPr>
          <w:p w14:paraId="78ADA0D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37</w:t>
            </w:r>
          </w:p>
        </w:tc>
        <w:tc>
          <w:tcPr>
            <w:tcW w:w="1401" w:type="dxa"/>
            <w:tcBorders>
              <w:top w:val="nil"/>
              <w:left w:val="single" w:sz="4" w:space="0" w:color="auto"/>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38014528" w14:textId="37D02176"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53</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3C6E79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0AEB64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34</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6993FE1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6D877D9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65</w:t>
            </w:r>
          </w:p>
        </w:tc>
      </w:tr>
      <w:tr w:rsidR="00FA3F28" w14:paraId="5D6C1FCB" w14:textId="77777777" w:rsidTr="004C0DDC">
        <w:trPr>
          <w:trHeight w:val="227"/>
        </w:trPr>
        <w:tc>
          <w:tcPr>
            <w:tcW w:w="1717" w:type="dxa"/>
            <w:vMerge w:val="restart"/>
            <w:tcBorders>
              <w:top w:val="nil"/>
              <w:bottom w:val="single" w:sz="4" w:space="0" w:color="000000"/>
              <w:right w:val="single" w:sz="4" w:space="0" w:color="auto"/>
            </w:tcBorders>
            <w:shd w:val="clear" w:color="000000" w:fill="FFFFFF"/>
            <w:vAlign w:val="center"/>
            <w:hideMark/>
          </w:tcPr>
          <w:p w14:paraId="03DF8047" w14:textId="77777777" w:rsidR="00F84522" w:rsidRPr="00F435C6" w:rsidRDefault="00F84522"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West Victoria</w:t>
            </w:r>
          </w:p>
        </w:tc>
        <w:tc>
          <w:tcPr>
            <w:tcW w:w="1126" w:type="dxa"/>
            <w:tcBorders>
              <w:top w:val="nil"/>
              <w:left w:val="nil"/>
              <w:bottom w:val="nil"/>
              <w:right w:val="single" w:sz="4" w:space="0" w:color="auto"/>
            </w:tcBorders>
            <w:shd w:val="clear" w:color="000000" w:fill="FFFFFF"/>
            <w:vAlign w:val="center"/>
            <w:hideMark/>
          </w:tcPr>
          <w:p w14:paraId="3048DEB1"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693EDED" w14:textId="0E2730A6"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19</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241B928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48</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50D1E73D" w14:textId="46A06F61"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42</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FA0FBF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68</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7DEEB5F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10</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49C7243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51</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77C50C0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69</w:t>
            </w:r>
          </w:p>
        </w:tc>
      </w:tr>
      <w:tr w:rsidR="00FA3F28" w14:paraId="3B408935" w14:textId="77777777" w:rsidTr="004C0DDC">
        <w:trPr>
          <w:trHeight w:val="227"/>
        </w:trPr>
        <w:tc>
          <w:tcPr>
            <w:tcW w:w="1717" w:type="dxa"/>
            <w:vMerge/>
            <w:tcBorders>
              <w:top w:val="nil"/>
              <w:bottom w:val="single" w:sz="4" w:space="0" w:color="000000"/>
              <w:right w:val="single" w:sz="4" w:space="0" w:color="auto"/>
            </w:tcBorders>
            <w:vAlign w:val="center"/>
            <w:hideMark/>
          </w:tcPr>
          <w:p w14:paraId="180C9D45"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nil"/>
              <w:right w:val="single" w:sz="4" w:space="0" w:color="auto"/>
            </w:tcBorders>
            <w:shd w:val="clear" w:color="000000" w:fill="FFFFFF"/>
            <w:vAlign w:val="center"/>
            <w:hideMark/>
          </w:tcPr>
          <w:p w14:paraId="36FA1079"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3256B279" w14:textId="6642680D"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18</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43098E7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80</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60AC5D00" w14:textId="13DDA8F8"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15</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4F78B20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91</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453698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15</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F041A7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84</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0B78FAF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91</w:t>
            </w:r>
          </w:p>
        </w:tc>
      </w:tr>
      <w:tr w:rsidR="00FA3F28" w14:paraId="0F37237C" w14:textId="77777777" w:rsidTr="004C0DDC">
        <w:trPr>
          <w:trHeight w:val="227"/>
        </w:trPr>
        <w:tc>
          <w:tcPr>
            <w:tcW w:w="1717" w:type="dxa"/>
            <w:vMerge/>
            <w:tcBorders>
              <w:top w:val="nil"/>
              <w:bottom w:val="single" w:sz="4" w:space="0" w:color="000000"/>
              <w:right w:val="single" w:sz="4" w:space="0" w:color="auto"/>
            </w:tcBorders>
            <w:vAlign w:val="center"/>
            <w:hideMark/>
          </w:tcPr>
          <w:p w14:paraId="35DC87ED"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6857687C"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7C5051A2" w14:textId="0E0343F7"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19</w:t>
            </w:r>
          </w:p>
        </w:tc>
        <w:tc>
          <w:tcPr>
            <w:tcW w:w="1579" w:type="dxa"/>
            <w:tcBorders>
              <w:top w:val="nil"/>
              <w:left w:val="nil"/>
              <w:bottom w:val="single" w:sz="4" w:space="0" w:color="auto"/>
              <w:right w:val="nil"/>
            </w:tcBorders>
            <w:shd w:val="clear" w:color="auto" w:fill="FFFFFF" w:themeFill="background1"/>
            <w:tcMar>
              <w:top w:w="0" w:type="dxa"/>
              <w:left w:w="0" w:type="dxa"/>
              <w:bottom w:w="0" w:type="dxa"/>
              <w:right w:w="180" w:type="dxa"/>
            </w:tcMar>
            <w:vAlign w:val="center"/>
            <w:hideMark/>
          </w:tcPr>
          <w:p w14:paraId="3058A5F8"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41</w:t>
            </w:r>
          </w:p>
        </w:tc>
        <w:tc>
          <w:tcPr>
            <w:tcW w:w="1401" w:type="dxa"/>
            <w:tcBorders>
              <w:top w:val="nil"/>
              <w:left w:val="single" w:sz="4" w:space="0" w:color="auto"/>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53E3E725" w14:textId="39A7E592"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37</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69275E4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71</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65933A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10</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471F16F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0EC0A2E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72</w:t>
            </w:r>
          </w:p>
        </w:tc>
      </w:tr>
      <w:tr w:rsidR="00FA3F28" w14:paraId="7D202F6B" w14:textId="77777777" w:rsidTr="004C0DDC">
        <w:trPr>
          <w:trHeight w:val="227"/>
        </w:trPr>
        <w:tc>
          <w:tcPr>
            <w:tcW w:w="1717" w:type="dxa"/>
            <w:vMerge w:val="restart"/>
            <w:tcBorders>
              <w:top w:val="nil"/>
              <w:bottom w:val="single" w:sz="4" w:space="0" w:color="000000"/>
              <w:right w:val="single" w:sz="4" w:space="0" w:color="auto"/>
            </w:tcBorders>
            <w:shd w:val="clear" w:color="000000" w:fill="FFFFFF"/>
            <w:vAlign w:val="center"/>
            <w:hideMark/>
          </w:tcPr>
          <w:p w14:paraId="5159072A" w14:textId="77777777" w:rsidR="00F84522" w:rsidRPr="002F2D01" w:rsidRDefault="00F84522" w:rsidP="00CB0E93">
            <w:pPr>
              <w:spacing w:before="0" w:after="0"/>
              <w:ind w:left="57"/>
              <w:rPr>
                <w:rFonts w:asciiTheme="majorHAnsi" w:hAnsiTheme="majorHAnsi" w:cs="Arial"/>
                <w:b/>
                <w:bCs/>
                <w:sz w:val="16"/>
                <w:szCs w:val="16"/>
              </w:rPr>
            </w:pPr>
            <w:r w:rsidRPr="002F2D01">
              <w:rPr>
                <w:rFonts w:asciiTheme="majorHAnsi" w:hAnsiTheme="majorHAnsi" w:cs="Arial"/>
                <w:b/>
                <w:bCs/>
                <w:sz w:val="16"/>
                <w:szCs w:val="16"/>
              </w:rPr>
              <w:t>Total Victorian RFA regions</w:t>
            </w:r>
          </w:p>
        </w:tc>
        <w:tc>
          <w:tcPr>
            <w:tcW w:w="1126" w:type="dxa"/>
            <w:tcBorders>
              <w:top w:val="nil"/>
              <w:left w:val="nil"/>
              <w:bottom w:val="nil"/>
              <w:right w:val="single" w:sz="4" w:space="0" w:color="auto"/>
            </w:tcBorders>
            <w:shd w:val="clear" w:color="000000" w:fill="FFFFFF"/>
            <w:vAlign w:val="center"/>
            <w:hideMark/>
          </w:tcPr>
          <w:p w14:paraId="5F74BC29"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C634BEF" w14:textId="45AABE07"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46</w:t>
            </w:r>
          </w:p>
        </w:tc>
        <w:tc>
          <w:tcPr>
            <w:tcW w:w="1579"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2864DDE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39</w:t>
            </w:r>
          </w:p>
        </w:tc>
        <w:tc>
          <w:tcPr>
            <w:tcW w:w="1401" w:type="dxa"/>
            <w:tcBorders>
              <w:top w:val="nil"/>
              <w:left w:val="nil"/>
              <w:bottom w:val="nil"/>
              <w:right w:val="nil"/>
            </w:tcBorders>
            <w:shd w:val="clear" w:color="000000" w:fill="FFFFFF"/>
            <w:noWrap/>
            <w:tcMar>
              <w:top w:w="0" w:type="dxa"/>
              <w:left w:w="0" w:type="dxa"/>
              <w:bottom w:w="0" w:type="dxa"/>
              <w:right w:w="180" w:type="dxa"/>
            </w:tcMar>
            <w:vAlign w:val="center"/>
            <w:hideMark/>
          </w:tcPr>
          <w:p w14:paraId="40A1A4BC" w14:textId="791EE3B5"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37</w:t>
            </w:r>
          </w:p>
        </w:tc>
        <w:tc>
          <w:tcPr>
            <w:tcW w:w="1543" w:type="dxa"/>
            <w:tcBorders>
              <w:top w:val="nil"/>
              <w:left w:val="single" w:sz="4" w:space="0" w:color="auto"/>
              <w:bottom w:val="nil"/>
              <w:right w:val="single" w:sz="4" w:space="0" w:color="auto"/>
            </w:tcBorders>
            <w:shd w:val="clear" w:color="000000" w:fill="FFFFFF"/>
            <w:tcMar>
              <w:top w:w="0" w:type="dxa"/>
              <w:left w:w="0" w:type="dxa"/>
              <w:bottom w:w="0" w:type="dxa"/>
              <w:right w:w="180" w:type="dxa"/>
            </w:tcMar>
            <w:vAlign w:val="center"/>
            <w:hideMark/>
          </w:tcPr>
          <w:p w14:paraId="1439948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53</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0036C1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23</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1E56638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51</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7336171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60</w:t>
            </w:r>
          </w:p>
        </w:tc>
      </w:tr>
      <w:tr w:rsidR="00FA3F28" w14:paraId="7B13D324" w14:textId="77777777" w:rsidTr="004C0DDC">
        <w:trPr>
          <w:trHeight w:val="227"/>
        </w:trPr>
        <w:tc>
          <w:tcPr>
            <w:tcW w:w="1717" w:type="dxa"/>
            <w:vMerge/>
            <w:tcBorders>
              <w:top w:val="nil"/>
              <w:bottom w:val="single" w:sz="4" w:space="0" w:color="000000"/>
              <w:right w:val="single" w:sz="4" w:space="0" w:color="auto"/>
            </w:tcBorders>
            <w:vAlign w:val="center"/>
            <w:hideMark/>
          </w:tcPr>
          <w:p w14:paraId="56C819AD"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nil"/>
              <w:right w:val="nil"/>
            </w:tcBorders>
            <w:shd w:val="clear" w:color="000000" w:fill="FFFFFF"/>
            <w:vAlign w:val="center"/>
            <w:hideMark/>
          </w:tcPr>
          <w:p w14:paraId="558DDAC9"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single" w:sz="4" w:space="0" w:color="auto"/>
              <w:bottom w:val="nil"/>
              <w:right w:val="single" w:sz="4" w:space="0" w:color="auto"/>
            </w:tcBorders>
            <w:shd w:val="clear" w:color="000000" w:fill="FFFFFF"/>
            <w:tcMar>
              <w:top w:w="0" w:type="dxa"/>
              <w:left w:w="0" w:type="dxa"/>
              <w:bottom w:w="0" w:type="dxa"/>
              <w:right w:w="180" w:type="dxa"/>
            </w:tcMar>
            <w:vAlign w:val="center"/>
            <w:hideMark/>
          </w:tcPr>
          <w:p w14:paraId="3E0F4229" w14:textId="009614D1"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29</w:t>
            </w:r>
          </w:p>
        </w:tc>
        <w:tc>
          <w:tcPr>
            <w:tcW w:w="1579"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6A6A035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78</w:t>
            </w:r>
          </w:p>
        </w:tc>
        <w:tc>
          <w:tcPr>
            <w:tcW w:w="1401" w:type="dxa"/>
            <w:tcBorders>
              <w:top w:val="nil"/>
              <w:left w:val="nil"/>
              <w:bottom w:val="nil"/>
              <w:right w:val="nil"/>
            </w:tcBorders>
            <w:shd w:val="clear" w:color="000000" w:fill="FFFFFF"/>
            <w:noWrap/>
            <w:tcMar>
              <w:top w:w="0" w:type="dxa"/>
              <w:left w:w="0" w:type="dxa"/>
              <w:bottom w:w="0" w:type="dxa"/>
              <w:right w:w="180" w:type="dxa"/>
            </w:tcMar>
            <w:vAlign w:val="center"/>
            <w:hideMark/>
          </w:tcPr>
          <w:p w14:paraId="0010439C" w14:textId="31129682"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12</w:t>
            </w:r>
          </w:p>
        </w:tc>
        <w:tc>
          <w:tcPr>
            <w:tcW w:w="1543" w:type="dxa"/>
            <w:tcBorders>
              <w:top w:val="nil"/>
              <w:left w:val="single" w:sz="4" w:space="0" w:color="auto"/>
              <w:bottom w:val="nil"/>
              <w:right w:val="single" w:sz="4" w:space="0" w:color="auto"/>
            </w:tcBorders>
            <w:shd w:val="clear" w:color="000000" w:fill="FFFFFF"/>
            <w:tcMar>
              <w:top w:w="0" w:type="dxa"/>
              <w:left w:w="0" w:type="dxa"/>
              <w:bottom w:w="0" w:type="dxa"/>
              <w:right w:w="180" w:type="dxa"/>
            </w:tcMar>
            <w:vAlign w:val="center"/>
            <w:hideMark/>
          </w:tcPr>
          <w:p w14:paraId="0AFE60F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87</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5BDA741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24</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6A3883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80</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2AAE482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92</w:t>
            </w:r>
          </w:p>
        </w:tc>
      </w:tr>
      <w:tr w:rsidR="00FA3F28" w14:paraId="36535EA8" w14:textId="77777777" w:rsidTr="004C0DDC">
        <w:trPr>
          <w:trHeight w:val="227"/>
        </w:trPr>
        <w:tc>
          <w:tcPr>
            <w:tcW w:w="1717" w:type="dxa"/>
            <w:vMerge/>
            <w:tcBorders>
              <w:top w:val="nil"/>
              <w:bottom w:val="single" w:sz="4" w:space="0" w:color="000000"/>
              <w:right w:val="single" w:sz="4" w:space="0" w:color="auto"/>
            </w:tcBorders>
            <w:vAlign w:val="center"/>
            <w:hideMark/>
          </w:tcPr>
          <w:p w14:paraId="42980264"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single" w:sz="4" w:space="0" w:color="auto"/>
              <w:right w:val="nil"/>
            </w:tcBorders>
            <w:shd w:val="clear" w:color="000000" w:fill="FFFFFF"/>
            <w:vAlign w:val="center"/>
            <w:hideMark/>
          </w:tcPr>
          <w:p w14:paraId="5CA088F9"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single" w:sz="4" w:space="0" w:color="auto"/>
              <w:bottom w:val="single" w:sz="4" w:space="0" w:color="auto"/>
              <w:right w:val="single" w:sz="4" w:space="0" w:color="auto"/>
            </w:tcBorders>
            <w:shd w:val="clear" w:color="000000" w:fill="FFFFFF"/>
            <w:tcMar>
              <w:top w:w="0" w:type="dxa"/>
              <w:left w:w="0" w:type="dxa"/>
              <w:bottom w:w="0" w:type="dxa"/>
              <w:right w:w="180" w:type="dxa"/>
            </w:tcMar>
            <w:vAlign w:val="center"/>
            <w:hideMark/>
          </w:tcPr>
          <w:p w14:paraId="15B39FB6" w14:textId="2ECB649D"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44</w:t>
            </w:r>
          </w:p>
        </w:tc>
        <w:tc>
          <w:tcPr>
            <w:tcW w:w="1579" w:type="dxa"/>
            <w:tcBorders>
              <w:top w:val="nil"/>
              <w:left w:val="nil"/>
              <w:bottom w:val="single" w:sz="4" w:space="0" w:color="auto"/>
              <w:right w:val="single" w:sz="4" w:space="0" w:color="auto"/>
            </w:tcBorders>
            <w:shd w:val="clear" w:color="auto" w:fill="FFFFFF" w:themeFill="background1"/>
            <w:tcMar>
              <w:top w:w="0" w:type="dxa"/>
              <w:left w:w="0" w:type="dxa"/>
              <w:bottom w:w="0" w:type="dxa"/>
              <w:right w:w="180" w:type="dxa"/>
            </w:tcMar>
            <w:vAlign w:val="center"/>
            <w:hideMark/>
          </w:tcPr>
          <w:p w14:paraId="2702C82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41</w:t>
            </w:r>
          </w:p>
        </w:tc>
        <w:tc>
          <w:tcPr>
            <w:tcW w:w="1401" w:type="dxa"/>
            <w:tcBorders>
              <w:top w:val="nil"/>
              <w:left w:val="nil"/>
              <w:bottom w:val="nil"/>
              <w:right w:val="nil"/>
            </w:tcBorders>
            <w:shd w:val="clear" w:color="000000" w:fill="FFFFFF"/>
            <w:noWrap/>
            <w:tcMar>
              <w:top w:w="0" w:type="dxa"/>
              <w:left w:w="0" w:type="dxa"/>
              <w:bottom w:w="0" w:type="dxa"/>
              <w:right w:w="180" w:type="dxa"/>
            </w:tcMar>
            <w:vAlign w:val="center"/>
            <w:hideMark/>
          </w:tcPr>
          <w:p w14:paraId="30C490FA" w14:textId="3124C78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34</w:t>
            </w:r>
          </w:p>
        </w:tc>
        <w:tc>
          <w:tcPr>
            <w:tcW w:w="1543" w:type="dxa"/>
            <w:tcBorders>
              <w:top w:val="nil"/>
              <w:left w:val="single" w:sz="4" w:space="0" w:color="auto"/>
              <w:bottom w:val="single" w:sz="4" w:space="0" w:color="auto"/>
              <w:right w:val="single" w:sz="4" w:space="0" w:color="auto"/>
            </w:tcBorders>
            <w:shd w:val="clear" w:color="000000" w:fill="FFFFFF"/>
            <w:tcMar>
              <w:top w:w="0" w:type="dxa"/>
              <w:left w:w="0" w:type="dxa"/>
              <w:bottom w:w="0" w:type="dxa"/>
              <w:right w:w="180" w:type="dxa"/>
            </w:tcMar>
            <w:vAlign w:val="center"/>
            <w:hideMark/>
          </w:tcPr>
          <w:p w14:paraId="7FFA8B6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49C1E9CB"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23</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2F32FDC5"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53</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523E2D0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61</w:t>
            </w:r>
          </w:p>
        </w:tc>
      </w:tr>
      <w:tr w:rsidR="00FA3F28" w14:paraId="73DF8B9E" w14:textId="77777777" w:rsidTr="00C935F0">
        <w:trPr>
          <w:trHeight w:val="340"/>
        </w:trPr>
        <w:tc>
          <w:tcPr>
            <w:tcW w:w="13381" w:type="dxa"/>
            <w:gridSpan w:val="9"/>
            <w:tcBorders>
              <w:top w:val="single" w:sz="4" w:space="0" w:color="auto"/>
              <w:bottom w:val="nil"/>
            </w:tcBorders>
            <w:shd w:val="clear" w:color="auto" w:fill="auto"/>
            <w:noWrap/>
            <w:vAlign w:val="center"/>
            <w:hideMark/>
          </w:tcPr>
          <w:p w14:paraId="37633470" w14:textId="77777777" w:rsidR="00F84522" w:rsidRPr="002F2D01" w:rsidRDefault="00F84522" w:rsidP="00CB0E93">
            <w:pPr>
              <w:spacing w:before="0" w:after="0"/>
              <w:ind w:left="57"/>
              <w:rPr>
                <w:rFonts w:asciiTheme="majorHAnsi" w:hAnsiTheme="majorHAnsi" w:cs="Arial"/>
                <w:b/>
                <w:bCs/>
                <w:sz w:val="16"/>
                <w:szCs w:val="16"/>
              </w:rPr>
            </w:pPr>
            <w:r w:rsidRPr="002F2D01">
              <w:rPr>
                <w:rFonts w:asciiTheme="majorHAnsi" w:hAnsiTheme="majorHAnsi" w:cs="Arial"/>
                <w:b/>
                <w:bCs/>
                <w:sz w:val="16"/>
                <w:szCs w:val="16"/>
              </w:rPr>
              <w:t>Western Australia</w:t>
            </w:r>
          </w:p>
        </w:tc>
      </w:tr>
      <w:tr w:rsidR="00FA3F28" w14:paraId="0B890D39" w14:textId="77777777" w:rsidTr="004C0DDC">
        <w:trPr>
          <w:trHeight w:val="227"/>
        </w:trPr>
        <w:tc>
          <w:tcPr>
            <w:tcW w:w="1717" w:type="dxa"/>
            <w:vMerge w:val="restart"/>
            <w:tcBorders>
              <w:top w:val="single" w:sz="4" w:space="0" w:color="auto"/>
              <w:bottom w:val="single" w:sz="4" w:space="0" w:color="000000"/>
              <w:right w:val="single" w:sz="4" w:space="0" w:color="auto"/>
            </w:tcBorders>
            <w:shd w:val="clear" w:color="000000" w:fill="FFFFFF"/>
            <w:vAlign w:val="center"/>
            <w:hideMark/>
          </w:tcPr>
          <w:p w14:paraId="61FC31EB" w14:textId="77777777" w:rsidR="00F84522" w:rsidRPr="00F435C6" w:rsidRDefault="00F84522" w:rsidP="00CB0E93">
            <w:pPr>
              <w:spacing w:before="0" w:after="0"/>
              <w:ind w:left="57"/>
              <w:rPr>
                <w:rFonts w:asciiTheme="majorHAnsi" w:hAnsiTheme="majorHAnsi" w:cs="Arial"/>
                <w:bCs/>
                <w:sz w:val="16"/>
                <w:szCs w:val="16"/>
              </w:rPr>
            </w:pPr>
            <w:r w:rsidRPr="00F435C6">
              <w:rPr>
                <w:rFonts w:asciiTheme="majorHAnsi" w:hAnsiTheme="majorHAnsi" w:cs="Arial"/>
                <w:bCs/>
                <w:sz w:val="16"/>
                <w:szCs w:val="16"/>
              </w:rPr>
              <w:t>South-West Forest Region of WA</w:t>
            </w:r>
          </w:p>
        </w:tc>
        <w:tc>
          <w:tcPr>
            <w:tcW w:w="1126" w:type="dxa"/>
            <w:tcBorders>
              <w:top w:val="single" w:sz="4" w:space="0" w:color="auto"/>
              <w:left w:val="nil"/>
              <w:bottom w:val="nil"/>
              <w:right w:val="single" w:sz="4" w:space="0" w:color="auto"/>
            </w:tcBorders>
            <w:shd w:val="clear" w:color="000000" w:fill="FFFFFF"/>
            <w:vAlign w:val="center"/>
            <w:hideMark/>
          </w:tcPr>
          <w:p w14:paraId="2313F896"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503461C4" w14:textId="5E186EE8"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c>
          <w:tcPr>
            <w:tcW w:w="1579" w:type="dxa"/>
            <w:tcBorders>
              <w:top w:val="single" w:sz="4" w:space="0" w:color="auto"/>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04977CC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31</w:t>
            </w:r>
          </w:p>
        </w:tc>
        <w:tc>
          <w:tcPr>
            <w:tcW w:w="1401" w:type="dxa"/>
            <w:tcBorders>
              <w:top w:val="single" w:sz="4" w:space="0" w:color="auto"/>
              <w:left w:val="nil"/>
              <w:bottom w:val="nil"/>
              <w:right w:val="single" w:sz="4" w:space="0" w:color="auto"/>
            </w:tcBorders>
            <w:shd w:val="clear" w:color="000000" w:fill="FFFFFF"/>
            <w:noWrap/>
            <w:tcMar>
              <w:top w:w="0" w:type="dxa"/>
              <w:left w:w="0" w:type="dxa"/>
              <w:bottom w:w="0" w:type="dxa"/>
              <w:right w:w="180" w:type="dxa"/>
            </w:tcMar>
            <w:vAlign w:val="center"/>
            <w:hideMark/>
          </w:tcPr>
          <w:p w14:paraId="429B0A07" w14:textId="6B0758C3"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16</w:t>
            </w:r>
          </w:p>
        </w:tc>
        <w:tc>
          <w:tcPr>
            <w:tcW w:w="1543"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50DC94AB"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36</w:t>
            </w:r>
          </w:p>
        </w:tc>
        <w:tc>
          <w:tcPr>
            <w:tcW w:w="1542"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39405411"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22</w:t>
            </w:r>
          </w:p>
        </w:tc>
        <w:tc>
          <w:tcPr>
            <w:tcW w:w="1482"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73E5D1E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36</w:t>
            </w:r>
          </w:p>
        </w:tc>
        <w:tc>
          <w:tcPr>
            <w:tcW w:w="1607" w:type="dxa"/>
            <w:tcBorders>
              <w:top w:val="single" w:sz="4" w:space="0" w:color="auto"/>
              <w:left w:val="nil"/>
              <w:bottom w:val="nil"/>
            </w:tcBorders>
            <w:shd w:val="clear" w:color="000000" w:fill="FFFFFF"/>
            <w:noWrap/>
            <w:tcMar>
              <w:top w:w="0" w:type="dxa"/>
              <w:left w:w="0" w:type="dxa"/>
              <w:bottom w:w="0" w:type="dxa"/>
              <w:right w:w="180" w:type="dxa"/>
            </w:tcMar>
            <w:vAlign w:val="center"/>
            <w:hideMark/>
          </w:tcPr>
          <w:p w14:paraId="52B1D6C4"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42</w:t>
            </w:r>
          </w:p>
        </w:tc>
      </w:tr>
      <w:tr w:rsidR="00FA3F28" w14:paraId="6DD27BA2" w14:textId="77777777" w:rsidTr="004C0DDC">
        <w:trPr>
          <w:trHeight w:val="227"/>
        </w:trPr>
        <w:tc>
          <w:tcPr>
            <w:tcW w:w="1717" w:type="dxa"/>
            <w:vMerge/>
            <w:tcBorders>
              <w:top w:val="single" w:sz="4" w:space="0" w:color="auto"/>
              <w:bottom w:val="single" w:sz="4" w:space="0" w:color="000000"/>
              <w:right w:val="single" w:sz="4" w:space="0" w:color="auto"/>
            </w:tcBorders>
            <w:vAlign w:val="center"/>
            <w:hideMark/>
          </w:tcPr>
          <w:p w14:paraId="23CD0C64"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nil"/>
              <w:right w:val="single" w:sz="4" w:space="0" w:color="auto"/>
            </w:tcBorders>
            <w:shd w:val="clear" w:color="000000" w:fill="FFFFFF"/>
            <w:vAlign w:val="center"/>
            <w:hideMark/>
          </w:tcPr>
          <w:p w14:paraId="0C611326"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32862D6" w14:textId="0AF986A2"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71</w:t>
            </w:r>
          </w:p>
        </w:tc>
        <w:tc>
          <w:tcPr>
            <w:tcW w:w="1579"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3F6470E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89</w:t>
            </w:r>
          </w:p>
        </w:tc>
        <w:tc>
          <w:tcPr>
            <w:tcW w:w="1401" w:type="dxa"/>
            <w:tcBorders>
              <w:top w:val="nil"/>
              <w:left w:val="nil"/>
              <w:bottom w:val="nil"/>
              <w:right w:val="single" w:sz="4" w:space="0" w:color="auto"/>
            </w:tcBorders>
            <w:shd w:val="clear" w:color="000000" w:fill="FFFFFF"/>
            <w:noWrap/>
            <w:tcMar>
              <w:top w:w="0" w:type="dxa"/>
              <w:left w:w="0" w:type="dxa"/>
              <w:bottom w:w="0" w:type="dxa"/>
              <w:right w:w="180" w:type="dxa"/>
            </w:tcMar>
            <w:vAlign w:val="center"/>
            <w:hideMark/>
          </w:tcPr>
          <w:p w14:paraId="0B4C1A80" w14:textId="13E51F10"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1A15D0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91</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67B3FD8"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60</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614D1AE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85</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660F2384"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96</w:t>
            </w:r>
          </w:p>
        </w:tc>
      </w:tr>
      <w:tr w:rsidR="00FA3F28" w14:paraId="2A7CB036" w14:textId="77777777" w:rsidTr="004C0DDC">
        <w:trPr>
          <w:trHeight w:val="227"/>
        </w:trPr>
        <w:tc>
          <w:tcPr>
            <w:tcW w:w="1717" w:type="dxa"/>
            <w:vMerge/>
            <w:tcBorders>
              <w:top w:val="single" w:sz="4" w:space="0" w:color="auto"/>
              <w:bottom w:val="single" w:sz="4" w:space="0" w:color="000000"/>
              <w:right w:val="single" w:sz="4" w:space="0" w:color="auto"/>
            </w:tcBorders>
            <w:vAlign w:val="center"/>
            <w:hideMark/>
          </w:tcPr>
          <w:p w14:paraId="3EDDD948"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5FE57A7E"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01991DBA" w14:textId="4531880A"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64</w:t>
            </w:r>
          </w:p>
        </w:tc>
        <w:tc>
          <w:tcPr>
            <w:tcW w:w="1579" w:type="dxa"/>
            <w:tcBorders>
              <w:top w:val="nil"/>
              <w:left w:val="nil"/>
              <w:bottom w:val="single" w:sz="4" w:space="0" w:color="auto"/>
              <w:right w:val="single" w:sz="4" w:space="0" w:color="auto"/>
            </w:tcBorders>
            <w:shd w:val="clear" w:color="auto" w:fill="FFFFFF" w:themeFill="background1"/>
            <w:tcMar>
              <w:top w:w="0" w:type="dxa"/>
              <w:left w:w="0" w:type="dxa"/>
              <w:bottom w:w="0" w:type="dxa"/>
              <w:right w:w="180" w:type="dxa"/>
            </w:tcMar>
            <w:vAlign w:val="center"/>
            <w:hideMark/>
          </w:tcPr>
          <w:p w14:paraId="6A1615E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40</w:t>
            </w:r>
          </w:p>
        </w:tc>
        <w:tc>
          <w:tcPr>
            <w:tcW w:w="1401" w:type="dxa"/>
            <w:tcBorders>
              <w:top w:val="nil"/>
              <w:left w:val="nil"/>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6C5314A2" w14:textId="57E563C8"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12</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4A4B8EBA"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45</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4FAF436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28</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11BA5583"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43</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346F3CCF"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50</w:t>
            </w:r>
          </w:p>
        </w:tc>
      </w:tr>
      <w:tr w:rsidR="00FA3F28" w14:paraId="436DC42E" w14:textId="77777777" w:rsidTr="00C935F0">
        <w:trPr>
          <w:trHeight w:val="340"/>
        </w:trPr>
        <w:tc>
          <w:tcPr>
            <w:tcW w:w="13381" w:type="dxa"/>
            <w:gridSpan w:val="9"/>
            <w:tcBorders>
              <w:top w:val="nil"/>
              <w:bottom w:val="nil"/>
            </w:tcBorders>
            <w:shd w:val="clear" w:color="auto" w:fill="auto"/>
            <w:noWrap/>
            <w:vAlign w:val="center"/>
            <w:hideMark/>
          </w:tcPr>
          <w:p w14:paraId="0C80C762" w14:textId="77777777" w:rsidR="00F84522" w:rsidRPr="002F2D01" w:rsidRDefault="00F84522" w:rsidP="00CB0E93">
            <w:pPr>
              <w:spacing w:before="0" w:after="0"/>
              <w:ind w:left="57"/>
              <w:rPr>
                <w:rFonts w:asciiTheme="majorHAnsi" w:hAnsiTheme="majorHAnsi" w:cs="Arial"/>
                <w:b/>
                <w:bCs/>
                <w:sz w:val="16"/>
                <w:szCs w:val="16"/>
              </w:rPr>
            </w:pPr>
            <w:r w:rsidRPr="002F2D01">
              <w:rPr>
                <w:rFonts w:asciiTheme="majorHAnsi" w:hAnsiTheme="majorHAnsi" w:cs="Arial"/>
                <w:b/>
                <w:bCs/>
                <w:sz w:val="16"/>
                <w:szCs w:val="16"/>
              </w:rPr>
              <w:t>Total</w:t>
            </w:r>
          </w:p>
        </w:tc>
      </w:tr>
      <w:tr w:rsidR="00FA3F28" w14:paraId="74EDFD97" w14:textId="77777777" w:rsidTr="004C0DDC">
        <w:trPr>
          <w:trHeight w:val="227"/>
        </w:trPr>
        <w:tc>
          <w:tcPr>
            <w:tcW w:w="1717" w:type="dxa"/>
            <w:vMerge w:val="restart"/>
            <w:tcBorders>
              <w:top w:val="single" w:sz="4" w:space="0" w:color="auto"/>
              <w:bottom w:val="single" w:sz="4" w:space="0" w:color="000000"/>
              <w:right w:val="single" w:sz="4" w:space="0" w:color="auto"/>
            </w:tcBorders>
            <w:shd w:val="clear" w:color="000000" w:fill="FFFFFF"/>
            <w:vAlign w:val="center"/>
            <w:hideMark/>
          </w:tcPr>
          <w:p w14:paraId="650C00C9" w14:textId="77777777" w:rsidR="00F84522" w:rsidRPr="002F2D01" w:rsidRDefault="00F84522" w:rsidP="00CB0E93">
            <w:pPr>
              <w:spacing w:before="0" w:after="0"/>
              <w:ind w:left="57"/>
              <w:rPr>
                <w:rFonts w:asciiTheme="majorHAnsi" w:hAnsiTheme="majorHAnsi" w:cs="Arial"/>
                <w:b/>
                <w:bCs/>
                <w:sz w:val="16"/>
                <w:szCs w:val="16"/>
              </w:rPr>
            </w:pPr>
            <w:r w:rsidRPr="002F2D01">
              <w:rPr>
                <w:rFonts w:asciiTheme="majorHAnsi" w:hAnsiTheme="majorHAnsi" w:cs="Arial"/>
                <w:b/>
                <w:bCs/>
                <w:sz w:val="16"/>
                <w:szCs w:val="16"/>
              </w:rPr>
              <w:t>Total all RFA regions</w:t>
            </w:r>
          </w:p>
        </w:tc>
        <w:tc>
          <w:tcPr>
            <w:tcW w:w="1126" w:type="dxa"/>
            <w:tcBorders>
              <w:top w:val="single" w:sz="4" w:space="0" w:color="auto"/>
              <w:left w:val="nil"/>
              <w:bottom w:val="nil"/>
              <w:right w:val="single" w:sz="4" w:space="0" w:color="auto"/>
            </w:tcBorders>
            <w:shd w:val="clear" w:color="000000" w:fill="FFFFFF"/>
            <w:vAlign w:val="center"/>
            <w:hideMark/>
          </w:tcPr>
          <w:p w14:paraId="18870453"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Forests</w:t>
            </w:r>
          </w:p>
        </w:tc>
        <w:tc>
          <w:tcPr>
            <w:tcW w:w="1384"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0EBDADCF" w14:textId="6F1BE203"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579" w:type="dxa"/>
            <w:tcBorders>
              <w:top w:val="single" w:sz="4" w:space="0" w:color="auto"/>
              <w:left w:val="nil"/>
              <w:bottom w:val="nil"/>
              <w:right w:val="nil"/>
            </w:tcBorders>
            <w:shd w:val="clear" w:color="auto" w:fill="FFFFFF" w:themeFill="background1"/>
            <w:tcMar>
              <w:top w:w="0" w:type="dxa"/>
              <w:left w:w="0" w:type="dxa"/>
              <w:bottom w:w="0" w:type="dxa"/>
              <w:right w:w="180" w:type="dxa"/>
            </w:tcMar>
            <w:vAlign w:val="center"/>
            <w:hideMark/>
          </w:tcPr>
          <w:p w14:paraId="1DC1A6E2"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40</w:t>
            </w:r>
          </w:p>
        </w:tc>
        <w:tc>
          <w:tcPr>
            <w:tcW w:w="1401" w:type="dxa"/>
            <w:tcBorders>
              <w:top w:val="single" w:sz="4" w:space="0" w:color="auto"/>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292BE6EC" w14:textId="1631C7A0"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44</w:t>
            </w:r>
          </w:p>
        </w:tc>
        <w:tc>
          <w:tcPr>
            <w:tcW w:w="1543"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1446B5C4"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542"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77B7E55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24</w:t>
            </w:r>
          </w:p>
        </w:tc>
        <w:tc>
          <w:tcPr>
            <w:tcW w:w="1482" w:type="dxa"/>
            <w:tcBorders>
              <w:top w:val="single" w:sz="4" w:space="0" w:color="auto"/>
              <w:left w:val="nil"/>
              <w:bottom w:val="nil"/>
              <w:right w:val="single" w:sz="4" w:space="0" w:color="auto"/>
            </w:tcBorders>
            <w:shd w:val="clear" w:color="000000" w:fill="FFFFFF"/>
            <w:tcMar>
              <w:top w:w="0" w:type="dxa"/>
              <w:left w:w="0" w:type="dxa"/>
              <w:bottom w:w="0" w:type="dxa"/>
              <w:right w:w="180" w:type="dxa"/>
            </w:tcMar>
            <w:vAlign w:val="center"/>
            <w:hideMark/>
          </w:tcPr>
          <w:p w14:paraId="64E6ED5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44</w:t>
            </w:r>
          </w:p>
        </w:tc>
        <w:tc>
          <w:tcPr>
            <w:tcW w:w="1607" w:type="dxa"/>
            <w:tcBorders>
              <w:top w:val="single" w:sz="4" w:space="0" w:color="auto"/>
              <w:left w:val="nil"/>
              <w:bottom w:val="nil"/>
            </w:tcBorders>
            <w:shd w:val="clear" w:color="000000" w:fill="FFFFFF"/>
            <w:noWrap/>
            <w:tcMar>
              <w:top w:w="0" w:type="dxa"/>
              <w:left w:w="0" w:type="dxa"/>
              <w:bottom w:w="0" w:type="dxa"/>
              <w:right w:w="180" w:type="dxa"/>
            </w:tcMar>
            <w:vAlign w:val="center"/>
            <w:hideMark/>
          </w:tcPr>
          <w:p w14:paraId="0A2CD4D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62</w:t>
            </w:r>
          </w:p>
        </w:tc>
      </w:tr>
      <w:tr w:rsidR="00FA3F28" w14:paraId="2E48381A" w14:textId="77777777" w:rsidTr="004C0DDC">
        <w:trPr>
          <w:trHeight w:val="227"/>
        </w:trPr>
        <w:tc>
          <w:tcPr>
            <w:tcW w:w="1717" w:type="dxa"/>
            <w:vMerge/>
            <w:tcBorders>
              <w:top w:val="single" w:sz="4" w:space="0" w:color="auto"/>
              <w:bottom w:val="single" w:sz="4" w:space="0" w:color="000000"/>
              <w:right w:val="single" w:sz="4" w:space="0" w:color="auto"/>
            </w:tcBorders>
            <w:vAlign w:val="center"/>
            <w:hideMark/>
          </w:tcPr>
          <w:p w14:paraId="6926809D"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nil"/>
              <w:right w:val="single" w:sz="4" w:space="0" w:color="auto"/>
            </w:tcBorders>
            <w:shd w:val="clear" w:color="000000" w:fill="FFFFFF"/>
            <w:vAlign w:val="center"/>
            <w:hideMark/>
          </w:tcPr>
          <w:p w14:paraId="0521037F"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Non-forests</w:t>
            </w:r>
          </w:p>
        </w:tc>
        <w:tc>
          <w:tcPr>
            <w:tcW w:w="1384"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5E8FC74C" w14:textId="5DEDF206"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61</w:t>
            </w:r>
          </w:p>
        </w:tc>
        <w:tc>
          <w:tcPr>
            <w:tcW w:w="1579" w:type="dxa"/>
            <w:tcBorders>
              <w:top w:val="nil"/>
              <w:left w:val="nil"/>
              <w:bottom w:val="nil"/>
              <w:right w:val="nil"/>
            </w:tcBorders>
            <w:shd w:val="clear" w:color="auto" w:fill="FFFFFF" w:themeFill="background1"/>
            <w:tcMar>
              <w:top w:w="0" w:type="dxa"/>
              <w:left w:w="0" w:type="dxa"/>
              <w:bottom w:w="0" w:type="dxa"/>
              <w:right w:w="180" w:type="dxa"/>
            </w:tcMar>
            <w:vAlign w:val="center"/>
            <w:hideMark/>
          </w:tcPr>
          <w:p w14:paraId="4CDD963C"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86</w:t>
            </w:r>
          </w:p>
        </w:tc>
        <w:tc>
          <w:tcPr>
            <w:tcW w:w="1401" w:type="dxa"/>
            <w:tcBorders>
              <w:top w:val="nil"/>
              <w:left w:val="single" w:sz="4" w:space="0" w:color="auto"/>
              <w:bottom w:val="nil"/>
              <w:right w:val="single" w:sz="4" w:space="0" w:color="auto"/>
            </w:tcBorders>
            <w:shd w:val="clear" w:color="000000" w:fill="FFFFFF"/>
            <w:noWrap/>
            <w:tcMar>
              <w:top w:w="0" w:type="dxa"/>
              <w:left w:w="0" w:type="dxa"/>
              <w:bottom w:w="0" w:type="dxa"/>
              <w:right w:w="180" w:type="dxa"/>
            </w:tcMar>
            <w:vAlign w:val="center"/>
            <w:hideMark/>
          </w:tcPr>
          <w:p w14:paraId="6BD95DA7" w14:textId="0EC4020C"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11</w:t>
            </w:r>
          </w:p>
        </w:tc>
        <w:tc>
          <w:tcPr>
            <w:tcW w:w="1543"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0CEAB20D"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96</w:t>
            </w:r>
          </w:p>
        </w:tc>
        <w:tc>
          <w:tcPr>
            <w:tcW w:w="154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22BD633B"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482" w:type="dxa"/>
            <w:tcBorders>
              <w:top w:val="nil"/>
              <w:left w:val="nil"/>
              <w:bottom w:val="nil"/>
              <w:right w:val="single" w:sz="4" w:space="0" w:color="auto"/>
            </w:tcBorders>
            <w:shd w:val="clear" w:color="000000" w:fill="FFFFFF"/>
            <w:tcMar>
              <w:top w:w="0" w:type="dxa"/>
              <w:left w:w="0" w:type="dxa"/>
              <w:bottom w:w="0" w:type="dxa"/>
              <w:right w:w="180" w:type="dxa"/>
            </w:tcMar>
            <w:vAlign w:val="center"/>
            <w:hideMark/>
          </w:tcPr>
          <w:p w14:paraId="5694A559"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90</w:t>
            </w:r>
          </w:p>
        </w:tc>
        <w:tc>
          <w:tcPr>
            <w:tcW w:w="1607" w:type="dxa"/>
            <w:tcBorders>
              <w:top w:val="nil"/>
              <w:left w:val="nil"/>
              <w:bottom w:val="nil"/>
            </w:tcBorders>
            <w:shd w:val="clear" w:color="000000" w:fill="FFFFFF"/>
            <w:noWrap/>
            <w:tcMar>
              <w:top w:w="0" w:type="dxa"/>
              <w:left w:w="0" w:type="dxa"/>
              <w:bottom w:w="0" w:type="dxa"/>
              <w:right w:w="180" w:type="dxa"/>
            </w:tcMar>
            <w:vAlign w:val="center"/>
            <w:hideMark/>
          </w:tcPr>
          <w:p w14:paraId="1F983C2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98</w:t>
            </w:r>
          </w:p>
        </w:tc>
      </w:tr>
      <w:tr w:rsidR="00FA3F28" w14:paraId="09077D01" w14:textId="77777777" w:rsidTr="004C0DDC">
        <w:trPr>
          <w:trHeight w:val="227"/>
        </w:trPr>
        <w:tc>
          <w:tcPr>
            <w:tcW w:w="1717" w:type="dxa"/>
            <w:vMerge/>
            <w:tcBorders>
              <w:top w:val="single" w:sz="4" w:space="0" w:color="auto"/>
              <w:bottom w:val="single" w:sz="4" w:space="0" w:color="000000"/>
              <w:right w:val="single" w:sz="4" w:space="0" w:color="auto"/>
            </w:tcBorders>
            <w:vAlign w:val="center"/>
            <w:hideMark/>
          </w:tcPr>
          <w:p w14:paraId="239CFD10" w14:textId="77777777" w:rsidR="00F84522" w:rsidRPr="002F2D01" w:rsidRDefault="00F84522" w:rsidP="00CB0E93">
            <w:pPr>
              <w:spacing w:before="0" w:after="0"/>
              <w:ind w:left="57"/>
              <w:rPr>
                <w:rFonts w:asciiTheme="majorHAnsi" w:hAnsiTheme="majorHAnsi" w:cs="Arial"/>
                <w:b/>
                <w:bCs/>
                <w:sz w:val="16"/>
                <w:szCs w:val="16"/>
              </w:rPr>
            </w:pPr>
          </w:p>
        </w:tc>
        <w:tc>
          <w:tcPr>
            <w:tcW w:w="1126" w:type="dxa"/>
            <w:tcBorders>
              <w:top w:val="nil"/>
              <w:left w:val="nil"/>
              <w:bottom w:val="single" w:sz="4" w:space="0" w:color="auto"/>
              <w:right w:val="single" w:sz="4" w:space="0" w:color="auto"/>
            </w:tcBorders>
            <w:shd w:val="clear" w:color="000000" w:fill="FFFFFF"/>
            <w:vAlign w:val="center"/>
            <w:hideMark/>
          </w:tcPr>
          <w:p w14:paraId="58A50A74" w14:textId="77777777" w:rsidR="00F84522" w:rsidRPr="002F2D01" w:rsidRDefault="00F84522" w:rsidP="00CB0E93">
            <w:pPr>
              <w:spacing w:before="0" w:after="0"/>
              <w:ind w:left="57"/>
              <w:rPr>
                <w:rFonts w:asciiTheme="majorHAnsi" w:hAnsiTheme="majorHAnsi" w:cs="Arial"/>
                <w:bCs/>
                <w:sz w:val="16"/>
                <w:szCs w:val="16"/>
              </w:rPr>
            </w:pPr>
            <w:r w:rsidRPr="002F2D01">
              <w:rPr>
                <w:rFonts w:asciiTheme="majorHAnsi" w:hAnsiTheme="majorHAnsi" w:cs="Arial"/>
                <w:bCs/>
                <w:sz w:val="16"/>
                <w:szCs w:val="16"/>
              </w:rPr>
              <w:t>Total</w:t>
            </w:r>
          </w:p>
        </w:tc>
        <w:tc>
          <w:tcPr>
            <w:tcW w:w="1384"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4E8EF475" w14:textId="769E4A3B" w:rsidR="00F84522" w:rsidRPr="002F2D01" w:rsidRDefault="00F700E4"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c>
          <w:tcPr>
            <w:tcW w:w="1579" w:type="dxa"/>
            <w:tcBorders>
              <w:top w:val="nil"/>
              <w:left w:val="nil"/>
              <w:bottom w:val="single" w:sz="4" w:space="0" w:color="auto"/>
              <w:right w:val="nil"/>
            </w:tcBorders>
            <w:shd w:val="clear" w:color="auto" w:fill="FFFFFF" w:themeFill="background1"/>
            <w:tcMar>
              <w:top w:w="0" w:type="dxa"/>
              <w:left w:w="0" w:type="dxa"/>
              <w:bottom w:w="0" w:type="dxa"/>
              <w:right w:w="180" w:type="dxa"/>
            </w:tcMar>
            <w:vAlign w:val="center"/>
            <w:hideMark/>
          </w:tcPr>
          <w:p w14:paraId="5D45110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47</w:t>
            </w:r>
          </w:p>
        </w:tc>
        <w:tc>
          <w:tcPr>
            <w:tcW w:w="1401" w:type="dxa"/>
            <w:tcBorders>
              <w:top w:val="nil"/>
              <w:left w:val="single" w:sz="4" w:space="0" w:color="auto"/>
              <w:bottom w:val="single" w:sz="4" w:space="0" w:color="auto"/>
              <w:right w:val="single" w:sz="4" w:space="0" w:color="auto"/>
            </w:tcBorders>
            <w:shd w:val="clear" w:color="000000" w:fill="FFFFFF"/>
            <w:noWrap/>
            <w:tcMar>
              <w:top w:w="0" w:type="dxa"/>
              <w:left w:w="0" w:type="dxa"/>
              <w:bottom w:w="0" w:type="dxa"/>
              <w:right w:w="180" w:type="dxa"/>
            </w:tcMar>
            <w:vAlign w:val="center"/>
            <w:hideMark/>
          </w:tcPr>
          <w:p w14:paraId="3DAC3D26" w14:textId="108F2D53"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35</w:t>
            </w:r>
          </w:p>
        </w:tc>
        <w:tc>
          <w:tcPr>
            <w:tcW w:w="1543"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13B2A656"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c>
          <w:tcPr>
            <w:tcW w:w="154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47A3E850"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28</w:t>
            </w:r>
          </w:p>
        </w:tc>
        <w:tc>
          <w:tcPr>
            <w:tcW w:w="1482" w:type="dxa"/>
            <w:tcBorders>
              <w:top w:val="nil"/>
              <w:left w:val="nil"/>
              <w:bottom w:val="single" w:sz="4" w:space="0" w:color="auto"/>
              <w:right w:val="single" w:sz="4" w:space="0" w:color="auto"/>
            </w:tcBorders>
            <w:shd w:val="clear" w:color="000000" w:fill="FFFFFF"/>
            <w:tcMar>
              <w:top w:w="0" w:type="dxa"/>
              <w:left w:w="0" w:type="dxa"/>
              <w:bottom w:w="0" w:type="dxa"/>
              <w:right w:w="180" w:type="dxa"/>
            </w:tcMar>
            <w:vAlign w:val="center"/>
            <w:hideMark/>
          </w:tcPr>
          <w:p w14:paraId="7614324E"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49</w:t>
            </w:r>
          </w:p>
        </w:tc>
        <w:tc>
          <w:tcPr>
            <w:tcW w:w="1607" w:type="dxa"/>
            <w:tcBorders>
              <w:top w:val="nil"/>
              <w:left w:val="nil"/>
              <w:bottom w:val="single" w:sz="4" w:space="0" w:color="auto"/>
            </w:tcBorders>
            <w:shd w:val="clear" w:color="000000" w:fill="FFFFFF"/>
            <w:noWrap/>
            <w:tcMar>
              <w:top w:w="0" w:type="dxa"/>
              <w:left w:w="0" w:type="dxa"/>
              <w:bottom w:w="0" w:type="dxa"/>
              <w:right w:w="180" w:type="dxa"/>
            </w:tcMar>
            <w:vAlign w:val="center"/>
            <w:hideMark/>
          </w:tcPr>
          <w:p w14:paraId="7FDAD417" w14:textId="77777777" w:rsidR="00F84522" w:rsidRPr="002F2D01" w:rsidRDefault="00F84522" w:rsidP="00CB0E93">
            <w:pPr>
              <w:spacing w:before="0" w:after="0"/>
              <w:ind w:firstLineChars="100" w:firstLine="160"/>
              <w:jc w:val="right"/>
              <w:rPr>
                <w:rFonts w:asciiTheme="majorHAnsi" w:hAnsiTheme="majorHAnsi" w:cs="Arial"/>
                <w:sz w:val="16"/>
                <w:szCs w:val="16"/>
              </w:rPr>
            </w:pPr>
            <w:r w:rsidRPr="002F2D01">
              <w:rPr>
                <w:rFonts w:asciiTheme="majorHAnsi" w:hAnsiTheme="majorHAnsi" w:cs="Arial"/>
                <w:sz w:val="16"/>
                <w:szCs w:val="16"/>
              </w:rPr>
              <w:t>67</w:t>
            </w:r>
          </w:p>
        </w:tc>
      </w:tr>
      <w:tr w:rsidR="00F84522" w14:paraId="3A93A89F" w14:textId="77777777" w:rsidTr="00DD59DD">
        <w:trPr>
          <w:trHeight w:val="403"/>
        </w:trPr>
        <w:tc>
          <w:tcPr>
            <w:tcW w:w="13381" w:type="dxa"/>
            <w:gridSpan w:val="9"/>
            <w:tcBorders>
              <w:top w:val="single" w:sz="4" w:space="0" w:color="auto"/>
              <w:left w:val="nil"/>
              <w:bottom w:val="nil"/>
              <w:right w:val="nil"/>
            </w:tcBorders>
            <w:shd w:val="clear" w:color="auto" w:fill="auto"/>
            <w:vAlign w:val="center"/>
            <w:hideMark/>
          </w:tcPr>
          <w:p w14:paraId="4AE275F2" w14:textId="6D2AC9D1" w:rsidR="00BF0F21" w:rsidRDefault="00F84522" w:rsidP="00CB0E93">
            <w:pPr>
              <w:spacing w:before="0" w:after="0"/>
              <w:rPr>
                <w:rFonts w:ascii="Calibri" w:hAnsi="Calibri" w:cs="Arial"/>
                <w:sz w:val="16"/>
                <w:szCs w:val="16"/>
              </w:rPr>
            </w:pPr>
            <w:r>
              <w:rPr>
                <w:rFonts w:ascii="Calibri" w:hAnsi="Calibri" w:cs="Arial"/>
                <w:sz w:val="16"/>
                <w:szCs w:val="16"/>
              </w:rPr>
              <w:t xml:space="preserve">Figures are derived from figures shown in Table </w:t>
            </w:r>
            <w:r w:rsidR="000429F0">
              <w:rPr>
                <w:rFonts w:ascii="Calibri" w:hAnsi="Calibri" w:cs="Arial"/>
                <w:sz w:val="16"/>
                <w:szCs w:val="16"/>
              </w:rPr>
              <w:t>A</w:t>
            </w:r>
            <w:r>
              <w:rPr>
                <w:rFonts w:ascii="Calibri" w:hAnsi="Calibri" w:cs="Arial"/>
                <w:sz w:val="16"/>
                <w:szCs w:val="16"/>
              </w:rPr>
              <w:t xml:space="preserve">1. Column codes are from Table </w:t>
            </w:r>
            <w:r w:rsidR="000429F0">
              <w:rPr>
                <w:rFonts w:ascii="Calibri" w:hAnsi="Calibri" w:cs="Arial"/>
                <w:sz w:val="16"/>
                <w:szCs w:val="16"/>
              </w:rPr>
              <w:t>A</w:t>
            </w:r>
            <w:r>
              <w:rPr>
                <w:rFonts w:ascii="Calibri" w:hAnsi="Calibri" w:cs="Arial"/>
                <w:sz w:val="16"/>
                <w:szCs w:val="16"/>
              </w:rPr>
              <w:t xml:space="preserve">1 and indicate calculations undertaken. See notes to Table </w:t>
            </w:r>
            <w:r w:rsidR="000429F0">
              <w:rPr>
                <w:rFonts w:ascii="Calibri" w:hAnsi="Calibri" w:cs="Arial"/>
                <w:sz w:val="16"/>
                <w:szCs w:val="16"/>
              </w:rPr>
              <w:t>A</w:t>
            </w:r>
            <w:r>
              <w:rPr>
                <w:rFonts w:ascii="Calibri" w:hAnsi="Calibri" w:cs="Arial"/>
                <w:sz w:val="16"/>
                <w:szCs w:val="16"/>
              </w:rPr>
              <w:t xml:space="preserve">1. </w:t>
            </w:r>
          </w:p>
          <w:p w14:paraId="4CD873F3" w14:textId="77777777" w:rsidR="00F84522" w:rsidRDefault="00FA5434" w:rsidP="00CB0E93">
            <w:pPr>
              <w:spacing w:before="0" w:after="0"/>
              <w:rPr>
                <w:rFonts w:ascii="Calibri" w:hAnsi="Calibri" w:cs="Arial"/>
                <w:sz w:val="16"/>
                <w:szCs w:val="16"/>
              </w:rPr>
            </w:pPr>
            <w:r>
              <w:rPr>
                <w:rFonts w:ascii="Calibri" w:hAnsi="Calibri" w:cs="Arial"/>
                <w:sz w:val="16"/>
                <w:szCs w:val="16"/>
              </w:rPr>
              <w:t xml:space="preserve">The </w:t>
            </w:r>
            <w:r w:rsidR="00F84522">
              <w:rPr>
                <w:rFonts w:ascii="Calibri" w:hAnsi="Calibri" w:cs="Arial"/>
                <w:sz w:val="16"/>
                <w:szCs w:val="16"/>
              </w:rPr>
              <w:t>CAR reserve system includes formal and informal reserves and areas</w:t>
            </w:r>
            <w:r w:rsidR="005D3CC9">
              <w:rPr>
                <w:rFonts w:ascii="Calibri" w:hAnsi="Calibri" w:cs="Arial"/>
                <w:sz w:val="16"/>
                <w:szCs w:val="16"/>
              </w:rPr>
              <w:t xml:space="preserve"> with </w:t>
            </w:r>
            <w:r>
              <w:rPr>
                <w:rFonts w:ascii="Calibri" w:hAnsi="Calibri" w:cs="Arial"/>
                <w:sz w:val="16"/>
                <w:szCs w:val="16"/>
              </w:rPr>
              <w:t>values protected by management prescription</w:t>
            </w:r>
            <w:r w:rsidR="00F84522">
              <w:rPr>
                <w:rFonts w:ascii="Calibri" w:hAnsi="Calibri" w:cs="Arial"/>
                <w:sz w:val="16"/>
                <w:szCs w:val="16"/>
              </w:rPr>
              <w:t>.</w:t>
            </w:r>
          </w:p>
          <w:p w14:paraId="7F535292" w14:textId="379120B5" w:rsidR="00527F4B" w:rsidRDefault="00527F4B" w:rsidP="00DB0CD3">
            <w:pPr>
              <w:spacing w:before="0" w:after="0"/>
              <w:rPr>
                <w:rFonts w:ascii="Calibri" w:hAnsi="Calibri" w:cs="Arial"/>
                <w:sz w:val="16"/>
                <w:szCs w:val="16"/>
              </w:rPr>
            </w:pPr>
            <w:r>
              <w:rPr>
                <w:rFonts w:asciiTheme="minorHAnsi" w:hAnsiTheme="minorHAnsi"/>
                <w:noProof/>
                <w:sz w:val="16"/>
              </w:rPr>
              <w:t>Th</w:t>
            </w:r>
            <w:r w:rsidR="00674019">
              <w:rPr>
                <w:rFonts w:asciiTheme="minorHAnsi" w:hAnsiTheme="minorHAnsi"/>
                <w:noProof/>
                <w:sz w:val="16"/>
              </w:rPr>
              <w:t>is</w:t>
            </w:r>
            <w:r>
              <w:rPr>
                <w:rFonts w:asciiTheme="minorHAnsi" w:hAnsiTheme="minorHAnsi"/>
                <w:noProof/>
                <w:sz w:val="16"/>
              </w:rPr>
              <w:t xml:space="preserve"> table</w:t>
            </w:r>
            <w:r w:rsidRPr="00831C40">
              <w:rPr>
                <w:rFonts w:asciiTheme="minorHAnsi" w:hAnsiTheme="minorHAnsi"/>
                <w:noProof/>
                <w:sz w:val="16"/>
              </w:rPr>
              <w:t xml:space="preserve">, together with other data in this report, is available in Microsoft Excel </w:t>
            </w:r>
            <w:r w:rsidR="00DB0CD3">
              <w:rPr>
                <w:rFonts w:asciiTheme="minorHAnsi" w:hAnsiTheme="minorHAnsi"/>
                <w:noProof/>
                <w:sz w:val="16"/>
              </w:rPr>
              <w:t>at</w:t>
            </w:r>
            <w:r w:rsidRPr="00831C40">
              <w:rPr>
                <w:rFonts w:asciiTheme="minorHAnsi" w:hAnsiTheme="minorHAnsi"/>
                <w:noProof/>
                <w:sz w:val="16"/>
              </w:rPr>
              <w:t xml:space="preserve"> </w:t>
            </w:r>
            <w:hyperlink r:id="rId43" w:history="1">
              <w:r w:rsidR="00DD59DD" w:rsidRPr="0090070F">
                <w:rPr>
                  <w:rStyle w:val="Hyperlink"/>
                  <w:rFonts w:asciiTheme="minorHAnsi" w:hAnsiTheme="minorHAnsi"/>
                  <w:noProof/>
                  <w:color w:val="0070C0"/>
                  <w:sz w:val="16"/>
                </w:rPr>
                <w:t>doi.org/10.25814/pczx-xk66</w:t>
              </w:r>
            </w:hyperlink>
            <w:r w:rsidR="00DD59DD">
              <w:rPr>
                <w:rFonts w:asciiTheme="minorHAnsi" w:hAnsiTheme="minorHAnsi"/>
                <w:noProof/>
                <w:sz w:val="16"/>
              </w:rPr>
              <w:t>.</w:t>
            </w:r>
          </w:p>
        </w:tc>
      </w:tr>
    </w:tbl>
    <w:p w14:paraId="470290EE" w14:textId="4DB89FB9" w:rsidR="007A0712" w:rsidRDefault="00F84522" w:rsidP="00CB0E93">
      <w:pPr>
        <w:spacing w:before="0" w:after="0" w:line="276" w:lineRule="auto"/>
        <w:rPr>
          <w:b/>
        </w:rPr>
      </w:pPr>
      <w:r>
        <w:rPr>
          <w:b/>
        </w:rPr>
        <w:t xml:space="preserve"> </w:t>
      </w:r>
      <w:r w:rsidR="007A0712">
        <w:rPr>
          <w:b/>
        </w:rPr>
        <w:br w:type="page"/>
      </w:r>
    </w:p>
    <w:p w14:paraId="2FFFC712" w14:textId="728DB74B" w:rsidR="0075185C" w:rsidRDefault="0075185C" w:rsidP="004C0DDC">
      <w:pPr>
        <w:pStyle w:val="Caption"/>
      </w:pPr>
      <w:bookmarkStart w:id="40" w:name="_Ref55396277"/>
      <w:bookmarkStart w:id="41" w:name="_Toc58234966"/>
      <w:r>
        <w:lastRenderedPageBreak/>
        <w:t xml:space="preserve">Table </w:t>
      </w:r>
      <w:r w:rsidR="00D15AE0">
        <w:t>A</w:t>
      </w:r>
      <w:r w:rsidR="00DD454E">
        <w:rPr>
          <w:noProof/>
        </w:rPr>
        <w:fldChar w:fldCharType="begin"/>
      </w:r>
      <w:r w:rsidR="00DD454E">
        <w:rPr>
          <w:noProof/>
        </w:rPr>
        <w:instrText xml:space="preserve"> SEQ Table \* ARABIC </w:instrText>
      </w:r>
      <w:r w:rsidR="00DD454E">
        <w:rPr>
          <w:noProof/>
        </w:rPr>
        <w:fldChar w:fldCharType="separate"/>
      </w:r>
      <w:r w:rsidR="00CC3B42">
        <w:rPr>
          <w:noProof/>
        </w:rPr>
        <w:t>3</w:t>
      </w:r>
      <w:r w:rsidR="00DD454E">
        <w:rPr>
          <w:noProof/>
        </w:rPr>
        <w:fldChar w:fldCharType="end"/>
      </w:r>
      <w:bookmarkEnd w:id="40"/>
      <w:r>
        <w:t xml:space="preserve"> Areas of native forest and non-forest ecosystems in RFA regions, and areas reserve</w:t>
      </w:r>
      <w:r w:rsidR="0045404A">
        <w:t>d</w:t>
      </w:r>
      <w:r>
        <w:t xml:space="preserve"> </w:t>
      </w:r>
      <w:r w:rsidR="0045404A">
        <w:t>in most recent data</w:t>
      </w:r>
      <w:bookmarkEnd w:id="41"/>
    </w:p>
    <w:tbl>
      <w:tblPr>
        <w:tblW w:w="15225" w:type="dxa"/>
        <w:tblInd w:w="-567" w:type="dxa"/>
        <w:tblLayout w:type="fixed"/>
        <w:tblCellMar>
          <w:left w:w="0" w:type="dxa"/>
          <w:right w:w="0" w:type="dxa"/>
        </w:tblCellMar>
        <w:tblLook w:val="04A0" w:firstRow="1" w:lastRow="0" w:firstColumn="1" w:lastColumn="0" w:noHBand="0" w:noVBand="1"/>
      </w:tblPr>
      <w:tblGrid>
        <w:gridCol w:w="1560"/>
        <w:gridCol w:w="969"/>
        <w:gridCol w:w="873"/>
        <w:gridCol w:w="993"/>
        <w:gridCol w:w="1089"/>
        <w:gridCol w:w="1037"/>
        <w:gridCol w:w="1134"/>
        <w:gridCol w:w="992"/>
        <w:gridCol w:w="993"/>
        <w:gridCol w:w="1095"/>
        <w:gridCol w:w="1102"/>
        <w:gridCol w:w="1063"/>
        <w:gridCol w:w="1393"/>
        <w:gridCol w:w="932"/>
      </w:tblGrid>
      <w:tr w:rsidR="00D3131B" w14:paraId="1F0812EC" w14:textId="77777777" w:rsidTr="00726F85">
        <w:trPr>
          <w:trHeight w:val="1191"/>
          <w:tblHeader/>
        </w:trPr>
        <w:tc>
          <w:tcPr>
            <w:tcW w:w="1560" w:type="dxa"/>
            <w:tcBorders>
              <w:top w:val="single" w:sz="4" w:space="0" w:color="auto"/>
              <w:bottom w:val="single" w:sz="4" w:space="0" w:color="auto"/>
              <w:right w:val="single" w:sz="4" w:space="0" w:color="auto"/>
            </w:tcBorders>
            <w:shd w:val="clear" w:color="000000" w:fill="FFFFFF"/>
            <w:vAlign w:val="bottom"/>
            <w:hideMark/>
          </w:tcPr>
          <w:p w14:paraId="3892F65D" w14:textId="77777777" w:rsidR="00CD481C" w:rsidRPr="009C7B27" w:rsidRDefault="00CD481C" w:rsidP="00CD481C">
            <w:pPr>
              <w:spacing w:before="0" w:after="0"/>
              <w:ind w:left="57" w:right="57"/>
              <w:rPr>
                <w:rFonts w:asciiTheme="majorHAnsi" w:hAnsiTheme="majorHAnsi" w:cs="Arial"/>
                <w:b/>
                <w:bCs/>
                <w:sz w:val="16"/>
                <w:szCs w:val="16"/>
              </w:rPr>
            </w:pPr>
            <w:r w:rsidRPr="009C7B27">
              <w:rPr>
                <w:rFonts w:asciiTheme="majorHAnsi" w:hAnsiTheme="majorHAnsi" w:cs="Arial"/>
                <w:b/>
                <w:bCs/>
                <w:sz w:val="16"/>
                <w:szCs w:val="16"/>
              </w:rPr>
              <w:t>RFA state and region</w:t>
            </w:r>
          </w:p>
        </w:tc>
        <w:tc>
          <w:tcPr>
            <w:tcW w:w="969" w:type="dxa"/>
            <w:tcBorders>
              <w:top w:val="single" w:sz="4" w:space="0" w:color="auto"/>
              <w:left w:val="nil"/>
              <w:bottom w:val="single" w:sz="4" w:space="0" w:color="auto"/>
              <w:right w:val="single" w:sz="4" w:space="0" w:color="auto"/>
            </w:tcBorders>
            <w:shd w:val="clear" w:color="000000" w:fill="FFFFFF"/>
            <w:vAlign w:val="bottom"/>
            <w:hideMark/>
          </w:tcPr>
          <w:p w14:paraId="79022419" w14:textId="77777777" w:rsidR="00CD481C" w:rsidRPr="009C7B27" w:rsidRDefault="00CD481C" w:rsidP="00CD481C">
            <w:pPr>
              <w:spacing w:before="0" w:after="0"/>
              <w:ind w:left="57" w:right="57"/>
              <w:rPr>
                <w:rFonts w:asciiTheme="majorHAnsi" w:hAnsiTheme="majorHAnsi" w:cs="Arial"/>
                <w:b/>
                <w:bCs/>
                <w:spacing w:val="-6"/>
                <w:sz w:val="16"/>
                <w:szCs w:val="16"/>
              </w:rPr>
            </w:pPr>
            <w:r w:rsidRPr="009C7B27">
              <w:rPr>
                <w:rFonts w:asciiTheme="majorHAnsi" w:hAnsiTheme="majorHAnsi" w:cs="Arial"/>
                <w:b/>
                <w:bCs/>
                <w:spacing w:val="-6"/>
                <w:sz w:val="16"/>
                <w:szCs w:val="16"/>
              </w:rPr>
              <w:t>Terrestrial native ecosystems</w:t>
            </w:r>
          </w:p>
        </w:tc>
        <w:tc>
          <w:tcPr>
            <w:tcW w:w="873" w:type="dxa"/>
            <w:tcBorders>
              <w:top w:val="single" w:sz="4" w:space="0" w:color="auto"/>
              <w:left w:val="nil"/>
              <w:bottom w:val="single" w:sz="4" w:space="0" w:color="auto"/>
              <w:right w:val="single" w:sz="4" w:space="0" w:color="auto"/>
            </w:tcBorders>
            <w:shd w:val="clear" w:color="000000" w:fill="FFFFFF"/>
            <w:vAlign w:val="bottom"/>
            <w:hideMark/>
          </w:tcPr>
          <w:p w14:paraId="622FDCE0"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Total area pre-RFA (ha)</w:t>
            </w:r>
          </w:p>
        </w:tc>
        <w:tc>
          <w:tcPr>
            <w:tcW w:w="993" w:type="dxa"/>
            <w:tcBorders>
              <w:top w:val="single" w:sz="4" w:space="0" w:color="auto"/>
              <w:left w:val="nil"/>
              <w:bottom w:val="single" w:sz="4" w:space="0" w:color="auto"/>
              <w:right w:val="nil"/>
            </w:tcBorders>
            <w:shd w:val="clear" w:color="000000" w:fill="FFFFFF"/>
            <w:vAlign w:val="bottom"/>
            <w:hideMark/>
          </w:tcPr>
          <w:p w14:paraId="613958B6"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Area on public land pre-RFA (ha)</w:t>
            </w:r>
          </w:p>
        </w:tc>
        <w:tc>
          <w:tcPr>
            <w:tcW w:w="1089" w:type="dxa"/>
            <w:tcBorders>
              <w:top w:val="single" w:sz="4" w:space="0" w:color="auto"/>
              <w:left w:val="nil"/>
              <w:bottom w:val="single" w:sz="4" w:space="0" w:color="auto"/>
              <w:right w:val="nil"/>
            </w:tcBorders>
            <w:shd w:val="clear" w:color="000000" w:fill="FFFFFF"/>
            <w:vAlign w:val="bottom"/>
            <w:hideMark/>
          </w:tcPr>
          <w:p w14:paraId="700D2810" w14:textId="72339FBE"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 xml:space="preserve">Total </w:t>
            </w:r>
            <w:r w:rsidR="00077B7D">
              <w:rPr>
                <w:rFonts w:asciiTheme="majorHAnsi" w:hAnsiTheme="majorHAnsi" w:cs="Arial"/>
                <w:b/>
                <w:bCs/>
                <w:spacing w:val="-6"/>
                <w:sz w:val="16"/>
                <w:szCs w:val="16"/>
              </w:rPr>
              <w:t xml:space="preserve">area of </w:t>
            </w:r>
            <w:r w:rsidRPr="009C7B27">
              <w:rPr>
                <w:rFonts w:asciiTheme="majorHAnsi" w:hAnsiTheme="majorHAnsi" w:cs="Arial"/>
                <w:b/>
                <w:bCs/>
                <w:spacing w:val="-6"/>
                <w:sz w:val="16"/>
                <w:szCs w:val="16"/>
              </w:rPr>
              <w:t>formal and informal reserves post-RFA (ha)</w:t>
            </w:r>
          </w:p>
        </w:tc>
        <w:tc>
          <w:tcPr>
            <w:tcW w:w="1037" w:type="dxa"/>
            <w:tcBorders>
              <w:top w:val="single" w:sz="4" w:space="0" w:color="auto"/>
              <w:left w:val="nil"/>
              <w:bottom w:val="single" w:sz="4" w:space="0" w:color="auto"/>
              <w:right w:val="nil"/>
            </w:tcBorders>
            <w:shd w:val="clear" w:color="000000" w:fill="FFFFFF"/>
            <w:vAlign w:val="bottom"/>
            <w:hideMark/>
          </w:tcPr>
          <w:p w14:paraId="43C6E7DF"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Area protected by prescription post-RFA (ha)</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14:paraId="40BA2BCE"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Total area of CAR reserve system post-RFA (ha)</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12F56DA"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 xml:space="preserve">Total area in most recent </w:t>
            </w:r>
          </w:p>
          <w:p w14:paraId="5023BAF1"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 xml:space="preserve">data </w:t>
            </w:r>
            <w:r w:rsidRPr="000B7359">
              <w:rPr>
                <w:rFonts w:asciiTheme="majorHAnsi" w:hAnsiTheme="majorHAnsi"/>
                <w:b/>
                <w:position w:val="4"/>
                <w:sz w:val="16"/>
              </w:rPr>
              <w:t>a</w:t>
            </w:r>
            <w:r w:rsidRPr="009C7B27">
              <w:rPr>
                <w:rFonts w:asciiTheme="majorHAnsi" w:hAnsiTheme="majorHAnsi" w:cs="Arial"/>
                <w:b/>
                <w:bCs/>
                <w:spacing w:val="-6"/>
                <w:sz w:val="16"/>
                <w:szCs w:val="16"/>
              </w:rPr>
              <w:t xml:space="preserve"> (ha)</w:t>
            </w:r>
          </w:p>
        </w:tc>
        <w:tc>
          <w:tcPr>
            <w:tcW w:w="993" w:type="dxa"/>
            <w:tcBorders>
              <w:top w:val="single" w:sz="4" w:space="0" w:color="auto"/>
              <w:left w:val="nil"/>
              <w:bottom w:val="single" w:sz="4" w:space="0" w:color="auto"/>
              <w:right w:val="nil"/>
            </w:tcBorders>
            <w:shd w:val="clear" w:color="000000" w:fill="FFFFFF"/>
            <w:vAlign w:val="bottom"/>
            <w:hideMark/>
          </w:tcPr>
          <w:p w14:paraId="05C78FEA"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 xml:space="preserve">Area on public land in most recent </w:t>
            </w:r>
          </w:p>
          <w:p w14:paraId="53E8A7BF"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 xml:space="preserve">data </w:t>
            </w:r>
            <w:r w:rsidRPr="000B7359">
              <w:rPr>
                <w:rFonts w:asciiTheme="majorHAnsi" w:hAnsiTheme="majorHAnsi"/>
                <w:b/>
                <w:position w:val="4"/>
                <w:sz w:val="16"/>
              </w:rPr>
              <w:t>a</w:t>
            </w:r>
            <w:r w:rsidRPr="009C7B27">
              <w:rPr>
                <w:rFonts w:asciiTheme="majorHAnsi" w:hAnsiTheme="majorHAnsi" w:cs="Arial"/>
                <w:b/>
                <w:bCs/>
                <w:spacing w:val="-6"/>
                <w:sz w:val="16"/>
                <w:szCs w:val="16"/>
              </w:rPr>
              <w:t xml:space="preserve"> (ha)</w:t>
            </w:r>
          </w:p>
        </w:tc>
        <w:tc>
          <w:tcPr>
            <w:tcW w:w="1095" w:type="dxa"/>
            <w:tcBorders>
              <w:top w:val="single" w:sz="4" w:space="0" w:color="auto"/>
              <w:left w:val="nil"/>
              <w:bottom w:val="single" w:sz="4" w:space="0" w:color="auto"/>
              <w:right w:val="nil"/>
            </w:tcBorders>
            <w:shd w:val="clear" w:color="000000" w:fill="FFFFFF"/>
            <w:vAlign w:val="bottom"/>
            <w:hideMark/>
          </w:tcPr>
          <w:p w14:paraId="1F783CE1" w14:textId="41842140"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 xml:space="preserve">Total </w:t>
            </w:r>
            <w:r w:rsidR="00077B7D">
              <w:rPr>
                <w:rFonts w:asciiTheme="majorHAnsi" w:hAnsiTheme="majorHAnsi" w:cs="Arial"/>
                <w:b/>
                <w:bCs/>
                <w:spacing w:val="-6"/>
                <w:sz w:val="16"/>
                <w:szCs w:val="16"/>
              </w:rPr>
              <w:t xml:space="preserve">area of </w:t>
            </w:r>
            <w:r w:rsidRPr="009C7B27">
              <w:rPr>
                <w:rFonts w:asciiTheme="majorHAnsi" w:hAnsiTheme="majorHAnsi" w:cs="Arial"/>
                <w:b/>
                <w:bCs/>
                <w:spacing w:val="-6"/>
                <w:sz w:val="16"/>
                <w:szCs w:val="16"/>
              </w:rPr>
              <w:t>formal and informal reserves in most recent data (ha)</w:t>
            </w:r>
          </w:p>
        </w:tc>
        <w:tc>
          <w:tcPr>
            <w:tcW w:w="1102" w:type="dxa"/>
            <w:tcBorders>
              <w:top w:val="single" w:sz="4" w:space="0" w:color="auto"/>
              <w:left w:val="nil"/>
              <w:bottom w:val="single" w:sz="4" w:space="0" w:color="auto"/>
              <w:right w:val="nil"/>
            </w:tcBorders>
            <w:shd w:val="clear" w:color="000000" w:fill="FFFFFF"/>
            <w:vAlign w:val="bottom"/>
            <w:hideMark/>
          </w:tcPr>
          <w:p w14:paraId="62C44C31"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Area protected by prescription in most recent data (ha)</w:t>
            </w:r>
          </w:p>
        </w:tc>
        <w:tc>
          <w:tcPr>
            <w:tcW w:w="1063" w:type="dxa"/>
            <w:tcBorders>
              <w:top w:val="single" w:sz="4" w:space="0" w:color="auto"/>
              <w:left w:val="nil"/>
              <w:bottom w:val="single" w:sz="4" w:space="0" w:color="auto"/>
              <w:right w:val="single" w:sz="4" w:space="0" w:color="auto"/>
            </w:tcBorders>
            <w:shd w:val="clear" w:color="000000" w:fill="FFFFFF"/>
            <w:vAlign w:val="bottom"/>
            <w:hideMark/>
          </w:tcPr>
          <w:p w14:paraId="1FABE672"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Total area of CAR reserve system in most recent data (ha)</w:t>
            </w:r>
          </w:p>
        </w:tc>
        <w:tc>
          <w:tcPr>
            <w:tcW w:w="1393" w:type="dxa"/>
            <w:tcBorders>
              <w:top w:val="single" w:sz="4" w:space="0" w:color="auto"/>
              <w:left w:val="nil"/>
              <w:bottom w:val="single" w:sz="4" w:space="0" w:color="auto"/>
              <w:right w:val="single" w:sz="4" w:space="0" w:color="auto"/>
            </w:tcBorders>
            <w:shd w:val="clear" w:color="000000" w:fill="FFFFFF"/>
            <w:vAlign w:val="bottom"/>
          </w:tcPr>
          <w:p w14:paraId="20B45372"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Pr>
                <w:rFonts w:asciiTheme="majorHAnsi" w:hAnsiTheme="majorHAnsi" w:cs="Arial"/>
                <w:b/>
                <w:bCs/>
                <w:spacing w:val="-6"/>
                <w:sz w:val="16"/>
                <w:szCs w:val="16"/>
              </w:rPr>
              <w:t>Proportion of total area that is in the CAR reserve system in most recent data (%)</w:t>
            </w:r>
          </w:p>
        </w:tc>
        <w:tc>
          <w:tcPr>
            <w:tcW w:w="932" w:type="dxa"/>
            <w:tcBorders>
              <w:top w:val="single" w:sz="4" w:space="0" w:color="auto"/>
              <w:left w:val="single" w:sz="4" w:space="0" w:color="auto"/>
              <w:bottom w:val="single" w:sz="4" w:space="0" w:color="auto"/>
            </w:tcBorders>
            <w:shd w:val="clear" w:color="000000" w:fill="FFFFFF"/>
            <w:vAlign w:val="bottom"/>
            <w:hideMark/>
          </w:tcPr>
          <w:p w14:paraId="40F20073" w14:textId="77777777" w:rsidR="00CD481C" w:rsidRPr="009C7B27" w:rsidRDefault="00CD481C" w:rsidP="00CD481C">
            <w:pPr>
              <w:spacing w:before="0" w:after="0"/>
              <w:ind w:left="57" w:right="57"/>
              <w:jc w:val="right"/>
              <w:rPr>
                <w:rFonts w:asciiTheme="majorHAnsi" w:hAnsiTheme="majorHAnsi" w:cs="Arial"/>
                <w:b/>
                <w:bCs/>
                <w:spacing w:val="-6"/>
                <w:sz w:val="16"/>
                <w:szCs w:val="16"/>
              </w:rPr>
            </w:pPr>
            <w:r w:rsidRPr="009C7B27">
              <w:rPr>
                <w:rFonts w:asciiTheme="majorHAnsi" w:hAnsiTheme="majorHAnsi" w:cs="Arial"/>
                <w:b/>
                <w:bCs/>
                <w:spacing w:val="-6"/>
                <w:sz w:val="16"/>
                <w:szCs w:val="16"/>
              </w:rPr>
              <w:t>Count of ecosystem types in most recent data</w:t>
            </w:r>
          </w:p>
        </w:tc>
      </w:tr>
      <w:tr w:rsidR="00D3131B" w14:paraId="685A5782" w14:textId="77777777" w:rsidTr="00C935F0">
        <w:trPr>
          <w:trHeight w:val="737"/>
        </w:trPr>
        <w:tc>
          <w:tcPr>
            <w:tcW w:w="1560" w:type="dxa"/>
            <w:tcBorders>
              <w:top w:val="nil"/>
              <w:bottom w:val="single" w:sz="4" w:space="0" w:color="auto"/>
              <w:right w:val="single" w:sz="4" w:space="0" w:color="auto"/>
            </w:tcBorders>
            <w:shd w:val="clear" w:color="000000" w:fill="FFFFFF"/>
            <w:vAlign w:val="center"/>
            <w:hideMark/>
          </w:tcPr>
          <w:p w14:paraId="13CAA4BB" w14:textId="1D8D5A6D" w:rsidR="00CD481C" w:rsidRPr="002F2D01" w:rsidRDefault="00CD481C" w:rsidP="00CD481C">
            <w:pPr>
              <w:spacing w:before="0" w:after="0"/>
              <w:rPr>
                <w:rFonts w:asciiTheme="majorHAnsi" w:hAnsiTheme="majorHAnsi" w:cs="Arial"/>
                <w:b/>
                <w:sz w:val="16"/>
                <w:szCs w:val="16"/>
              </w:rPr>
            </w:pPr>
            <w:r w:rsidRPr="002F2D01">
              <w:rPr>
                <w:rFonts w:asciiTheme="majorHAnsi" w:hAnsiTheme="majorHAnsi" w:cs="Arial"/>
                <w:b/>
                <w:sz w:val="16"/>
                <w:szCs w:val="16"/>
              </w:rPr>
              <w:t>Column code</w:t>
            </w:r>
            <w:r w:rsidR="00510890">
              <w:rPr>
                <w:rFonts w:asciiTheme="majorHAnsi" w:hAnsiTheme="majorHAnsi" w:cs="Arial"/>
                <w:b/>
                <w:sz w:val="16"/>
                <w:szCs w:val="16"/>
              </w:rPr>
              <w:t>,</w:t>
            </w:r>
            <w:r w:rsidRPr="002F2D01">
              <w:rPr>
                <w:rFonts w:asciiTheme="majorHAnsi" w:hAnsiTheme="majorHAnsi" w:cs="Arial"/>
                <w:b/>
                <w:sz w:val="16"/>
                <w:szCs w:val="16"/>
              </w:rPr>
              <w:t xml:space="preserve"> continuing from Table </w:t>
            </w:r>
            <w:r w:rsidR="000429F0">
              <w:rPr>
                <w:rFonts w:asciiTheme="majorHAnsi" w:hAnsiTheme="majorHAnsi" w:cs="Arial"/>
                <w:b/>
                <w:sz w:val="16"/>
                <w:szCs w:val="16"/>
              </w:rPr>
              <w:t>A</w:t>
            </w:r>
            <w:r w:rsidRPr="002F2D01">
              <w:rPr>
                <w:rFonts w:asciiTheme="majorHAnsi" w:hAnsiTheme="majorHAnsi" w:cs="Arial"/>
                <w:b/>
                <w:sz w:val="16"/>
                <w:szCs w:val="16"/>
              </w:rPr>
              <w:t>1</w:t>
            </w:r>
          </w:p>
          <w:p w14:paraId="601E47DD" w14:textId="5ED903EC" w:rsidR="00CD481C" w:rsidRPr="002F2D01" w:rsidRDefault="00A1568A" w:rsidP="00CD481C">
            <w:pPr>
              <w:spacing w:before="0" w:after="0"/>
              <w:rPr>
                <w:rFonts w:asciiTheme="majorHAnsi" w:hAnsiTheme="majorHAnsi" w:cs="Arial"/>
                <w:b/>
                <w:sz w:val="16"/>
                <w:szCs w:val="16"/>
              </w:rPr>
            </w:pPr>
            <w:r>
              <w:rPr>
                <w:rFonts w:asciiTheme="majorHAnsi" w:hAnsiTheme="majorHAnsi" w:cs="Arial"/>
                <w:sz w:val="16"/>
                <w:szCs w:val="16"/>
              </w:rPr>
              <w:t>Derivation of figures</w:t>
            </w:r>
          </w:p>
        </w:tc>
        <w:tc>
          <w:tcPr>
            <w:tcW w:w="969" w:type="dxa"/>
            <w:tcBorders>
              <w:top w:val="nil"/>
              <w:left w:val="nil"/>
              <w:bottom w:val="single" w:sz="4" w:space="0" w:color="auto"/>
              <w:right w:val="single" w:sz="4" w:space="0" w:color="auto"/>
            </w:tcBorders>
            <w:shd w:val="clear" w:color="000000" w:fill="FFFFFF"/>
            <w:hideMark/>
          </w:tcPr>
          <w:p w14:paraId="04B7D064" w14:textId="77777777" w:rsidR="00CD481C" w:rsidRPr="002F2D01" w:rsidRDefault="00CD481C" w:rsidP="00CD481C">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 </w:t>
            </w:r>
          </w:p>
        </w:tc>
        <w:tc>
          <w:tcPr>
            <w:tcW w:w="873" w:type="dxa"/>
            <w:tcBorders>
              <w:top w:val="nil"/>
              <w:left w:val="nil"/>
              <w:bottom w:val="single" w:sz="4" w:space="0" w:color="auto"/>
              <w:right w:val="single" w:sz="4" w:space="0" w:color="auto"/>
            </w:tcBorders>
            <w:shd w:val="clear" w:color="000000" w:fill="FFFFFF"/>
            <w:hideMark/>
          </w:tcPr>
          <w:p w14:paraId="1AC23D69" w14:textId="77777777" w:rsidR="00CD481C" w:rsidRPr="002F2D01" w:rsidRDefault="00CD481C" w:rsidP="00CD481C">
            <w:pPr>
              <w:spacing w:before="0" w:after="0"/>
              <w:ind w:right="155"/>
              <w:jc w:val="center"/>
              <w:rPr>
                <w:rFonts w:asciiTheme="majorHAnsi" w:hAnsiTheme="majorHAnsi" w:cs="Arial"/>
                <w:b/>
                <w:bCs/>
                <w:sz w:val="16"/>
                <w:szCs w:val="16"/>
              </w:rPr>
            </w:pPr>
            <w:r w:rsidRPr="002F2D01">
              <w:rPr>
                <w:rFonts w:asciiTheme="majorHAnsi" w:hAnsiTheme="majorHAnsi" w:cs="Arial"/>
                <w:b/>
                <w:bCs/>
                <w:sz w:val="16"/>
                <w:szCs w:val="16"/>
              </w:rPr>
              <w:t>E</w:t>
            </w:r>
          </w:p>
        </w:tc>
        <w:tc>
          <w:tcPr>
            <w:tcW w:w="993" w:type="dxa"/>
            <w:tcBorders>
              <w:top w:val="nil"/>
              <w:left w:val="nil"/>
              <w:bottom w:val="single" w:sz="4" w:space="0" w:color="auto"/>
              <w:right w:val="nil"/>
            </w:tcBorders>
            <w:shd w:val="clear" w:color="000000" w:fill="FFFFFF"/>
            <w:hideMark/>
          </w:tcPr>
          <w:p w14:paraId="28BA97A6" w14:textId="77777777" w:rsidR="00CD481C" w:rsidRPr="002F2D01" w:rsidRDefault="00CD481C" w:rsidP="00CD481C">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D</w:t>
            </w:r>
          </w:p>
        </w:tc>
        <w:tc>
          <w:tcPr>
            <w:tcW w:w="1089" w:type="dxa"/>
            <w:tcBorders>
              <w:top w:val="nil"/>
              <w:left w:val="nil"/>
              <w:bottom w:val="single" w:sz="4" w:space="0" w:color="auto"/>
              <w:right w:val="nil"/>
            </w:tcBorders>
            <w:shd w:val="clear" w:color="000000" w:fill="FFFFFF"/>
            <w:hideMark/>
          </w:tcPr>
          <w:p w14:paraId="19587F1E" w14:textId="77777777" w:rsidR="00CD481C" w:rsidRPr="002F2D01" w:rsidRDefault="00CD481C" w:rsidP="00CD481C">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H</w:t>
            </w:r>
          </w:p>
        </w:tc>
        <w:tc>
          <w:tcPr>
            <w:tcW w:w="1037" w:type="dxa"/>
            <w:tcBorders>
              <w:top w:val="nil"/>
              <w:left w:val="nil"/>
              <w:bottom w:val="single" w:sz="4" w:space="0" w:color="auto"/>
              <w:right w:val="nil"/>
            </w:tcBorders>
            <w:shd w:val="clear" w:color="000000" w:fill="FFFFFF"/>
            <w:hideMark/>
          </w:tcPr>
          <w:p w14:paraId="73116422" w14:textId="77777777" w:rsidR="00CD481C" w:rsidRPr="002F2D01" w:rsidRDefault="00CD481C" w:rsidP="00CD481C">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I</w:t>
            </w:r>
          </w:p>
        </w:tc>
        <w:tc>
          <w:tcPr>
            <w:tcW w:w="1134" w:type="dxa"/>
            <w:tcBorders>
              <w:top w:val="nil"/>
              <w:left w:val="nil"/>
              <w:bottom w:val="single" w:sz="4" w:space="0" w:color="auto"/>
              <w:right w:val="single" w:sz="4" w:space="0" w:color="auto"/>
            </w:tcBorders>
            <w:shd w:val="clear" w:color="000000" w:fill="FFFFFF"/>
            <w:hideMark/>
          </w:tcPr>
          <w:p w14:paraId="7D3B5C11" w14:textId="6E7866F2" w:rsidR="00CD481C" w:rsidRPr="002F2D01" w:rsidRDefault="00CD481C" w:rsidP="00A1568A">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K</w:t>
            </w:r>
            <w:r w:rsidRPr="002F2D01">
              <w:rPr>
                <w:rFonts w:asciiTheme="majorHAnsi" w:hAnsiTheme="majorHAnsi" w:cs="Arial"/>
                <w:b/>
                <w:bCs/>
                <w:sz w:val="16"/>
                <w:szCs w:val="16"/>
              </w:rPr>
              <w:br/>
            </w:r>
            <w:r w:rsidR="00A1568A">
              <w:rPr>
                <w:rFonts w:asciiTheme="majorHAnsi" w:hAnsiTheme="majorHAnsi" w:cs="Arial"/>
                <w:sz w:val="16"/>
                <w:szCs w:val="16"/>
              </w:rPr>
              <w:t>=H+I</w:t>
            </w:r>
          </w:p>
        </w:tc>
        <w:tc>
          <w:tcPr>
            <w:tcW w:w="992" w:type="dxa"/>
            <w:tcBorders>
              <w:top w:val="nil"/>
              <w:left w:val="nil"/>
              <w:bottom w:val="single" w:sz="4" w:space="0" w:color="auto"/>
              <w:right w:val="single" w:sz="4" w:space="0" w:color="auto"/>
            </w:tcBorders>
            <w:shd w:val="clear" w:color="000000" w:fill="FFFFFF"/>
            <w:hideMark/>
          </w:tcPr>
          <w:p w14:paraId="6947F1C8" w14:textId="77777777" w:rsidR="00CD481C" w:rsidRPr="002F2D01" w:rsidRDefault="00CD481C" w:rsidP="00CD481C">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L</w:t>
            </w:r>
          </w:p>
        </w:tc>
        <w:tc>
          <w:tcPr>
            <w:tcW w:w="993" w:type="dxa"/>
            <w:tcBorders>
              <w:top w:val="nil"/>
              <w:left w:val="nil"/>
              <w:bottom w:val="single" w:sz="4" w:space="0" w:color="auto"/>
              <w:right w:val="nil"/>
            </w:tcBorders>
            <w:shd w:val="clear" w:color="000000" w:fill="FFFFFF"/>
            <w:hideMark/>
          </w:tcPr>
          <w:p w14:paraId="08137E5F" w14:textId="77777777" w:rsidR="00CD481C" w:rsidRPr="002F2D01" w:rsidRDefault="00CD481C" w:rsidP="00CD481C">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M</w:t>
            </w:r>
          </w:p>
        </w:tc>
        <w:tc>
          <w:tcPr>
            <w:tcW w:w="1095" w:type="dxa"/>
            <w:tcBorders>
              <w:top w:val="nil"/>
              <w:left w:val="nil"/>
              <w:bottom w:val="single" w:sz="4" w:space="0" w:color="auto"/>
              <w:right w:val="nil"/>
            </w:tcBorders>
            <w:shd w:val="clear" w:color="000000" w:fill="FFFFFF"/>
            <w:hideMark/>
          </w:tcPr>
          <w:p w14:paraId="6EE3A786" w14:textId="77777777" w:rsidR="00CD481C" w:rsidRPr="002F2D01" w:rsidRDefault="00CD481C" w:rsidP="00CD481C">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N</w:t>
            </w:r>
          </w:p>
        </w:tc>
        <w:tc>
          <w:tcPr>
            <w:tcW w:w="1102" w:type="dxa"/>
            <w:tcBorders>
              <w:top w:val="nil"/>
              <w:left w:val="nil"/>
              <w:bottom w:val="single" w:sz="4" w:space="0" w:color="auto"/>
              <w:right w:val="nil"/>
            </w:tcBorders>
            <w:shd w:val="clear" w:color="000000" w:fill="FFFFFF"/>
            <w:hideMark/>
          </w:tcPr>
          <w:p w14:paraId="2E9EB58B" w14:textId="77777777" w:rsidR="00CD481C" w:rsidRPr="002F2D01" w:rsidRDefault="00CD481C" w:rsidP="00CD481C">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O</w:t>
            </w:r>
          </w:p>
        </w:tc>
        <w:tc>
          <w:tcPr>
            <w:tcW w:w="1063" w:type="dxa"/>
            <w:tcBorders>
              <w:top w:val="nil"/>
              <w:left w:val="nil"/>
              <w:bottom w:val="single" w:sz="4" w:space="0" w:color="auto"/>
              <w:right w:val="single" w:sz="4" w:space="0" w:color="auto"/>
            </w:tcBorders>
            <w:shd w:val="clear" w:color="000000" w:fill="FFFFFF"/>
            <w:hideMark/>
          </w:tcPr>
          <w:p w14:paraId="19A764B3" w14:textId="0AC3F772" w:rsidR="00CD481C" w:rsidRPr="002F2D01" w:rsidRDefault="00CD481C" w:rsidP="00A1568A">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P</w:t>
            </w:r>
            <w:r w:rsidRPr="002F2D01">
              <w:rPr>
                <w:rFonts w:asciiTheme="majorHAnsi" w:hAnsiTheme="majorHAnsi" w:cs="Arial"/>
                <w:b/>
                <w:bCs/>
                <w:sz w:val="16"/>
                <w:szCs w:val="16"/>
              </w:rPr>
              <w:br/>
            </w:r>
            <w:r w:rsidR="00A1568A">
              <w:rPr>
                <w:rFonts w:asciiTheme="majorHAnsi" w:hAnsiTheme="majorHAnsi" w:cs="Arial"/>
                <w:sz w:val="16"/>
                <w:szCs w:val="16"/>
              </w:rPr>
              <w:t>=N+O</w:t>
            </w:r>
          </w:p>
        </w:tc>
        <w:tc>
          <w:tcPr>
            <w:tcW w:w="1393" w:type="dxa"/>
            <w:tcBorders>
              <w:top w:val="single" w:sz="4" w:space="0" w:color="auto"/>
              <w:left w:val="nil"/>
              <w:bottom w:val="single" w:sz="4" w:space="0" w:color="auto"/>
              <w:right w:val="single" w:sz="4" w:space="0" w:color="auto"/>
            </w:tcBorders>
            <w:shd w:val="clear" w:color="000000" w:fill="FFFFFF"/>
          </w:tcPr>
          <w:p w14:paraId="45CEDA47" w14:textId="44693B45" w:rsidR="00CD481C" w:rsidRDefault="00CD481C" w:rsidP="00CD481C">
            <w:pPr>
              <w:spacing w:before="0" w:after="0"/>
              <w:jc w:val="center"/>
              <w:rPr>
                <w:rFonts w:asciiTheme="majorHAnsi" w:hAnsiTheme="majorHAnsi" w:cs="Arial"/>
                <w:b/>
                <w:bCs/>
                <w:sz w:val="16"/>
                <w:szCs w:val="16"/>
              </w:rPr>
            </w:pPr>
          </w:p>
          <w:p w14:paraId="2B98B8ED" w14:textId="081565F8" w:rsidR="00CD481C" w:rsidRPr="000B7359" w:rsidRDefault="00A1568A" w:rsidP="00CD481C">
            <w:pPr>
              <w:spacing w:before="0" w:after="0"/>
              <w:jc w:val="center"/>
              <w:rPr>
                <w:rFonts w:asciiTheme="majorHAnsi" w:hAnsiTheme="majorHAnsi"/>
                <w:sz w:val="16"/>
              </w:rPr>
            </w:pPr>
            <w:r>
              <w:rPr>
                <w:rFonts w:asciiTheme="majorHAnsi" w:hAnsiTheme="majorHAnsi" w:cs="Arial"/>
                <w:bCs/>
                <w:sz w:val="16"/>
                <w:szCs w:val="16"/>
              </w:rPr>
              <w:t>=P/L</w:t>
            </w:r>
          </w:p>
        </w:tc>
        <w:tc>
          <w:tcPr>
            <w:tcW w:w="932" w:type="dxa"/>
            <w:tcBorders>
              <w:top w:val="nil"/>
              <w:left w:val="single" w:sz="4" w:space="0" w:color="auto"/>
              <w:bottom w:val="single" w:sz="4" w:space="0" w:color="auto"/>
            </w:tcBorders>
            <w:shd w:val="clear" w:color="000000" w:fill="FFFFFF"/>
            <w:hideMark/>
          </w:tcPr>
          <w:p w14:paraId="1CFB1B7D" w14:textId="77777777" w:rsidR="00CD481C" w:rsidRPr="002F2D01" w:rsidRDefault="00CD481C" w:rsidP="00CD481C">
            <w:pPr>
              <w:spacing w:before="0" w:after="0"/>
              <w:jc w:val="center"/>
              <w:rPr>
                <w:rFonts w:asciiTheme="majorHAnsi" w:hAnsiTheme="majorHAnsi" w:cs="Arial"/>
                <w:b/>
                <w:bCs/>
                <w:sz w:val="16"/>
                <w:szCs w:val="16"/>
              </w:rPr>
            </w:pPr>
            <w:r w:rsidRPr="002F2D01">
              <w:rPr>
                <w:rFonts w:asciiTheme="majorHAnsi" w:hAnsiTheme="majorHAnsi" w:cs="Arial"/>
                <w:b/>
                <w:bCs/>
                <w:sz w:val="16"/>
                <w:szCs w:val="16"/>
              </w:rPr>
              <w:t> </w:t>
            </w:r>
          </w:p>
        </w:tc>
      </w:tr>
      <w:tr w:rsidR="00CD481C" w14:paraId="51CE31B6" w14:textId="77777777" w:rsidTr="00726F85">
        <w:trPr>
          <w:trHeight w:val="340"/>
        </w:trPr>
        <w:tc>
          <w:tcPr>
            <w:tcW w:w="15225" w:type="dxa"/>
            <w:gridSpan w:val="14"/>
            <w:tcBorders>
              <w:top w:val="nil"/>
              <w:bottom w:val="single" w:sz="4" w:space="0" w:color="auto"/>
            </w:tcBorders>
            <w:shd w:val="clear" w:color="auto" w:fill="auto"/>
            <w:vAlign w:val="center"/>
          </w:tcPr>
          <w:p w14:paraId="6CDC12E8" w14:textId="77777777" w:rsidR="00CD481C" w:rsidRPr="002F2D01" w:rsidRDefault="00CD481C" w:rsidP="000B7359">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New South Wales</w:t>
            </w:r>
          </w:p>
        </w:tc>
      </w:tr>
      <w:tr w:rsidR="00D3131B" w:rsidRPr="00527F4B" w14:paraId="15F89E8F" w14:textId="77777777" w:rsidTr="00726F85">
        <w:trPr>
          <w:trHeight w:val="170"/>
        </w:trPr>
        <w:tc>
          <w:tcPr>
            <w:tcW w:w="1560" w:type="dxa"/>
            <w:vMerge w:val="restart"/>
            <w:tcBorders>
              <w:top w:val="nil"/>
              <w:bottom w:val="single" w:sz="4" w:space="0" w:color="000000"/>
              <w:right w:val="single" w:sz="4" w:space="0" w:color="auto"/>
            </w:tcBorders>
            <w:shd w:val="clear" w:color="000000" w:fill="FFFFFF"/>
            <w:vAlign w:val="center"/>
            <w:hideMark/>
          </w:tcPr>
          <w:p w14:paraId="6E55EE74"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Eden</w:t>
            </w:r>
          </w:p>
        </w:tc>
        <w:tc>
          <w:tcPr>
            <w:tcW w:w="969" w:type="dxa"/>
            <w:tcBorders>
              <w:top w:val="nil"/>
              <w:left w:val="nil"/>
              <w:bottom w:val="nil"/>
              <w:right w:val="single" w:sz="4" w:space="0" w:color="auto"/>
            </w:tcBorders>
            <w:shd w:val="clear" w:color="000000" w:fill="FFFFFF"/>
            <w:vAlign w:val="center"/>
            <w:hideMark/>
          </w:tcPr>
          <w:p w14:paraId="71A9C216"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single" w:sz="4" w:space="0" w:color="auto"/>
              <w:left w:val="nil"/>
              <w:bottom w:val="nil"/>
              <w:right w:val="single" w:sz="4" w:space="0" w:color="auto"/>
            </w:tcBorders>
            <w:shd w:val="clear" w:color="auto" w:fill="FFFFFF" w:themeFill="background1"/>
            <w:noWrap/>
            <w:vAlign w:val="center"/>
            <w:hideMark/>
          </w:tcPr>
          <w:p w14:paraId="1887C03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533,412</w:t>
            </w:r>
          </w:p>
        </w:tc>
        <w:tc>
          <w:tcPr>
            <w:tcW w:w="993" w:type="dxa"/>
            <w:tcBorders>
              <w:top w:val="single" w:sz="4" w:space="0" w:color="auto"/>
              <w:left w:val="nil"/>
              <w:bottom w:val="nil"/>
              <w:right w:val="nil"/>
            </w:tcBorders>
            <w:shd w:val="clear" w:color="auto" w:fill="FFFFFF" w:themeFill="background1"/>
            <w:noWrap/>
            <w:vAlign w:val="center"/>
            <w:hideMark/>
          </w:tcPr>
          <w:p w14:paraId="2AE5484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408,298</w:t>
            </w:r>
          </w:p>
        </w:tc>
        <w:tc>
          <w:tcPr>
            <w:tcW w:w="1089" w:type="dxa"/>
            <w:tcBorders>
              <w:top w:val="single" w:sz="4" w:space="0" w:color="auto"/>
              <w:left w:val="nil"/>
              <w:bottom w:val="nil"/>
              <w:right w:val="nil"/>
            </w:tcBorders>
            <w:shd w:val="clear" w:color="auto" w:fill="FFFFFF" w:themeFill="background1"/>
            <w:noWrap/>
            <w:vAlign w:val="center"/>
            <w:hideMark/>
          </w:tcPr>
          <w:p w14:paraId="3911DCC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248,396</w:t>
            </w:r>
          </w:p>
        </w:tc>
        <w:tc>
          <w:tcPr>
            <w:tcW w:w="1037" w:type="dxa"/>
            <w:tcBorders>
              <w:top w:val="single" w:sz="4" w:space="0" w:color="auto"/>
              <w:left w:val="nil"/>
              <w:bottom w:val="nil"/>
              <w:right w:val="nil"/>
            </w:tcBorders>
            <w:shd w:val="clear" w:color="auto" w:fill="FFFFFF" w:themeFill="background1"/>
            <w:noWrap/>
            <w:vAlign w:val="center"/>
            <w:hideMark/>
          </w:tcPr>
          <w:p w14:paraId="7D4E843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7,562</w:t>
            </w:r>
          </w:p>
        </w:tc>
        <w:tc>
          <w:tcPr>
            <w:tcW w:w="1134" w:type="dxa"/>
            <w:tcBorders>
              <w:top w:val="single" w:sz="4" w:space="0" w:color="auto"/>
              <w:left w:val="nil"/>
              <w:bottom w:val="nil"/>
              <w:right w:val="single" w:sz="4" w:space="0" w:color="auto"/>
            </w:tcBorders>
            <w:shd w:val="clear" w:color="auto" w:fill="FFFFFF" w:themeFill="background1"/>
            <w:noWrap/>
            <w:vAlign w:val="center"/>
            <w:hideMark/>
          </w:tcPr>
          <w:p w14:paraId="48343E3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255,958</w:t>
            </w:r>
          </w:p>
        </w:tc>
        <w:tc>
          <w:tcPr>
            <w:tcW w:w="992" w:type="dxa"/>
            <w:tcBorders>
              <w:top w:val="single" w:sz="4" w:space="0" w:color="auto"/>
              <w:left w:val="nil"/>
              <w:bottom w:val="nil"/>
              <w:right w:val="single" w:sz="4" w:space="0" w:color="auto"/>
            </w:tcBorders>
            <w:shd w:val="clear" w:color="auto" w:fill="FFFFFF" w:themeFill="background1"/>
            <w:noWrap/>
            <w:vAlign w:val="center"/>
            <w:hideMark/>
          </w:tcPr>
          <w:p w14:paraId="1743182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533,412</w:t>
            </w:r>
          </w:p>
        </w:tc>
        <w:tc>
          <w:tcPr>
            <w:tcW w:w="993" w:type="dxa"/>
            <w:tcBorders>
              <w:top w:val="single" w:sz="4" w:space="0" w:color="auto"/>
              <w:left w:val="nil"/>
              <w:bottom w:val="nil"/>
              <w:right w:val="nil"/>
            </w:tcBorders>
            <w:shd w:val="clear" w:color="auto" w:fill="FFFFFF" w:themeFill="background1"/>
            <w:noWrap/>
            <w:vAlign w:val="center"/>
            <w:hideMark/>
          </w:tcPr>
          <w:p w14:paraId="040239A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408,298</w:t>
            </w:r>
          </w:p>
        </w:tc>
        <w:tc>
          <w:tcPr>
            <w:tcW w:w="1095" w:type="dxa"/>
            <w:tcBorders>
              <w:top w:val="single" w:sz="4" w:space="0" w:color="auto"/>
              <w:left w:val="nil"/>
              <w:bottom w:val="nil"/>
              <w:right w:val="nil"/>
            </w:tcBorders>
            <w:shd w:val="clear" w:color="auto" w:fill="FFFFFF" w:themeFill="background1"/>
            <w:noWrap/>
            <w:vAlign w:val="center"/>
            <w:hideMark/>
          </w:tcPr>
          <w:p w14:paraId="646B93D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282,476</w:t>
            </w:r>
          </w:p>
        </w:tc>
        <w:tc>
          <w:tcPr>
            <w:tcW w:w="1102" w:type="dxa"/>
            <w:tcBorders>
              <w:top w:val="single" w:sz="4" w:space="0" w:color="auto"/>
              <w:left w:val="nil"/>
              <w:bottom w:val="nil"/>
              <w:right w:val="nil"/>
            </w:tcBorders>
            <w:shd w:val="clear" w:color="auto" w:fill="FFFFFF" w:themeFill="background1"/>
            <w:noWrap/>
            <w:vAlign w:val="center"/>
            <w:hideMark/>
          </w:tcPr>
          <w:p w14:paraId="0E1276F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10,021</w:t>
            </w:r>
          </w:p>
        </w:tc>
        <w:tc>
          <w:tcPr>
            <w:tcW w:w="1063" w:type="dxa"/>
            <w:tcBorders>
              <w:top w:val="single" w:sz="4" w:space="0" w:color="auto"/>
              <w:left w:val="nil"/>
              <w:bottom w:val="nil"/>
              <w:right w:val="single" w:sz="4" w:space="0" w:color="auto"/>
            </w:tcBorders>
            <w:shd w:val="clear" w:color="auto" w:fill="FFFFFF" w:themeFill="background1"/>
            <w:noWrap/>
            <w:vAlign w:val="center"/>
            <w:hideMark/>
          </w:tcPr>
          <w:p w14:paraId="756ACADA"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292,497</w:t>
            </w:r>
          </w:p>
        </w:tc>
        <w:tc>
          <w:tcPr>
            <w:tcW w:w="1393" w:type="dxa"/>
            <w:tcBorders>
              <w:top w:val="single" w:sz="4" w:space="0" w:color="auto"/>
              <w:left w:val="nil"/>
              <w:bottom w:val="nil"/>
              <w:right w:val="single" w:sz="4" w:space="0" w:color="auto"/>
            </w:tcBorders>
            <w:shd w:val="clear" w:color="auto" w:fill="FFFFFF" w:themeFill="background1"/>
            <w:vAlign w:val="center"/>
          </w:tcPr>
          <w:p w14:paraId="1CF50755"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55</w:t>
            </w:r>
          </w:p>
        </w:tc>
        <w:tc>
          <w:tcPr>
            <w:tcW w:w="932" w:type="dxa"/>
            <w:tcBorders>
              <w:top w:val="single" w:sz="4" w:space="0" w:color="auto"/>
              <w:left w:val="single" w:sz="4" w:space="0" w:color="auto"/>
              <w:bottom w:val="nil"/>
            </w:tcBorders>
            <w:shd w:val="clear" w:color="auto" w:fill="FFFFFF" w:themeFill="background1"/>
            <w:noWrap/>
            <w:tcMar>
              <w:top w:w="0" w:type="dxa"/>
              <w:left w:w="0" w:type="dxa"/>
              <w:bottom w:w="0" w:type="dxa"/>
              <w:right w:w="180" w:type="dxa"/>
            </w:tcMar>
            <w:vAlign w:val="center"/>
            <w:hideMark/>
          </w:tcPr>
          <w:p w14:paraId="7F26FE59"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56</w:t>
            </w:r>
          </w:p>
        </w:tc>
      </w:tr>
      <w:tr w:rsidR="00D3131B" w:rsidRPr="00527F4B" w14:paraId="25EC270F" w14:textId="77777777" w:rsidTr="00726F85">
        <w:trPr>
          <w:trHeight w:val="170"/>
        </w:trPr>
        <w:tc>
          <w:tcPr>
            <w:tcW w:w="1560" w:type="dxa"/>
            <w:vMerge/>
            <w:tcBorders>
              <w:top w:val="nil"/>
              <w:bottom w:val="single" w:sz="4" w:space="0" w:color="000000"/>
              <w:right w:val="single" w:sz="4" w:space="0" w:color="auto"/>
            </w:tcBorders>
            <w:vAlign w:val="center"/>
            <w:hideMark/>
          </w:tcPr>
          <w:p w14:paraId="7DE7A219"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nil"/>
              <w:right w:val="single" w:sz="4" w:space="0" w:color="auto"/>
            </w:tcBorders>
            <w:shd w:val="clear" w:color="000000" w:fill="FFFFFF"/>
            <w:vAlign w:val="center"/>
            <w:hideMark/>
          </w:tcPr>
          <w:p w14:paraId="3A42843B"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24D79BA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18,215</w:t>
            </w:r>
          </w:p>
        </w:tc>
        <w:tc>
          <w:tcPr>
            <w:tcW w:w="993" w:type="dxa"/>
            <w:tcBorders>
              <w:top w:val="nil"/>
              <w:left w:val="nil"/>
              <w:bottom w:val="nil"/>
              <w:right w:val="nil"/>
            </w:tcBorders>
            <w:shd w:val="clear" w:color="auto" w:fill="FFFFFF" w:themeFill="background1"/>
            <w:noWrap/>
            <w:vAlign w:val="center"/>
            <w:hideMark/>
          </w:tcPr>
          <w:p w14:paraId="7E7C50A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11,882</w:t>
            </w:r>
          </w:p>
        </w:tc>
        <w:tc>
          <w:tcPr>
            <w:tcW w:w="1089" w:type="dxa"/>
            <w:tcBorders>
              <w:top w:val="nil"/>
              <w:left w:val="nil"/>
              <w:bottom w:val="nil"/>
              <w:right w:val="nil"/>
            </w:tcBorders>
            <w:shd w:val="clear" w:color="auto" w:fill="FFFFFF" w:themeFill="background1"/>
            <w:noWrap/>
            <w:vAlign w:val="center"/>
            <w:hideMark/>
          </w:tcPr>
          <w:p w14:paraId="022F0CD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9,848</w:t>
            </w:r>
          </w:p>
        </w:tc>
        <w:tc>
          <w:tcPr>
            <w:tcW w:w="1037" w:type="dxa"/>
            <w:tcBorders>
              <w:top w:val="nil"/>
              <w:left w:val="nil"/>
              <w:bottom w:val="nil"/>
              <w:right w:val="nil"/>
            </w:tcBorders>
            <w:shd w:val="clear" w:color="auto" w:fill="FFFFFF" w:themeFill="background1"/>
            <w:noWrap/>
            <w:vAlign w:val="center"/>
            <w:hideMark/>
          </w:tcPr>
          <w:p w14:paraId="620C0C1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323</w:t>
            </w:r>
          </w:p>
        </w:tc>
        <w:tc>
          <w:tcPr>
            <w:tcW w:w="1134" w:type="dxa"/>
            <w:tcBorders>
              <w:top w:val="nil"/>
              <w:left w:val="nil"/>
              <w:bottom w:val="nil"/>
              <w:right w:val="single" w:sz="4" w:space="0" w:color="auto"/>
            </w:tcBorders>
            <w:shd w:val="clear" w:color="auto" w:fill="FFFFFF" w:themeFill="background1"/>
            <w:noWrap/>
            <w:vAlign w:val="center"/>
            <w:hideMark/>
          </w:tcPr>
          <w:p w14:paraId="0338977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10,171</w:t>
            </w:r>
          </w:p>
        </w:tc>
        <w:tc>
          <w:tcPr>
            <w:tcW w:w="992" w:type="dxa"/>
            <w:tcBorders>
              <w:top w:val="nil"/>
              <w:left w:val="nil"/>
              <w:bottom w:val="nil"/>
              <w:right w:val="single" w:sz="4" w:space="0" w:color="auto"/>
            </w:tcBorders>
            <w:shd w:val="clear" w:color="auto" w:fill="FFFFFF" w:themeFill="background1"/>
            <w:noWrap/>
            <w:vAlign w:val="center"/>
            <w:hideMark/>
          </w:tcPr>
          <w:p w14:paraId="2D186BA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18,215</w:t>
            </w:r>
          </w:p>
        </w:tc>
        <w:tc>
          <w:tcPr>
            <w:tcW w:w="993" w:type="dxa"/>
            <w:tcBorders>
              <w:top w:val="nil"/>
              <w:left w:val="nil"/>
              <w:bottom w:val="nil"/>
              <w:right w:val="nil"/>
            </w:tcBorders>
            <w:shd w:val="clear" w:color="auto" w:fill="FFFFFF" w:themeFill="background1"/>
            <w:noWrap/>
            <w:vAlign w:val="center"/>
          </w:tcPr>
          <w:p w14:paraId="1CE7C0D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11,882</w:t>
            </w:r>
          </w:p>
        </w:tc>
        <w:tc>
          <w:tcPr>
            <w:tcW w:w="1095" w:type="dxa"/>
            <w:tcBorders>
              <w:top w:val="nil"/>
              <w:left w:val="nil"/>
              <w:bottom w:val="nil"/>
              <w:right w:val="nil"/>
            </w:tcBorders>
            <w:shd w:val="clear" w:color="auto" w:fill="FFFFFF" w:themeFill="background1"/>
            <w:noWrap/>
            <w:vAlign w:val="center"/>
            <w:hideMark/>
          </w:tcPr>
          <w:p w14:paraId="01DCCAC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10,526</w:t>
            </w:r>
          </w:p>
        </w:tc>
        <w:tc>
          <w:tcPr>
            <w:tcW w:w="1102" w:type="dxa"/>
            <w:tcBorders>
              <w:top w:val="nil"/>
              <w:left w:val="nil"/>
              <w:bottom w:val="nil"/>
              <w:right w:val="nil"/>
            </w:tcBorders>
            <w:shd w:val="clear" w:color="auto" w:fill="FFFFFF" w:themeFill="background1"/>
            <w:noWrap/>
            <w:vAlign w:val="center"/>
            <w:hideMark/>
          </w:tcPr>
          <w:p w14:paraId="0E5CC8C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347</w:t>
            </w:r>
          </w:p>
        </w:tc>
        <w:tc>
          <w:tcPr>
            <w:tcW w:w="1063" w:type="dxa"/>
            <w:tcBorders>
              <w:top w:val="nil"/>
              <w:left w:val="nil"/>
              <w:bottom w:val="nil"/>
              <w:right w:val="single" w:sz="4" w:space="0" w:color="auto"/>
            </w:tcBorders>
            <w:shd w:val="clear" w:color="auto" w:fill="FFFFFF" w:themeFill="background1"/>
            <w:noWrap/>
            <w:vAlign w:val="center"/>
            <w:hideMark/>
          </w:tcPr>
          <w:p w14:paraId="188F5DE1"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10,873</w:t>
            </w:r>
          </w:p>
        </w:tc>
        <w:tc>
          <w:tcPr>
            <w:tcW w:w="1393" w:type="dxa"/>
            <w:tcBorders>
              <w:top w:val="nil"/>
              <w:left w:val="nil"/>
              <w:bottom w:val="nil"/>
              <w:right w:val="single" w:sz="4" w:space="0" w:color="auto"/>
            </w:tcBorders>
            <w:shd w:val="clear" w:color="auto" w:fill="FFFFFF" w:themeFill="background1"/>
            <w:vAlign w:val="center"/>
          </w:tcPr>
          <w:p w14:paraId="4F113437"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60</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620CF3A7"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17</w:t>
            </w:r>
          </w:p>
        </w:tc>
      </w:tr>
      <w:tr w:rsidR="00D3131B" w:rsidRPr="00527F4B" w14:paraId="7271FEFF" w14:textId="77777777" w:rsidTr="00726F85">
        <w:trPr>
          <w:trHeight w:val="170"/>
        </w:trPr>
        <w:tc>
          <w:tcPr>
            <w:tcW w:w="1560" w:type="dxa"/>
            <w:vMerge/>
            <w:tcBorders>
              <w:top w:val="nil"/>
              <w:bottom w:val="single" w:sz="4" w:space="0" w:color="000000"/>
              <w:right w:val="single" w:sz="4" w:space="0" w:color="auto"/>
            </w:tcBorders>
            <w:vAlign w:val="center"/>
            <w:hideMark/>
          </w:tcPr>
          <w:p w14:paraId="6FA338AC"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63C21099"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2703B00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551,627</w:t>
            </w:r>
          </w:p>
        </w:tc>
        <w:tc>
          <w:tcPr>
            <w:tcW w:w="993" w:type="dxa"/>
            <w:tcBorders>
              <w:top w:val="nil"/>
              <w:left w:val="nil"/>
              <w:bottom w:val="single" w:sz="4" w:space="0" w:color="auto"/>
              <w:right w:val="nil"/>
            </w:tcBorders>
            <w:shd w:val="clear" w:color="auto" w:fill="FFFFFF" w:themeFill="background1"/>
            <w:noWrap/>
            <w:vAlign w:val="center"/>
            <w:hideMark/>
          </w:tcPr>
          <w:p w14:paraId="5383B17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420,179</w:t>
            </w:r>
          </w:p>
        </w:tc>
        <w:tc>
          <w:tcPr>
            <w:tcW w:w="1089" w:type="dxa"/>
            <w:tcBorders>
              <w:top w:val="nil"/>
              <w:left w:val="nil"/>
              <w:bottom w:val="single" w:sz="4" w:space="0" w:color="auto"/>
              <w:right w:val="nil"/>
            </w:tcBorders>
            <w:shd w:val="clear" w:color="auto" w:fill="FFFFFF" w:themeFill="background1"/>
            <w:noWrap/>
            <w:vAlign w:val="center"/>
            <w:hideMark/>
          </w:tcPr>
          <w:p w14:paraId="7E3CD8C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258,245</w:t>
            </w:r>
          </w:p>
        </w:tc>
        <w:tc>
          <w:tcPr>
            <w:tcW w:w="1037" w:type="dxa"/>
            <w:tcBorders>
              <w:top w:val="nil"/>
              <w:left w:val="nil"/>
              <w:bottom w:val="single" w:sz="4" w:space="0" w:color="auto"/>
              <w:right w:val="nil"/>
            </w:tcBorders>
            <w:shd w:val="clear" w:color="auto" w:fill="FFFFFF" w:themeFill="background1"/>
            <w:noWrap/>
            <w:vAlign w:val="center"/>
            <w:hideMark/>
          </w:tcPr>
          <w:p w14:paraId="7F56533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7,885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DC352E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266,130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9502D6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551,627</w:t>
            </w:r>
          </w:p>
        </w:tc>
        <w:tc>
          <w:tcPr>
            <w:tcW w:w="993" w:type="dxa"/>
            <w:tcBorders>
              <w:top w:val="nil"/>
              <w:left w:val="nil"/>
              <w:bottom w:val="single" w:sz="4" w:space="0" w:color="auto"/>
              <w:right w:val="nil"/>
            </w:tcBorders>
            <w:shd w:val="clear" w:color="auto" w:fill="FFFFFF" w:themeFill="background1"/>
            <w:noWrap/>
            <w:vAlign w:val="center"/>
          </w:tcPr>
          <w:p w14:paraId="53E9A45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420,179</w:t>
            </w:r>
          </w:p>
        </w:tc>
        <w:tc>
          <w:tcPr>
            <w:tcW w:w="1095" w:type="dxa"/>
            <w:tcBorders>
              <w:top w:val="nil"/>
              <w:left w:val="nil"/>
              <w:bottom w:val="single" w:sz="4" w:space="0" w:color="auto"/>
              <w:right w:val="nil"/>
            </w:tcBorders>
            <w:shd w:val="clear" w:color="auto" w:fill="FFFFFF" w:themeFill="background1"/>
            <w:noWrap/>
            <w:vAlign w:val="center"/>
            <w:hideMark/>
          </w:tcPr>
          <w:p w14:paraId="4551E5E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293,002</w:t>
            </w:r>
          </w:p>
        </w:tc>
        <w:tc>
          <w:tcPr>
            <w:tcW w:w="1102" w:type="dxa"/>
            <w:tcBorders>
              <w:top w:val="nil"/>
              <w:left w:val="nil"/>
              <w:bottom w:val="single" w:sz="4" w:space="0" w:color="auto"/>
              <w:right w:val="nil"/>
            </w:tcBorders>
            <w:shd w:val="clear" w:color="auto" w:fill="FFFFFF" w:themeFill="background1"/>
            <w:noWrap/>
            <w:vAlign w:val="center"/>
            <w:hideMark/>
          </w:tcPr>
          <w:p w14:paraId="71EEDD3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10,368</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73AA37B6"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303,370</w:t>
            </w:r>
          </w:p>
        </w:tc>
        <w:tc>
          <w:tcPr>
            <w:tcW w:w="1393" w:type="dxa"/>
            <w:tcBorders>
              <w:top w:val="nil"/>
              <w:left w:val="nil"/>
              <w:bottom w:val="single" w:sz="4" w:space="0" w:color="auto"/>
              <w:right w:val="single" w:sz="4" w:space="0" w:color="auto"/>
            </w:tcBorders>
            <w:shd w:val="clear" w:color="auto" w:fill="FFFFFF" w:themeFill="background1"/>
            <w:vAlign w:val="center"/>
          </w:tcPr>
          <w:p w14:paraId="64283721"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55</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75D7CA1F"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73</w:t>
            </w:r>
          </w:p>
        </w:tc>
      </w:tr>
      <w:tr w:rsidR="00D3131B" w:rsidRPr="00527F4B" w14:paraId="20DB3391" w14:textId="77777777" w:rsidTr="00726F85">
        <w:trPr>
          <w:trHeight w:val="170"/>
        </w:trPr>
        <w:tc>
          <w:tcPr>
            <w:tcW w:w="1560" w:type="dxa"/>
            <w:vMerge w:val="restart"/>
            <w:tcBorders>
              <w:top w:val="nil"/>
              <w:bottom w:val="single" w:sz="4" w:space="0" w:color="000000"/>
              <w:right w:val="single" w:sz="4" w:space="0" w:color="auto"/>
            </w:tcBorders>
            <w:shd w:val="clear" w:color="000000" w:fill="FFFFFF"/>
            <w:vAlign w:val="center"/>
            <w:hideMark/>
          </w:tcPr>
          <w:p w14:paraId="1A5060AB"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Upper North East</w:t>
            </w:r>
          </w:p>
        </w:tc>
        <w:tc>
          <w:tcPr>
            <w:tcW w:w="969" w:type="dxa"/>
            <w:tcBorders>
              <w:top w:val="nil"/>
              <w:left w:val="nil"/>
              <w:bottom w:val="nil"/>
              <w:right w:val="single" w:sz="4" w:space="0" w:color="auto"/>
            </w:tcBorders>
            <w:shd w:val="clear" w:color="000000" w:fill="FFFFFF"/>
            <w:vAlign w:val="center"/>
            <w:hideMark/>
          </w:tcPr>
          <w:p w14:paraId="1899467B"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4B31A5A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2,166,601</w:t>
            </w:r>
          </w:p>
        </w:tc>
        <w:tc>
          <w:tcPr>
            <w:tcW w:w="993" w:type="dxa"/>
            <w:tcBorders>
              <w:top w:val="nil"/>
              <w:left w:val="nil"/>
              <w:bottom w:val="nil"/>
              <w:right w:val="nil"/>
            </w:tcBorders>
            <w:shd w:val="clear" w:color="auto" w:fill="FFFFFF" w:themeFill="background1"/>
            <w:noWrap/>
            <w:vAlign w:val="center"/>
            <w:hideMark/>
          </w:tcPr>
          <w:p w14:paraId="4AAD417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972,796</w:t>
            </w:r>
          </w:p>
        </w:tc>
        <w:tc>
          <w:tcPr>
            <w:tcW w:w="1089" w:type="dxa"/>
            <w:tcBorders>
              <w:top w:val="nil"/>
              <w:left w:val="nil"/>
              <w:bottom w:val="nil"/>
              <w:right w:val="nil"/>
            </w:tcBorders>
            <w:shd w:val="clear" w:color="auto" w:fill="FFFFFF" w:themeFill="background1"/>
            <w:noWrap/>
            <w:vAlign w:val="center"/>
            <w:hideMark/>
          </w:tcPr>
          <w:p w14:paraId="73B4B8A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556,115</w:t>
            </w:r>
          </w:p>
        </w:tc>
        <w:tc>
          <w:tcPr>
            <w:tcW w:w="1037" w:type="dxa"/>
            <w:tcBorders>
              <w:top w:val="nil"/>
              <w:left w:val="nil"/>
              <w:bottom w:val="nil"/>
              <w:right w:val="nil"/>
            </w:tcBorders>
            <w:shd w:val="clear" w:color="auto" w:fill="FFFFFF" w:themeFill="background1"/>
            <w:noWrap/>
            <w:vAlign w:val="center"/>
            <w:hideMark/>
          </w:tcPr>
          <w:p w14:paraId="771DFE9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107,051</w:t>
            </w:r>
          </w:p>
        </w:tc>
        <w:tc>
          <w:tcPr>
            <w:tcW w:w="1134" w:type="dxa"/>
            <w:tcBorders>
              <w:top w:val="nil"/>
              <w:left w:val="nil"/>
              <w:bottom w:val="nil"/>
              <w:right w:val="single" w:sz="4" w:space="0" w:color="auto"/>
            </w:tcBorders>
            <w:shd w:val="clear" w:color="auto" w:fill="FFFFFF" w:themeFill="background1"/>
            <w:noWrap/>
            <w:vAlign w:val="center"/>
            <w:hideMark/>
          </w:tcPr>
          <w:p w14:paraId="54BCF22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663,167</w:t>
            </w:r>
          </w:p>
        </w:tc>
        <w:tc>
          <w:tcPr>
            <w:tcW w:w="992" w:type="dxa"/>
            <w:tcBorders>
              <w:top w:val="nil"/>
              <w:left w:val="nil"/>
              <w:bottom w:val="nil"/>
              <w:right w:val="single" w:sz="4" w:space="0" w:color="auto"/>
            </w:tcBorders>
            <w:shd w:val="clear" w:color="auto" w:fill="FFFFFF" w:themeFill="background1"/>
            <w:noWrap/>
            <w:vAlign w:val="center"/>
            <w:hideMark/>
          </w:tcPr>
          <w:p w14:paraId="6FA2690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2,166,601</w:t>
            </w:r>
          </w:p>
        </w:tc>
        <w:tc>
          <w:tcPr>
            <w:tcW w:w="993" w:type="dxa"/>
            <w:tcBorders>
              <w:top w:val="nil"/>
              <w:left w:val="nil"/>
              <w:bottom w:val="nil"/>
              <w:right w:val="nil"/>
            </w:tcBorders>
            <w:shd w:val="clear" w:color="auto" w:fill="FFFFFF" w:themeFill="background1"/>
            <w:noWrap/>
            <w:vAlign w:val="center"/>
          </w:tcPr>
          <w:p w14:paraId="44A5225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972,796</w:t>
            </w:r>
          </w:p>
        </w:tc>
        <w:tc>
          <w:tcPr>
            <w:tcW w:w="1095" w:type="dxa"/>
            <w:tcBorders>
              <w:top w:val="nil"/>
              <w:left w:val="nil"/>
              <w:bottom w:val="nil"/>
              <w:right w:val="nil"/>
            </w:tcBorders>
            <w:shd w:val="clear" w:color="auto" w:fill="FFFFFF" w:themeFill="background1"/>
            <w:noWrap/>
            <w:vAlign w:val="center"/>
            <w:hideMark/>
          </w:tcPr>
          <w:p w14:paraId="0E233EF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752,150</w:t>
            </w:r>
          </w:p>
        </w:tc>
        <w:tc>
          <w:tcPr>
            <w:tcW w:w="1102" w:type="dxa"/>
            <w:tcBorders>
              <w:top w:val="nil"/>
              <w:left w:val="nil"/>
              <w:bottom w:val="nil"/>
              <w:right w:val="nil"/>
            </w:tcBorders>
            <w:shd w:val="clear" w:color="auto" w:fill="FFFFFF" w:themeFill="background1"/>
            <w:noWrap/>
            <w:vAlign w:val="center"/>
            <w:hideMark/>
          </w:tcPr>
          <w:p w14:paraId="79328D7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50,271</w:t>
            </w:r>
          </w:p>
        </w:tc>
        <w:tc>
          <w:tcPr>
            <w:tcW w:w="1063" w:type="dxa"/>
            <w:tcBorders>
              <w:top w:val="nil"/>
              <w:left w:val="nil"/>
              <w:bottom w:val="nil"/>
              <w:right w:val="single" w:sz="4" w:space="0" w:color="auto"/>
            </w:tcBorders>
            <w:shd w:val="clear" w:color="auto" w:fill="FFFFFF" w:themeFill="background1"/>
            <w:noWrap/>
            <w:vAlign w:val="center"/>
            <w:hideMark/>
          </w:tcPr>
          <w:p w14:paraId="236B3B32"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802,421</w:t>
            </w:r>
          </w:p>
        </w:tc>
        <w:tc>
          <w:tcPr>
            <w:tcW w:w="1393" w:type="dxa"/>
            <w:tcBorders>
              <w:top w:val="nil"/>
              <w:left w:val="nil"/>
              <w:bottom w:val="nil"/>
              <w:right w:val="single" w:sz="4" w:space="0" w:color="auto"/>
            </w:tcBorders>
            <w:shd w:val="clear" w:color="auto" w:fill="FFFFFF" w:themeFill="background1"/>
            <w:vAlign w:val="center"/>
          </w:tcPr>
          <w:p w14:paraId="63CAC2F5"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37</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74A60A04"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153</w:t>
            </w:r>
          </w:p>
        </w:tc>
      </w:tr>
      <w:tr w:rsidR="00D3131B" w:rsidRPr="00527F4B" w14:paraId="126CF0C0" w14:textId="77777777" w:rsidTr="00726F85">
        <w:trPr>
          <w:trHeight w:val="170"/>
        </w:trPr>
        <w:tc>
          <w:tcPr>
            <w:tcW w:w="1560" w:type="dxa"/>
            <w:vMerge/>
            <w:tcBorders>
              <w:top w:val="nil"/>
              <w:bottom w:val="single" w:sz="4" w:space="0" w:color="000000"/>
              <w:right w:val="single" w:sz="4" w:space="0" w:color="auto"/>
            </w:tcBorders>
            <w:vAlign w:val="center"/>
            <w:hideMark/>
          </w:tcPr>
          <w:p w14:paraId="1455FBC0"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nil"/>
              <w:right w:val="single" w:sz="4" w:space="0" w:color="auto"/>
            </w:tcBorders>
            <w:shd w:val="clear" w:color="000000" w:fill="FFFFFF"/>
            <w:vAlign w:val="center"/>
            <w:hideMark/>
          </w:tcPr>
          <w:p w14:paraId="41A79F76"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569D39D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61,284</w:t>
            </w:r>
          </w:p>
        </w:tc>
        <w:tc>
          <w:tcPr>
            <w:tcW w:w="993" w:type="dxa"/>
            <w:tcBorders>
              <w:top w:val="nil"/>
              <w:left w:val="nil"/>
              <w:bottom w:val="nil"/>
              <w:right w:val="nil"/>
            </w:tcBorders>
            <w:shd w:val="clear" w:color="auto" w:fill="FFFFFF" w:themeFill="background1"/>
            <w:noWrap/>
            <w:vAlign w:val="center"/>
            <w:hideMark/>
          </w:tcPr>
          <w:p w14:paraId="68C20F3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44,648</w:t>
            </w:r>
          </w:p>
        </w:tc>
        <w:tc>
          <w:tcPr>
            <w:tcW w:w="1089" w:type="dxa"/>
            <w:tcBorders>
              <w:top w:val="nil"/>
              <w:left w:val="nil"/>
              <w:bottom w:val="nil"/>
              <w:right w:val="nil"/>
            </w:tcBorders>
            <w:shd w:val="clear" w:color="auto" w:fill="FFFFFF" w:themeFill="background1"/>
            <w:noWrap/>
            <w:vAlign w:val="center"/>
            <w:hideMark/>
          </w:tcPr>
          <w:p w14:paraId="77CE2D0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34,884</w:t>
            </w:r>
          </w:p>
        </w:tc>
        <w:tc>
          <w:tcPr>
            <w:tcW w:w="1037" w:type="dxa"/>
            <w:tcBorders>
              <w:top w:val="nil"/>
              <w:left w:val="nil"/>
              <w:bottom w:val="nil"/>
              <w:right w:val="nil"/>
            </w:tcBorders>
            <w:shd w:val="clear" w:color="auto" w:fill="FFFFFF" w:themeFill="background1"/>
            <w:noWrap/>
            <w:vAlign w:val="center"/>
            <w:hideMark/>
          </w:tcPr>
          <w:p w14:paraId="3BA18DE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6,900</w:t>
            </w:r>
          </w:p>
        </w:tc>
        <w:tc>
          <w:tcPr>
            <w:tcW w:w="1134" w:type="dxa"/>
            <w:tcBorders>
              <w:top w:val="nil"/>
              <w:left w:val="nil"/>
              <w:bottom w:val="nil"/>
              <w:right w:val="single" w:sz="4" w:space="0" w:color="auto"/>
            </w:tcBorders>
            <w:shd w:val="clear" w:color="auto" w:fill="FFFFFF" w:themeFill="background1"/>
            <w:noWrap/>
            <w:vAlign w:val="center"/>
            <w:hideMark/>
          </w:tcPr>
          <w:p w14:paraId="3FCCB6C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41,784</w:t>
            </w:r>
          </w:p>
        </w:tc>
        <w:tc>
          <w:tcPr>
            <w:tcW w:w="992" w:type="dxa"/>
            <w:tcBorders>
              <w:top w:val="nil"/>
              <w:left w:val="nil"/>
              <w:bottom w:val="nil"/>
              <w:right w:val="single" w:sz="4" w:space="0" w:color="auto"/>
            </w:tcBorders>
            <w:shd w:val="clear" w:color="auto" w:fill="FFFFFF" w:themeFill="background1"/>
            <w:noWrap/>
            <w:vAlign w:val="center"/>
            <w:hideMark/>
          </w:tcPr>
          <w:p w14:paraId="2B8D839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61,284</w:t>
            </w:r>
          </w:p>
        </w:tc>
        <w:tc>
          <w:tcPr>
            <w:tcW w:w="993" w:type="dxa"/>
            <w:tcBorders>
              <w:top w:val="nil"/>
              <w:left w:val="nil"/>
              <w:bottom w:val="nil"/>
              <w:right w:val="nil"/>
            </w:tcBorders>
            <w:shd w:val="clear" w:color="auto" w:fill="FFFFFF" w:themeFill="background1"/>
            <w:noWrap/>
            <w:vAlign w:val="center"/>
          </w:tcPr>
          <w:p w14:paraId="6EFDABF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44,648</w:t>
            </w:r>
          </w:p>
        </w:tc>
        <w:tc>
          <w:tcPr>
            <w:tcW w:w="1095" w:type="dxa"/>
            <w:tcBorders>
              <w:top w:val="nil"/>
              <w:left w:val="nil"/>
              <w:bottom w:val="nil"/>
              <w:right w:val="nil"/>
            </w:tcBorders>
            <w:shd w:val="clear" w:color="auto" w:fill="FFFFFF" w:themeFill="background1"/>
            <w:noWrap/>
            <w:vAlign w:val="center"/>
            <w:hideMark/>
          </w:tcPr>
          <w:p w14:paraId="14BA1AF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44,726</w:t>
            </w:r>
          </w:p>
        </w:tc>
        <w:tc>
          <w:tcPr>
            <w:tcW w:w="1102" w:type="dxa"/>
            <w:tcBorders>
              <w:top w:val="nil"/>
              <w:left w:val="nil"/>
              <w:bottom w:val="nil"/>
              <w:right w:val="nil"/>
            </w:tcBorders>
            <w:shd w:val="clear" w:color="auto" w:fill="FFFFFF" w:themeFill="background1"/>
            <w:noWrap/>
            <w:vAlign w:val="center"/>
            <w:hideMark/>
          </w:tcPr>
          <w:p w14:paraId="42A9241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260</w:t>
            </w:r>
          </w:p>
        </w:tc>
        <w:tc>
          <w:tcPr>
            <w:tcW w:w="1063" w:type="dxa"/>
            <w:tcBorders>
              <w:top w:val="nil"/>
              <w:left w:val="nil"/>
              <w:bottom w:val="nil"/>
              <w:right w:val="single" w:sz="4" w:space="0" w:color="auto"/>
            </w:tcBorders>
            <w:shd w:val="clear" w:color="auto" w:fill="FFFFFF" w:themeFill="background1"/>
            <w:noWrap/>
            <w:vAlign w:val="center"/>
            <w:hideMark/>
          </w:tcPr>
          <w:p w14:paraId="6DDB30B8"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44,986</w:t>
            </w:r>
          </w:p>
        </w:tc>
        <w:tc>
          <w:tcPr>
            <w:tcW w:w="1393" w:type="dxa"/>
            <w:tcBorders>
              <w:top w:val="nil"/>
              <w:left w:val="nil"/>
              <w:bottom w:val="nil"/>
              <w:right w:val="single" w:sz="4" w:space="0" w:color="auto"/>
            </w:tcBorders>
            <w:shd w:val="clear" w:color="auto" w:fill="FFFFFF" w:themeFill="background1"/>
            <w:vAlign w:val="center"/>
          </w:tcPr>
          <w:p w14:paraId="0CE8E7ED"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73</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5E1623EC"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9</w:t>
            </w:r>
          </w:p>
        </w:tc>
      </w:tr>
      <w:tr w:rsidR="00D3131B" w:rsidRPr="00527F4B" w14:paraId="71F81315" w14:textId="77777777" w:rsidTr="00726F85">
        <w:trPr>
          <w:trHeight w:val="170"/>
        </w:trPr>
        <w:tc>
          <w:tcPr>
            <w:tcW w:w="1560" w:type="dxa"/>
            <w:vMerge/>
            <w:tcBorders>
              <w:top w:val="nil"/>
              <w:bottom w:val="single" w:sz="4" w:space="0" w:color="000000"/>
              <w:right w:val="single" w:sz="4" w:space="0" w:color="auto"/>
            </w:tcBorders>
            <w:vAlign w:val="center"/>
            <w:hideMark/>
          </w:tcPr>
          <w:p w14:paraId="785CAB52"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16256420"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337ED28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2,227,885</w:t>
            </w:r>
          </w:p>
        </w:tc>
        <w:tc>
          <w:tcPr>
            <w:tcW w:w="993" w:type="dxa"/>
            <w:tcBorders>
              <w:top w:val="nil"/>
              <w:left w:val="nil"/>
              <w:bottom w:val="single" w:sz="4" w:space="0" w:color="auto"/>
              <w:right w:val="nil"/>
            </w:tcBorders>
            <w:shd w:val="clear" w:color="auto" w:fill="FFFFFF" w:themeFill="background1"/>
            <w:noWrap/>
            <w:vAlign w:val="center"/>
            <w:hideMark/>
          </w:tcPr>
          <w:p w14:paraId="235E5F2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1,017,444</w:t>
            </w:r>
          </w:p>
        </w:tc>
        <w:tc>
          <w:tcPr>
            <w:tcW w:w="1089" w:type="dxa"/>
            <w:tcBorders>
              <w:top w:val="nil"/>
              <w:left w:val="nil"/>
              <w:bottom w:val="single" w:sz="4" w:space="0" w:color="auto"/>
              <w:right w:val="nil"/>
            </w:tcBorders>
            <w:shd w:val="clear" w:color="auto" w:fill="FFFFFF" w:themeFill="background1"/>
            <w:noWrap/>
            <w:vAlign w:val="center"/>
            <w:hideMark/>
          </w:tcPr>
          <w:p w14:paraId="76752F2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590,999</w:t>
            </w:r>
          </w:p>
        </w:tc>
        <w:tc>
          <w:tcPr>
            <w:tcW w:w="1037" w:type="dxa"/>
            <w:tcBorders>
              <w:top w:val="nil"/>
              <w:left w:val="nil"/>
              <w:bottom w:val="single" w:sz="4" w:space="0" w:color="auto"/>
              <w:right w:val="nil"/>
            </w:tcBorders>
            <w:shd w:val="clear" w:color="auto" w:fill="FFFFFF" w:themeFill="background1"/>
            <w:noWrap/>
            <w:vAlign w:val="center"/>
            <w:hideMark/>
          </w:tcPr>
          <w:p w14:paraId="089F297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113,951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D0761F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704,951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F4664D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2,227,885</w:t>
            </w:r>
          </w:p>
        </w:tc>
        <w:tc>
          <w:tcPr>
            <w:tcW w:w="993" w:type="dxa"/>
            <w:tcBorders>
              <w:top w:val="nil"/>
              <w:left w:val="nil"/>
              <w:bottom w:val="single" w:sz="4" w:space="0" w:color="auto"/>
              <w:right w:val="nil"/>
            </w:tcBorders>
            <w:shd w:val="clear" w:color="auto" w:fill="FFFFFF" w:themeFill="background1"/>
            <w:noWrap/>
            <w:vAlign w:val="center"/>
          </w:tcPr>
          <w:p w14:paraId="4A96C48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1,017,444</w:t>
            </w:r>
          </w:p>
        </w:tc>
        <w:tc>
          <w:tcPr>
            <w:tcW w:w="1095" w:type="dxa"/>
            <w:tcBorders>
              <w:top w:val="nil"/>
              <w:left w:val="nil"/>
              <w:bottom w:val="single" w:sz="4" w:space="0" w:color="auto"/>
              <w:right w:val="nil"/>
            </w:tcBorders>
            <w:shd w:val="clear" w:color="auto" w:fill="FFFFFF" w:themeFill="background1"/>
            <w:noWrap/>
            <w:vAlign w:val="center"/>
            <w:hideMark/>
          </w:tcPr>
          <w:p w14:paraId="14FF1D3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796,876</w:t>
            </w:r>
          </w:p>
        </w:tc>
        <w:tc>
          <w:tcPr>
            <w:tcW w:w="1102" w:type="dxa"/>
            <w:tcBorders>
              <w:top w:val="nil"/>
              <w:left w:val="nil"/>
              <w:bottom w:val="single" w:sz="4" w:space="0" w:color="auto"/>
              <w:right w:val="nil"/>
            </w:tcBorders>
            <w:shd w:val="clear" w:color="auto" w:fill="FFFFFF" w:themeFill="background1"/>
            <w:noWrap/>
            <w:vAlign w:val="center"/>
            <w:hideMark/>
          </w:tcPr>
          <w:p w14:paraId="1A11294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50,531</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1F68DE76"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847,407</w:t>
            </w:r>
          </w:p>
        </w:tc>
        <w:tc>
          <w:tcPr>
            <w:tcW w:w="1393" w:type="dxa"/>
            <w:tcBorders>
              <w:top w:val="nil"/>
              <w:left w:val="nil"/>
              <w:bottom w:val="single" w:sz="4" w:space="0" w:color="auto"/>
              <w:right w:val="single" w:sz="4" w:space="0" w:color="auto"/>
            </w:tcBorders>
            <w:shd w:val="clear" w:color="auto" w:fill="FFFFFF" w:themeFill="background1"/>
            <w:vAlign w:val="center"/>
          </w:tcPr>
          <w:p w14:paraId="152B16A8"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38</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3110F0F1"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162</w:t>
            </w:r>
          </w:p>
        </w:tc>
      </w:tr>
      <w:tr w:rsidR="00D3131B" w:rsidRPr="00527F4B" w14:paraId="0DE92A1A" w14:textId="77777777" w:rsidTr="00726F85">
        <w:trPr>
          <w:trHeight w:val="170"/>
        </w:trPr>
        <w:tc>
          <w:tcPr>
            <w:tcW w:w="1560" w:type="dxa"/>
            <w:vMerge w:val="restart"/>
            <w:tcBorders>
              <w:top w:val="nil"/>
              <w:bottom w:val="single" w:sz="4" w:space="0" w:color="000000"/>
              <w:right w:val="single" w:sz="4" w:space="0" w:color="auto"/>
            </w:tcBorders>
            <w:shd w:val="clear" w:color="000000" w:fill="FFFFFF"/>
            <w:vAlign w:val="center"/>
            <w:hideMark/>
          </w:tcPr>
          <w:p w14:paraId="5500FC0C"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Lower North East</w:t>
            </w:r>
          </w:p>
        </w:tc>
        <w:tc>
          <w:tcPr>
            <w:tcW w:w="969" w:type="dxa"/>
            <w:tcBorders>
              <w:top w:val="nil"/>
              <w:left w:val="nil"/>
              <w:bottom w:val="nil"/>
              <w:right w:val="single" w:sz="4" w:space="0" w:color="auto"/>
            </w:tcBorders>
            <w:shd w:val="clear" w:color="000000" w:fill="FFFFFF"/>
            <w:vAlign w:val="center"/>
            <w:hideMark/>
          </w:tcPr>
          <w:p w14:paraId="21D23619"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1872197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3,174,598</w:t>
            </w:r>
          </w:p>
        </w:tc>
        <w:tc>
          <w:tcPr>
            <w:tcW w:w="993" w:type="dxa"/>
            <w:tcBorders>
              <w:top w:val="nil"/>
              <w:left w:val="nil"/>
              <w:bottom w:val="nil"/>
              <w:right w:val="nil"/>
            </w:tcBorders>
            <w:shd w:val="clear" w:color="auto" w:fill="FFFFFF" w:themeFill="background1"/>
            <w:noWrap/>
            <w:vAlign w:val="center"/>
            <w:hideMark/>
          </w:tcPr>
          <w:p w14:paraId="6C48203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1,739,842</w:t>
            </w:r>
          </w:p>
        </w:tc>
        <w:tc>
          <w:tcPr>
            <w:tcW w:w="1089" w:type="dxa"/>
            <w:tcBorders>
              <w:top w:val="nil"/>
              <w:left w:val="nil"/>
              <w:bottom w:val="nil"/>
              <w:right w:val="nil"/>
            </w:tcBorders>
            <w:shd w:val="clear" w:color="auto" w:fill="FFFFFF" w:themeFill="background1"/>
            <w:noWrap/>
            <w:vAlign w:val="center"/>
            <w:hideMark/>
          </w:tcPr>
          <w:p w14:paraId="2609592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1,240,565</w:t>
            </w:r>
          </w:p>
        </w:tc>
        <w:tc>
          <w:tcPr>
            <w:tcW w:w="1037" w:type="dxa"/>
            <w:tcBorders>
              <w:top w:val="nil"/>
              <w:left w:val="nil"/>
              <w:bottom w:val="nil"/>
              <w:right w:val="nil"/>
            </w:tcBorders>
            <w:shd w:val="clear" w:color="auto" w:fill="FFFFFF" w:themeFill="background1"/>
            <w:noWrap/>
            <w:vAlign w:val="center"/>
            <w:hideMark/>
          </w:tcPr>
          <w:p w14:paraId="4FAD8E8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96,101</w:t>
            </w:r>
          </w:p>
        </w:tc>
        <w:tc>
          <w:tcPr>
            <w:tcW w:w="1134" w:type="dxa"/>
            <w:tcBorders>
              <w:top w:val="nil"/>
              <w:left w:val="nil"/>
              <w:bottom w:val="nil"/>
              <w:right w:val="single" w:sz="4" w:space="0" w:color="auto"/>
            </w:tcBorders>
            <w:shd w:val="clear" w:color="auto" w:fill="FFFFFF" w:themeFill="background1"/>
            <w:noWrap/>
            <w:vAlign w:val="center"/>
            <w:hideMark/>
          </w:tcPr>
          <w:p w14:paraId="5041795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1,336,666</w:t>
            </w:r>
          </w:p>
        </w:tc>
        <w:tc>
          <w:tcPr>
            <w:tcW w:w="992" w:type="dxa"/>
            <w:tcBorders>
              <w:top w:val="nil"/>
              <w:left w:val="nil"/>
              <w:bottom w:val="nil"/>
              <w:right w:val="single" w:sz="4" w:space="0" w:color="auto"/>
            </w:tcBorders>
            <w:shd w:val="clear" w:color="auto" w:fill="FFFFFF" w:themeFill="background1"/>
            <w:noWrap/>
            <w:vAlign w:val="center"/>
            <w:hideMark/>
          </w:tcPr>
          <w:p w14:paraId="7AD9674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3,174,598</w:t>
            </w:r>
          </w:p>
        </w:tc>
        <w:tc>
          <w:tcPr>
            <w:tcW w:w="993" w:type="dxa"/>
            <w:tcBorders>
              <w:top w:val="nil"/>
              <w:left w:val="nil"/>
              <w:bottom w:val="nil"/>
              <w:right w:val="nil"/>
            </w:tcBorders>
            <w:shd w:val="clear" w:color="auto" w:fill="FFFFFF" w:themeFill="background1"/>
            <w:noWrap/>
            <w:vAlign w:val="center"/>
          </w:tcPr>
          <w:p w14:paraId="015B289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1,739,842</w:t>
            </w:r>
          </w:p>
        </w:tc>
        <w:tc>
          <w:tcPr>
            <w:tcW w:w="1095" w:type="dxa"/>
            <w:tcBorders>
              <w:top w:val="nil"/>
              <w:left w:val="nil"/>
              <w:bottom w:val="nil"/>
              <w:right w:val="nil"/>
            </w:tcBorders>
            <w:shd w:val="clear" w:color="auto" w:fill="FFFFFF" w:themeFill="background1"/>
            <w:noWrap/>
            <w:vAlign w:val="center"/>
            <w:hideMark/>
          </w:tcPr>
          <w:p w14:paraId="21310BF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1,456,574</w:t>
            </w:r>
          </w:p>
        </w:tc>
        <w:tc>
          <w:tcPr>
            <w:tcW w:w="1102" w:type="dxa"/>
            <w:tcBorders>
              <w:top w:val="nil"/>
              <w:left w:val="nil"/>
              <w:bottom w:val="nil"/>
              <w:right w:val="nil"/>
            </w:tcBorders>
            <w:shd w:val="clear" w:color="auto" w:fill="FFFFFF" w:themeFill="background1"/>
            <w:noWrap/>
            <w:vAlign w:val="center"/>
            <w:hideMark/>
          </w:tcPr>
          <w:p w14:paraId="71A5A84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21,477</w:t>
            </w:r>
          </w:p>
        </w:tc>
        <w:tc>
          <w:tcPr>
            <w:tcW w:w="1063" w:type="dxa"/>
            <w:tcBorders>
              <w:top w:val="nil"/>
              <w:left w:val="nil"/>
              <w:bottom w:val="nil"/>
              <w:right w:val="single" w:sz="4" w:space="0" w:color="auto"/>
            </w:tcBorders>
            <w:shd w:val="clear" w:color="auto" w:fill="FFFFFF" w:themeFill="background1"/>
            <w:noWrap/>
            <w:vAlign w:val="center"/>
            <w:hideMark/>
          </w:tcPr>
          <w:p w14:paraId="7B366A92"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1,478,051</w:t>
            </w:r>
          </w:p>
        </w:tc>
        <w:tc>
          <w:tcPr>
            <w:tcW w:w="1393" w:type="dxa"/>
            <w:tcBorders>
              <w:top w:val="nil"/>
              <w:left w:val="nil"/>
              <w:bottom w:val="nil"/>
              <w:right w:val="single" w:sz="4" w:space="0" w:color="auto"/>
            </w:tcBorders>
            <w:shd w:val="clear" w:color="auto" w:fill="FFFFFF" w:themeFill="background1"/>
            <w:vAlign w:val="center"/>
          </w:tcPr>
          <w:p w14:paraId="71A36E7A"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47</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25D23FE0"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190</w:t>
            </w:r>
          </w:p>
        </w:tc>
      </w:tr>
      <w:tr w:rsidR="00D3131B" w:rsidRPr="00527F4B" w14:paraId="3DFF5D9F" w14:textId="77777777" w:rsidTr="00726F85">
        <w:trPr>
          <w:trHeight w:val="170"/>
        </w:trPr>
        <w:tc>
          <w:tcPr>
            <w:tcW w:w="1560" w:type="dxa"/>
            <w:vMerge/>
            <w:tcBorders>
              <w:top w:val="nil"/>
              <w:bottom w:val="single" w:sz="4" w:space="0" w:color="000000"/>
              <w:right w:val="single" w:sz="4" w:space="0" w:color="auto"/>
            </w:tcBorders>
            <w:vAlign w:val="center"/>
            <w:hideMark/>
          </w:tcPr>
          <w:p w14:paraId="4500E3FD"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nil"/>
              <w:right w:val="single" w:sz="4" w:space="0" w:color="auto"/>
            </w:tcBorders>
            <w:shd w:val="clear" w:color="000000" w:fill="FFFFFF"/>
            <w:vAlign w:val="center"/>
            <w:hideMark/>
          </w:tcPr>
          <w:p w14:paraId="4E3731C2"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367CB8F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38,773</w:t>
            </w:r>
          </w:p>
        </w:tc>
        <w:tc>
          <w:tcPr>
            <w:tcW w:w="993" w:type="dxa"/>
            <w:tcBorders>
              <w:top w:val="nil"/>
              <w:left w:val="nil"/>
              <w:bottom w:val="nil"/>
              <w:right w:val="nil"/>
            </w:tcBorders>
            <w:shd w:val="clear" w:color="auto" w:fill="FFFFFF" w:themeFill="background1"/>
            <w:noWrap/>
            <w:vAlign w:val="center"/>
            <w:hideMark/>
          </w:tcPr>
          <w:p w14:paraId="69CFCAB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32,615</w:t>
            </w:r>
          </w:p>
        </w:tc>
        <w:tc>
          <w:tcPr>
            <w:tcW w:w="1089" w:type="dxa"/>
            <w:tcBorders>
              <w:top w:val="nil"/>
              <w:left w:val="nil"/>
              <w:bottom w:val="nil"/>
              <w:right w:val="nil"/>
            </w:tcBorders>
            <w:shd w:val="clear" w:color="auto" w:fill="FFFFFF" w:themeFill="background1"/>
            <w:noWrap/>
            <w:vAlign w:val="center"/>
            <w:hideMark/>
          </w:tcPr>
          <w:p w14:paraId="63A1C90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28,459</w:t>
            </w:r>
          </w:p>
        </w:tc>
        <w:tc>
          <w:tcPr>
            <w:tcW w:w="1037" w:type="dxa"/>
            <w:tcBorders>
              <w:top w:val="nil"/>
              <w:left w:val="nil"/>
              <w:bottom w:val="nil"/>
              <w:right w:val="nil"/>
            </w:tcBorders>
            <w:shd w:val="clear" w:color="auto" w:fill="FFFFFF" w:themeFill="background1"/>
            <w:noWrap/>
            <w:vAlign w:val="center"/>
            <w:hideMark/>
          </w:tcPr>
          <w:p w14:paraId="50A9912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1,877</w:t>
            </w:r>
          </w:p>
        </w:tc>
        <w:tc>
          <w:tcPr>
            <w:tcW w:w="1134" w:type="dxa"/>
            <w:tcBorders>
              <w:top w:val="nil"/>
              <w:left w:val="nil"/>
              <w:bottom w:val="nil"/>
              <w:right w:val="single" w:sz="4" w:space="0" w:color="auto"/>
            </w:tcBorders>
            <w:shd w:val="clear" w:color="auto" w:fill="FFFFFF" w:themeFill="background1"/>
            <w:noWrap/>
            <w:vAlign w:val="center"/>
            <w:hideMark/>
          </w:tcPr>
          <w:p w14:paraId="1432FBF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30,336</w:t>
            </w:r>
          </w:p>
        </w:tc>
        <w:tc>
          <w:tcPr>
            <w:tcW w:w="992" w:type="dxa"/>
            <w:tcBorders>
              <w:top w:val="nil"/>
              <w:left w:val="nil"/>
              <w:bottom w:val="nil"/>
              <w:right w:val="single" w:sz="4" w:space="0" w:color="auto"/>
            </w:tcBorders>
            <w:shd w:val="clear" w:color="auto" w:fill="FFFFFF" w:themeFill="background1"/>
            <w:noWrap/>
            <w:vAlign w:val="center"/>
            <w:hideMark/>
          </w:tcPr>
          <w:p w14:paraId="02F9B27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38,773</w:t>
            </w:r>
          </w:p>
        </w:tc>
        <w:tc>
          <w:tcPr>
            <w:tcW w:w="993" w:type="dxa"/>
            <w:tcBorders>
              <w:top w:val="nil"/>
              <w:left w:val="nil"/>
              <w:bottom w:val="nil"/>
              <w:right w:val="nil"/>
            </w:tcBorders>
            <w:shd w:val="clear" w:color="auto" w:fill="FFFFFF" w:themeFill="background1"/>
            <w:noWrap/>
            <w:vAlign w:val="center"/>
          </w:tcPr>
          <w:p w14:paraId="4040306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32,615</w:t>
            </w:r>
          </w:p>
        </w:tc>
        <w:tc>
          <w:tcPr>
            <w:tcW w:w="1095" w:type="dxa"/>
            <w:tcBorders>
              <w:top w:val="nil"/>
              <w:left w:val="nil"/>
              <w:bottom w:val="nil"/>
              <w:right w:val="nil"/>
            </w:tcBorders>
            <w:shd w:val="clear" w:color="auto" w:fill="FFFFFF" w:themeFill="background1"/>
            <w:noWrap/>
            <w:vAlign w:val="center"/>
            <w:hideMark/>
          </w:tcPr>
          <w:p w14:paraId="798CFF6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31,499</w:t>
            </w:r>
          </w:p>
        </w:tc>
        <w:tc>
          <w:tcPr>
            <w:tcW w:w="1102" w:type="dxa"/>
            <w:tcBorders>
              <w:top w:val="nil"/>
              <w:left w:val="nil"/>
              <w:bottom w:val="nil"/>
              <w:right w:val="nil"/>
            </w:tcBorders>
            <w:shd w:val="clear" w:color="auto" w:fill="FFFFFF" w:themeFill="background1"/>
            <w:noWrap/>
            <w:vAlign w:val="center"/>
            <w:hideMark/>
          </w:tcPr>
          <w:p w14:paraId="3130426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36</w:t>
            </w:r>
          </w:p>
        </w:tc>
        <w:tc>
          <w:tcPr>
            <w:tcW w:w="1063" w:type="dxa"/>
            <w:tcBorders>
              <w:top w:val="nil"/>
              <w:left w:val="nil"/>
              <w:bottom w:val="nil"/>
              <w:right w:val="single" w:sz="4" w:space="0" w:color="auto"/>
            </w:tcBorders>
            <w:shd w:val="clear" w:color="auto" w:fill="FFFFFF" w:themeFill="background1"/>
            <w:noWrap/>
            <w:vAlign w:val="center"/>
            <w:hideMark/>
          </w:tcPr>
          <w:p w14:paraId="236F6339"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31,535</w:t>
            </w:r>
          </w:p>
        </w:tc>
        <w:tc>
          <w:tcPr>
            <w:tcW w:w="1393" w:type="dxa"/>
            <w:tcBorders>
              <w:top w:val="nil"/>
              <w:left w:val="nil"/>
              <w:bottom w:val="nil"/>
              <w:right w:val="single" w:sz="4" w:space="0" w:color="auto"/>
            </w:tcBorders>
            <w:shd w:val="clear" w:color="auto" w:fill="FFFFFF" w:themeFill="background1"/>
            <w:vAlign w:val="center"/>
          </w:tcPr>
          <w:p w14:paraId="033E4F56"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81</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0876509D"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9</w:t>
            </w:r>
          </w:p>
        </w:tc>
      </w:tr>
      <w:tr w:rsidR="00D3131B" w:rsidRPr="00527F4B" w14:paraId="68B18EA0" w14:textId="77777777" w:rsidTr="00726F85">
        <w:trPr>
          <w:trHeight w:val="170"/>
        </w:trPr>
        <w:tc>
          <w:tcPr>
            <w:tcW w:w="1560" w:type="dxa"/>
            <w:vMerge/>
            <w:tcBorders>
              <w:top w:val="nil"/>
              <w:bottom w:val="single" w:sz="4" w:space="0" w:color="000000"/>
              <w:right w:val="single" w:sz="4" w:space="0" w:color="auto"/>
            </w:tcBorders>
            <w:vAlign w:val="center"/>
            <w:hideMark/>
          </w:tcPr>
          <w:p w14:paraId="08B76B48"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7F9B5B21"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0604071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3,213,371</w:t>
            </w:r>
          </w:p>
        </w:tc>
        <w:tc>
          <w:tcPr>
            <w:tcW w:w="993" w:type="dxa"/>
            <w:tcBorders>
              <w:top w:val="nil"/>
              <w:left w:val="nil"/>
              <w:bottom w:val="single" w:sz="4" w:space="0" w:color="auto"/>
              <w:right w:val="nil"/>
            </w:tcBorders>
            <w:shd w:val="clear" w:color="auto" w:fill="FFFFFF" w:themeFill="background1"/>
            <w:noWrap/>
            <w:vAlign w:val="center"/>
            <w:hideMark/>
          </w:tcPr>
          <w:p w14:paraId="63919C6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1,772,457</w:t>
            </w:r>
          </w:p>
        </w:tc>
        <w:tc>
          <w:tcPr>
            <w:tcW w:w="1089" w:type="dxa"/>
            <w:tcBorders>
              <w:top w:val="nil"/>
              <w:left w:val="nil"/>
              <w:bottom w:val="single" w:sz="4" w:space="0" w:color="auto"/>
              <w:right w:val="nil"/>
            </w:tcBorders>
            <w:shd w:val="clear" w:color="auto" w:fill="FFFFFF" w:themeFill="background1"/>
            <w:noWrap/>
            <w:vAlign w:val="center"/>
            <w:hideMark/>
          </w:tcPr>
          <w:p w14:paraId="642A167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1,269,023</w:t>
            </w:r>
          </w:p>
        </w:tc>
        <w:tc>
          <w:tcPr>
            <w:tcW w:w="1037" w:type="dxa"/>
            <w:tcBorders>
              <w:top w:val="nil"/>
              <w:left w:val="nil"/>
              <w:bottom w:val="single" w:sz="4" w:space="0" w:color="auto"/>
              <w:right w:val="nil"/>
            </w:tcBorders>
            <w:shd w:val="clear" w:color="auto" w:fill="FFFFFF" w:themeFill="background1"/>
            <w:noWrap/>
            <w:vAlign w:val="center"/>
            <w:hideMark/>
          </w:tcPr>
          <w:p w14:paraId="3DAC1D5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97,978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EEF154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1,367,002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50F5FB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3,213,371</w:t>
            </w:r>
          </w:p>
        </w:tc>
        <w:tc>
          <w:tcPr>
            <w:tcW w:w="993" w:type="dxa"/>
            <w:tcBorders>
              <w:top w:val="nil"/>
              <w:left w:val="nil"/>
              <w:bottom w:val="single" w:sz="4" w:space="0" w:color="auto"/>
              <w:right w:val="nil"/>
            </w:tcBorders>
            <w:shd w:val="clear" w:color="auto" w:fill="FFFFFF" w:themeFill="background1"/>
            <w:noWrap/>
            <w:vAlign w:val="center"/>
          </w:tcPr>
          <w:p w14:paraId="39D7C80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1,772,457</w:t>
            </w:r>
          </w:p>
        </w:tc>
        <w:tc>
          <w:tcPr>
            <w:tcW w:w="1095" w:type="dxa"/>
            <w:tcBorders>
              <w:top w:val="nil"/>
              <w:left w:val="nil"/>
              <w:bottom w:val="single" w:sz="4" w:space="0" w:color="auto"/>
              <w:right w:val="nil"/>
            </w:tcBorders>
            <w:shd w:val="clear" w:color="auto" w:fill="FFFFFF" w:themeFill="background1"/>
            <w:noWrap/>
            <w:vAlign w:val="center"/>
            <w:hideMark/>
          </w:tcPr>
          <w:p w14:paraId="262242A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1,488,073</w:t>
            </w:r>
          </w:p>
        </w:tc>
        <w:tc>
          <w:tcPr>
            <w:tcW w:w="1102" w:type="dxa"/>
            <w:tcBorders>
              <w:top w:val="nil"/>
              <w:left w:val="nil"/>
              <w:bottom w:val="single" w:sz="4" w:space="0" w:color="auto"/>
              <w:right w:val="nil"/>
            </w:tcBorders>
            <w:shd w:val="clear" w:color="auto" w:fill="FFFFFF" w:themeFill="background1"/>
            <w:noWrap/>
            <w:vAlign w:val="center"/>
            <w:hideMark/>
          </w:tcPr>
          <w:p w14:paraId="0B64201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21,513</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1B30E6C2"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1,509,586</w:t>
            </w:r>
          </w:p>
        </w:tc>
        <w:tc>
          <w:tcPr>
            <w:tcW w:w="1393" w:type="dxa"/>
            <w:tcBorders>
              <w:top w:val="nil"/>
              <w:left w:val="nil"/>
              <w:bottom w:val="single" w:sz="4" w:space="0" w:color="auto"/>
              <w:right w:val="single" w:sz="4" w:space="0" w:color="auto"/>
            </w:tcBorders>
            <w:shd w:val="clear" w:color="auto" w:fill="FFFFFF" w:themeFill="background1"/>
            <w:vAlign w:val="center"/>
          </w:tcPr>
          <w:p w14:paraId="3E115B5F"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47</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3AEB1C83"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199</w:t>
            </w:r>
          </w:p>
        </w:tc>
      </w:tr>
      <w:tr w:rsidR="00D3131B" w:rsidRPr="00527F4B" w14:paraId="19E0A70D" w14:textId="77777777" w:rsidTr="00726F85">
        <w:trPr>
          <w:trHeight w:val="170"/>
        </w:trPr>
        <w:tc>
          <w:tcPr>
            <w:tcW w:w="1560" w:type="dxa"/>
            <w:vMerge w:val="restart"/>
            <w:tcBorders>
              <w:top w:val="nil"/>
              <w:bottom w:val="single" w:sz="4" w:space="0" w:color="000000"/>
              <w:right w:val="single" w:sz="4" w:space="0" w:color="auto"/>
            </w:tcBorders>
            <w:shd w:val="clear" w:color="000000" w:fill="FFFFFF"/>
            <w:vAlign w:val="center"/>
            <w:hideMark/>
          </w:tcPr>
          <w:p w14:paraId="7EB98370"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Southern NSW</w:t>
            </w:r>
          </w:p>
        </w:tc>
        <w:tc>
          <w:tcPr>
            <w:tcW w:w="969" w:type="dxa"/>
            <w:tcBorders>
              <w:top w:val="nil"/>
              <w:left w:val="nil"/>
              <w:bottom w:val="nil"/>
              <w:right w:val="single" w:sz="4" w:space="0" w:color="auto"/>
            </w:tcBorders>
            <w:shd w:val="clear" w:color="000000" w:fill="FFFFFF"/>
            <w:vAlign w:val="center"/>
            <w:hideMark/>
          </w:tcPr>
          <w:p w14:paraId="2DF44E6F"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1071BDC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2,445,600</w:t>
            </w:r>
          </w:p>
        </w:tc>
        <w:tc>
          <w:tcPr>
            <w:tcW w:w="993" w:type="dxa"/>
            <w:tcBorders>
              <w:top w:val="nil"/>
              <w:left w:val="nil"/>
              <w:bottom w:val="nil"/>
              <w:right w:val="nil"/>
            </w:tcBorders>
            <w:shd w:val="clear" w:color="auto" w:fill="FFFFFF" w:themeFill="background1"/>
            <w:noWrap/>
            <w:vAlign w:val="center"/>
            <w:hideMark/>
          </w:tcPr>
          <w:p w14:paraId="768A8A1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1,617,725</w:t>
            </w:r>
          </w:p>
        </w:tc>
        <w:tc>
          <w:tcPr>
            <w:tcW w:w="1089" w:type="dxa"/>
            <w:tcBorders>
              <w:top w:val="nil"/>
              <w:left w:val="nil"/>
              <w:bottom w:val="nil"/>
              <w:right w:val="nil"/>
            </w:tcBorders>
            <w:shd w:val="clear" w:color="auto" w:fill="FFFFFF" w:themeFill="background1"/>
            <w:noWrap/>
            <w:vAlign w:val="center"/>
            <w:hideMark/>
          </w:tcPr>
          <w:p w14:paraId="3BE10F9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1,274,323</w:t>
            </w:r>
          </w:p>
        </w:tc>
        <w:tc>
          <w:tcPr>
            <w:tcW w:w="1037" w:type="dxa"/>
            <w:tcBorders>
              <w:top w:val="nil"/>
              <w:left w:val="nil"/>
              <w:bottom w:val="nil"/>
              <w:right w:val="nil"/>
            </w:tcBorders>
            <w:shd w:val="clear" w:color="auto" w:fill="FFFFFF" w:themeFill="background1"/>
            <w:noWrap/>
            <w:vAlign w:val="center"/>
            <w:hideMark/>
          </w:tcPr>
          <w:p w14:paraId="441FEF5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31,087</w:t>
            </w:r>
          </w:p>
        </w:tc>
        <w:tc>
          <w:tcPr>
            <w:tcW w:w="1134" w:type="dxa"/>
            <w:tcBorders>
              <w:top w:val="nil"/>
              <w:left w:val="nil"/>
              <w:bottom w:val="nil"/>
              <w:right w:val="single" w:sz="4" w:space="0" w:color="auto"/>
            </w:tcBorders>
            <w:shd w:val="clear" w:color="auto" w:fill="FFFFFF" w:themeFill="background1"/>
            <w:noWrap/>
            <w:vAlign w:val="center"/>
            <w:hideMark/>
          </w:tcPr>
          <w:p w14:paraId="182DD47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1,305,410</w:t>
            </w:r>
          </w:p>
        </w:tc>
        <w:tc>
          <w:tcPr>
            <w:tcW w:w="992" w:type="dxa"/>
            <w:tcBorders>
              <w:top w:val="nil"/>
              <w:left w:val="nil"/>
              <w:bottom w:val="nil"/>
              <w:right w:val="single" w:sz="4" w:space="0" w:color="auto"/>
            </w:tcBorders>
            <w:shd w:val="clear" w:color="auto" w:fill="FFFFFF" w:themeFill="background1"/>
            <w:noWrap/>
            <w:vAlign w:val="center"/>
            <w:hideMark/>
          </w:tcPr>
          <w:p w14:paraId="313DB13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2,445,600</w:t>
            </w:r>
          </w:p>
        </w:tc>
        <w:tc>
          <w:tcPr>
            <w:tcW w:w="993" w:type="dxa"/>
            <w:tcBorders>
              <w:top w:val="nil"/>
              <w:left w:val="nil"/>
              <w:bottom w:val="nil"/>
              <w:right w:val="nil"/>
            </w:tcBorders>
            <w:shd w:val="clear" w:color="auto" w:fill="FFFFFF" w:themeFill="background1"/>
            <w:noWrap/>
            <w:vAlign w:val="center"/>
          </w:tcPr>
          <w:p w14:paraId="26C4D48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1,617,725</w:t>
            </w:r>
          </w:p>
        </w:tc>
        <w:tc>
          <w:tcPr>
            <w:tcW w:w="1095" w:type="dxa"/>
            <w:tcBorders>
              <w:top w:val="nil"/>
              <w:left w:val="nil"/>
              <w:bottom w:val="nil"/>
              <w:right w:val="nil"/>
            </w:tcBorders>
            <w:shd w:val="clear" w:color="auto" w:fill="FFFFFF" w:themeFill="background1"/>
            <w:noWrap/>
            <w:vAlign w:val="center"/>
            <w:hideMark/>
          </w:tcPr>
          <w:p w14:paraId="681A7D2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1,345,982</w:t>
            </w:r>
          </w:p>
        </w:tc>
        <w:tc>
          <w:tcPr>
            <w:tcW w:w="1102" w:type="dxa"/>
            <w:tcBorders>
              <w:top w:val="nil"/>
              <w:left w:val="nil"/>
              <w:bottom w:val="nil"/>
              <w:right w:val="nil"/>
            </w:tcBorders>
            <w:shd w:val="clear" w:color="auto" w:fill="FFFFFF" w:themeFill="background1"/>
            <w:noWrap/>
            <w:vAlign w:val="center"/>
            <w:hideMark/>
          </w:tcPr>
          <w:p w14:paraId="5B3F7AB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5,099</w:t>
            </w:r>
          </w:p>
        </w:tc>
        <w:tc>
          <w:tcPr>
            <w:tcW w:w="1063" w:type="dxa"/>
            <w:tcBorders>
              <w:top w:val="nil"/>
              <w:left w:val="nil"/>
              <w:bottom w:val="nil"/>
              <w:right w:val="single" w:sz="4" w:space="0" w:color="auto"/>
            </w:tcBorders>
            <w:shd w:val="clear" w:color="auto" w:fill="FFFFFF" w:themeFill="background1"/>
            <w:noWrap/>
            <w:vAlign w:val="center"/>
            <w:hideMark/>
          </w:tcPr>
          <w:p w14:paraId="2D546207"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1,351,081</w:t>
            </w:r>
          </w:p>
        </w:tc>
        <w:tc>
          <w:tcPr>
            <w:tcW w:w="1393" w:type="dxa"/>
            <w:tcBorders>
              <w:top w:val="nil"/>
              <w:left w:val="nil"/>
              <w:bottom w:val="nil"/>
              <w:right w:val="single" w:sz="4" w:space="0" w:color="auto"/>
            </w:tcBorders>
            <w:shd w:val="clear" w:color="auto" w:fill="FFFFFF" w:themeFill="background1"/>
            <w:vAlign w:val="center"/>
          </w:tcPr>
          <w:p w14:paraId="19417751"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55</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7F8B30EB"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132</w:t>
            </w:r>
          </w:p>
        </w:tc>
      </w:tr>
      <w:tr w:rsidR="00D3131B" w:rsidRPr="00527F4B" w14:paraId="7418925F" w14:textId="77777777" w:rsidTr="00726F85">
        <w:trPr>
          <w:trHeight w:val="170"/>
        </w:trPr>
        <w:tc>
          <w:tcPr>
            <w:tcW w:w="1560" w:type="dxa"/>
            <w:vMerge/>
            <w:tcBorders>
              <w:top w:val="nil"/>
              <w:bottom w:val="single" w:sz="4" w:space="0" w:color="000000"/>
              <w:right w:val="single" w:sz="4" w:space="0" w:color="auto"/>
            </w:tcBorders>
            <w:vAlign w:val="center"/>
            <w:hideMark/>
          </w:tcPr>
          <w:p w14:paraId="5A7564FA"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nil"/>
              <w:right w:val="single" w:sz="4" w:space="0" w:color="auto"/>
            </w:tcBorders>
            <w:shd w:val="clear" w:color="000000" w:fill="FFFFFF"/>
            <w:vAlign w:val="center"/>
            <w:hideMark/>
          </w:tcPr>
          <w:p w14:paraId="64AFC10E"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458E280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112,581</w:t>
            </w:r>
          </w:p>
        </w:tc>
        <w:tc>
          <w:tcPr>
            <w:tcW w:w="993" w:type="dxa"/>
            <w:tcBorders>
              <w:top w:val="nil"/>
              <w:left w:val="nil"/>
              <w:bottom w:val="nil"/>
              <w:right w:val="nil"/>
            </w:tcBorders>
            <w:shd w:val="clear" w:color="auto" w:fill="FFFFFF" w:themeFill="background1"/>
            <w:noWrap/>
            <w:vAlign w:val="center"/>
            <w:hideMark/>
          </w:tcPr>
          <w:p w14:paraId="79A35F2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96,929</w:t>
            </w:r>
          </w:p>
        </w:tc>
        <w:tc>
          <w:tcPr>
            <w:tcW w:w="1089" w:type="dxa"/>
            <w:tcBorders>
              <w:top w:val="nil"/>
              <w:left w:val="nil"/>
              <w:bottom w:val="nil"/>
              <w:right w:val="nil"/>
            </w:tcBorders>
            <w:shd w:val="clear" w:color="auto" w:fill="FFFFFF" w:themeFill="background1"/>
            <w:noWrap/>
            <w:vAlign w:val="center"/>
            <w:hideMark/>
          </w:tcPr>
          <w:p w14:paraId="0B8537C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95,289</w:t>
            </w:r>
          </w:p>
        </w:tc>
        <w:tc>
          <w:tcPr>
            <w:tcW w:w="1037" w:type="dxa"/>
            <w:tcBorders>
              <w:top w:val="nil"/>
              <w:left w:val="nil"/>
              <w:bottom w:val="nil"/>
              <w:right w:val="nil"/>
            </w:tcBorders>
            <w:shd w:val="clear" w:color="auto" w:fill="FFFFFF" w:themeFill="background1"/>
            <w:noWrap/>
            <w:vAlign w:val="center"/>
            <w:hideMark/>
          </w:tcPr>
          <w:p w14:paraId="10B8949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295</w:t>
            </w:r>
          </w:p>
        </w:tc>
        <w:tc>
          <w:tcPr>
            <w:tcW w:w="1134" w:type="dxa"/>
            <w:tcBorders>
              <w:top w:val="nil"/>
              <w:left w:val="nil"/>
              <w:bottom w:val="nil"/>
              <w:right w:val="single" w:sz="4" w:space="0" w:color="auto"/>
            </w:tcBorders>
            <w:shd w:val="clear" w:color="auto" w:fill="FFFFFF" w:themeFill="background1"/>
            <w:noWrap/>
            <w:vAlign w:val="center"/>
            <w:hideMark/>
          </w:tcPr>
          <w:p w14:paraId="14296EE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95,584</w:t>
            </w:r>
          </w:p>
        </w:tc>
        <w:tc>
          <w:tcPr>
            <w:tcW w:w="992" w:type="dxa"/>
            <w:tcBorders>
              <w:top w:val="nil"/>
              <w:left w:val="nil"/>
              <w:bottom w:val="nil"/>
              <w:right w:val="single" w:sz="4" w:space="0" w:color="auto"/>
            </w:tcBorders>
            <w:shd w:val="clear" w:color="auto" w:fill="FFFFFF" w:themeFill="background1"/>
            <w:noWrap/>
            <w:vAlign w:val="center"/>
            <w:hideMark/>
          </w:tcPr>
          <w:p w14:paraId="148F512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112,581</w:t>
            </w:r>
          </w:p>
        </w:tc>
        <w:tc>
          <w:tcPr>
            <w:tcW w:w="993" w:type="dxa"/>
            <w:tcBorders>
              <w:top w:val="nil"/>
              <w:left w:val="nil"/>
              <w:bottom w:val="nil"/>
              <w:right w:val="nil"/>
            </w:tcBorders>
            <w:shd w:val="clear" w:color="auto" w:fill="FFFFFF" w:themeFill="background1"/>
            <w:noWrap/>
            <w:vAlign w:val="center"/>
          </w:tcPr>
          <w:p w14:paraId="592A285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96,929</w:t>
            </w:r>
          </w:p>
        </w:tc>
        <w:tc>
          <w:tcPr>
            <w:tcW w:w="1095" w:type="dxa"/>
            <w:tcBorders>
              <w:top w:val="nil"/>
              <w:left w:val="nil"/>
              <w:bottom w:val="nil"/>
              <w:right w:val="nil"/>
            </w:tcBorders>
            <w:shd w:val="clear" w:color="auto" w:fill="FFFFFF" w:themeFill="background1"/>
            <w:noWrap/>
            <w:vAlign w:val="center"/>
            <w:hideMark/>
          </w:tcPr>
          <w:p w14:paraId="4159F77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95,202</w:t>
            </w:r>
          </w:p>
        </w:tc>
        <w:tc>
          <w:tcPr>
            <w:tcW w:w="1102" w:type="dxa"/>
            <w:tcBorders>
              <w:top w:val="nil"/>
              <w:left w:val="nil"/>
              <w:bottom w:val="nil"/>
              <w:right w:val="nil"/>
            </w:tcBorders>
            <w:shd w:val="clear" w:color="auto" w:fill="FFFFFF" w:themeFill="background1"/>
            <w:noWrap/>
            <w:vAlign w:val="center"/>
            <w:hideMark/>
          </w:tcPr>
          <w:p w14:paraId="33770E4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w:t>
            </w:r>
          </w:p>
        </w:tc>
        <w:tc>
          <w:tcPr>
            <w:tcW w:w="1063" w:type="dxa"/>
            <w:tcBorders>
              <w:top w:val="nil"/>
              <w:left w:val="nil"/>
              <w:bottom w:val="nil"/>
              <w:right w:val="single" w:sz="4" w:space="0" w:color="auto"/>
            </w:tcBorders>
            <w:shd w:val="clear" w:color="auto" w:fill="FFFFFF" w:themeFill="background1"/>
            <w:noWrap/>
            <w:vAlign w:val="center"/>
            <w:hideMark/>
          </w:tcPr>
          <w:p w14:paraId="796BC4A2"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95,205</w:t>
            </w:r>
          </w:p>
        </w:tc>
        <w:tc>
          <w:tcPr>
            <w:tcW w:w="1393" w:type="dxa"/>
            <w:tcBorders>
              <w:top w:val="nil"/>
              <w:left w:val="nil"/>
              <w:bottom w:val="nil"/>
              <w:right w:val="single" w:sz="4" w:space="0" w:color="auto"/>
            </w:tcBorders>
            <w:shd w:val="clear" w:color="auto" w:fill="FFFFFF" w:themeFill="background1"/>
            <w:vAlign w:val="center"/>
          </w:tcPr>
          <w:p w14:paraId="36636AF2"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85</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1F0A9591"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27</w:t>
            </w:r>
          </w:p>
        </w:tc>
      </w:tr>
      <w:tr w:rsidR="00D3131B" w:rsidRPr="00527F4B" w14:paraId="2EF26F56" w14:textId="77777777" w:rsidTr="00726F85">
        <w:trPr>
          <w:trHeight w:val="170"/>
        </w:trPr>
        <w:tc>
          <w:tcPr>
            <w:tcW w:w="1560" w:type="dxa"/>
            <w:vMerge/>
            <w:tcBorders>
              <w:top w:val="nil"/>
              <w:bottom w:val="single" w:sz="4" w:space="0" w:color="000000"/>
              <w:right w:val="single" w:sz="4" w:space="0" w:color="auto"/>
            </w:tcBorders>
            <w:vAlign w:val="center"/>
            <w:hideMark/>
          </w:tcPr>
          <w:p w14:paraId="6DB43747"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35B986DF"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2977D80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2,558,181</w:t>
            </w:r>
          </w:p>
        </w:tc>
        <w:tc>
          <w:tcPr>
            <w:tcW w:w="993" w:type="dxa"/>
            <w:tcBorders>
              <w:top w:val="nil"/>
              <w:left w:val="nil"/>
              <w:bottom w:val="single" w:sz="4" w:space="0" w:color="auto"/>
              <w:right w:val="nil"/>
            </w:tcBorders>
            <w:shd w:val="clear" w:color="auto" w:fill="FFFFFF" w:themeFill="background1"/>
            <w:noWrap/>
            <w:vAlign w:val="center"/>
            <w:hideMark/>
          </w:tcPr>
          <w:p w14:paraId="75A7552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1,714,654</w:t>
            </w:r>
          </w:p>
        </w:tc>
        <w:tc>
          <w:tcPr>
            <w:tcW w:w="1089" w:type="dxa"/>
            <w:tcBorders>
              <w:top w:val="nil"/>
              <w:left w:val="nil"/>
              <w:bottom w:val="single" w:sz="4" w:space="0" w:color="auto"/>
              <w:right w:val="nil"/>
            </w:tcBorders>
            <w:shd w:val="clear" w:color="auto" w:fill="FFFFFF" w:themeFill="background1"/>
            <w:noWrap/>
            <w:vAlign w:val="center"/>
            <w:hideMark/>
          </w:tcPr>
          <w:p w14:paraId="2F7B172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1,369,612</w:t>
            </w:r>
          </w:p>
        </w:tc>
        <w:tc>
          <w:tcPr>
            <w:tcW w:w="1037" w:type="dxa"/>
            <w:tcBorders>
              <w:top w:val="nil"/>
              <w:left w:val="nil"/>
              <w:bottom w:val="single" w:sz="4" w:space="0" w:color="auto"/>
              <w:right w:val="nil"/>
            </w:tcBorders>
            <w:shd w:val="clear" w:color="auto" w:fill="FFFFFF" w:themeFill="background1"/>
            <w:noWrap/>
            <w:vAlign w:val="center"/>
            <w:hideMark/>
          </w:tcPr>
          <w:p w14:paraId="2035215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31,382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14CFA7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1,400,994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30BA3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2,558,181</w:t>
            </w:r>
          </w:p>
        </w:tc>
        <w:tc>
          <w:tcPr>
            <w:tcW w:w="993" w:type="dxa"/>
            <w:tcBorders>
              <w:top w:val="nil"/>
              <w:left w:val="nil"/>
              <w:bottom w:val="single" w:sz="4" w:space="0" w:color="auto"/>
              <w:right w:val="nil"/>
            </w:tcBorders>
            <w:shd w:val="clear" w:color="auto" w:fill="FFFFFF" w:themeFill="background1"/>
            <w:noWrap/>
            <w:vAlign w:val="center"/>
          </w:tcPr>
          <w:p w14:paraId="7564787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1,714,654</w:t>
            </w:r>
          </w:p>
        </w:tc>
        <w:tc>
          <w:tcPr>
            <w:tcW w:w="1095" w:type="dxa"/>
            <w:tcBorders>
              <w:top w:val="nil"/>
              <w:left w:val="nil"/>
              <w:bottom w:val="single" w:sz="4" w:space="0" w:color="auto"/>
              <w:right w:val="nil"/>
            </w:tcBorders>
            <w:shd w:val="clear" w:color="auto" w:fill="FFFFFF" w:themeFill="background1"/>
            <w:noWrap/>
            <w:vAlign w:val="center"/>
            <w:hideMark/>
          </w:tcPr>
          <w:p w14:paraId="2A6D643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1,441,184</w:t>
            </w:r>
          </w:p>
        </w:tc>
        <w:tc>
          <w:tcPr>
            <w:tcW w:w="1102" w:type="dxa"/>
            <w:tcBorders>
              <w:top w:val="nil"/>
              <w:left w:val="nil"/>
              <w:bottom w:val="single" w:sz="4" w:space="0" w:color="auto"/>
              <w:right w:val="nil"/>
            </w:tcBorders>
            <w:shd w:val="clear" w:color="auto" w:fill="FFFFFF" w:themeFill="background1"/>
            <w:noWrap/>
            <w:vAlign w:val="center"/>
            <w:hideMark/>
          </w:tcPr>
          <w:p w14:paraId="41A956E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5,102</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187706F4"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1,446,286</w:t>
            </w:r>
          </w:p>
        </w:tc>
        <w:tc>
          <w:tcPr>
            <w:tcW w:w="1393" w:type="dxa"/>
            <w:tcBorders>
              <w:top w:val="nil"/>
              <w:left w:val="nil"/>
              <w:bottom w:val="single" w:sz="4" w:space="0" w:color="auto"/>
              <w:right w:val="single" w:sz="4" w:space="0" w:color="auto"/>
            </w:tcBorders>
            <w:shd w:val="clear" w:color="auto" w:fill="FFFFFF" w:themeFill="background1"/>
            <w:vAlign w:val="center"/>
          </w:tcPr>
          <w:p w14:paraId="295272DE"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57</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5B0D7947"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159</w:t>
            </w:r>
          </w:p>
        </w:tc>
      </w:tr>
      <w:tr w:rsidR="00D3131B" w:rsidRPr="00527F4B" w14:paraId="516A3B44" w14:textId="77777777" w:rsidTr="00C935F0">
        <w:trPr>
          <w:trHeight w:val="283"/>
        </w:trPr>
        <w:tc>
          <w:tcPr>
            <w:tcW w:w="1560" w:type="dxa"/>
            <w:vMerge w:val="restart"/>
            <w:tcBorders>
              <w:top w:val="nil"/>
              <w:bottom w:val="nil"/>
              <w:right w:val="single" w:sz="4" w:space="0" w:color="auto"/>
            </w:tcBorders>
            <w:shd w:val="clear" w:color="000000" w:fill="FFFFFF"/>
            <w:vAlign w:val="center"/>
            <w:hideMark/>
          </w:tcPr>
          <w:p w14:paraId="25A60837" w14:textId="77777777" w:rsidR="00CD481C" w:rsidRPr="002F2D01" w:rsidRDefault="00CD481C" w:rsidP="00CD481C">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 New South Wales RFA regions</w:t>
            </w:r>
          </w:p>
        </w:tc>
        <w:tc>
          <w:tcPr>
            <w:tcW w:w="969" w:type="dxa"/>
            <w:tcBorders>
              <w:top w:val="nil"/>
              <w:left w:val="nil"/>
              <w:bottom w:val="nil"/>
              <w:right w:val="single" w:sz="4" w:space="0" w:color="auto"/>
            </w:tcBorders>
            <w:shd w:val="clear" w:color="000000" w:fill="FFFFFF"/>
            <w:vAlign w:val="center"/>
            <w:hideMark/>
          </w:tcPr>
          <w:p w14:paraId="6D95F4E1"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2CE03FD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8,320,211</w:t>
            </w:r>
          </w:p>
        </w:tc>
        <w:tc>
          <w:tcPr>
            <w:tcW w:w="993" w:type="dxa"/>
            <w:tcBorders>
              <w:top w:val="nil"/>
              <w:left w:val="nil"/>
              <w:bottom w:val="nil"/>
              <w:right w:val="nil"/>
            </w:tcBorders>
            <w:shd w:val="clear" w:color="auto" w:fill="FFFFFF" w:themeFill="background1"/>
            <w:noWrap/>
            <w:vAlign w:val="center"/>
            <w:hideMark/>
          </w:tcPr>
          <w:p w14:paraId="31FE0EB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4,738,661</w:t>
            </w:r>
          </w:p>
        </w:tc>
        <w:tc>
          <w:tcPr>
            <w:tcW w:w="1089" w:type="dxa"/>
            <w:tcBorders>
              <w:top w:val="nil"/>
              <w:left w:val="nil"/>
              <w:bottom w:val="nil"/>
              <w:right w:val="nil"/>
            </w:tcBorders>
            <w:shd w:val="clear" w:color="auto" w:fill="FFFFFF" w:themeFill="background1"/>
            <w:noWrap/>
            <w:vAlign w:val="center"/>
            <w:hideMark/>
          </w:tcPr>
          <w:p w14:paraId="7A878D1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3,319,399</w:t>
            </w:r>
          </w:p>
        </w:tc>
        <w:tc>
          <w:tcPr>
            <w:tcW w:w="1037" w:type="dxa"/>
            <w:tcBorders>
              <w:top w:val="nil"/>
              <w:left w:val="nil"/>
              <w:bottom w:val="nil"/>
              <w:right w:val="nil"/>
            </w:tcBorders>
            <w:shd w:val="clear" w:color="auto" w:fill="FFFFFF" w:themeFill="background1"/>
            <w:noWrap/>
            <w:vAlign w:val="center"/>
            <w:hideMark/>
          </w:tcPr>
          <w:p w14:paraId="3D3CD34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241,802</w:t>
            </w:r>
          </w:p>
        </w:tc>
        <w:tc>
          <w:tcPr>
            <w:tcW w:w="1134" w:type="dxa"/>
            <w:tcBorders>
              <w:top w:val="nil"/>
              <w:left w:val="nil"/>
              <w:bottom w:val="nil"/>
              <w:right w:val="single" w:sz="4" w:space="0" w:color="auto"/>
            </w:tcBorders>
            <w:shd w:val="clear" w:color="auto" w:fill="FFFFFF" w:themeFill="background1"/>
            <w:noWrap/>
            <w:vAlign w:val="center"/>
            <w:hideMark/>
          </w:tcPr>
          <w:p w14:paraId="6181DA2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3,561,201</w:t>
            </w:r>
          </w:p>
        </w:tc>
        <w:tc>
          <w:tcPr>
            <w:tcW w:w="992" w:type="dxa"/>
            <w:tcBorders>
              <w:top w:val="nil"/>
              <w:left w:val="nil"/>
              <w:bottom w:val="nil"/>
              <w:right w:val="single" w:sz="4" w:space="0" w:color="auto"/>
            </w:tcBorders>
            <w:shd w:val="clear" w:color="auto" w:fill="FFFFFF" w:themeFill="background1"/>
            <w:noWrap/>
            <w:vAlign w:val="center"/>
            <w:hideMark/>
          </w:tcPr>
          <w:p w14:paraId="4D9AED1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8,320,211</w:t>
            </w:r>
          </w:p>
        </w:tc>
        <w:tc>
          <w:tcPr>
            <w:tcW w:w="993" w:type="dxa"/>
            <w:tcBorders>
              <w:top w:val="nil"/>
              <w:left w:val="nil"/>
              <w:bottom w:val="nil"/>
              <w:right w:val="nil"/>
            </w:tcBorders>
            <w:shd w:val="clear" w:color="auto" w:fill="FFFFFF" w:themeFill="background1"/>
            <w:noWrap/>
            <w:vAlign w:val="center"/>
          </w:tcPr>
          <w:p w14:paraId="4B85C2C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4,738,661</w:t>
            </w:r>
          </w:p>
        </w:tc>
        <w:tc>
          <w:tcPr>
            <w:tcW w:w="1095" w:type="dxa"/>
            <w:tcBorders>
              <w:top w:val="nil"/>
              <w:left w:val="nil"/>
              <w:bottom w:val="nil"/>
              <w:right w:val="nil"/>
            </w:tcBorders>
            <w:shd w:val="clear" w:color="auto" w:fill="FFFFFF" w:themeFill="background1"/>
            <w:noWrap/>
            <w:vAlign w:val="center"/>
            <w:hideMark/>
          </w:tcPr>
          <w:p w14:paraId="658D193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3,837,182</w:t>
            </w:r>
          </w:p>
        </w:tc>
        <w:tc>
          <w:tcPr>
            <w:tcW w:w="1102" w:type="dxa"/>
            <w:tcBorders>
              <w:top w:val="nil"/>
              <w:left w:val="nil"/>
              <w:bottom w:val="nil"/>
              <w:right w:val="nil"/>
            </w:tcBorders>
            <w:shd w:val="clear" w:color="auto" w:fill="FFFFFF" w:themeFill="background1"/>
            <w:noWrap/>
            <w:vAlign w:val="center"/>
            <w:hideMark/>
          </w:tcPr>
          <w:p w14:paraId="710D282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86,868</w:t>
            </w:r>
          </w:p>
        </w:tc>
        <w:tc>
          <w:tcPr>
            <w:tcW w:w="1063" w:type="dxa"/>
            <w:tcBorders>
              <w:top w:val="nil"/>
              <w:left w:val="nil"/>
              <w:bottom w:val="nil"/>
              <w:right w:val="single" w:sz="4" w:space="0" w:color="auto"/>
            </w:tcBorders>
            <w:shd w:val="clear" w:color="auto" w:fill="FFFFFF" w:themeFill="background1"/>
            <w:noWrap/>
            <w:vAlign w:val="center"/>
            <w:hideMark/>
          </w:tcPr>
          <w:p w14:paraId="20CB0DFB"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3,924,050</w:t>
            </w:r>
          </w:p>
        </w:tc>
        <w:tc>
          <w:tcPr>
            <w:tcW w:w="1393" w:type="dxa"/>
            <w:tcBorders>
              <w:top w:val="nil"/>
              <w:left w:val="nil"/>
              <w:bottom w:val="nil"/>
              <w:right w:val="single" w:sz="4" w:space="0" w:color="auto"/>
            </w:tcBorders>
            <w:shd w:val="clear" w:color="auto" w:fill="FFFFFF" w:themeFill="background1"/>
            <w:vAlign w:val="center"/>
          </w:tcPr>
          <w:p w14:paraId="28E4228A"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47</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530DBF21"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406</w:t>
            </w:r>
          </w:p>
        </w:tc>
      </w:tr>
      <w:tr w:rsidR="00D3131B" w:rsidRPr="00527F4B" w14:paraId="4C25945B" w14:textId="77777777" w:rsidTr="00726F85">
        <w:trPr>
          <w:trHeight w:val="170"/>
        </w:trPr>
        <w:tc>
          <w:tcPr>
            <w:tcW w:w="1560" w:type="dxa"/>
            <w:vMerge/>
            <w:tcBorders>
              <w:top w:val="nil"/>
              <w:bottom w:val="nil"/>
              <w:right w:val="single" w:sz="4" w:space="0" w:color="auto"/>
            </w:tcBorders>
            <w:vAlign w:val="center"/>
            <w:hideMark/>
          </w:tcPr>
          <w:p w14:paraId="73707737"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nil"/>
              <w:right w:val="single" w:sz="4" w:space="0" w:color="auto"/>
            </w:tcBorders>
            <w:shd w:val="clear" w:color="000000" w:fill="FFFFFF"/>
            <w:vAlign w:val="center"/>
            <w:hideMark/>
          </w:tcPr>
          <w:p w14:paraId="3C9A7F2D"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0E0DC77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230,853</w:t>
            </w:r>
          </w:p>
        </w:tc>
        <w:tc>
          <w:tcPr>
            <w:tcW w:w="993" w:type="dxa"/>
            <w:tcBorders>
              <w:top w:val="nil"/>
              <w:left w:val="nil"/>
              <w:bottom w:val="nil"/>
              <w:right w:val="nil"/>
            </w:tcBorders>
            <w:shd w:val="clear" w:color="auto" w:fill="FFFFFF" w:themeFill="background1"/>
            <w:noWrap/>
            <w:vAlign w:val="center"/>
            <w:hideMark/>
          </w:tcPr>
          <w:p w14:paraId="41AA5CE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186,074</w:t>
            </w:r>
          </w:p>
        </w:tc>
        <w:tc>
          <w:tcPr>
            <w:tcW w:w="1089" w:type="dxa"/>
            <w:tcBorders>
              <w:top w:val="nil"/>
              <w:left w:val="nil"/>
              <w:bottom w:val="nil"/>
              <w:right w:val="nil"/>
            </w:tcBorders>
            <w:shd w:val="clear" w:color="auto" w:fill="FFFFFF" w:themeFill="background1"/>
            <w:noWrap/>
            <w:vAlign w:val="center"/>
            <w:hideMark/>
          </w:tcPr>
          <w:p w14:paraId="3FBACBA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168,480</w:t>
            </w:r>
          </w:p>
        </w:tc>
        <w:tc>
          <w:tcPr>
            <w:tcW w:w="1037" w:type="dxa"/>
            <w:tcBorders>
              <w:top w:val="nil"/>
              <w:left w:val="nil"/>
              <w:bottom w:val="nil"/>
              <w:right w:val="nil"/>
            </w:tcBorders>
            <w:shd w:val="clear" w:color="auto" w:fill="FFFFFF" w:themeFill="background1"/>
            <w:noWrap/>
            <w:vAlign w:val="center"/>
            <w:hideMark/>
          </w:tcPr>
          <w:p w14:paraId="7C22C4C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9,395</w:t>
            </w:r>
          </w:p>
        </w:tc>
        <w:tc>
          <w:tcPr>
            <w:tcW w:w="1134" w:type="dxa"/>
            <w:tcBorders>
              <w:top w:val="nil"/>
              <w:left w:val="nil"/>
              <w:bottom w:val="nil"/>
              <w:right w:val="single" w:sz="4" w:space="0" w:color="auto"/>
            </w:tcBorders>
            <w:shd w:val="clear" w:color="auto" w:fill="FFFFFF" w:themeFill="background1"/>
            <w:noWrap/>
            <w:vAlign w:val="center"/>
            <w:hideMark/>
          </w:tcPr>
          <w:p w14:paraId="5CE4696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177,875</w:t>
            </w:r>
          </w:p>
        </w:tc>
        <w:tc>
          <w:tcPr>
            <w:tcW w:w="992" w:type="dxa"/>
            <w:tcBorders>
              <w:top w:val="nil"/>
              <w:left w:val="nil"/>
              <w:bottom w:val="nil"/>
              <w:right w:val="single" w:sz="4" w:space="0" w:color="auto"/>
            </w:tcBorders>
            <w:shd w:val="clear" w:color="auto" w:fill="FFFFFF" w:themeFill="background1"/>
            <w:noWrap/>
            <w:vAlign w:val="center"/>
            <w:hideMark/>
          </w:tcPr>
          <w:p w14:paraId="41AC5D2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230,853</w:t>
            </w:r>
          </w:p>
        </w:tc>
        <w:tc>
          <w:tcPr>
            <w:tcW w:w="993" w:type="dxa"/>
            <w:tcBorders>
              <w:top w:val="nil"/>
              <w:left w:val="nil"/>
              <w:bottom w:val="nil"/>
              <w:right w:val="nil"/>
            </w:tcBorders>
            <w:shd w:val="clear" w:color="auto" w:fill="FFFFFF" w:themeFill="background1"/>
            <w:noWrap/>
            <w:vAlign w:val="center"/>
          </w:tcPr>
          <w:p w14:paraId="0C7F492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186,074</w:t>
            </w:r>
          </w:p>
        </w:tc>
        <w:tc>
          <w:tcPr>
            <w:tcW w:w="1095" w:type="dxa"/>
            <w:tcBorders>
              <w:top w:val="nil"/>
              <w:left w:val="nil"/>
              <w:bottom w:val="nil"/>
              <w:right w:val="nil"/>
            </w:tcBorders>
            <w:shd w:val="clear" w:color="auto" w:fill="FFFFFF" w:themeFill="background1"/>
            <w:noWrap/>
            <w:vAlign w:val="center"/>
            <w:hideMark/>
          </w:tcPr>
          <w:p w14:paraId="0A2589A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181,953</w:t>
            </w:r>
          </w:p>
        </w:tc>
        <w:tc>
          <w:tcPr>
            <w:tcW w:w="1102" w:type="dxa"/>
            <w:tcBorders>
              <w:top w:val="nil"/>
              <w:left w:val="nil"/>
              <w:bottom w:val="nil"/>
              <w:right w:val="nil"/>
            </w:tcBorders>
            <w:shd w:val="clear" w:color="auto" w:fill="FFFFFF" w:themeFill="background1"/>
            <w:noWrap/>
            <w:vAlign w:val="center"/>
            <w:hideMark/>
          </w:tcPr>
          <w:p w14:paraId="5D1D84A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646</w:t>
            </w:r>
          </w:p>
        </w:tc>
        <w:tc>
          <w:tcPr>
            <w:tcW w:w="1063" w:type="dxa"/>
            <w:tcBorders>
              <w:top w:val="nil"/>
              <w:left w:val="nil"/>
              <w:bottom w:val="nil"/>
              <w:right w:val="single" w:sz="4" w:space="0" w:color="auto"/>
            </w:tcBorders>
            <w:shd w:val="clear" w:color="auto" w:fill="FFFFFF" w:themeFill="background1"/>
            <w:noWrap/>
            <w:vAlign w:val="center"/>
            <w:hideMark/>
          </w:tcPr>
          <w:p w14:paraId="50771073"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182,599</w:t>
            </w:r>
          </w:p>
        </w:tc>
        <w:tc>
          <w:tcPr>
            <w:tcW w:w="1393" w:type="dxa"/>
            <w:tcBorders>
              <w:top w:val="nil"/>
              <w:left w:val="nil"/>
              <w:bottom w:val="nil"/>
              <w:right w:val="single" w:sz="4" w:space="0" w:color="auto"/>
            </w:tcBorders>
            <w:shd w:val="clear" w:color="auto" w:fill="FFFFFF" w:themeFill="background1"/>
            <w:vAlign w:val="center"/>
          </w:tcPr>
          <w:p w14:paraId="02BEE971"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79</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710E4979"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53</w:t>
            </w:r>
          </w:p>
        </w:tc>
      </w:tr>
      <w:tr w:rsidR="00D3131B" w:rsidRPr="00527F4B" w14:paraId="2EB51FBB" w14:textId="77777777" w:rsidTr="00726F85">
        <w:trPr>
          <w:trHeight w:val="170"/>
        </w:trPr>
        <w:tc>
          <w:tcPr>
            <w:tcW w:w="1560" w:type="dxa"/>
            <w:vMerge/>
            <w:tcBorders>
              <w:top w:val="nil"/>
              <w:bottom w:val="nil"/>
              <w:right w:val="single" w:sz="4" w:space="0" w:color="auto"/>
            </w:tcBorders>
            <w:vAlign w:val="center"/>
            <w:hideMark/>
          </w:tcPr>
          <w:p w14:paraId="58B9391B"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nil"/>
              <w:right w:val="single" w:sz="4" w:space="0" w:color="auto"/>
            </w:tcBorders>
            <w:shd w:val="clear" w:color="000000" w:fill="FFFFFF"/>
            <w:vAlign w:val="center"/>
            <w:hideMark/>
          </w:tcPr>
          <w:p w14:paraId="54D096AD"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61314AD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8,551,064</w:t>
            </w:r>
          </w:p>
        </w:tc>
        <w:tc>
          <w:tcPr>
            <w:tcW w:w="993" w:type="dxa"/>
            <w:tcBorders>
              <w:top w:val="nil"/>
              <w:left w:val="nil"/>
              <w:bottom w:val="single" w:sz="4" w:space="0" w:color="auto"/>
              <w:right w:val="nil"/>
            </w:tcBorders>
            <w:shd w:val="clear" w:color="auto" w:fill="FFFFFF" w:themeFill="background1"/>
            <w:noWrap/>
            <w:vAlign w:val="center"/>
            <w:hideMark/>
          </w:tcPr>
          <w:p w14:paraId="3B109B0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4,924,734</w:t>
            </w:r>
          </w:p>
        </w:tc>
        <w:tc>
          <w:tcPr>
            <w:tcW w:w="1089" w:type="dxa"/>
            <w:tcBorders>
              <w:top w:val="nil"/>
              <w:left w:val="nil"/>
              <w:bottom w:val="single" w:sz="4" w:space="0" w:color="auto"/>
              <w:right w:val="nil"/>
            </w:tcBorders>
            <w:shd w:val="clear" w:color="auto" w:fill="FFFFFF" w:themeFill="background1"/>
            <w:noWrap/>
            <w:vAlign w:val="center"/>
            <w:hideMark/>
          </w:tcPr>
          <w:p w14:paraId="0717561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3,487,879</w:t>
            </w:r>
          </w:p>
        </w:tc>
        <w:tc>
          <w:tcPr>
            <w:tcW w:w="1037" w:type="dxa"/>
            <w:tcBorders>
              <w:top w:val="nil"/>
              <w:left w:val="nil"/>
              <w:bottom w:val="single" w:sz="4" w:space="0" w:color="auto"/>
              <w:right w:val="nil"/>
            </w:tcBorders>
            <w:shd w:val="clear" w:color="auto" w:fill="FFFFFF" w:themeFill="background1"/>
            <w:noWrap/>
            <w:vAlign w:val="center"/>
            <w:hideMark/>
          </w:tcPr>
          <w:p w14:paraId="254EC3A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251,197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9B52EA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3,739,076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6CB3A4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8,551,064</w:t>
            </w:r>
          </w:p>
        </w:tc>
        <w:tc>
          <w:tcPr>
            <w:tcW w:w="993" w:type="dxa"/>
            <w:tcBorders>
              <w:top w:val="nil"/>
              <w:left w:val="nil"/>
              <w:bottom w:val="single" w:sz="4" w:space="0" w:color="auto"/>
              <w:right w:val="nil"/>
            </w:tcBorders>
            <w:shd w:val="clear" w:color="auto" w:fill="FFFFFF" w:themeFill="background1"/>
            <w:noWrap/>
            <w:vAlign w:val="center"/>
          </w:tcPr>
          <w:p w14:paraId="0D874A1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4,924,734</w:t>
            </w:r>
          </w:p>
        </w:tc>
        <w:tc>
          <w:tcPr>
            <w:tcW w:w="1095" w:type="dxa"/>
            <w:tcBorders>
              <w:top w:val="nil"/>
              <w:left w:val="nil"/>
              <w:bottom w:val="single" w:sz="4" w:space="0" w:color="auto"/>
              <w:right w:val="nil"/>
            </w:tcBorders>
            <w:shd w:val="clear" w:color="auto" w:fill="FFFFFF" w:themeFill="background1"/>
            <w:noWrap/>
            <w:vAlign w:val="center"/>
            <w:hideMark/>
          </w:tcPr>
          <w:p w14:paraId="1A32838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4,019,135</w:t>
            </w:r>
          </w:p>
        </w:tc>
        <w:tc>
          <w:tcPr>
            <w:tcW w:w="1102" w:type="dxa"/>
            <w:tcBorders>
              <w:top w:val="nil"/>
              <w:left w:val="nil"/>
              <w:bottom w:val="single" w:sz="4" w:space="0" w:color="auto"/>
              <w:right w:val="nil"/>
            </w:tcBorders>
            <w:shd w:val="clear" w:color="auto" w:fill="FFFFFF" w:themeFill="background1"/>
            <w:noWrap/>
            <w:vAlign w:val="center"/>
            <w:hideMark/>
          </w:tcPr>
          <w:p w14:paraId="1EED128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87,514</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07ECDD9A"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4,106,649</w:t>
            </w:r>
          </w:p>
        </w:tc>
        <w:tc>
          <w:tcPr>
            <w:tcW w:w="1393" w:type="dxa"/>
            <w:tcBorders>
              <w:top w:val="nil"/>
              <w:left w:val="nil"/>
              <w:bottom w:val="single" w:sz="4" w:space="0" w:color="auto"/>
              <w:right w:val="single" w:sz="4" w:space="0" w:color="auto"/>
            </w:tcBorders>
            <w:shd w:val="clear" w:color="auto" w:fill="FFFFFF" w:themeFill="background1"/>
            <w:vAlign w:val="center"/>
          </w:tcPr>
          <w:p w14:paraId="24FE0988"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48</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40C05CCE"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459</w:t>
            </w:r>
          </w:p>
        </w:tc>
      </w:tr>
      <w:tr w:rsidR="00CD481C" w:rsidRPr="00527F4B" w14:paraId="0E0DC4ED" w14:textId="77777777" w:rsidTr="00726F85">
        <w:trPr>
          <w:trHeight w:val="340"/>
        </w:trPr>
        <w:tc>
          <w:tcPr>
            <w:tcW w:w="15225" w:type="dxa"/>
            <w:gridSpan w:val="14"/>
            <w:tcBorders>
              <w:top w:val="single" w:sz="4" w:space="0" w:color="auto"/>
              <w:bottom w:val="single" w:sz="4" w:space="0" w:color="000000"/>
            </w:tcBorders>
            <w:shd w:val="clear" w:color="auto" w:fill="auto"/>
            <w:vAlign w:val="center"/>
          </w:tcPr>
          <w:p w14:paraId="758F1B0D" w14:textId="77777777" w:rsidR="00CD481C" w:rsidRPr="00527F4B" w:rsidRDefault="00CD481C" w:rsidP="00CD481C">
            <w:pPr>
              <w:spacing w:before="0" w:after="0"/>
              <w:ind w:left="57" w:right="57"/>
              <w:rPr>
                <w:rFonts w:asciiTheme="majorHAnsi" w:hAnsiTheme="majorHAnsi" w:cs="Arial"/>
                <w:b/>
                <w:bCs/>
                <w:spacing w:val="-4"/>
                <w:sz w:val="16"/>
                <w:szCs w:val="16"/>
              </w:rPr>
            </w:pPr>
            <w:r w:rsidRPr="00527F4B">
              <w:rPr>
                <w:rFonts w:asciiTheme="majorHAnsi" w:hAnsiTheme="majorHAnsi" w:cs="Arial"/>
                <w:b/>
                <w:bCs/>
                <w:spacing w:val="-4"/>
                <w:sz w:val="16"/>
                <w:szCs w:val="16"/>
              </w:rPr>
              <w:t>Tasmania</w:t>
            </w:r>
          </w:p>
        </w:tc>
      </w:tr>
      <w:tr w:rsidR="00D3131B" w:rsidRPr="00527F4B" w14:paraId="6EED1AE1" w14:textId="77777777" w:rsidTr="00C935F0">
        <w:trPr>
          <w:trHeight w:val="283"/>
        </w:trPr>
        <w:tc>
          <w:tcPr>
            <w:tcW w:w="1560" w:type="dxa"/>
            <w:vMerge w:val="restart"/>
            <w:tcBorders>
              <w:top w:val="nil"/>
              <w:bottom w:val="single" w:sz="4" w:space="0" w:color="000000"/>
              <w:right w:val="single" w:sz="4" w:space="0" w:color="auto"/>
            </w:tcBorders>
            <w:shd w:val="clear" w:color="000000" w:fill="FFFFFF"/>
            <w:noWrap/>
            <w:vAlign w:val="center"/>
            <w:hideMark/>
          </w:tcPr>
          <w:p w14:paraId="41486DAC"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Tasmanian</w:t>
            </w:r>
          </w:p>
        </w:tc>
        <w:tc>
          <w:tcPr>
            <w:tcW w:w="969" w:type="dxa"/>
            <w:tcBorders>
              <w:top w:val="nil"/>
              <w:left w:val="nil"/>
              <w:bottom w:val="nil"/>
              <w:right w:val="single" w:sz="4" w:space="0" w:color="auto"/>
            </w:tcBorders>
            <w:shd w:val="clear" w:color="000000" w:fill="FFFFFF"/>
            <w:vAlign w:val="center"/>
            <w:hideMark/>
          </w:tcPr>
          <w:p w14:paraId="12A43475"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407D1F3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3,204,700</w:t>
            </w:r>
          </w:p>
        </w:tc>
        <w:tc>
          <w:tcPr>
            <w:tcW w:w="993" w:type="dxa"/>
            <w:tcBorders>
              <w:top w:val="nil"/>
              <w:left w:val="nil"/>
              <w:bottom w:val="nil"/>
              <w:right w:val="nil"/>
            </w:tcBorders>
            <w:shd w:val="clear" w:color="auto" w:fill="FFFFFF" w:themeFill="background1"/>
            <w:noWrap/>
            <w:vAlign w:val="center"/>
            <w:hideMark/>
          </w:tcPr>
          <w:p w14:paraId="1B23F32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2,261,880</w:t>
            </w:r>
          </w:p>
        </w:tc>
        <w:tc>
          <w:tcPr>
            <w:tcW w:w="1089" w:type="dxa"/>
            <w:tcBorders>
              <w:top w:val="nil"/>
              <w:left w:val="nil"/>
              <w:bottom w:val="nil"/>
              <w:right w:val="nil"/>
            </w:tcBorders>
            <w:shd w:val="clear" w:color="auto" w:fill="FFFFFF" w:themeFill="background1"/>
            <w:noWrap/>
            <w:vAlign w:val="center"/>
            <w:hideMark/>
          </w:tcPr>
          <w:p w14:paraId="4D33D50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1,262,040</w:t>
            </w:r>
          </w:p>
        </w:tc>
        <w:tc>
          <w:tcPr>
            <w:tcW w:w="1037" w:type="dxa"/>
            <w:tcBorders>
              <w:top w:val="nil"/>
              <w:left w:val="nil"/>
              <w:bottom w:val="nil"/>
              <w:right w:val="nil"/>
            </w:tcBorders>
            <w:shd w:val="clear" w:color="auto" w:fill="FFFFFF" w:themeFill="background1"/>
            <w:noWrap/>
            <w:vAlign w:val="center"/>
            <w:hideMark/>
          </w:tcPr>
          <w:p w14:paraId="5880D17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2,200</w:t>
            </w:r>
          </w:p>
        </w:tc>
        <w:tc>
          <w:tcPr>
            <w:tcW w:w="1134" w:type="dxa"/>
            <w:tcBorders>
              <w:top w:val="nil"/>
              <w:left w:val="nil"/>
              <w:bottom w:val="nil"/>
              <w:right w:val="single" w:sz="4" w:space="0" w:color="auto"/>
            </w:tcBorders>
            <w:shd w:val="clear" w:color="auto" w:fill="FFFFFF" w:themeFill="background1"/>
            <w:noWrap/>
            <w:vAlign w:val="center"/>
            <w:hideMark/>
          </w:tcPr>
          <w:p w14:paraId="60F0FDE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1,264,240</w:t>
            </w:r>
          </w:p>
        </w:tc>
        <w:tc>
          <w:tcPr>
            <w:tcW w:w="992" w:type="dxa"/>
            <w:tcBorders>
              <w:top w:val="nil"/>
              <w:left w:val="nil"/>
              <w:bottom w:val="nil"/>
              <w:right w:val="single" w:sz="4" w:space="0" w:color="auto"/>
            </w:tcBorders>
            <w:shd w:val="clear" w:color="auto" w:fill="FFFFFF" w:themeFill="background1"/>
            <w:noWrap/>
            <w:vAlign w:val="center"/>
            <w:hideMark/>
          </w:tcPr>
          <w:p w14:paraId="184A475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3,052,000</w:t>
            </w:r>
          </w:p>
        </w:tc>
        <w:tc>
          <w:tcPr>
            <w:tcW w:w="993" w:type="dxa"/>
            <w:tcBorders>
              <w:top w:val="nil"/>
              <w:left w:val="nil"/>
              <w:bottom w:val="nil"/>
              <w:right w:val="nil"/>
            </w:tcBorders>
            <w:shd w:val="clear" w:color="auto" w:fill="FFFFFF" w:themeFill="background1"/>
            <w:noWrap/>
            <w:vAlign w:val="center"/>
            <w:hideMark/>
          </w:tcPr>
          <w:p w14:paraId="749E963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2,211,910</w:t>
            </w:r>
          </w:p>
        </w:tc>
        <w:tc>
          <w:tcPr>
            <w:tcW w:w="1095" w:type="dxa"/>
            <w:tcBorders>
              <w:top w:val="nil"/>
              <w:left w:val="nil"/>
              <w:bottom w:val="nil"/>
              <w:right w:val="nil"/>
            </w:tcBorders>
            <w:shd w:val="clear" w:color="auto" w:fill="FFFFFF" w:themeFill="background1"/>
            <w:noWrap/>
            <w:vAlign w:val="center"/>
            <w:hideMark/>
          </w:tcPr>
          <w:p w14:paraId="02F580C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1,682,000</w:t>
            </w:r>
          </w:p>
        </w:tc>
        <w:tc>
          <w:tcPr>
            <w:tcW w:w="1102" w:type="dxa"/>
            <w:tcBorders>
              <w:top w:val="nil"/>
              <w:left w:val="nil"/>
              <w:bottom w:val="nil"/>
              <w:right w:val="nil"/>
            </w:tcBorders>
            <w:shd w:val="clear" w:color="auto" w:fill="FFFFFF" w:themeFill="background1"/>
            <w:noWrap/>
            <w:vAlign w:val="center"/>
            <w:hideMark/>
          </w:tcPr>
          <w:p w14:paraId="1F59AF7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nr</w:t>
            </w:r>
          </w:p>
        </w:tc>
        <w:tc>
          <w:tcPr>
            <w:tcW w:w="1063" w:type="dxa"/>
            <w:tcBorders>
              <w:top w:val="nil"/>
              <w:left w:val="nil"/>
              <w:bottom w:val="nil"/>
              <w:right w:val="single" w:sz="4" w:space="0" w:color="auto"/>
            </w:tcBorders>
            <w:shd w:val="clear" w:color="auto" w:fill="FFFFFF" w:themeFill="background1"/>
            <w:noWrap/>
            <w:vAlign w:val="center"/>
            <w:hideMark/>
          </w:tcPr>
          <w:p w14:paraId="4EACBD39" w14:textId="77777777" w:rsidR="00CD481C" w:rsidRPr="00527F4B" w:rsidRDefault="00CD481C" w:rsidP="00CD481C">
            <w:pPr>
              <w:spacing w:before="0" w:after="0"/>
              <w:ind w:left="57" w:right="128"/>
              <w:jc w:val="right"/>
              <w:rPr>
                <w:rFonts w:asciiTheme="majorHAnsi" w:hAnsiTheme="majorHAnsi" w:cs="Arial"/>
                <w:spacing w:val="-4"/>
                <w:sz w:val="16"/>
                <w:szCs w:val="16"/>
              </w:rPr>
            </w:pPr>
            <w:r w:rsidRPr="00527F4B">
              <w:rPr>
                <w:rFonts w:asciiTheme="majorHAnsi" w:hAnsiTheme="majorHAnsi" w:cs="Arial"/>
                <w:spacing w:val="-4"/>
                <w:sz w:val="16"/>
                <w:szCs w:val="16"/>
              </w:rPr>
              <w:t xml:space="preserve">1,778,000 </w:t>
            </w:r>
            <w:r w:rsidRPr="00527F4B">
              <w:rPr>
                <w:rFonts w:asciiTheme="majorHAnsi" w:hAnsiTheme="majorHAnsi" w:cs="Arial"/>
                <w:b/>
                <w:bCs/>
                <w:spacing w:val="-4"/>
                <w:position w:val="4"/>
                <w:sz w:val="16"/>
                <w:szCs w:val="16"/>
              </w:rPr>
              <w:t>b</w:t>
            </w:r>
          </w:p>
        </w:tc>
        <w:tc>
          <w:tcPr>
            <w:tcW w:w="1393" w:type="dxa"/>
            <w:tcBorders>
              <w:top w:val="nil"/>
              <w:left w:val="nil"/>
              <w:bottom w:val="nil"/>
              <w:right w:val="single" w:sz="4" w:space="0" w:color="auto"/>
            </w:tcBorders>
            <w:shd w:val="clear" w:color="auto" w:fill="FFFFFF" w:themeFill="background1"/>
            <w:vAlign w:val="center"/>
          </w:tcPr>
          <w:p w14:paraId="53E41A82"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58</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70D9CF28"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50</w:t>
            </w:r>
          </w:p>
        </w:tc>
      </w:tr>
      <w:tr w:rsidR="00D3131B" w:rsidRPr="00527F4B" w14:paraId="2AD81327" w14:textId="77777777" w:rsidTr="00726F85">
        <w:trPr>
          <w:trHeight w:val="170"/>
        </w:trPr>
        <w:tc>
          <w:tcPr>
            <w:tcW w:w="1560" w:type="dxa"/>
            <w:vMerge/>
            <w:tcBorders>
              <w:top w:val="nil"/>
              <w:bottom w:val="single" w:sz="4" w:space="0" w:color="000000"/>
              <w:right w:val="single" w:sz="4" w:space="0" w:color="auto"/>
            </w:tcBorders>
            <w:vAlign w:val="center"/>
            <w:hideMark/>
          </w:tcPr>
          <w:p w14:paraId="192D1291"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nil"/>
              <w:right w:val="single" w:sz="4" w:space="0" w:color="auto"/>
            </w:tcBorders>
            <w:shd w:val="clear" w:color="000000" w:fill="FFFFFF"/>
            <w:vAlign w:val="center"/>
            <w:hideMark/>
          </w:tcPr>
          <w:p w14:paraId="712DFCA5"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0C423A1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1,550,000</w:t>
            </w:r>
          </w:p>
        </w:tc>
        <w:tc>
          <w:tcPr>
            <w:tcW w:w="993" w:type="dxa"/>
            <w:tcBorders>
              <w:top w:val="nil"/>
              <w:left w:val="nil"/>
              <w:bottom w:val="nil"/>
              <w:right w:val="nil"/>
            </w:tcBorders>
            <w:shd w:val="clear" w:color="auto" w:fill="FFFFFF" w:themeFill="background1"/>
            <w:noWrap/>
            <w:vAlign w:val="center"/>
            <w:hideMark/>
          </w:tcPr>
          <w:p w14:paraId="63BB001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1,496,500</w:t>
            </w:r>
          </w:p>
        </w:tc>
        <w:tc>
          <w:tcPr>
            <w:tcW w:w="1089" w:type="dxa"/>
            <w:tcBorders>
              <w:top w:val="nil"/>
              <w:left w:val="nil"/>
              <w:bottom w:val="nil"/>
              <w:right w:val="nil"/>
            </w:tcBorders>
            <w:shd w:val="clear" w:color="auto" w:fill="FFFFFF" w:themeFill="background1"/>
            <w:noWrap/>
            <w:vAlign w:val="center"/>
            <w:hideMark/>
          </w:tcPr>
          <w:p w14:paraId="17FF184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1,476,700</w:t>
            </w:r>
          </w:p>
        </w:tc>
        <w:tc>
          <w:tcPr>
            <w:tcW w:w="1037" w:type="dxa"/>
            <w:tcBorders>
              <w:top w:val="nil"/>
              <w:left w:val="nil"/>
              <w:bottom w:val="nil"/>
              <w:right w:val="nil"/>
            </w:tcBorders>
            <w:shd w:val="clear" w:color="auto" w:fill="FFFFFF" w:themeFill="background1"/>
            <w:noWrap/>
            <w:vAlign w:val="center"/>
            <w:hideMark/>
          </w:tcPr>
          <w:p w14:paraId="3052E57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5,800</w:t>
            </w:r>
          </w:p>
        </w:tc>
        <w:tc>
          <w:tcPr>
            <w:tcW w:w="1134" w:type="dxa"/>
            <w:tcBorders>
              <w:top w:val="nil"/>
              <w:left w:val="nil"/>
              <w:bottom w:val="nil"/>
              <w:right w:val="single" w:sz="4" w:space="0" w:color="auto"/>
            </w:tcBorders>
            <w:shd w:val="clear" w:color="auto" w:fill="FFFFFF" w:themeFill="background1"/>
            <w:noWrap/>
            <w:vAlign w:val="center"/>
            <w:hideMark/>
          </w:tcPr>
          <w:p w14:paraId="7739A3E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1,482,500</w:t>
            </w:r>
          </w:p>
        </w:tc>
        <w:tc>
          <w:tcPr>
            <w:tcW w:w="992" w:type="dxa"/>
            <w:tcBorders>
              <w:top w:val="nil"/>
              <w:left w:val="nil"/>
              <w:bottom w:val="nil"/>
              <w:right w:val="single" w:sz="4" w:space="0" w:color="auto"/>
            </w:tcBorders>
            <w:shd w:val="clear" w:color="auto" w:fill="FFFFFF" w:themeFill="background1"/>
            <w:noWrap/>
            <w:vAlign w:val="center"/>
            <w:hideMark/>
          </w:tcPr>
          <w:p w14:paraId="7951AC0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1,550,000</w:t>
            </w:r>
          </w:p>
        </w:tc>
        <w:tc>
          <w:tcPr>
            <w:tcW w:w="993" w:type="dxa"/>
            <w:tcBorders>
              <w:top w:val="nil"/>
              <w:left w:val="nil"/>
              <w:bottom w:val="nil"/>
              <w:right w:val="nil"/>
            </w:tcBorders>
            <w:shd w:val="clear" w:color="auto" w:fill="FFFFFF" w:themeFill="background1"/>
            <w:noWrap/>
            <w:vAlign w:val="center"/>
            <w:hideMark/>
          </w:tcPr>
          <w:p w14:paraId="4D429EE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1,496,500</w:t>
            </w:r>
          </w:p>
        </w:tc>
        <w:tc>
          <w:tcPr>
            <w:tcW w:w="1095" w:type="dxa"/>
            <w:tcBorders>
              <w:top w:val="nil"/>
              <w:left w:val="nil"/>
              <w:bottom w:val="nil"/>
              <w:right w:val="nil"/>
            </w:tcBorders>
            <w:shd w:val="clear" w:color="auto" w:fill="FFFFFF" w:themeFill="background1"/>
            <w:noWrap/>
            <w:vAlign w:val="center"/>
            <w:hideMark/>
          </w:tcPr>
          <w:p w14:paraId="0FD5F91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1,476,700</w:t>
            </w:r>
          </w:p>
        </w:tc>
        <w:tc>
          <w:tcPr>
            <w:tcW w:w="1102" w:type="dxa"/>
            <w:tcBorders>
              <w:top w:val="nil"/>
              <w:left w:val="nil"/>
              <w:bottom w:val="nil"/>
              <w:right w:val="nil"/>
            </w:tcBorders>
            <w:shd w:val="clear" w:color="auto" w:fill="FFFFFF" w:themeFill="background1"/>
            <w:noWrap/>
            <w:vAlign w:val="center"/>
            <w:hideMark/>
          </w:tcPr>
          <w:p w14:paraId="1EC137D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nr</w:t>
            </w:r>
          </w:p>
        </w:tc>
        <w:tc>
          <w:tcPr>
            <w:tcW w:w="1063" w:type="dxa"/>
            <w:tcBorders>
              <w:top w:val="nil"/>
              <w:left w:val="nil"/>
              <w:bottom w:val="nil"/>
              <w:right w:val="single" w:sz="4" w:space="0" w:color="auto"/>
            </w:tcBorders>
            <w:shd w:val="clear" w:color="auto" w:fill="FFFFFF" w:themeFill="background1"/>
            <w:noWrap/>
            <w:vAlign w:val="center"/>
            <w:hideMark/>
          </w:tcPr>
          <w:p w14:paraId="758879E3" w14:textId="77777777" w:rsidR="00CD481C" w:rsidRPr="00527F4B" w:rsidRDefault="00CD481C" w:rsidP="00CD481C">
            <w:pPr>
              <w:spacing w:before="0" w:after="0"/>
              <w:ind w:left="57" w:right="128"/>
              <w:jc w:val="right"/>
              <w:rPr>
                <w:rFonts w:asciiTheme="majorHAnsi" w:hAnsiTheme="majorHAnsi" w:cs="Arial"/>
                <w:spacing w:val="-4"/>
                <w:sz w:val="16"/>
                <w:szCs w:val="16"/>
              </w:rPr>
            </w:pPr>
            <w:r w:rsidRPr="00527F4B">
              <w:rPr>
                <w:rFonts w:asciiTheme="majorHAnsi" w:hAnsiTheme="majorHAnsi" w:cs="Arial"/>
                <w:spacing w:val="-4"/>
                <w:sz w:val="16"/>
                <w:szCs w:val="16"/>
              </w:rPr>
              <w:t xml:space="preserve">1,482,500 </w:t>
            </w:r>
            <w:r w:rsidRPr="00527F4B">
              <w:rPr>
                <w:rFonts w:asciiTheme="majorHAnsi" w:hAnsiTheme="majorHAnsi" w:cs="Arial"/>
                <w:b/>
                <w:bCs/>
                <w:spacing w:val="-4"/>
                <w:position w:val="4"/>
                <w:sz w:val="16"/>
                <w:szCs w:val="16"/>
              </w:rPr>
              <w:t>c</w:t>
            </w:r>
          </w:p>
        </w:tc>
        <w:tc>
          <w:tcPr>
            <w:tcW w:w="1393" w:type="dxa"/>
            <w:tcBorders>
              <w:top w:val="nil"/>
              <w:left w:val="nil"/>
              <w:bottom w:val="nil"/>
              <w:right w:val="single" w:sz="4" w:space="0" w:color="auto"/>
            </w:tcBorders>
            <w:shd w:val="clear" w:color="auto" w:fill="FFFFFF" w:themeFill="background1"/>
            <w:vAlign w:val="center"/>
          </w:tcPr>
          <w:p w14:paraId="0FB8F58D"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96</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45B0CDE8"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nr</w:t>
            </w:r>
          </w:p>
        </w:tc>
      </w:tr>
      <w:tr w:rsidR="00D3131B" w:rsidRPr="00527F4B" w14:paraId="2CA60AC5" w14:textId="77777777" w:rsidTr="00726F85">
        <w:trPr>
          <w:trHeight w:val="170"/>
        </w:trPr>
        <w:tc>
          <w:tcPr>
            <w:tcW w:w="1560" w:type="dxa"/>
            <w:vMerge/>
            <w:tcBorders>
              <w:top w:val="nil"/>
              <w:bottom w:val="single" w:sz="4" w:space="0" w:color="000000"/>
              <w:right w:val="single" w:sz="4" w:space="0" w:color="auto"/>
            </w:tcBorders>
            <w:vAlign w:val="center"/>
            <w:hideMark/>
          </w:tcPr>
          <w:p w14:paraId="3E6378CA"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nil"/>
              <w:right w:val="single" w:sz="4" w:space="0" w:color="auto"/>
            </w:tcBorders>
            <w:shd w:val="clear" w:color="000000" w:fill="FFFFFF"/>
            <w:vAlign w:val="center"/>
            <w:hideMark/>
          </w:tcPr>
          <w:p w14:paraId="091DAB03"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52364C7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4,754,700</w:t>
            </w:r>
          </w:p>
        </w:tc>
        <w:tc>
          <w:tcPr>
            <w:tcW w:w="993" w:type="dxa"/>
            <w:tcBorders>
              <w:top w:val="nil"/>
              <w:left w:val="nil"/>
              <w:bottom w:val="single" w:sz="4" w:space="0" w:color="auto"/>
              <w:right w:val="nil"/>
            </w:tcBorders>
            <w:shd w:val="clear" w:color="auto" w:fill="FFFFFF" w:themeFill="background1"/>
            <w:noWrap/>
            <w:vAlign w:val="center"/>
            <w:hideMark/>
          </w:tcPr>
          <w:p w14:paraId="0820117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3,758,380</w:t>
            </w:r>
          </w:p>
        </w:tc>
        <w:tc>
          <w:tcPr>
            <w:tcW w:w="1089" w:type="dxa"/>
            <w:tcBorders>
              <w:top w:val="nil"/>
              <w:left w:val="nil"/>
              <w:bottom w:val="single" w:sz="4" w:space="0" w:color="auto"/>
              <w:right w:val="nil"/>
            </w:tcBorders>
            <w:shd w:val="clear" w:color="auto" w:fill="FFFFFF" w:themeFill="background1"/>
            <w:noWrap/>
            <w:vAlign w:val="center"/>
            <w:hideMark/>
          </w:tcPr>
          <w:p w14:paraId="514A46A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2,738,740</w:t>
            </w:r>
          </w:p>
        </w:tc>
        <w:tc>
          <w:tcPr>
            <w:tcW w:w="1037" w:type="dxa"/>
            <w:tcBorders>
              <w:top w:val="nil"/>
              <w:left w:val="nil"/>
              <w:bottom w:val="single" w:sz="4" w:space="0" w:color="auto"/>
              <w:right w:val="nil"/>
            </w:tcBorders>
            <w:shd w:val="clear" w:color="auto" w:fill="FFFFFF" w:themeFill="background1"/>
            <w:noWrap/>
            <w:vAlign w:val="center"/>
            <w:hideMark/>
          </w:tcPr>
          <w:p w14:paraId="2985B21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8,000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90DD70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2,746,740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2FEE3A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4,602,000</w:t>
            </w:r>
          </w:p>
        </w:tc>
        <w:tc>
          <w:tcPr>
            <w:tcW w:w="993" w:type="dxa"/>
            <w:tcBorders>
              <w:top w:val="nil"/>
              <w:left w:val="nil"/>
              <w:bottom w:val="single" w:sz="4" w:space="0" w:color="auto"/>
              <w:right w:val="nil"/>
            </w:tcBorders>
            <w:shd w:val="clear" w:color="auto" w:fill="FFFFFF" w:themeFill="background1"/>
            <w:noWrap/>
            <w:vAlign w:val="center"/>
            <w:hideMark/>
          </w:tcPr>
          <w:p w14:paraId="376FB19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3,708,410</w:t>
            </w:r>
          </w:p>
        </w:tc>
        <w:tc>
          <w:tcPr>
            <w:tcW w:w="1095" w:type="dxa"/>
            <w:tcBorders>
              <w:top w:val="nil"/>
              <w:left w:val="nil"/>
              <w:bottom w:val="single" w:sz="4" w:space="0" w:color="auto"/>
              <w:right w:val="nil"/>
            </w:tcBorders>
            <w:shd w:val="clear" w:color="auto" w:fill="FFFFFF" w:themeFill="background1"/>
            <w:noWrap/>
            <w:vAlign w:val="center"/>
            <w:hideMark/>
          </w:tcPr>
          <w:p w14:paraId="52FDC64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3,158,700</w:t>
            </w:r>
          </w:p>
        </w:tc>
        <w:tc>
          <w:tcPr>
            <w:tcW w:w="1102" w:type="dxa"/>
            <w:tcBorders>
              <w:top w:val="nil"/>
              <w:left w:val="nil"/>
              <w:bottom w:val="single" w:sz="4" w:space="0" w:color="auto"/>
              <w:right w:val="nil"/>
            </w:tcBorders>
            <w:shd w:val="clear" w:color="auto" w:fill="FFFFFF" w:themeFill="background1"/>
            <w:noWrap/>
            <w:vAlign w:val="center"/>
            <w:hideMark/>
          </w:tcPr>
          <w:p w14:paraId="6CAD51E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nr</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502B4A1B" w14:textId="77777777" w:rsidR="00CD481C" w:rsidRPr="00527F4B" w:rsidRDefault="00CD481C" w:rsidP="00CD481C">
            <w:pPr>
              <w:spacing w:before="0" w:after="0"/>
              <w:ind w:left="57"/>
              <w:jc w:val="right"/>
              <w:rPr>
                <w:rFonts w:asciiTheme="majorHAnsi" w:hAnsiTheme="majorHAnsi" w:cs="Arial"/>
                <w:spacing w:val="-4"/>
                <w:sz w:val="16"/>
                <w:szCs w:val="16"/>
              </w:rPr>
            </w:pPr>
            <w:r w:rsidRPr="00527F4B">
              <w:rPr>
                <w:rFonts w:asciiTheme="majorHAnsi" w:hAnsiTheme="majorHAnsi" w:cs="Arial"/>
                <w:spacing w:val="-4"/>
                <w:sz w:val="16"/>
                <w:szCs w:val="16"/>
              </w:rPr>
              <w:t xml:space="preserve">3,260,500 </w:t>
            </w:r>
            <w:r w:rsidRPr="00527F4B">
              <w:rPr>
                <w:rFonts w:asciiTheme="majorHAnsi" w:hAnsiTheme="majorHAnsi" w:cs="Arial"/>
                <w:b/>
                <w:bCs/>
                <w:spacing w:val="-4"/>
                <w:position w:val="4"/>
                <w:sz w:val="16"/>
                <w:szCs w:val="16"/>
              </w:rPr>
              <w:t>b</w:t>
            </w:r>
            <w:r w:rsidRPr="00527F4B">
              <w:rPr>
                <w:rFonts w:asciiTheme="majorHAnsi" w:hAnsiTheme="majorHAnsi" w:cs="Arial"/>
                <w:spacing w:val="-4"/>
                <w:sz w:val="16"/>
                <w:szCs w:val="16"/>
              </w:rPr>
              <w:t>,</w:t>
            </w:r>
            <w:r w:rsidRPr="00527F4B">
              <w:rPr>
                <w:rFonts w:asciiTheme="majorHAnsi" w:hAnsiTheme="majorHAnsi" w:cs="Arial"/>
                <w:b/>
                <w:bCs/>
                <w:spacing w:val="-4"/>
                <w:position w:val="4"/>
                <w:sz w:val="16"/>
                <w:szCs w:val="16"/>
              </w:rPr>
              <w:t>c</w:t>
            </w:r>
          </w:p>
        </w:tc>
        <w:tc>
          <w:tcPr>
            <w:tcW w:w="1393" w:type="dxa"/>
            <w:tcBorders>
              <w:top w:val="nil"/>
              <w:left w:val="nil"/>
              <w:bottom w:val="single" w:sz="4" w:space="0" w:color="auto"/>
              <w:right w:val="single" w:sz="4" w:space="0" w:color="auto"/>
            </w:tcBorders>
            <w:shd w:val="clear" w:color="auto" w:fill="FFFFFF" w:themeFill="background1"/>
            <w:vAlign w:val="center"/>
          </w:tcPr>
          <w:p w14:paraId="27C6C327"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71</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0F3984BD"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50</w:t>
            </w:r>
          </w:p>
        </w:tc>
      </w:tr>
      <w:tr w:rsidR="00CD481C" w:rsidRPr="00527F4B" w14:paraId="5DFE9D14" w14:textId="77777777" w:rsidTr="00C935F0">
        <w:trPr>
          <w:trHeight w:val="340"/>
        </w:trPr>
        <w:tc>
          <w:tcPr>
            <w:tcW w:w="15225" w:type="dxa"/>
            <w:gridSpan w:val="14"/>
            <w:tcBorders>
              <w:top w:val="single" w:sz="4" w:space="0" w:color="auto"/>
              <w:bottom w:val="nil"/>
            </w:tcBorders>
            <w:shd w:val="clear" w:color="auto" w:fill="auto"/>
            <w:vAlign w:val="center"/>
          </w:tcPr>
          <w:p w14:paraId="78F805AC" w14:textId="77777777" w:rsidR="00CD481C" w:rsidRPr="00527F4B" w:rsidRDefault="00CD481C" w:rsidP="00CD481C">
            <w:pPr>
              <w:spacing w:before="0" w:after="0"/>
              <w:ind w:left="57" w:right="57"/>
              <w:rPr>
                <w:rFonts w:asciiTheme="majorHAnsi" w:hAnsiTheme="majorHAnsi" w:cs="Arial"/>
                <w:b/>
                <w:bCs/>
                <w:spacing w:val="-4"/>
                <w:sz w:val="16"/>
                <w:szCs w:val="16"/>
              </w:rPr>
            </w:pPr>
            <w:r w:rsidRPr="00527F4B">
              <w:rPr>
                <w:rFonts w:asciiTheme="majorHAnsi" w:hAnsiTheme="majorHAnsi" w:cs="Arial"/>
                <w:b/>
                <w:bCs/>
                <w:spacing w:val="-4"/>
                <w:sz w:val="16"/>
                <w:szCs w:val="16"/>
              </w:rPr>
              <w:t>Victoria</w:t>
            </w:r>
          </w:p>
        </w:tc>
      </w:tr>
      <w:tr w:rsidR="00D3131B" w:rsidRPr="00527F4B" w14:paraId="3D4AFAE2" w14:textId="77777777" w:rsidTr="00726F85">
        <w:trPr>
          <w:trHeight w:val="170"/>
        </w:trPr>
        <w:tc>
          <w:tcPr>
            <w:tcW w:w="1560" w:type="dxa"/>
            <w:vMerge w:val="restart"/>
            <w:tcBorders>
              <w:top w:val="single" w:sz="4" w:space="0" w:color="auto"/>
              <w:bottom w:val="single" w:sz="4" w:space="0" w:color="000000"/>
              <w:right w:val="single" w:sz="4" w:space="0" w:color="auto"/>
            </w:tcBorders>
            <w:shd w:val="clear" w:color="000000" w:fill="FFFFFF"/>
            <w:vAlign w:val="center"/>
            <w:hideMark/>
          </w:tcPr>
          <w:p w14:paraId="0BDD0360"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East Gippsland</w:t>
            </w:r>
            <w:r>
              <w:rPr>
                <w:rFonts w:asciiTheme="majorHAnsi" w:hAnsiTheme="majorHAnsi" w:cs="Arial"/>
                <w:bCs/>
                <w:sz w:val="16"/>
                <w:szCs w:val="16"/>
              </w:rPr>
              <w:t xml:space="preserve"> </w:t>
            </w:r>
            <w:r w:rsidRPr="00ED67A1">
              <w:rPr>
                <w:rFonts w:asciiTheme="majorHAnsi" w:hAnsiTheme="majorHAnsi" w:cs="Arial"/>
                <w:b/>
                <w:bCs/>
                <w:position w:val="4"/>
                <w:sz w:val="16"/>
                <w:szCs w:val="16"/>
              </w:rPr>
              <w:t>d</w:t>
            </w:r>
          </w:p>
        </w:tc>
        <w:tc>
          <w:tcPr>
            <w:tcW w:w="969" w:type="dxa"/>
            <w:tcBorders>
              <w:top w:val="single" w:sz="4" w:space="0" w:color="auto"/>
              <w:left w:val="nil"/>
              <w:bottom w:val="nil"/>
              <w:right w:val="single" w:sz="4" w:space="0" w:color="auto"/>
            </w:tcBorders>
            <w:shd w:val="clear" w:color="000000" w:fill="FFFFFF"/>
            <w:vAlign w:val="center"/>
            <w:hideMark/>
          </w:tcPr>
          <w:p w14:paraId="38D73E0F"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single" w:sz="4" w:space="0" w:color="auto"/>
              <w:left w:val="nil"/>
              <w:bottom w:val="nil"/>
              <w:right w:val="single" w:sz="4" w:space="0" w:color="auto"/>
            </w:tcBorders>
            <w:shd w:val="clear" w:color="auto" w:fill="FFFFFF" w:themeFill="background1"/>
            <w:noWrap/>
            <w:vAlign w:val="center"/>
            <w:hideMark/>
          </w:tcPr>
          <w:p w14:paraId="3474AA8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1,078,057</w:t>
            </w:r>
          </w:p>
        </w:tc>
        <w:tc>
          <w:tcPr>
            <w:tcW w:w="993" w:type="dxa"/>
            <w:tcBorders>
              <w:top w:val="single" w:sz="4" w:space="0" w:color="auto"/>
              <w:left w:val="nil"/>
              <w:bottom w:val="nil"/>
              <w:right w:val="nil"/>
            </w:tcBorders>
            <w:shd w:val="clear" w:color="auto" w:fill="FFFFFF" w:themeFill="background1"/>
            <w:noWrap/>
            <w:vAlign w:val="center"/>
            <w:hideMark/>
          </w:tcPr>
          <w:p w14:paraId="7ABED82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1,014,040</w:t>
            </w:r>
          </w:p>
        </w:tc>
        <w:tc>
          <w:tcPr>
            <w:tcW w:w="1089" w:type="dxa"/>
            <w:tcBorders>
              <w:top w:val="single" w:sz="4" w:space="0" w:color="auto"/>
              <w:left w:val="nil"/>
              <w:bottom w:val="nil"/>
              <w:right w:val="nil"/>
            </w:tcBorders>
            <w:shd w:val="clear" w:color="auto" w:fill="FFFFFF" w:themeFill="background1"/>
            <w:noWrap/>
            <w:vAlign w:val="center"/>
            <w:hideMark/>
          </w:tcPr>
          <w:p w14:paraId="06774B9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506,653</w:t>
            </w:r>
          </w:p>
        </w:tc>
        <w:tc>
          <w:tcPr>
            <w:tcW w:w="1037" w:type="dxa"/>
            <w:tcBorders>
              <w:top w:val="single" w:sz="4" w:space="0" w:color="auto"/>
              <w:left w:val="nil"/>
              <w:bottom w:val="nil"/>
              <w:right w:val="nil"/>
            </w:tcBorders>
            <w:shd w:val="clear" w:color="auto" w:fill="FFFFFF" w:themeFill="background1"/>
            <w:noWrap/>
            <w:vAlign w:val="center"/>
            <w:hideMark/>
          </w:tcPr>
          <w:p w14:paraId="299B268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35,796</w:t>
            </w:r>
          </w:p>
        </w:tc>
        <w:tc>
          <w:tcPr>
            <w:tcW w:w="1134" w:type="dxa"/>
            <w:tcBorders>
              <w:top w:val="single" w:sz="4" w:space="0" w:color="auto"/>
              <w:left w:val="nil"/>
              <w:bottom w:val="nil"/>
              <w:right w:val="single" w:sz="4" w:space="0" w:color="auto"/>
            </w:tcBorders>
            <w:shd w:val="clear" w:color="auto" w:fill="FFFFFF" w:themeFill="background1"/>
            <w:noWrap/>
            <w:vAlign w:val="center"/>
            <w:hideMark/>
          </w:tcPr>
          <w:p w14:paraId="4022315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542,449</w:t>
            </w:r>
          </w:p>
        </w:tc>
        <w:tc>
          <w:tcPr>
            <w:tcW w:w="992" w:type="dxa"/>
            <w:tcBorders>
              <w:top w:val="single" w:sz="4" w:space="0" w:color="auto"/>
              <w:left w:val="nil"/>
              <w:bottom w:val="nil"/>
              <w:right w:val="single" w:sz="4" w:space="0" w:color="auto"/>
            </w:tcBorders>
            <w:shd w:val="clear" w:color="auto" w:fill="FFFFFF" w:themeFill="background1"/>
            <w:noWrap/>
            <w:vAlign w:val="center"/>
            <w:hideMark/>
          </w:tcPr>
          <w:p w14:paraId="7ACB625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1,116,700</w:t>
            </w:r>
          </w:p>
        </w:tc>
        <w:tc>
          <w:tcPr>
            <w:tcW w:w="993" w:type="dxa"/>
            <w:tcBorders>
              <w:top w:val="single" w:sz="4" w:space="0" w:color="auto"/>
              <w:left w:val="nil"/>
              <w:bottom w:val="nil"/>
              <w:right w:val="nil"/>
            </w:tcBorders>
            <w:shd w:val="clear" w:color="auto" w:fill="FFFFFF" w:themeFill="background1"/>
            <w:noWrap/>
            <w:vAlign w:val="center"/>
            <w:hideMark/>
          </w:tcPr>
          <w:p w14:paraId="67899DD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1,019,800</w:t>
            </w:r>
          </w:p>
        </w:tc>
        <w:tc>
          <w:tcPr>
            <w:tcW w:w="1095" w:type="dxa"/>
            <w:tcBorders>
              <w:top w:val="single" w:sz="4" w:space="0" w:color="auto"/>
              <w:left w:val="nil"/>
              <w:bottom w:val="nil"/>
              <w:right w:val="nil"/>
            </w:tcBorders>
            <w:shd w:val="clear" w:color="auto" w:fill="FFFFFF" w:themeFill="background1"/>
            <w:noWrap/>
            <w:vAlign w:val="center"/>
            <w:hideMark/>
          </w:tcPr>
          <w:p w14:paraId="25793E5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547,800</w:t>
            </w:r>
          </w:p>
        </w:tc>
        <w:tc>
          <w:tcPr>
            <w:tcW w:w="1102" w:type="dxa"/>
            <w:tcBorders>
              <w:top w:val="single" w:sz="4" w:space="0" w:color="auto"/>
              <w:left w:val="nil"/>
              <w:bottom w:val="nil"/>
              <w:right w:val="nil"/>
            </w:tcBorders>
            <w:shd w:val="clear" w:color="auto" w:fill="FFFFFF" w:themeFill="background1"/>
            <w:noWrap/>
            <w:vAlign w:val="center"/>
            <w:hideMark/>
          </w:tcPr>
          <w:p w14:paraId="37584A8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91,400</w:t>
            </w:r>
          </w:p>
        </w:tc>
        <w:tc>
          <w:tcPr>
            <w:tcW w:w="1063" w:type="dxa"/>
            <w:tcBorders>
              <w:top w:val="single" w:sz="4" w:space="0" w:color="auto"/>
              <w:left w:val="nil"/>
              <w:bottom w:val="nil"/>
              <w:right w:val="single" w:sz="4" w:space="0" w:color="auto"/>
            </w:tcBorders>
            <w:shd w:val="clear" w:color="auto" w:fill="FFFFFF" w:themeFill="background1"/>
            <w:noWrap/>
            <w:vAlign w:val="center"/>
            <w:hideMark/>
          </w:tcPr>
          <w:p w14:paraId="51309B46"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634,300</w:t>
            </w:r>
          </w:p>
        </w:tc>
        <w:tc>
          <w:tcPr>
            <w:tcW w:w="1393" w:type="dxa"/>
            <w:tcBorders>
              <w:top w:val="single" w:sz="4" w:space="0" w:color="auto"/>
              <w:left w:val="nil"/>
              <w:bottom w:val="nil"/>
              <w:right w:val="single" w:sz="4" w:space="0" w:color="auto"/>
            </w:tcBorders>
            <w:shd w:val="clear" w:color="auto" w:fill="FFFFFF" w:themeFill="background1"/>
            <w:vAlign w:val="center"/>
          </w:tcPr>
          <w:p w14:paraId="50C1B208"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57</w:t>
            </w:r>
          </w:p>
        </w:tc>
        <w:tc>
          <w:tcPr>
            <w:tcW w:w="932" w:type="dxa"/>
            <w:tcBorders>
              <w:top w:val="single" w:sz="4" w:space="0" w:color="auto"/>
              <w:left w:val="single" w:sz="4" w:space="0" w:color="auto"/>
              <w:bottom w:val="nil"/>
            </w:tcBorders>
            <w:shd w:val="clear" w:color="auto" w:fill="FFFFFF" w:themeFill="background1"/>
            <w:noWrap/>
            <w:tcMar>
              <w:top w:w="0" w:type="dxa"/>
              <w:left w:w="0" w:type="dxa"/>
              <w:bottom w:w="0" w:type="dxa"/>
              <w:right w:w="180" w:type="dxa"/>
            </w:tcMar>
            <w:vAlign w:val="center"/>
            <w:hideMark/>
          </w:tcPr>
          <w:p w14:paraId="31D7C26F"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36</w:t>
            </w:r>
          </w:p>
        </w:tc>
      </w:tr>
      <w:tr w:rsidR="00D3131B" w:rsidRPr="00527F4B" w14:paraId="58E858B9" w14:textId="77777777" w:rsidTr="00726F85">
        <w:trPr>
          <w:trHeight w:val="170"/>
        </w:trPr>
        <w:tc>
          <w:tcPr>
            <w:tcW w:w="1560" w:type="dxa"/>
            <w:vMerge/>
            <w:tcBorders>
              <w:top w:val="single" w:sz="4" w:space="0" w:color="auto"/>
              <w:bottom w:val="single" w:sz="4" w:space="0" w:color="000000"/>
              <w:right w:val="single" w:sz="4" w:space="0" w:color="auto"/>
            </w:tcBorders>
            <w:vAlign w:val="center"/>
            <w:hideMark/>
          </w:tcPr>
          <w:p w14:paraId="008792C9"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nil"/>
              <w:right w:val="single" w:sz="4" w:space="0" w:color="auto"/>
            </w:tcBorders>
            <w:shd w:val="clear" w:color="000000" w:fill="FFFFFF"/>
            <w:vAlign w:val="center"/>
            <w:hideMark/>
          </w:tcPr>
          <w:p w14:paraId="6C16E4F6"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455A973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41,327</w:t>
            </w:r>
          </w:p>
        </w:tc>
        <w:tc>
          <w:tcPr>
            <w:tcW w:w="993" w:type="dxa"/>
            <w:tcBorders>
              <w:top w:val="nil"/>
              <w:left w:val="nil"/>
              <w:bottom w:val="nil"/>
              <w:right w:val="nil"/>
            </w:tcBorders>
            <w:shd w:val="clear" w:color="auto" w:fill="FFFFFF" w:themeFill="background1"/>
            <w:noWrap/>
            <w:vAlign w:val="center"/>
            <w:hideMark/>
          </w:tcPr>
          <w:p w14:paraId="3F6738D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39,667</w:t>
            </w:r>
          </w:p>
        </w:tc>
        <w:tc>
          <w:tcPr>
            <w:tcW w:w="1089" w:type="dxa"/>
            <w:tcBorders>
              <w:top w:val="nil"/>
              <w:left w:val="nil"/>
              <w:bottom w:val="nil"/>
              <w:right w:val="nil"/>
            </w:tcBorders>
            <w:shd w:val="clear" w:color="auto" w:fill="FFFFFF" w:themeFill="background1"/>
            <w:noWrap/>
            <w:vAlign w:val="center"/>
            <w:hideMark/>
          </w:tcPr>
          <w:p w14:paraId="75FCB4F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30,017</w:t>
            </w:r>
          </w:p>
        </w:tc>
        <w:tc>
          <w:tcPr>
            <w:tcW w:w="1037" w:type="dxa"/>
            <w:tcBorders>
              <w:top w:val="nil"/>
              <w:left w:val="nil"/>
              <w:bottom w:val="nil"/>
              <w:right w:val="nil"/>
            </w:tcBorders>
            <w:shd w:val="clear" w:color="auto" w:fill="FFFFFF" w:themeFill="background1"/>
            <w:noWrap/>
            <w:vAlign w:val="center"/>
            <w:hideMark/>
          </w:tcPr>
          <w:p w14:paraId="7AB6992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9,434</w:t>
            </w:r>
          </w:p>
        </w:tc>
        <w:tc>
          <w:tcPr>
            <w:tcW w:w="1134" w:type="dxa"/>
            <w:tcBorders>
              <w:top w:val="nil"/>
              <w:left w:val="nil"/>
              <w:bottom w:val="nil"/>
              <w:right w:val="single" w:sz="4" w:space="0" w:color="auto"/>
            </w:tcBorders>
            <w:shd w:val="clear" w:color="auto" w:fill="FFFFFF" w:themeFill="background1"/>
            <w:noWrap/>
            <w:vAlign w:val="center"/>
            <w:hideMark/>
          </w:tcPr>
          <w:p w14:paraId="4A1D728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39,451</w:t>
            </w:r>
          </w:p>
        </w:tc>
        <w:tc>
          <w:tcPr>
            <w:tcW w:w="992" w:type="dxa"/>
            <w:tcBorders>
              <w:top w:val="nil"/>
              <w:left w:val="nil"/>
              <w:bottom w:val="nil"/>
              <w:right w:val="single" w:sz="4" w:space="0" w:color="auto"/>
            </w:tcBorders>
            <w:shd w:val="clear" w:color="auto" w:fill="FFFFFF" w:themeFill="background1"/>
            <w:noWrap/>
            <w:vAlign w:val="center"/>
            <w:hideMark/>
          </w:tcPr>
          <w:p w14:paraId="66BED83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38,600</w:t>
            </w:r>
          </w:p>
        </w:tc>
        <w:tc>
          <w:tcPr>
            <w:tcW w:w="993" w:type="dxa"/>
            <w:tcBorders>
              <w:top w:val="nil"/>
              <w:left w:val="nil"/>
              <w:bottom w:val="nil"/>
              <w:right w:val="nil"/>
            </w:tcBorders>
            <w:shd w:val="clear" w:color="auto" w:fill="FFFFFF" w:themeFill="background1"/>
            <w:noWrap/>
            <w:vAlign w:val="center"/>
            <w:hideMark/>
          </w:tcPr>
          <w:p w14:paraId="427A956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36,700</w:t>
            </w:r>
          </w:p>
        </w:tc>
        <w:tc>
          <w:tcPr>
            <w:tcW w:w="1095" w:type="dxa"/>
            <w:tcBorders>
              <w:top w:val="nil"/>
              <w:left w:val="nil"/>
              <w:bottom w:val="nil"/>
              <w:right w:val="nil"/>
            </w:tcBorders>
            <w:shd w:val="clear" w:color="auto" w:fill="FFFFFF" w:themeFill="background1"/>
            <w:noWrap/>
            <w:vAlign w:val="center"/>
            <w:hideMark/>
          </w:tcPr>
          <w:p w14:paraId="73C2197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27,800</w:t>
            </w:r>
          </w:p>
        </w:tc>
        <w:tc>
          <w:tcPr>
            <w:tcW w:w="1102" w:type="dxa"/>
            <w:tcBorders>
              <w:top w:val="nil"/>
              <w:left w:val="nil"/>
              <w:bottom w:val="nil"/>
              <w:right w:val="nil"/>
            </w:tcBorders>
            <w:shd w:val="clear" w:color="auto" w:fill="FFFFFF" w:themeFill="background1"/>
            <w:noWrap/>
            <w:vAlign w:val="center"/>
            <w:hideMark/>
          </w:tcPr>
          <w:p w14:paraId="7858830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600</w:t>
            </w:r>
          </w:p>
        </w:tc>
        <w:tc>
          <w:tcPr>
            <w:tcW w:w="1063" w:type="dxa"/>
            <w:tcBorders>
              <w:top w:val="nil"/>
              <w:left w:val="nil"/>
              <w:bottom w:val="nil"/>
              <w:right w:val="single" w:sz="4" w:space="0" w:color="auto"/>
            </w:tcBorders>
            <w:shd w:val="clear" w:color="auto" w:fill="FFFFFF" w:themeFill="background1"/>
            <w:noWrap/>
            <w:vAlign w:val="center"/>
            <w:hideMark/>
          </w:tcPr>
          <w:p w14:paraId="76A8CE8E"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28,600</w:t>
            </w:r>
          </w:p>
        </w:tc>
        <w:tc>
          <w:tcPr>
            <w:tcW w:w="1393" w:type="dxa"/>
            <w:tcBorders>
              <w:top w:val="nil"/>
              <w:left w:val="nil"/>
              <w:bottom w:val="nil"/>
              <w:right w:val="single" w:sz="4" w:space="0" w:color="auto"/>
            </w:tcBorders>
            <w:shd w:val="clear" w:color="auto" w:fill="FFFFFF" w:themeFill="background1"/>
            <w:vAlign w:val="center"/>
          </w:tcPr>
          <w:p w14:paraId="45092462"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74</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0AC594C1"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25</w:t>
            </w:r>
          </w:p>
        </w:tc>
      </w:tr>
      <w:tr w:rsidR="00D3131B" w:rsidRPr="00527F4B" w14:paraId="7BD41DD0" w14:textId="77777777" w:rsidTr="00726F85">
        <w:trPr>
          <w:trHeight w:val="170"/>
        </w:trPr>
        <w:tc>
          <w:tcPr>
            <w:tcW w:w="1560" w:type="dxa"/>
            <w:vMerge/>
            <w:tcBorders>
              <w:top w:val="single" w:sz="4" w:space="0" w:color="auto"/>
              <w:bottom w:val="single" w:sz="4" w:space="0" w:color="000000"/>
              <w:right w:val="single" w:sz="4" w:space="0" w:color="auto"/>
            </w:tcBorders>
            <w:vAlign w:val="center"/>
            <w:hideMark/>
          </w:tcPr>
          <w:p w14:paraId="64A09C47"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00983F4A"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6BC0B82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1,119,384</w:t>
            </w:r>
          </w:p>
        </w:tc>
        <w:tc>
          <w:tcPr>
            <w:tcW w:w="993" w:type="dxa"/>
            <w:tcBorders>
              <w:top w:val="nil"/>
              <w:left w:val="nil"/>
              <w:bottom w:val="single" w:sz="4" w:space="0" w:color="auto"/>
              <w:right w:val="nil"/>
            </w:tcBorders>
            <w:shd w:val="clear" w:color="auto" w:fill="FFFFFF" w:themeFill="background1"/>
            <w:noWrap/>
            <w:vAlign w:val="center"/>
            <w:hideMark/>
          </w:tcPr>
          <w:p w14:paraId="5B65617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1,053,707</w:t>
            </w:r>
          </w:p>
        </w:tc>
        <w:tc>
          <w:tcPr>
            <w:tcW w:w="1089" w:type="dxa"/>
            <w:tcBorders>
              <w:top w:val="nil"/>
              <w:left w:val="nil"/>
              <w:bottom w:val="single" w:sz="4" w:space="0" w:color="auto"/>
              <w:right w:val="nil"/>
            </w:tcBorders>
            <w:shd w:val="clear" w:color="auto" w:fill="FFFFFF" w:themeFill="background1"/>
            <w:noWrap/>
            <w:vAlign w:val="center"/>
            <w:hideMark/>
          </w:tcPr>
          <w:p w14:paraId="5B5931E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536,671</w:t>
            </w:r>
          </w:p>
        </w:tc>
        <w:tc>
          <w:tcPr>
            <w:tcW w:w="1037" w:type="dxa"/>
            <w:tcBorders>
              <w:top w:val="nil"/>
              <w:left w:val="nil"/>
              <w:bottom w:val="single" w:sz="4" w:space="0" w:color="auto"/>
              <w:right w:val="nil"/>
            </w:tcBorders>
            <w:shd w:val="clear" w:color="auto" w:fill="FFFFFF" w:themeFill="background1"/>
            <w:noWrap/>
            <w:vAlign w:val="center"/>
            <w:hideMark/>
          </w:tcPr>
          <w:p w14:paraId="07DC47A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45,229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8B6B31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581,900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401E4E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1,155,300</w:t>
            </w:r>
          </w:p>
        </w:tc>
        <w:tc>
          <w:tcPr>
            <w:tcW w:w="993" w:type="dxa"/>
            <w:tcBorders>
              <w:top w:val="nil"/>
              <w:left w:val="nil"/>
              <w:bottom w:val="single" w:sz="4" w:space="0" w:color="auto"/>
              <w:right w:val="nil"/>
            </w:tcBorders>
            <w:shd w:val="clear" w:color="auto" w:fill="FFFFFF" w:themeFill="background1"/>
            <w:noWrap/>
            <w:vAlign w:val="center"/>
            <w:hideMark/>
          </w:tcPr>
          <w:p w14:paraId="57B85B4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1,056,500</w:t>
            </w:r>
          </w:p>
        </w:tc>
        <w:tc>
          <w:tcPr>
            <w:tcW w:w="1095" w:type="dxa"/>
            <w:tcBorders>
              <w:top w:val="nil"/>
              <w:left w:val="nil"/>
              <w:bottom w:val="single" w:sz="4" w:space="0" w:color="auto"/>
              <w:right w:val="nil"/>
            </w:tcBorders>
            <w:shd w:val="clear" w:color="auto" w:fill="FFFFFF" w:themeFill="background1"/>
            <w:noWrap/>
            <w:vAlign w:val="center"/>
            <w:hideMark/>
          </w:tcPr>
          <w:p w14:paraId="56934E7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575,600</w:t>
            </w:r>
          </w:p>
        </w:tc>
        <w:tc>
          <w:tcPr>
            <w:tcW w:w="1102" w:type="dxa"/>
            <w:tcBorders>
              <w:top w:val="nil"/>
              <w:left w:val="nil"/>
              <w:bottom w:val="single" w:sz="4" w:space="0" w:color="auto"/>
              <w:right w:val="nil"/>
            </w:tcBorders>
            <w:shd w:val="clear" w:color="auto" w:fill="FFFFFF" w:themeFill="background1"/>
            <w:noWrap/>
            <w:vAlign w:val="center"/>
            <w:hideMark/>
          </w:tcPr>
          <w:p w14:paraId="6C3645F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92,000</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7926A536"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662,900</w:t>
            </w:r>
          </w:p>
        </w:tc>
        <w:tc>
          <w:tcPr>
            <w:tcW w:w="1393" w:type="dxa"/>
            <w:tcBorders>
              <w:top w:val="nil"/>
              <w:left w:val="nil"/>
              <w:bottom w:val="single" w:sz="4" w:space="0" w:color="auto"/>
              <w:right w:val="single" w:sz="4" w:space="0" w:color="auto"/>
            </w:tcBorders>
            <w:shd w:val="clear" w:color="auto" w:fill="FFFFFF" w:themeFill="background1"/>
            <w:vAlign w:val="center"/>
          </w:tcPr>
          <w:p w14:paraId="5A9D0752"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57</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552EB49F"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61</w:t>
            </w:r>
          </w:p>
        </w:tc>
      </w:tr>
      <w:tr w:rsidR="00D3131B" w:rsidRPr="00527F4B" w14:paraId="7DA9F94E" w14:textId="77777777" w:rsidTr="00726F85">
        <w:trPr>
          <w:trHeight w:val="170"/>
        </w:trPr>
        <w:tc>
          <w:tcPr>
            <w:tcW w:w="1560" w:type="dxa"/>
            <w:vMerge w:val="restart"/>
            <w:tcBorders>
              <w:top w:val="nil"/>
              <w:bottom w:val="single" w:sz="4" w:space="0" w:color="000000"/>
              <w:right w:val="single" w:sz="4" w:space="0" w:color="auto"/>
            </w:tcBorders>
            <w:shd w:val="clear" w:color="000000" w:fill="FFFFFF"/>
            <w:vAlign w:val="center"/>
            <w:hideMark/>
          </w:tcPr>
          <w:p w14:paraId="13889D8A"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Central Highlands</w:t>
            </w:r>
            <w:r>
              <w:rPr>
                <w:rFonts w:asciiTheme="majorHAnsi" w:hAnsiTheme="majorHAnsi" w:cs="Arial"/>
                <w:bCs/>
                <w:sz w:val="16"/>
                <w:szCs w:val="16"/>
              </w:rPr>
              <w:t xml:space="preserve"> </w:t>
            </w:r>
            <w:r w:rsidRPr="00ED67A1">
              <w:rPr>
                <w:rFonts w:asciiTheme="majorHAnsi" w:hAnsiTheme="majorHAnsi" w:cs="Arial"/>
                <w:b/>
                <w:bCs/>
                <w:position w:val="4"/>
                <w:sz w:val="16"/>
                <w:szCs w:val="16"/>
              </w:rPr>
              <w:t>d</w:t>
            </w:r>
          </w:p>
        </w:tc>
        <w:tc>
          <w:tcPr>
            <w:tcW w:w="969" w:type="dxa"/>
            <w:tcBorders>
              <w:top w:val="nil"/>
              <w:left w:val="nil"/>
              <w:bottom w:val="nil"/>
              <w:right w:val="single" w:sz="4" w:space="0" w:color="auto"/>
            </w:tcBorders>
            <w:shd w:val="clear" w:color="000000" w:fill="FFFFFF"/>
            <w:vAlign w:val="center"/>
            <w:hideMark/>
          </w:tcPr>
          <w:p w14:paraId="7B107D0A"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4299D48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691,721</w:t>
            </w:r>
          </w:p>
        </w:tc>
        <w:tc>
          <w:tcPr>
            <w:tcW w:w="993" w:type="dxa"/>
            <w:tcBorders>
              <w:top w:val="nil"/>
              <w:left w:val="nil"/>
              <w:bottom w:val="nil"/>
              <w:right w:val="nil"/>
            </w:tcBorders>
            <w:shd w:val="clear" w:color="auto" w:fill="FFFFFF" w:themeFill="background1"/>
            <w:noWrap/>
            <w:vAlign w:val="center"/>
            <w:hideMark/>
          </w:tcPr>
          <w:p w14:paraId="227B2E7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584,676</w:t>
            </w:r>
          </w:p>
        </w:tc>
        <w:tc>
          <w:tcPr>
            <w:tcW w:w="1089" w:type="dxa"/>
            <w:tcBorders>
              <w:top w:val="nil"/>
              <w:left w:val="nil"/>
              <w:bottom w:val="nil"/>
              <w:right w:val="nil"/>
            </w:tcBorders>
            <w:shd w:val="clear" w:color="auto" w:fill="FFFFFF" w:themeFill="background1"/>
            <w:noWrap/>
            <w:vAlign w:val="center"/>
            <w:hideMark/>
          </w:tcPr>
          <w:p w14:paraId="6AB2428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257,290</w:t>
            </w:r>
          </w:p>
        </w:tc>
        <w:tc>
          <w:tcPr>
            <w:tcW w:w="1037" w:type="dxa"/>
            <w:tcBorders>
              <w:top w:val="nil"/>
              <w:left w:val="nil"/>
              <w:bottom w:val="nil"/>
              <w:right w:val="nil"/>
            </w:tcBorders>
            <w:shd w:val="clear" w:color="auto" w:fill="FFFFFF" w:themeFill="background1"/>
            <w:noWrap/>
            <w:vAlign w:val="center"/>
            <w:hideMark/>
          </w:tcPr>
          <w:p w14:paraId="53AF10D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28,437</w:t>
            </w:r>
          </w:p>
        </w:tc>
        <w:tc>
          <w:tcPr>
            <w:tcW w:w="1134" w:type="dxa"/>
            <w:tcBorders>
              <w:top w:val="nil"/>
              <w:left w:val="nil"/>
              <w:bottom w:val="nil"/>
              <w:right w:val="single" w:sz="4" w:space="0" w:color="auto"/>
            </w:tcBorders>
            <w:shd w:val="clear" w:color="auto" w:fill="FFFFFF" w:themeFill="background1"/>
            <w:noWrap/>
            <w:vAlign w:val="center"/>
            <w:hideMark/>
          </w:tcPr>
          <w:p w14:paraId="7E25826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285,727</w:t>
            </w:r>
          </w:p>
        </w:tc>
        <w:tc>
          <w:tcPr>
            <w:tcW w:w="992" w:type="dxa"/>
            <w:tcBorders>
              <w:top w:val="nil"/>
              <w:left w:val="nil"/>
              <w:bottom w:val="nil"/>
              <w:right w:val="single" w:sz="4" w:space="0" w:color="auto"/>
            </w:tcBorders>
            <w:shd w:val="clear" w:color="auto" w:fill="FFFFFF" w:themeFill="background1"/>
            <w:noWrap/>
            <w:vAlign w:val="center"/>
            <w:hideMark/>
          </w:tcPr>
          <w:p w14:paraId="0008D77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806,200</w:t>
            </w:r>
          </w:p>
        </w:tc>
        <w:tc>
          <w:tcPr>
            <w:tcW w:w="993" w:type="dxa"/>
            <w:tcBorders>
              <w:top w:val="nil"/>
              <w:left w:val="nil"/>
              <w:bottom w:val="nil"/>
              <w:right w:val="nil"/>
            </w:tcBorders>
            <w:shd w:val="clear" w:color="auto" w:fill="FFFFFF" w:themeFill="background1"/>
            <w:noWrap/>
            <w:vAlign w:val="center"/>
            <w:hideMark/>
          </w:tcPr>
          <w:p w14:paraId="6E3F3B5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592,800</w:t>
            </w:r>
          </w:p>
        </w:tc>
        <w:tc>
          <w:tcPr>
            <w:tcW w:w="1095" w:type="dxa"/>
            <w:tcBorders>
              <w:top w:val="nil"/>
              <w:left w:val="nil"/>
              <w:bottom w:val="nil"/>
              <w:right w:val="nil"/>
            </w:tcBorders>
            <w:shd w:val="clear" w:color="auto" w:fill="FFFFFF" w:themeFill="background1"/>
            <w:noWrap/>
            <w:vAlign w:val="center"/>
            <w:hideMark/>
          </w:tcPr>
          <w:p w14:paraId="0AD522A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271,800</w:t>
            </w:r>
          </w:p>
        </w:tc>
        <w:tc>
          <w:tcPr>
            <w:tcW w:w="1102" w:type="dxa"/>
            <w:tcBorders>
              <w:top w:val="nil"/>
              <w:left w:val="nil"/>
              <w:bottom w:val="nil"/>
              <w:right w:val="nil"/>
            </w:tcBorders>
            <w:shd w:val="clear" w:color="auto" w:fill="FFFFFF" w:themeFill="background1"/>
            <w:noWrap/>
            <w:vAlign w:val="center"/>
            <w:hideMark/>
          </w:tcPr>
          <w:p w14:paraId="2D9FF77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80,600</w:t>
            </w:r>
          </w:p>
        </w:tc>
        <w:tc>
          <w:tcPr>
            <w:tcW w:w="1063" w:type="dxa"/>
            <w:tcBorders>
              <w:top w:val="nil"/>
              <w:left w:val="nil"/>
              <w:bottom w:val="nil"/>
              <w:right w:val="single" w:sz="4" w:space="0" w:color="auto"/>
            </w:tcBorders>
            <w:shd w:val="clear" w:color="auto" w:fill="FFFFFF" w:themeFill="background1"/>
            <w:noWrap/>
            <w:vAlign w:val="center"/>
            <w:hideMark/>
          </w:tcPr>
          <w:p w14:paraId="6CE5D8BC"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351,800</w:t>
            </w:r>
          </w:p>
        </w:tc>
        <w:tc>
          <w:tcPr>
            <w:tcW w:w="1393" w:type="dxa"/>
            <w:tcBorders>
              <w:top w:val="nil"/>
              <w:left w:val="nil"/>
              <w:bottom w:val="nil"/>
              <w:right w:val="single" w:sz="4" w:space="0" w:color="auto"/>
            </w:tcBorders>
            <w:shd w:val="clear" w:color="auto" w:fill="FFFFFF" w:themeFill="background1"/>
            <w:vAlign w:val="center"/>
          </w:tcPr>
          <w:p w14:paraId="48B8A732"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44</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6EF30F97"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37</w:t>
            </w:r>
          </w:p>
        </w:tc>
      </w:tr>
      <w:tr w:rsidR="00D3131B" w:rsidRPr="00527F4B" w14:paraId="4069344B" w14:textId="77777777" w:rsidTr="00726F85">
        <w:trPr>
          <w:trHeight w:val="170"/>
        </w:trPr>
        <w:tc>
          <w:tcPr>
            <w:tcW w:w="1560" w:type="dxa"/>
            <w:vMerge/>
            <w:tcBorders>
              <w:top w:val="nil"/>
              <w:bottom w:val="single" w:sz="4" w:space="0" w:color="000000"/>
              <w:right w:val="single" w:sz="4" w:space="0" w:color="auto"/>
            </w:tcBorders>
            <w:vAlign w:val="center"/>
            <w:hideMark/>
          </w:tcPr>
          <w:p w14:paraId="7CCE2370"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nil"/>
              <w:right w:val="single" w:sz="4" w:space="0" w:color="auto"/>
            </w:tcBorders>
            <w:shd w:val="clear" w:color="000000" w:fill="FFFFFF"/>
            <w:vAlign w:val="center"/>
            <w:hideMark/>
          </w:tcPr>
          <w:p w14:paraId="0B327481"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29AC333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19,278</w:t>
            </w:r>
          </w:p>
        </w:tc>
        <w:tc>
          <w:tcPr>
            <w:tcW w:w="993" w:type="dxa"/>
            <w:tcBorders>
              <w:top w:val="nil"/>
              <w:left w:val="nil"/>
              <w:bottom w:val="nil"/>
              <w:right w:val="nil"/>
            </w:tcBorders>
            <w:shd w:val="clear" w:color="auto" w:fill="FFFFFF" w:themeFill="background1"/>
            <w:noWrap/>
            <w:vAlign w:val="center"/>
            <w:hideMark/>
          </w:tcPr>
          <w:p w14:paraId="4E364B6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11,037</w:t>
            </w:r>
          </w:p>
        </w:tc>
        <w:tc>
          <w:tcPr>
            <w:tcW w:w="1089" w:type="dxa"/>
            <w:tcBorders>
              <w:top w:val="nil"/>
              <w:left w:val="nil"/>
              <w:bottom w:val="nil"/>
              <w:right w:val="nil"/>
            </w:tcBorders>
            <w:shd w:val="clear" w:color="auto" w:fill="FFFFFF" w:themeFill="background1"/>
            <w:noWrap/>
            <w:vAlign w:val="center"/>
            <w:hideMark/>
          </w:tcPr>
          <w:p w14:paraId="13F6A62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7,698</w:t>
            </w:r>
          </w:p>
        </w:tc>
        <w:tc>
          <w:tcPr>
            <w:tcW w:w="1037" w:type="dxa"/>
            <w:tcBorders>
              <w:top w:val="nil"/>
              <w:left w:val="nil"/>
              <w:bottom w:val="nil"/>
              <w:right w:val="nil"/>
            </w:tcBorders>
            <w:shd w:val="clear" w:color="auto" w:fill="FFFFFF" w:themeFill="background1"/>
            <w:noWrap/>
            <w:vAlign w:val="center"/>
            <w:hideMark/>
          </w:tcPr>
          <w:p w14:paraId="784FE3F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446</w:t>
            </w:r>
          </w:p>
        </w:tc>
        <w:tc>
          <w:tcPr>
            <w:tcW w:w="1134" w:type="dxa"/>
            <w:tcBorders>
              <w:top w:val="nil"/>
              <w:left w:val="nil"/>
              <w:bottom w:val="nil"/>
              <w:right w:val="single" w:sz="4" w:space="0" w:color="auto"/>
            </w:tcBorders>
            <w:shd w:val="clear" w:color="auto" w:fill="FFFFFF" w:themeFill="background1"/>
            <w:noWrap/>
            <w:vAlign w:val="center"/>
            <w:hideMark/>
          </w:tcPr>
          <w:p w14:paraId="2BE8E8A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8,144</w:t>
            </w:r>
          </w:p>
        </w:tc>
        <w:tc>
          <w:tcPr>
            <w:tcW w:w="992" w:type="dxa"/>
            <w:tcBorders>
              <w:top w:val="nil"/>
              <w:left w:val="nil"/>
              <w:bottom w:val="nil"/>
              <w:right w:val="single" w:sz="4" w:space="0" w:color="auto"/>
            </w:tcBorders>
            <w:shd w:val="clear" w:color="auto" w:fill="FFFFFF" w:themeFill="background1"/>
            <w:noWrap/>
            <w:vAlign w:val="center"/>
            <w:hideMark/>
          </w:tcPr>
          <w:p w14:paraId="2132F10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24,700</w:t>
            </w:r>
          </w:p>
        </w:tc>
        <w:tc>
          <w:tcPr>
            <w:tcW w:w="993" w:type="dxa"/>
            <w:tcBorders>
              <w:top w:val="nil"/>
              <w:left w:val="nil"/>
              <w:bottom w:val="nil"/>
              <w:right w:val="nil"/>
            </w:tcBorders>
            <w:shd w:val="clear" w:color="auto" w:fill="FFFFFF" w:themeFill="background1"/>
            <w:noWrap/>
            <w:vAlign w:val="center"/>
            <w:hideMark/>
          </w:tcPr>
          <w:p w14:paraId="3A54FAD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8,900</w:t>
            </w:r>
          </w:p>
        </w:tc>
        <w:tc>
          <w:tcPr>
            <w:tcW w:w="1095" w:type="dxa"/>
            <w:tcBorders>
              <w:top w:val="nil"/>
              <w:left w:val="nil"/>
              <w:bottom w:val="nil"/>
              <w:right w:val="nil"/>
            </w:tcBorders>
            <w:shd w:val="clear" w:color="auto" w:fill="FFFFFF" w:themeFill="background1"/>
            <w:noWrap/>
            <w:vAlign w:val="center"/>
            <w:hideMark/>
          </w:tcPr>
          <w:p w14:paraId="6927385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6,800</w:t>
            </w:r>
          </w:p>
        </w:tc>
        <w:tc>
          <w:tcPr>
            <w:tcW w:w="1102" w:type="dxa"/>
            <w:tcBorders>
              <w:top w:val="nil"/>
              <w:left w:val="nil"/>
              <w:bottom w:val="nil"/>
              <w:right w:val="nil"/>
            </w:tcBorders>
            <w:shd w:val="clear" w:color="auto" w:fill="FFFFFF" w:themeFill="background1"/>
            <w:noWrap/>
            <w:vAlign w:val="center"/>
            <w:hideMark/>
          </w:tcPr>
          <w:p w14:paraId="20A9F4B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300</w:t>
            </w:r>
          </w:p>
        </w:tc>
        <w:tc>
          <w:tcPr>
            <w:tcW w:w="1063" w:type="dxa"/>
            <w:tcBorders>
              <w:top w:val="nil"/>
              <w:left w:val="nil"/>
              <w:bottom w:val="nil"/>
              <w:right w:val="single" w:sz="4" w:space="0" w:color="auto"/>
            </w:tcBorders>
            <w:shd w:val="clear" w:color="auto" w:fill="FFFFFF" w:themeFill="background1"/>
            <w:noWrap/>
            <w:vAlign w:val="center"/>
            <w:hideMark/>
          </w:tcPr>
          <w:p w14:paraId="331EF644"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7,200</w:t>
            </w:r>
          </w:p>
        </w:tc>
        <w:tc>
          <w:tcPr>
            <w:tcW w:w="1393" w:type="dxa"/>
            <w:tcBorders>
              <w:top w:val="nil"/>
              <w:left w:val="nil"/>
              <w:bottom w:val="nil"/>
              <w:right w:val="single" w:sz="4" w:space="0" w:color="auto"/>
            </w:tcBorders>
            <w:shd w:val="clear" w:color="auto" w:fill="FFFFFF" w:themeFill="background1"/>
            <w:vAlign w:val="center"/>
          </w:tcPr>
          <w:p w14:paraId="45DA4EFE"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29</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63153A44"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24</w:t>
            </w:r>
          </w:p>
        </w:tc>
      </w:tr>
      <w:tr w:rsidR="00D3131B" w:rsidRPr="00527F4B" w14:paraId="75B12EB0" w14:textId="77777777" w:rsidTr="00726F85">
        <w:trPr>
          <w:trHeight w:val="170"/>
        </w:trPr>
        <w:tc>
          <w:tcPr>
            <w:tcW w:w="1560" w:type="dxa"/>
            <w:vMerge/>
            <w:tcBorders>
              <w:top w:val="nil"/>
              <w:bottom w:val="single" w:sz="4" w:space="0" w:color="000000"/>
              <w:right w:val="single" w:sz="4" w:space="0" w:color="auto"/>
            </w:tcBorders>
            <w:vAlign w:val="center"/>
            <w:hideMark/>
          </w:tcPr>
          <w:p w14:paraId="1F08092D"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1254B45B"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5697B29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710,999</w:t>
            </w:r>
          </w:p>
        </w:tc>
        <w:tc>
          <w:tcPr>
            <w:tcW w:w="993" w:type="dxa"/>
            <w:tcBorders>
              <w:top w:val="nil"/>
              <w:left w:val="nil"/>
              <w:bottom w:val="single" w:sz="4" w:space="0" w:color="auto"/>
              <w:right w:val="nil"/>
            </w:tcBorders>
            <w:shd w:val="clear" w:color="auto" w:fill="FFFFFF" w:themeFill="background1"/>
            <w:noWrap/>
            <w:vAlign w:val="center"/>
            <w:hideMark/>
          </w:tcPr>
          <w:p w14:paraId="14AB392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595,713</w:t>
            </w:r>
          </w:p>
        </w:tc>
        <w:tc>
          <w:tcPr>
            <w:tcW w:w="1089" w:type="dxa"/>
            <w:tcBorders>
              <w:top w:val="nil"/>
              <w:left w:val="nil"/>
              <w:bottom w:val="single" w:sz="4" w:space="0" w:color="auto"/>
              <w:right w:val="nil"/>
            </w:tcBorders>
            <w:shd w:val="clear" w:color="auto" w:fill="FFFFFF" w:themeFill="background1"/>
            <w:noWrap/>
            <w:vAlign w:val="center"/>
            <w:hideMark/>
          </w:tcPr>
          <w:p w14:paraId="07BC4F0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264,988</w:t>
            </w:r>
          </w:p>
        </w:tc>
        <w:tc>
          <w:tcPr>
            <w:tcW w:w="1037" w:type="dxa"/>
            <w:tcBorders>
              <w:top w:val="nil"/>
              <w:left w:val="nil"/>
              <w:bottom w:val="single" w:sz="4" w:space="0" w:color="auto"/>
              <w:right w:val="nil"/>
            </w:tcBorders>
            <w:shd w:val="clear" w:color="auto" w:fill="FFFFFF" w:themeFill="background1"/>
            <w:noWrap/>
            <w:vAlign w:val="center"/>
            <w:hideMark/>
          </w:tcPr>
          <w:p w14:paraId="5E30B2C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28,883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D478A6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293,871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C968DC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830,900</w:t>
            </w:r>
          </w:p>
        </w:tc>
        <w:tc>
          <w:tcPr>
            <w:tcW w:w="993" w:type="dxa"/>
            <w:tcBorders>
              <w:top w:val="nil"/>
              <w:left w:val="nil"/>
              <w:bottom w:val="single" w:sz="4" w:space="0" w:color="auto"/>
              <w:right w:val="nil"/>
            </w:tcBorders>
            <w:shd w:val="clear" w:color="auto" w:fill="FFFFFF" w:themeFill="background1"/>
            <w:noWrap/>
            <w:vAlign w:val="center"/>
            <w:hideMark/>
          </w:tcPr>
          <w:p w14:paraId="06C8FF4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601,700</w:t>
            </w:r>
          </w:p>
        </w:tc>
        <w:tc>
          <w:tcPr>
            <w:tcW w:w="1095" w:type="dxa"/>
            <w:tcBorders>
              <w:top w:val="nil"/>
              <w:left w:val="nil"/>
              <w:bottom w:val="single" w:sz="4" w:space="0" w:color="auto"/>
              <w:right w:val="nil"/>
            </w:tcBorders>
            <w:shd w:val="clear" w:color="auto" w:fill="FFFFFF" w:themeFill="background1"/>
            <w:noWrap/>
            <w:vAlign w:val="center"/>
            <w:hideMark/>
          </w:tcPr>
          <w:p w14:paraId="67F527C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278,600</w:t>
            </w:r>
          </w:p>
        </w:tc>
        <w:tc>
          <w:tcPr>
            <w:tcW w:w="1102" w:type="dxa"/>
            <w:tcBorders>
              <w:top w:val="nil"/>
              <w:left w:val="nil"/>
              <w:bottom w:val="single" w:sz="4" w:space="0" w:color="auto"/>
              <w:right w:val="nil"/>
            </w:tcBorders>
            <w:shd w:val="clear" w:color="auto" w:fill="FFFFFF" w:themeFill="background1"/>
            <w:noWrap/>
            <w:vAlign w:val="center"/>
            <w:hideMark/>
          </w:tcPr>
          <w:p w14:paraId="4304860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80,900</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1F96172E"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359,000</w:t>
            </w:r>
          </w:p>
        </w:tc>
        <w:tc>
          <w:tcPr>
            <w:tcW w:w="1393" w:type="dxa"/>
            <w:tcBorders>
              <w:top w:val="nil"/>
              <w:left w:val="nil"/>
              <w:bottom w:val="single" w:sz="4" w:space="0" w:color="auto"/>
              <w:right w:val="single" w:sz="4" w:space="0" w:color="auto"/>
            </w:tcBorders>
            <w:shd w:val="clear" w:color="auto" w:fill="FFFFFF" w:themeFill="background1"/>
            <w:vAlign w:val="center"/>
          </w:tcPr>
          <w:p w14:paraId="5C03FD60"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43</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201C3886"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61</w:t>
            </w:r>
          </w:p>
        </w:tc>
      </w:tr>
      <w:tr w:rsidR="00D3131B" w:rsidRPr="00527F4B" w14:paraId="7D120CBB" w14:textId="77777777" w:rsidTr="00726F85">
        <w:trPr>
          <w:trHeight w:val="57"/>
        </w:trPr>
        <w:tc>
          <w:tcPr>
            <w:tcW w:w="1560" w:type="dxa"/>
            <w:vMerge w:val="restart"/>
            <w:tcBorders>
              <w:top w:val="nil"/>
              <w:bottom w:val="single" w:sz="4" w:space="0" w:color="000000"/>
              <w:right w:val="single" w:sz="4" w:space="0" w:color="auto"/>
            </w:tcBorders>
            <w:shd w:val="clear" w:color="000000" w:fill="FFFFFF"/>
            <w:vAlign w:val="center"/>
            <w:hideMark/>
          </w:tcPr>
          <w:p w14:paraId="2959171E" w14:textId="77777777" w:rsidR="00CD481C" w:rsidRPr="00F435C6" w:rsidRDefault="00CD481C" w:rsidP="00CD481C">
            <w:pPr>
              <w:spacing w:before="0" w:after="0"/>
              <w:ind w:left="57" w:right="57"/>
              <w:rPr>
                <w:rFonts w:asciiTheme="majorHAnsi" w:hAnsiTheme="majorHAnsi" w:cs="Arial"/>
                <w:bCs/>
                <w:sz w:val="16"/>
                <w:szCs w:val="16"/>
              </w:rPr>
            </w:pPr>
          </w:p>
          <w:p w14:paraId="59D89311" w14:textId="77777777" w:rsidR="00CD481C" w:rsidRPr="00F435C6" w:rsidRDefault="00CD481C" w:rsidP="00CD481C">
            <w:pPr>
              <w:spacing w:before="0" w:after="0"/>
              <w:ind w:left="57" w:right="57"/>
              <w:rPr>
                <w:rFonts w:asciiTheme="majorHAnsi" w:hAnsiTheme="majorHAnsi" w:cs="Arial"/>
                <w:bCs/>
                <w:sz w:val="16"/>
                <w:szCs w:val="16"/>
                <w:vertAlign w:val="superscript"/>
              </w:rPr>
            </w:pPr>
            <w:r w:rsidRPr="00F435C6">
              <w:rPr>
                <w:rFonts w:asciiTheme="majorHAnsi" w:hAnsiTheme="majorHAnsi" w:cs="Arial"/>
                <w:bCs/>
                <w:sz w:val="16"/>
                <w:szCs w:val="16"/>
              </w:rPr>
              <w:t>North East</w:t>
            </w:r>
            <w:r>
              <w:rPr>
                <w:rFonts w:asciiTheme="majorHAnsi" w:hAnsiTheme="majorHAnsi" w:cs="Arial"/>
                <w:bCs/>
                <w:sz w:val="16"/>
                <w:szCs w:val="16"/>
              </w:rPr>
              <w:t xml:space="preserve"> </w:t>
            </w:r>
            <w:r w:rsidRPr="00ED67A1">
              <w:rPr>
                <w:rFonts w:asciiTheme="majorHAnsi" w:hAnsiTheme="majorHAnsi" w:cs="Arial"/>
                <w:b/>
                <w:bCs/>
                <w:position w:val="4"/>
                <w:sz w:val="16"/>
                <w:szCs w:val="16"/>
              </w:rPr>
              <w:t>d</w:t>
            </w:r>
          </w:p>
          <w:p w14:paraId="648EE3B7" w14:textId="77777777" w:rsidR="00CD481C" w:rsidRPr="00F435C6" w:rsidRDefault="00CD481C" w:rsidP="00CD481C">
            <w:pPr>
              <w:spacing w:before="0" w:after="0"/>
              <w:ind w:left="57" w:right="57"/>
              <w:rPr>
                <w:rFonts w:asciiTheme="majorHAnsi" w:hAnsiTheme="majorHAnsi" w:cs="Arial"/>
                <w:bCs/>
                <w:sz w:val="16"/>
                <w:szCs w:val="16"/>
                <w:vertAlign w:val="superscript"/>
              </w:rPr>
            </w:pPr>
          </w:p>
        </w:tc>
        <w:tc>
          <w:tcPr>
            <w:tcW w:w="969" w:type="dxa"/>
            <w:tcBorders>
              <w:top w:val="nil"/>
              <w:left w:val="nil"/>
              <w:bottom w:val="nil"/>
              <w:right w:val="single" w:sz="4" w:space="0" w:color="auto"/>
            </w:tcBorders>
            <w:shd w:val="clear" w:color="000000" w:fill="FFFFFF"/>
            <w:vAlign w:val="center"/>
            <w:hideMark/>
          </w:tcPr>
          <w:p w14:paraId="58C2DCF0"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46A2CDE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1,251,511</w:t>
            </w:r>
          </w:p>
        </w:tc>
        <w:tc>
          <w:tcPr>
            <w:tcW w:w="993" w:type="dxa"/>
            <w:tcBorders>
              <w:top w:val="nil"/>
              <w:left w:val="nil"/>
              <w:bottom w:val="nil"/>
              <w:right w:val="nil"/>
            </w:tcBorders>
            <w:shd w:val="clear" w:color="auto" w:fill="FFFFFF" w:themeFill="background1"/>
            <w:noWrap/>
            <w:vAlign w:val="center"/>
            <w:hideMark/>
          </w:tcPr>
          <w:p w14:paraId="6EC14A1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1,077,910</w:t>
            </w:r>
          </w:p>
        </w:tc>
        <w:tc>
          <w:tcPr>
            <w:tcW w:w="1089" w:type="dxa"/>
            <w:tcBorders>
              <w:top w:val="nil"/>
              <w:left w:val="nil"/>
              <w:bottom w:val="nil"/>
              <w:right w:val="nil"/>
            </w:tcBorders>
            <w:shd w:val="clear" w:color="auto" w:fill="FFFFFF" w:themeFill="background1"/>
            <w:noWrap/>
            <w:vAlign w:val="center"/>
            <w:hideMark/>
          </w:tcPr>
          <w:p w14:paraId="084533C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545,878</w:t>
            </w:r>
          </w:p>
        </w:tc>
        <w:tc>
          <w:tcPr>
            <w:tcW w:w="1037" w:type="dxa"/>
            <w:tcBorders>
              <w:top w:val="nil"/>
              <w:left w:val="nil"/>
              <w:bottom w:val="nil"/>
              <w:right w:val="nil"/>
            </w:tcBorders>
            <w:shd w:val="clear" w:color="auto" w:fill="FFFFFF" w:themeFill="background1"/>
            <w:noWrap/>
            <w:vAlign w:val="center"/>
            <w:hideMark/>
          </w:tcPr>
          <w:p w14:paraId="61DFE28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110,874</w:t>
            </w:r>
          </w:p>
        </w:tc>
        <w:tc>
          <w:tcPr>
            <w:tcW w:w="1134" w:type="dxa"/>
            <w:tcBorders>
              <w:top w:val="nil"/>
              <w:left w:val="nil"/>
              <w:bottom w:val="nil"/>
              <w:right w:val="single" w:sz="4" w:space="0" w:color="auto"/>
            </w:tcBorders>
            <w:shd w:val="clear" w:color="auto" w:fill="FFFFFF" w:themeFill="background1"/>
            <w:noWrap/>
            <w:vAlign w:val="center"/>
            <w:hideMark/>
          </w:tcPr>
          <w:p w14:paraId="65017C2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656,752</w:t>
            </w:r>
          </w:p>
        </w:tc>
        <w:tc>
          <w:tcPr>
            <w:tcW w:w="992" w:type="dxa"/>
            <w:tcBorders>
              <w:top w:val="nil"/>
              <w:left w:val="nil"/>
              <w:bottom w:val="nil"/>
              <w:right w:val="single" w:sz="4" w:space="0" w:color="auto"/>
            </w:tcBorders>
            <w:shd w:val="clear" w:color="auto" w:fill="FFFFFF" w:themeFill="background1"/>
            <w:noWrap/>
            <w:vAlign w:val="center"/>
            <w:hideMark/>
          </w:tcPr>
          <w:p w14:paraId="0505BA3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1,563,300</w:t>
            </w:r>
          </w:p>
        </w:tc>
        <w:tc>
          <w:tcPr>
            <w:tcW w:w="993" w:type="dxa"/>
            <w:tcBorders>
              <w:top w:val="nil"/>
              <w:left w:val="nil"/>
              <w:bottom w:val="nil"/>
              <w:right w:val="nil"/>
            </w:tcBorders>
            <w:shd w:val="clear" w:color="auto" w:fill="FFFFFF" w:themeFill="background1"/>
            <w:noWrap/>
            <w:vAlign w:val="center"/>
            <w:hideMark/>
          </w:tcPr>
          <w:p w14:paraId="47C5B11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1,157,700</w:t>
            </w:r>
          </w:p>
        </w:tc>
        <w:tc>
          <w:tcPr>
            <w:tcW w:w="1095" w:type="dxa"/>
            <w:tcBorders>
              <w:top w:val="nil"/>
              <w:left w:val="nil"/>
              <w:bottom w:val="nil"/>
              <w:right w:val="nil"/>
            </w:tcBorders>
            <w:shd w:val="clear" w:color="auto" w:fill="FFFFFF" w:themeFill="background1"/>
            <w:noWrap/>
            <w:vAlign w:val="center"/>
            <w:hideMark/>
          </w:tcPr>
          <w:p w14:paraId="0627826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589,400</w:t>
            </w:r>
          </w:p>
        </w:tc>
        <w:tc>
          <w:tcPr>
            <w:tcW w:w="1102" w:type="dxa"/>
            <w:tcBorders>
              <w:top w:val="nil"/>
              <w:left w:val="nil"/>
              <w:bottom w:val="nil"/>
              <w:right w:val="nil"/>
            </w:tcBorders>
            <w:shd w:val="clear" w:color="auto" w:fill="FFFFFF" w:themeFill="background1"/>
            <w:noWrap/>
            <w:vAlign w:val="center"/>
            <w:hideMark/>
          </w:tcPr>
          <w:p w14:paraId="34C30C2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235,400</w:t>
            </w:r>
          </w:p>
        </w:tc>
        <w:tc>
          <w:tcPr>
            <w:tcW w:w="1063" w:type="dxa"/>
            <w:tcBorders>
              <w:top w:val="nil"/>
              <w:left w:val="nil"/>
              <w:bottom w:val="nil"/>
              <w:right w:val="single" w:sz="4" w:space="0" w:color="auto"/>
            </w:tcBorders>
            <w:shd w:val="clear" w:color="auto" w:fill="FFFFFF" w:themeFill="background1"/>
            <w:noWrap/>
            <w:vAlign w:val="center"/>
            <w:hideMark/>
          </w:tcPr>
          <w:p w14:paraId="39B6005F"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828,100</w:t>
            </w:r>
          </w:p>
        </w:tc>
        <w:tc>
          <w:tcPr>
            <w:tcW w:w="1393" w:type="dxa"/>
            <w:tcBorders>
              <w:top w:val="nil"/>
              <w:left w:val="nil"/>
              <w:bottom w:val="nil"/>
              <w:right w:val="single" w:sz="4" w:space="0" w:color="auto"/>
            </w:tcBorders>
            <w:shd w:val="clear" w:color="auto" w:fill="FFFFFF" w:themeFill="background1"/>
            <w:vAlign w:val="center"/>
          </w:tcPr>
          <w:p w14:paraId="16390BF0"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53</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258BBE58"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63</w:t>
            </w:r>
          </w:p>
        </w:tc>
      </w:tr>
      <w:tr w:rsidR="00D3131B" w:rsidRPr="00527F4B" w14:paraId="073F7DB6" w14:textId="77777777" w:rsidTr="00726F85">
        <w:trPr>
          <w:trHeight w:val="57"/>
        </w:trPr>
        <w:tc>
          <w:tcPr>
            <w:tcW w:w="1560" w:type="dxa"/>
            <w:vMerge/>
            <w:tcBorders>
              <w:top w:val="nil"/>
              <w:bottom w:val="single" w:sz="4" w:space="0" w:color="000000"/>
              <w:right w:val="single" w:sz="4" w:space="0" w:color="auto"/>
            </w:tcBorders>
            <w:vAlign w:val="center"/>
            <w:hideMark/>
          </w:tcPr>
          <w:p w14:paraId="387F6F2D"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nil"/>
              <w:right w:val="single" w:sz="4" w:space="0" w:color="auto"/>
            </w:tcBorders>
            <w:shd w:val="clear" w:color="000000" w:fill="FFFFFF"/>
            <w:vAlign w:val="center"/>
            <w:hideMark/>
          </w:tcPr>
          <w:p w14:paraId="0BD8D3F6"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18484A3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28,350</w:t>
            </w:r>
          </w:p>
        </w:tc>
        <w:tc>
          <w:tcPr>
            <w:tcW w:w="993" w:type="dxa"/>
            <w:tcBorders>
              <w:top w:val="nil"/>
              <w:left w:val="nil"/>
              <w:bottom w:val="nil"/>
              <w:right w:val="nil"/>
            </w:tcBorders>
            <w:shd w:val="clear" w:color="auto" w:fill="FFFFFF" w:themeFill="background1"/>
            <w:noWrap/>
            <w:vAlign w:val="center"/>
            <w:hideMark/>
          </w:tcPr>
          <w:p w14:paraId="28536B7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27,120</w:t>
            </w:r>
          </w:p>
        </w:tc>
        <w:tc>
          <w:tcPr>
            <w:tcW w:w="1089" w:type="dxa"/>
            <w:tcBorders>
              <w:top w:val="nil"/>
              <w:left w:val="nil"/>
              <w:bottom w:val="nil"/>
              <w:right w:val="nil"/>
            </w:tcBorders>
            <w:shd w:val="clear" w:color="auto" w:fill="FFFFFF" w:themeFill="background1"/>
            <w:noWrap/>
            <w:vAlign w:val="center"/>
            <w:hideMark/>
          </w:tcPr>
          <w:p w14:paraId="234E34A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25,005</w:t>
            </w:r>
          </w:p>
        </w:tc>
        <w:tc>
          <w:tcPr>
            <w:tcW w:w="1037" w:type="dxa"/>
            <w:tcBorders>
              <w:top w:val="nil"/>
              <w:left w:val="nil"/>
              <w:bottom w:val="nil"/>
              <w:right w:val="nil"/>
            </w:tcBorders>
            <w:shd w:val="clear" w:color="auto" w:fill="FFFFFF" w:themeFill="background1"/>
            <w:noWrap/>
            <w:vAlign w:val="center"/>
            <w:hideMark/>
          </w:tcPr>
          <w:p w14:paraId="0A47D48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0</w:t>
            </w:r>
          </w:p>
        </w:tc>
        <w:tc>
          <w:tcPr>
            <w:tcW w:w="1134" w:type="dxa"/>
            <w:tcBorders>
              <w:top w:val="nil"/>
              <w:left w:val="nil"/>
              <w:bottom w:val="nil"/>
              <w:right w:val="single" w:sz="4" w:space="0" w:color="auto"/>
            </w:tcBorders>
            <w:shd w:val="clear" w:color="auto" w:fill="FFFFFF" w:themeFill="background1"/>
            <w:noWrap/>
            <w:vAlign w:val="center"/>
            <w:hideMark/>
          </w:tcPr>
          <w:p w14:paraId="00AFEB7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25,005</w:t>
            </w:r>
          </w:p>
        </w:tc>
        <w:tc>
          <w:tcPr>
            <w:tcW w:w="992" w:type="dxa"/>
            <w:tcBorders>
              <w:top w:val="nil"/>
              <w:left w:val="nil"/>
              <w:bottom w:val="nil"/>
              <w:right w:val="single" w:sz="4" w:space="0" w:color="auto"/>
            </w:tcBorders>
            <w:shd w:val="clear" w:color="auto" w:fill="FFFFFF" w:themeFill="background1"/>
            <w:noWrap/>
            <w:vAlign w:val="center"/>
            <w:hideMark/>
          </w:tcPr>
          <w:p w14:paraId="77E8500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25,400</w:t>
            </w:r>
          </w:p>
        </w:tc>
        <w:tc>
          <w:tcPr>
            <w:tcW w:w="993" w:type="dxa"/>
            <w:tcBorders>
              <w:top w:val="nil"/>
              <w:left w:val="nil"/>
              <w:bottom w:val="nil"/>
              <w:right w:val="nil"/>
            </w:tcBorders>
            <w:shd w:val="clear" w:color="auto" w:fill="FFFFFF" w:themeFill="background1"/>
            <w:noWrap/>
            <w:vAlign w:val="center"/>
            <w:hideMark/>
          </w:tcPr>
          <w:p w14:paraId="2653E22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20,400</w:t>
            </w:r>
          </w:p>
        </w:tc>
        <w:tc>
          <w:tcPr>
            <w:tcW w:w="1095" w:type="dxa"/>
            <w:tcBorders>
              <w:top w:val="nil"/>
              <w:left w:val="nil"/>
              <w:bottom w:val="nil"/>
              <w:right w:val="nil"/>
            </w:tcBorders>
            <w:shd w:val="clear" w:color="auto" w:fill="FFFFFF" w:themeFill="background1"/>
            <w:noWrap/>
            <w:vAlign w:val="center"/>
            <w:hideMark/>
          </w:tcPr>
          <w:p w14:paraId="7B18F3D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18,000</w:t>
            </w:r>
          </w:p>
        </w:tc>
        <w:tc>
          <w:tcPr>
            <w:tcW w:w="1102" w:type="dxa"/>
            <w:tcBorders>
              <w:top w:val="nil"/>
              <w:left w:val="nil"/>
              <w:bottom w:val="nil"/>
              <w:right w:val="nil"/>
            </w:tcBorders>
            <w:shd w:val="clear" w:color="auto" w:fill="FFFFFF" w:themeFill="background1"/>
            <w:noWrap/>
            <w:vAlign w:val="center"/>
            <w:hideMark/>
          </w:tcPr>
          <w:p w14:paraId="074EBBD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0</w:t>
            </w:r>
          </w:p>
        </w:tc>
        <w:tc>
          <w:tcPr>
            <w:tcW w:w="1063" w:type="dxa"/>
            <w:tcBorders>
              <w:top w:val="nil"/>
              <w:left w:val="nil"/>
              <w:bottom w:val="nil"/>
              <w:right w:val="single" w:sz="4" w:space="0" w:color="auto"/>
            </w:tcBorders>
            <w:shd w:val="clear" w:color="auto" w:fill="FFFFFF" w:themeFill="background1"/>
            <w:noWrap/>
            <w:vAlign w:val="center"/>
            <w:hideMark/>
          </w:tcPr>
          <w:p w14:paraId="72883CEE"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18,100</w:t>
            </w:r>
          </w:p>
        </w:tc>
        <w:tc>
          <w:tcPr>
            <w:tcW w:w="1393" w:type="dxa"/>
            <w:tcBorders>
              <w:top w:val="nil"/>
              <w:left w:val="nil"/>
              <w:bottom w:val="nil"/>
              <w:right w:val="single" w:sz="4" w:space="0" w:color="auto"/>
            </w:tcBorders>
            <w:shd w:val="clear" w:color="auto" w:fill="FFFFFF" w:themeFill="background1"/>
            <w:vAlign w:val="center"/>
          </w:tcPr>
          <w:p w14:paraId="6F9667E6"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71</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781CE30E"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30</w:t>
            </w:r>
          </w:p>
        </w:tc>
      </w:tr>
      <w:tr w:rsidR="00D3131B" w:rsidRPr="00527F4B" w14:paraId="43C3AB41" w14:textId="77777777" w:rsidTr="00726F85">
        <w:trPr>
          <w:trHeight w:val="57"/>
        </w:trPr>
        <w:tc>
          <w:tcPr>
            <w:tcW w:w="1560" w:type="dxa"/>
            <w:vMerge/>
            <w:tcBorders>
              <w:top w:val="nil"/>
              <w:bottom w:val="single" w:sz="4" w:space="0" w:color="000000"/>
              <w:right w:val="single" w:sz="4" w:space="0" w:color="auto"/>
            </w:tcBorders>
            <w:vAlign w:val="center"/>
            <w:hideMark/>
          </w:tcPr>
          <w:p w14:paraId="29C658B4"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3945C3F6"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447B94A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1,279,861</w:t>
            </w:r>
          </w:p>
        </w:tc>
        <w:tc>
          <w:tcPr>
            <w:tcW w:w="993" w:type="dxa"/>
            <w:tcBorders>
              <w:top w:val="nil"/>
              <w:left w:val="nil"/>
              <w:bottom w:val="single" w:sz="4" w:space="0" w:color="auto"/>
              <w:right w:val="nil"/>
            </w:tcBorders>
            <w:shd w:val="clear" w:color="auto" w:fill="FFFFFF" w:themeFill="background1"/>
            <w:noWrap/>
            <w:vAlign w:val="center"/>
            <w:hideMark/>
          </w:tcPr>
          <w:p w14:paraId="54028DC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1,105,030</w:t>
            </w:r>
          </w:p>
        </w:tc>
        <w:tc>
          <w:tcPr>
            <w:tcW w:w="1089" w:type="dxa"/>
            <w:tcBorders>
              <w:top w:val="nil"/>
              <w:left w:val="nil"/>
              <w:bottom w:val="single" w:sz="4" w:space="0" w:color="auto"/>
              <w:right w:val="nil"/>
            </w:tcBorders>
            <w:shd w:val="clear" w:color="auto" w:fill="FFFFFF" w:themeFill="background1"/>
            <w:noWrap/>
            <w:vAlign w:val="center"/>
            <w:hideMark/>
          </w:tcPr>
          <w:p w14:paraId="0106E81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570,883</w:t>
            </w:r>
          </w:p>
        </w:tc>
        <w:tc>
          <w:tcPr>
            <w:tcW w:w="1037" w:type="dxa"/>
            <w:tcBorders>
              <w:top w:val="nil"/>
              <w:left w:val="nil"/>
              <w:bottom w:val="single" w:sz="4" w:space="0" w:color="auto"/>
              <w:right w:val="nil"/>
            </w:tcBorders>
            <w:shd w:val="clear" w:color="auto" w:fill="FFFFFF" w:themeFill="background1"/>
            <w:noWrap/>
            <w:vAlign w:val="center"/>
            <w:hideMark/>
          </w:tcPr>
          <w:p w14:paraId="01025C1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110,874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29314B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681,757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F8E0D8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1,588,700</w:t>
            </w:r>
          </w:p>
        </w:tc>
        <w:tc>
          <w:tcPr>
            <w:tcW w:w="993" w:type="dxa"/>
            <w:tcBorders>
              <w:top w:val="nil"/>
              <w:left w:val="nil"/>
              <w:bottom w:val="single" w:sz="4" w:space="0" w:color="auto"/>
              <w:right w:val="nil"/>
            </w:tcBorders>
            <w:shd w:val="clear" w:color="auto" w:fill="FFFFFF" w:themeFill="background1"/>
            <w:noWrap/>
            <w:vAlign w:val="center"/>
            <w:hideMark/>
          </w:tcPr>
          <w:p w14:paraId="37A9ADE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1,178,100</w:t>
            </w:r>
          </w:p>
        </w:tc>
        <w:tc>
          <w:tcPr>
            <w:tcW w:w="1095" w:type="dxa"/>
            <w:tcBorders>
              <w:top w:val="nil"/>
              <w:left w:val="nil"/>
              <w:bottom w:val="single" w:sz="4" w:space="0" w:color="auto"/>
              <w:right w:val="nil"/>
            </w:tcBorders>
            <w:shd w:val="clear" w:color="auto" w:fill="FFFFFF" w:themeFill="background1"/>
            <w:noWrap/>
            <w:vAlign w:val="center"/>
            <w:hideMark/>
          </w:tcPr>
          <w:p w14:paraId="0380C00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607,400</w:t>
            </w:r>
          </w:p>
        </w:tc>
        <w:tc>
          <w:tcPr>
            <w:tcW w:w="1102" w:type="dxa"/>
            <w:tcBorders>
              <w:top w:val="nil"/>
              <w:left w:val="nil"/>
              <w:bottom w:val="single" w:sz="4" w:space="0" w:color="auto"/>
              <w:right w:val="nil"/>
            </w:tcBorders>
            <w:shd w:val="clear" w:color="auto" w:fill="FFFFFF" w:themeFill="background1"/>
            <w:noWrap/>
            <w:vAlign w:val="center"/>
            <w:hideMark/>
          </w:tcPr>
          <w:p w14:paraId="7D526E0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235,500</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5E530A6E" w14:textId="77777777" w:rsidR="00CD481C" w:rsidRPr="00527F4B" w:rsidRDefault="00CD481C" w:rsidP="00CD481C">
            <w:pPr>
              <w:spacing w:before="0" w:after="0"/>
              <w:ind w:left="57" w:right="246"/>
              <w:jc w:val="right"/>
              <w:rPr>
                <w:rFonts w:asciiTheme="majorHAnsi" w:hAnsiTheme="majorHAnsi" w:cs="Arial"/>
                <w:spacing w:val="-4"/>
                <w:sz w:val="16"/>
                <w:szCs w:val="16"/>
              </w:rPr>
            </w:pPr>
            <w:r w:rsidRPr="00527F4B">
              <w:rPr>
                <w:rFonts w:asciiTheme="majorHAnsi" w:hAnsiTheme="majorHAnsi" w:cs="Arial"/>
                <w:spacing w:val="-4"/>
                <w:sz w:val="16"/>
                <w:szCs w:val="16"/>
              </w:rPr>
              <w:t>846,100</w:t>
            </w:r>
          </w:p>
        </w:tc>
        <w:tc>
          <w:tcPr>
            <w:tcW w:w="1393" w:type="dxa"/>
            <w:tcBorders>
              <w:top w:val="nil"/>
              <w:left w:val="nil"/>
              <w:bottom w:val="single" w:sz="4" w:space="0" w:color="auto"/>
              <w:right w:val="single" w:sz="4" w:space="0" w:color="auto"/>
            </w:tcBorders>
            <w:shd w:val="clear" w:color="auto" w:fill="FFFFFF" w:themeFill="background1"/>
            <w:vAlign w:val="center"/>
          </w:tcPr>
          <w:p w14:paraId="32C417B8"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53</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27CECE0E"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93</w:t>
            </w:r>
          </w:p>
        </w:tc>
      </w:tr>
      <w:tr w:rsidR="00D3131B" w:rsidRPr="00527F4B" w14:paraId="35C8C062" w14:textId="77777777" w:rsidTr="00726F85">
        <w:trPr>
          <w:trHeight w:val="170"/>
        </w:trPr>
        <w:tc>
          <w:tcPr>
            <w:tcW w:w="1560" w:type="dxa"/>
            <w:vMerge w:val="restart"/>
            <w:tcBorders>
              <w:top w:val="nil"/>
              <w:bottom w:val="single" w:sz="4" w:space="0" w:color="000000"/>
              <w:right w:val="single" w:sz="4" w:space="0" w:color="auto"/>
            </w:tcBorders>
            <w:shd w:val="clear" w:color="000000" w:fill="FFFFFF"/>
            <w:vAlign w:val="center"/>
            <w:hideMark/>
          </w:tcPr>
          <w:p w14:paraId="448DB0FC"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lastRenderedPageBreak/>
              <w:t>Gippsland</w:t>
            </w:r>
            <w:r>
              <w:rPr>
                <w:rFonts w:asciiTheme="majorHAnsi" w:hAnsiTheme="majorHAnsi" w:cs="Arial"/>
                <w:bCs/>
                <w:sz w:val="16"/>
                <w:szCs w:val="16"/>
              </w:rPr>
              <w:t xml:space="preserve"> </w:t>
            </w:r>
            <w:r w:rsidRPr="00ED67A1">
              <w:rPr>
                <w:rFonts w:asciiTheme="majorHAnsi" w:hAnsiTheme="majorHAnsi" w:cs="Arial"/>
                <w:b/>
                <w:bCs/>
                <w:position w:val="4"/>
                <w:sz w:val="16"/>
                <w:szCs w:val="16"/>
              </w:rPr>
              <w:t>d</w:t>
            </w:r>
          </w:p>
        </w:tc>
        <w:tc>
          <w:tcPr>
            <w:tcW w:w="969" w:type="dxa"/>
            <w:tcBorders>
              <w:top w:val="nil"/>
              <w:left w:val="nil"/>
              <w:bottom w:val="nil"/>
              <w:right w:val="single" w:sz="4" w:space="0" w:color="auto"/>
            </w:tcBorders>
            <w:shd w:val="clear" w:color="000000" w:fill="FFFFFF"/>
            <w:vAlign w:val="center"/>
            <w:hideMark/>
          </w:tcPr>
          <w:p w14:paraId="0ACB7B42"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3B443FE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1,425,660</w:t>
            </w:r>
          </w:p>
        </w:tc>
        <w:tc>
          <w:tcPr>
            <w:tcW w:w="993" w:type="dxa"/>
            <w:tcBorders>
              <w:top w:val="nil"/>
              <w:left w:val="nil"/>
              <w:bottom w:val="nil"/>
              <w:right w:val="nil"/>
            </w:tcBorders>
            <w:shd w:val="clear" w:color="auto" w:fill="FFFFFF" w:themeFill="background1"/>
            <w:noWrap/>
            <w:vAlign w:val="center"/>
            <w:hideMark/>
          </w:tcPr>
          <w:p w14:paraId="44558D1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1,246,320</w:t>
            </w:r>
          </w:p>
        </w:tc>
        <w:tc>
          <w:tcPr>
            <w:tcW w:w="1089" w:type="dxa"/>
            <w:tcBorders>
              <w:top w:val="nil"/>
              <w:left w:val="nil"/>
              <w:bottom w:val="nil"/>
              <w:right w:val="nil"/>
            </w:tcBorders>
            <w:shd w:val="clear" w:color="auto" w:fill="FFFFFF" w:themeFill="background1"/>
            <w:noWrap/>
            <w:vAlign w:val="center"/>
            <w:hideMark/>
          </w:tcPr>
          <w:p w14:paraId="2111857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678,220</w:t>
            </w:r>
          </w:p>
        </w:tc>
        <w:tc>
          <w:tcPr>
            <w:tcW w:w="1037" w:type="dxa"/>
            <w:tcBorders>
              <w:top w:val="nil"/>
              <w:left w:val="nil"/>
              <w:bottom w:val="nil"/>
              <w:right w:val="nil"/>
            </w:tcBorders>
            <w:shd w:val="clear" w:color="auto" w:fill="FFFFFF" w:themeFill="background1"/>
            <w:noWrap/>
            <w:vAlign w:val="center"/>
            <w:hideMark/>
          </w:tcPr>
          <w:p w14:paraId="3839FA3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108,692</w:t>
            </w:r>
          </w:p>
        </w:tc>
        <w:tc>
          <w:tcPr>
            <w:tcW w:w="1134" w:type="dxa"/>
            <w:tcBorders>
              <w:top w:val="nil"/>
              <w:left w:val="nil"/>
              <w:bottom w:val="nil"/>
              <w:right w:val="single" w:sz="4" w:space="0" w:color="auto"/>
            </w:tcBorders>
            <w:shd w:val="clear" w:color="auto" w:fill="FFFFFF" w:themeFill="background1"/>
            <w:noWrap/>
            <w:vAlign w:val="center"/>
            <w:hideMark/>
          </w:tcPr>
          <w:p w14:paraId="23414E4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786,912</w:t>
            </w:r>
          </w:p>
        </w:tc>
        <w:tc>
          <w:tcPr>
            <w:tcW w:w="992" w:type="dxa"/>
            <w:tcBorders>
              <w:top w:val="nil"/>
              <w:left w:val="nil"/>
              <w:bottom w:val="nil"/>
              <w:right w:val="single" w:sz="4" w:space="0" w:color="auto"/>
            </w:tcBorders>
            <w:shd w:val="clear" w:color="auto" w:fill="FFFFFF" w:themeFill="background1"/>
            <w:noWrap/>
            <w:vAlign w:val="center"/>
            <w:hideMark/>
          </w:tcPr>
          <w:p w14:paraId="1B65A18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1,594,200</w:t>
            </w:r>
          </w:p>
        </w:tc>
        <w:tc>
          <w:tcPr>
            <w:tcW w:w="993" w:type="dxa"/>
            <w:tcBorders>
              <w:top w:val="nil"/>
              <w:left w:val="nil"/>
              <w:bottom w:val="nil"/>
              <w:right w:val="nil"/>
            </w:tcBorders>
            <w:shd w:val="clear" w:color="auto" w:fill="FFFFFF" w:themeFill="background1"/>
            <w:noWrap/>
            <w:vAlign w:val="center"/>
            <w:hideMark/>
          </w:tcPr>
          <w:p w14:paraId="24F2DC23" w14:textId="77777777" w:rsidR="00CD481C" w:rsidRPr="00527F4B" w:rsidRDefault="00CD481C" w:rsidP="00726F85">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1,303,800</w:t>
            </w:r>
          </w:p>
        </w:tc>
        <w:tc>
          <w:tcPr>
            <w:tcW w:w="1095" w:type="dxa"/>
            <w:tcBorders>
              <w:top w:val="nil"/>
              <w:left w:val="nil"/>
              <w:bottom w:val="nil"/>
              <w:right w:val="nil"/>
            </w:tcBorders>
            <w:shd w:val="clear" w:color="auto" w:fill="FFFFFF" w:themeFill="background1"/>
            <w:noWrap/>
            <w:vAlign w:val="center"/>
            <w:hideMark/>
          </w:tcPr>
          <w:p w14:paraId="13F3FC9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693,600</w:t>
            </w:r>
          </w:p>
        </w:tc>
        <w:tc>
          <w:tcPr>
            <w:tcW w:w="1102" w:type="dxa"/>
            <w:tcBorders>
              <w:top w:val="nil"/>
              <w:left w:val="nil"/>
              <w:bottom w:val="nil"/>
              <w:right w:val="nil"/>
            </w:tcBorders>
            <w:shd w:val="clear" w:color="auto" w:fill="FFFFFF" w:themeFill="background1"/>
            <w:noWrap/>
            <w:vAlign w:val="center"/>
            <w:hideMark/>
          </w:tcPr>
          <w:p w14:paraId="122EDAF8"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210,100</w:t>
            </w:r>
          </w:p>
        </w:tc>
        <w:tc>
          <w:tcPr>
            <w:tcW w:w="1063" w:type="dxa"/>
            <w:tcBorders>
              <w:top w:val="nil"/>
              <w:left w:val="nil"/>
              <w:bottom w:val="nil"/>
              <w:right w:val="single" w:sz="4" w:space="0" w:color="auto"/>
            </w:tcBorders>
            <w:shd w:val="clear" w:color="auto" w:fill="FFFFFF" w:themeFill="background1"/>
            <w:noWrap/>
            <w:vAlign w:val="center"/>
            <w:hideMark/>
          </w:tcPr>
          <w:p w14:paraId="2A931DF5" w14:textId="77777777" w:rsidR="00CD481C" w:rsidRPr="00527F4B" w:rsidRDefault="00CD481C" w:rsidP="00726F85">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929,300</w:t>
            </w:r>
          </w:p>
        </w:tc>
        <w:tc>
          <w:tcPr>
            <w:tcW w:w="1393" w:type="dxa"/>
            <w:tcBorders>
              <w:top w:val="single" w:sz="4" w:space="0" w:color="auto"/>
              <w:left w:val="nil"/>
              <w:bottom w:val="nil"/>
              <w:right w:val="single" w:sz="4" w:space="0" w:color="auto"/>
            </w:tcBorders>
            <w:shd w:val="clear" w:color="auto" w:fill="FFFFFF" w:themeFill="background1"/>
            <w:vAlign w:val="center"/>
          </w:tcPr>
          <w:p w14:paraId="68F10CE1"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58</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0287FB85"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64</w:t>
            </w:r>
          </w:p>
        </w:tc>
      </w:tr>
      <w:tr w:rsidR="00D3131B" w:rsidRPr="00527F4B" w14:paraId="5C3CC0F1" w14:textId="77777777" w:rsidTr="00726F85">
        <w:trPr>
          <w:trHeight w:val="170"/>
        </w:trPr>
        <w:tc>
          <w:tcPr>
            <w:tcW w:w="1560" w:type="dxa"/>
            <w:vMerge/>
            <w:tcBorders>
              <w:top w:val="nil"/>
              <w:bottom w:val="single" w:sz="4" w:space="0" w:color="000000"/>
              <w:right w:val="single" w:sz="4" w:space="0" w:color="auto"/>
            </w:tcBorders>
            <w:vAlign w:val="center"/>
            <w:hideMark/>
          </w:tcPr>
          <w:p w14:paraId="718949BD"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nil"/>
              <w:right w:val="single" w:sz="4" w:space="0" w:color="auto"/>
            </w:tcBorders>
            <w:shd w:val="clear" w:color="000000" w:fill="FFFFFF"/>
            <w:vAlign w:val="center"/>
            <w:hideMark/>
          </w:tcPr>
          <w:p w14:paraId="3ADEDC35"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12B2C38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118,552</w:t>
            </w:r>
          </w:p>
        </w:tc>
        <w:tc>
          <w:tcPr>
            <w:tcW w:w="993" w:type="dxa"/>
            <w:tcBorders>
              <w:top w:val="nil"/>
              <w:left w:val="nil"/>
              <w:bottom w:val="nil"/>
              <w:right w:val="nil"/>
            </w:tcBorders>
            <w:shd w:val="clear" w:color="auto" w:fill="FFFFFF" w:themeFill="background1"/>
            <w:noWrap/>
            <w:vAlign w:val="center"/>
            <w:hideMark/>
          </w:tcPr>
          <w:p w14:paraId="6F040FE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99,957</w:t>
            </w:r>
          </w:p>
        </w:tc>
        <w:tc>
          <w:tcPr>
            <w:tcW w:w="1089" w:type="dxa"/>
            <w:tcBorders>
              <w:top w:val="nil"/>
              <w:left w:val="nil"/>
              <w:bottom w:val="nil"/>
              <w:right w:val="nil"/>
            </w:tcBorders>
            <w:shd w:val="clear" w:color="auto" w:fill="FFFFFF" w:themeFill="background1"/>
            <w:noWrap/>
            <w:vAlign w:val="center"/>
            <w:hideMark/>
          </w:tcPr>
          <w:p w14:paraId="09E3B09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88,291</w:t>
            </w:r>
          </w:p>
        </w:tc>
        <w:tc>
          <w:tcPr>
            <w:tcW w:w="1037" w:type="dxa"/>
            <w:tcBorders>
              <w:top w:val="nil"/>
              <w:left w:val="nil"/>
              <w:bottom w:val="nil"/>
              <w:right w:val="nil"/>
            </w:tcBorders>
            <w:shd w:val="clear" w:color="auto" w:fill="FFFFFF" w:themeFill="background1"/>
            <w:noWrap/>
            <w:vAlign w:val="center"/>
            <w:hideMark/>
          </w:tcPr>
          <w:p w14:paraId="7EF990C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2,571</w:t>
            </w:r>
          </w:p>
        </w:tc>
        <w:tc>
          <w:tcPr>
            <w:tcW w:w="1134" w:type="dxa"/>
            <w:tcBorders>
              <w:top w:val="nil"/>
              <w:left w:val="nil"/>
              <w:bottom w:val="nil"/>
              <w:right w:val="single" w:sz="4" w:space="0" w:color="auto"/>
            </w:tcBorders>
            <w:shd w:val="clear" w:color="auto" w:fill="FFFFFF" w:themeFill="background1"/>
            <w:noWrap/>
            <w:vAlign w:val="center"/>
            <w:hideMark/>
          </w:tcPr>
          <w:p w14:paraId="4734F86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90,862</w:t>
            </w:r>
          </w:p>
        </w:tc>
        <w:tc>
          <w:tcPr>
            <w:tcW w:w="992" w:type="dxa"/>
            <w:tcBorders>
              <w:top w:val="nil"/>
              <w:left w:val="nil"/>
              <w:bottom w:val="nil"/>
              <w:right w:val="single" w:sz="4" w:space="0" w:color="auto"/>
            </w:tcBorders>
            <w:shd w:val="clear" w:color="auto" w:fill="FFFFFF" w:themeFill="background1"/>
            <w:noWrap/>
            <w:vAlign w:val="center"/>
            <w:hideMark/>
          </w:tcPr>
          <w:p w14:paraId="562AE2B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201,200</w:t>
            </w:r>
          </w:p>
        </w:tc>
        <w:tc>
          <w:tcPr>
            <w:tcW w:w="993" w:type="dxa"/>
            <w:tcBorders>
              <w:top w:val="nil"/>
              <w:left w:val="nil"/>
              <w:bottom w:val="nil"/>
              <w:right w:val="nil"/>
            </w:tcBorders>
            <w:shd w:val="clear" w:color="auto" w:fill="FFFFFF" w:themeFill="background1"/>
            <w:noWrap/>
            <w:vAlign w:val="center"/>
            <w:hideMark/>
          </w:tcPr>
          <w:p w14:paraId="4649132C" w14:textId="77777777" w:rsidR="00CD481C" w:rsidRPr="00527F4B" w:rsidRDefault="00CD481C" w:rsidP="00726F85">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157,800</w:t>
            </w:r>
          </w:p>
        </w:tc>
        <w:tc>
          <w:tcPr>
            <w:tcW w:w="1095" w:type="dxa"/>
            <w:tcBorders>
              <w:top w:val="nil"/>
              <w:left w:val="nil"/>
              <w:bottom w:val="nil"/>
              <w:right w:val="nil"/>
            </w:tcBorders>
            <w:shd w:val="clear" w:color="auto" w:fill="FFFFFF" w:themeFill="background1"/>
            <w:noWrap/>
            <w:vAlign w:val="center"/>
            <w:hideMark/>
          </w:tcPr>
          <w:p w14:paraId="7C7166C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106,000</w:t>
            </w:r>
          </w:p>
        </w:tc>
        <w:tc>
          <w:tcPr>
            <w:tcW w:w="1102" w:type="dxa"/>
            <w:tcBorders>
              <w:top w:val="nil"/>
              <w:left w:val="nil"/>
              <w:bottom w:val="nil"/>
              <w:right w:val="nil"/>
            </w:tcBorders>
            <w:shd w:val="clear" w:color="auto" w:fill="FFFFFF" w:themeFill="background1"/>
            <w:noWrap/>
            <w:vAlign w:val="center"/>
            <w:hideMark/>
          </w:tcPr>
          <w:p w14:paraId="25801046"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4,500</w:t>
            </w:r>
          </w:p>
        </w:tc>
        <w:tc>
          <w:tcPr>
            <w:tcW w:w="1063" w:type="dxa"/>
            <w:tcBorders>
              <w:top w:val="nil"/>
              <w:left w:val="nil"/>
              <w:bottom w:val="nil"/>
              <w:right w:val="single" w:sz="4" w:space="0" w:color="auto"/>
            </w:tcBorders>
            <w:shd w:val="clear" w:color="auto" w:fill="FFFFFF" w:themeFill="background1"/>
            <w:noWrap/>
            <w:vAlign w:val="center"/>
            <w:hideMark/>
          </w:tcPr>
          <w:p w14:paraId="3CFD0135" w14:textId="77777777" w:rsidR="00CD481C" w:rsidRPr="00527F4B" w:rsidRDefault="00CD481C" w:rsidP="00726F85">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110,400</w:t>
            </w:r>
          </w:p>
        </w:tc>
        <w:tc>
          <w:tcPr>
            <w:tcW w:w="1393" w:type="dxa"/>
            <w:tcBorders>
              <w:top w:val="nil"/>
              <w:left w:val="nil"/>
              <w:bottom w:val="nil"/>
              <w:right w:val="single" w:sz="4" w:space="0" w:color="auto"/>
            </w:tcBorders>
            <w:shd w:val="clear" w:color="auto" w:fill="FFFFFF" w:themeFill="background1"/>
            <w:vAlign w:val="center"/>
          </w:tcPr>
          <w:p w14:paraId="5124156F"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55</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70573297"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71</w:t>
            </w:r>
          </w:p>
        </w:tc>
      </w:tr>
      <w:tr w:rsidR="00D3131B" w:rsidRPr="00527F4B" w14:paraId="6533C941" w14:textId="77777777" w:rsidTr="00726F85">
        <w:trPr>
          <w:trHeight w:val="170"/>
        </w:trPr>
        <w:tc>
          <w:tcPr>
            <w:tcW w:w="1560" w:type="dxa"/>
            <w:vMerge/>
            <w:tcBorders>
              <w:top w:val="nil"/>
              <w:bottom w:val="single" w:sz="4" w:space="0" w:color="000000"/>
              <w:right w:val="single" w:sz="4" w:space="0" w:color="auto"/>
            </w:tcBorders>
            <w:vAlign w:val="center"/>
            <w:hideMark/>
          </w:tcPr>
          <w:p w14:paraId="21C2C195" w14:textId="77777777" w:rsidR="00CD481C" w:rsidRPr="00F435C6" w:rsidRDefault="00CD481C" w:rsidP="00CD481C">
            <w:pPr>
              <w:spacing w:before="0" w:after="0"/>
              <w:ind w:left="57" w:right="57"/>
              <w:rPr>
                <w:rFonts w:asciiTheme="majorHAnsi" w:hAnsiTheme="majorHAnsi" w:cs="Arial"/>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47893769"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761F9F8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1,544,212</w:t>
            </w:r>
          </w:p>
        </w:tc>
        <w:tc>
          <w:tcPr>
            <w:tcW w:w="993" w:type="dxa"/>
            <w:tcBorders>
              <w:top w:val="nil"/>
              <w:left w:val="nil"/>
              <w:bottom w:val="single" w:sz="4" w:space="0" w:color="auto"/>
              <w:right w:val="nil"/>
            </w:tcBorders>
            <w:shd w:val="clear" w:color="auto" w:fill="FFFFFF" w:themeFill="background1"/>
            <w:noWrap/>
            <w:vAlign w:val="center"/>
            <w:hideMark/>
          </w:tcPr>
          <w:p w14:paraId="36378C2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1,346,277</w:t>
            </w:r>
          </w:p>
        </w:tc>
        <w:tc>
          <w:tcPr>
            <w:tcW w:w="1089" w:type="dxa"/>
            <w:tcBorders>
              <w:top w:val="nil"/>
              <w:left w:val="nil"/>
              <w:bottom w:val="single" w:sz="4" w:space="0" w:color="auto"/>
              <w:right w:val="nil"/>
            </w:tcBorders>
            <w:shd w:val="clear" w:color="auto" w:fill="FFFFFF" w:themeFill="background1"/>
            <w:noWrap/>
            <w:vAlign w:val="center"/>
            <w:hideMark/>
          </w:tcPr>
          <w:p w14:paraId="0C07AD8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766,511</w:t>
            </w:r>
          </w:p>
        </w:tc>
        <w:tc>
          <w:tcPr>
            <w:tcW w:w="1037" w:type="dxa"/>
            <w:tcBorders>
              <w:top w:val="nil"/>
              <w:left w:val="nil"/>
              <w:bottom w:val="single" w:sz="4" w:space="0" w:color="auto"/>
              <w:right w:val="nil"/>
            </w:tcBorders>
            <w:shd w:val="clear" w:color="auto" w:fill="FFFFFF" w:themeFill="background1"/>
            <w:noWrap/>
            <w:vAlign w:val="center"/>
            <w:hideMark/>
          </w:tcPr>
          <w:p w14:paraId="1D98B7D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111,263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D2460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877,774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BD4F22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1,795,400</w:t>
            </w:r>
          </w:p>
        </w:tc>
        <w:tc>
          <w:tcPr>
            <w:tcW w:w="993" w:type="dxa"/>
            <w:tcBorders>
              <w:top w:val="nil"/>
              <w:left w:val="nil"/>
              <w:bottom w:val="single" w:sz="4" w:space="0" w:color="auto"/>
              <w:right w:val="nil"/>
            </w:tcBorders>
            <w:shd w:val="clear" w:color="auto" w:fill="FFFFFF" w:themeFill="background1"/>
            <w:noWrap/>
            <w:vAlign w:val="center"/>
            <w:hideMark/>
          </w:tcPr>
          <w:p w14:paraId="435A8ED2"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1,461,600</w:t>
            </w:r>
          </w:p>
        </w:tc>
        <w:tc>
          <w:tcPr>
            <w:tcW w:w="1095" w:type="dxa"/>
            <w:tcBorders>
              <w:top w:val="nil"/>
              <w:left w:val="nil"/>
              <w:bottom w:val="single" w:sz="4" w:space="0" w:color="auto"/>
              <w:right w:val="nil"/>
            </w:tcBorders>
            <w:shd w:val="clear" w:color="auto" w:fill="FFFFFF" w:themeFill="background1"/>
            <w:noWrap/>
            <w:vAlign w:val="center"/>
            <w:hideMark/>
          </w:tcPr>
          <w:p w14:paraId="0425E12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799,600</w:t>
            </w:r>
          </w:p>
        </w:tc>
        <w:tc>
          <w:tcPr>
            <w:tcW w:w="1102" w:type="dxa"/>
            <w:tcBorders>
              <w:top w:val="nil"/>
              <w:left w:val="nil"/>
              <w:bottom w:val="single" w:sz="4" w:space="0" w:color="auto"/>
              <w:right w:val="nil"/>
            </w:tcBorders>
            <w:shd w:val="clear" w:color="auto" w:fill="FFFFFF" w:themeFill="background1"/>
            <w:noWrap/>
            <w:vAlign w:val="center"/>
            <w:hideMark/>
          </w:tcPr>
          <w:p w14:paraId="3C3BB7B0"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214,600</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5A02B3F3" w14:textId="77777777" w:rsidR="00CD481C" w:rsidRPr="00527F4B" w:rsidRDefault="00CD481C" w:rsidP="00726F85">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1,039,700</w:t>
            </w:r>
          </w:p>
        </w:tc>
        <w:tc>
          <w:tcPr>
            <w:tcW w:w="1393" w:type="dxa"/>
            <w:tcBorders>
              <w:top w:val="nil"/>
              <w:left w:val="nil"/>
              <w:bottom w:val="single" w:sz="4" w:space="0" w:color="auto"/>
              <w:right w:val="single" w:sz="4" w:space="0" w:color="auto"/>
            </w:tcBorders>
            <w:shd w:val="clear" w:color="auto" w:fill="FFFFFF" w:themeFill="background1"/>
            <w:vAlign w:val="center"/>
          </w:tcPr>
          <w:p w14:paraId="34BE6963"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58</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07DDDB54"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135</w:t>
            </w:r>
          </w:p>
        </w:tc>
      </w:tr>
      <w:tr w:rsidR="00D3131B" w:rsidRPr="00527F4B" w14:paraId="222FEC43" w14:textId="77777777" w:rsidTr="00726F85">
        <w:trPr>
          <w:trHeight w:val="170"/>
        </w:trPr>
        <w:tc>
          <w:tcPr>
            <w:tcW w:w="1560" w:type="dxa"/>
            <w:vMerge w:val="restart"/>
            <w:tcBorders>
              <w:top w:val="nil"/>
              <w:bottom w:val="single" w:sz="4" w:space="0" w:color="000000"/>
              <w:right w:val="single" w:sz="4" w:space="0" w:color="auto"/>
            </w:tcBorders>
            <w:shd w:val="clear" w:color="000000" w:fill="FFFFFF"/>
            <w:vAlign w:val="center"/>
            <w:hideMark/>
          </w:tcPr>
          <w:p w14:paraId="0EBCB51B"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West Victoria</w:t>
            </w:r>
            <w:r>
              <w:rPr>
                <w:rFonts w:asciiTheme="majorHAnsi" w:hAnsiTheme="majorHAnsi" w:cs="Arial"/>
                <w:bCs/>
                <w:sz w:val="16"/>
                <w:szCs w:val="16"/>
              </w:rPr>
              <w:t xml:space="preserve"> </w:t>
            </w:r>
            <w:r w:rsidRPr="00ED67A1">
              <w:rPr>
                <w:rFonts w:asciiTheme="majorHAnsi" w:hAnsiTheme="majorHAnsi" w:cs="Arial"/>
                <w:b/>
                <w:bCs/>
                <w:position w:val="4"/>
                <w:sz w:val="16"/>
                <w:szCs w:val="16"/>
              </w:rPr>
              <w:t>d</w:t>
            </w:r>
          </w:p>
        </w:tc>
        <w:tc>
          <w:tcPr>
            <w:tcW w:w="969" w:type="dxa"/>
            <w:tcBorders>
              <w:top w:val="nil"/>
              <w:left w:val="nil"/>
              <w:bottom w:val="nil"/>
              <w:right w:val="single" w:sz="4" w:space="0" w:color="auto"/>
            </w:tcBorders>
            <w:shd w:val="clear" w:color="000000" w:fill="FFFFFF"/>
            <w:vAlign w:val="center"/>
            <w:hideMark/>
          </w:tcPr>
          <w:p w14:paraId="787C9543"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5E771DF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968,002</w:t>
            </w:r>
          </w:p>
        </w:tc>
        <w:tc>
          <w:tcPr>
            <w:tcW w:w="993" w:type="dxa"/>
            <w:tcBorders>
              <w:top w:val="nil"/>
              <w:left w:val="nil"/>
              <w:bottom w:val="nil"/>
              <w:right w:val="nil"/>
            </w:tcBorders>
            <w:shd w:val="clear" w:color="auto" w:fill="FFFFFF" w:themeFill="background1"/>
            <w:noWrap/>
            <w:vAlign w:val="center"/>
            <w:hideMark/>
          </w:tcPr>
          <w:p w14:paraId="1AC5FCB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721,223</w:t>
            </w:r>
          </w:p>
        </w:tc>
        <w:tc>
          <w:tcPr>
            <w:tcW w:w="1089" w:type="dxa"/>
            <w:tcBorders>
              <w:top w:val="nil"/>
              <w:left w:val="nil"/>
              <w:bottom w:val="nil"/>
              <w:right w:val="nil"/>
            </w:tcBorders>
            <w:shd w:val="clear" w:color="auto" w:fill="FFFFFF" w:themeFill="background1"/>
            <w:noWrap/>
            <w:vAlign w:val="center"/>
            <w:hideMark/>
          </w:tcPr>
          <w:p w14:paraId="387D3D8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493,066</w:t>
            </w:r>
          </w:p>
        </w:tc>
        <w:tc>
          <w:tcPr>
            <w:tcW w:w="1037" w:type="dxa"/>
            <w:tcBorders>
              <w:top w:val="nil"/>
              <w:left w:val="nil"/>
              <w:bottom w:val="nil"/>
              <w:right w:val="nil"/>
            </w:tcBorders>
            <w:shd w:val="clear" w:color="auto" w:fill="FFFFFF" w:themeFill="background1"/>
            <w:noWrap/>
            <w:vAlign w:val="center"/>
            <w:hideMark/>
          </w:tcPr>
          <w:p w14:paraId="37AECC6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4,390</w:t>
            </w:r>
          </w:p>
        </w:tc>
        <w:tc>
          <w:tcPr>
            <w:tcW w:w="1134" w:type="dxa"/>
            <w:tcBorders>
              <w:top w:val="nil"/>
              <w:left w:val="nil"/>
              <w:bottom w:val="nil"/>
              <w:right w:val="single" w:sz="4" w:space="0" w:color="auto"/>
            </w:tcBorders>
            <w:shd w:val="clear" w:color="auto" w:fill="FFFFFF" w:themeFill="background1"/>
            <w:noWrap/>
            <w:vAlign w:val="center"/>
            <w:hideMark/>
          </w:tcPr>
          <w:p w14:paraId="47E422C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497,456</w:t>
            </w:r>
          </w:p>
        </w:tc>
        <w:tc>
          <w:tcPr>
            <w:tcW w:w="992" w:type="dxa"/>
            <w:tcBorders>
              <w:top w:val="nil"/>
              <w:left w:val="nil"/>
              <w:bottom w:val="nil"/>
              <w:right w:val="single" w:sz="4" w:space="0" w:color="auto"/>
            </w:tcBorders>
            <w:shd w:val="clear" w:color="auto" w:fill="FFFFFF" w:themeFill="background1"/>
            <w:noWrap/>
            <w:vAlign w:val="center"/>
            <w:hideMark/>
          </w:tcPr>
          <w:p w14:paraId="1617B95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1,736,800</w:t>
            </w:r>
          </w:p>
        </w:tc>
        <w:tc>
          <w:tcPr>
            <w:tcW w:w="993" w:type="dxa"/>
            <w:tcBorders>
              <w:top w:val="nil"/>
              <w:left w:val="nil"/>
              <w:bottom w:val="nil"/>
              <w:right w:val="nil"/>
            </w:tcBorders>
            <w:shd w:val="clear" w:color="auto" w:fill="FFFFFF" w:themeFill="background1"/>
            <w:noWrap/>
            <w:vAlign w:val="center"/>
            <w:hideMark/>
          </w:tcPr>
          <w:p w14:paraId="272EE2AE"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786,700</w:t>
            </w:r>
          </w:p>
        </w:tc>
        <w:tc>
          <w:tcPr>
            <w:tcW w:w="1095" w:type="dxa"/>
            <w:tcBorders>
              <w:top w:val="nil"/>
              <w:left w:val="nil"/>
              <w:bottom w:val="nil"/>
              <w:right w:val="nil"/>
            </w:tcBorders>
            <w:shd w:val="clear" w:color="auto" w:fill="FFFFFF" w:themeFill="background1"/>
            <w:noWrap/>
            <w:vAlign w:val="center"/>
            <w:hideMark/>
          </w:tcPr>
          <w:p w14:paraId="4CBAE20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547,900</w:t>
            </w:r>
          </w:p>
        </w:tc>
        <w:tc>
          <w:tcPr>
            <w:tcW w:w="1102" w:type="dxa"/>
            <w:tcBorders>
              <w:top w:val="nil"/>
              <w:left w:val="nil"/>
              <w:bottom w:val="nil"/>
              <w:right w:val="nil"/>
            </w:tcBorders>
            <w:shd w:val="clear" w:color="auto" w:fill="FFFFFF" w:themeFill="background1"/>
            <w:noWrap/>
            <w:vAlign w:val="center"/>
            <w:hideMark/>
          </w:tcPr>
          <w:p w14:paraId="387E4F48"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5,500</w:t>
            </w:r>
          </w:p>
        </w:tc>
        <w:tc>
          <w:tcPr>
            <w:tcW w:w="1063" w:type="dxa"/>
            <w:tcBorders>
              <w:top w:val="nil"/>
              <w:left w:val="nil"/>
              <w:bottom w:val="nil"/>
              <w:right w:val="single" w:sz="4" w:space="0" w:color="auto"/>
            </w:tcBorders>
            <w:shd w:val="clear" w:color="auto" w:fill="FFFFFF" w:themeFill="background1"/>
            <w:noWrap/>
            <w:vAlign w:val="center"/>
            <w:hideMark/>
          </w:tcPr>
          <w:p w14:paraId="60B45917"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554,900</w:t>
            </w:r>
          </w:p>
        </w:tc>
        <w:tc>
          <w:tcPr>
            <w:tcW w:w="1393" w:type="dxa"/>
            <w:tcBorders>
              <w:top w:val="nil"/>
              <w:left w:val="nil"/>
              <w:bottom w:val="nil"/>
              <w:right w:val="single" w:sz="4" w:space="0" w:color="auto"/>
            </w:tcBorders>
            <w:shd w:val="clear" w:color="auto" w:fill="FFFFFF" w:themeFill="background1"/>
            <w:vAlign w:val="center"/>
          </w:tcPr>
          <w:p w14:paraId="01CAC2B1"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32</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5A9BB307"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212</w:t>
            </w:r>
          </w:p>
        </w:tc>
      </w:tr>
      <w:tr w:rsidR="00D3131B" w:rsidRPr="00527F4B" w14:paraId="4B1009E6" w14:textId="77777777" w:rsidTr="00726F85">
        <w:trPr>
          <w:trHeight w:val="170"/>
        </w:trPr>
        <w:tc>
          <w:tcPr>
            <w:tcW w:w="1560" w:type="dxa"/>
            <w:vMerge/>
            <w:tcBorders>
              <w:top w:val="nil"/>
              <w:bottom w:val="single" w:sz="4" w:space="0" w:color="000000"/>
              <w:right w:val="single" w:sz="4" w:space="0" w:color="auto"/>
            </w:tcBorders>
            <w:vAlign w:val="center"/>
            <w:hideMark/>
          </w:tcPr>
          <w:p w14:paraId="23879338"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nil"/>
              <w:right w:val="single" w:sz="4" w:space="0" w:color="auto"/>
            </w:tcBorders>
            <w:shd w:val="clear" w:color="000000" w:fill="FFFFFF"/>
            <w:vAlign w:val="center"/>
            <w:hideMark/>
          </w:tcPr>
          <w:p w14:paraId="23278CC2"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3F4FB7E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103,294</w:t>
            </w:r>
          </w:p>
        </w:tc>
        <w:tc>
          <w:tcPr>
            <w:tcW w:w="993" w:type="dxa"/>
            <w:tcBorders>
              <w:top w:val="nil"/>
              <w:left w:val="nil"/>
              <w:bottom w:val="nil"/>
              <w:right w:val="nil"/>
            </w:tcBorders>
            <w:shd w:val="clear" w:color="auto" w:fill="FFFFFF" w:themeFill="background1"/>
            <w:noWrap/>
            <w:vAlign w:val="center"/>
            <w:hideMark/>
          </w:tcPr>
          <w:p w14:paraId="704F196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94,891</w:t>
            </w:r>
          </w:p>
        </w:tc>
        <w:tc>
          <w:tcPr>
            <w:tcW w:w="1089" w:type="dxa"/>
            <w:tcBorders>
              <w:top w:val="nil"/>
              <w:left w:val="nil"/>
              <w:bottom w:val="nil"/>
              <w:right w:val="nil"/>
            </w:tcBorders>
            <w:shd w:val="clear" w:color="auto" w:fill="FFFFFF" w:themeFill="background1"/>
            <w:noWrap/>
            <w:vAlign w:val="center"/>
            <w:hideMark/>
          </w:tcPr>
          <w:p w14:paraId="258F0B6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86,550</w:t>
            </w:r>
          </w:p>
        </w:tc>
        <w:tc>
          <w:tcPr>
            <w:tcW w:w="1037" w:type="dxa"/>
            <w:tcBorders>
              <w:top w:val="nil"/>
              <w:left w:val="nil"/>
              <w:bottom w:val="nil"/>
              <w:right w:val="nil"/>
            </w:tcBorders>
            <w:shd w:val="clear" w:color="auto" w:fill="FFFFFF" w:themeFill="background1"/>
            <w:noWrap/>
            <w:vAlign w:val="center"/>
            <w:hideMark/>
          </w:tcPr>
          <w:p w14:paraId="7BB5D0E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0</w:t>
            </w:r>
          </w:p>
        </w:tc>
        <w:tc>
          <w:tcPr>
            <w:tcW w:w="1134" w:type="dxa"/>
            <w:tcBorders>
              <w:top w:val="nil"/>
              <w:left w:val="nil"/>
              <w:bottom w:val="nil"/>
              <w:right w:val="single" w:sz="4" w:space="0" w:color="auto"/>
            </w:tcBorders>
            <w:shd w:val="clear" w:color="auto" w:fill="FFFFFF" w:themeFill="background1"/>
            <w:noWrap/>
            <w:vAlign w:val="center"/>
            <w:hideMark/>
          </w:tcPr>
          <w:p w14:paraId="091CF1C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86,550</w:t>
            </w:r>
          </w:p>
        </w:tc>
        <w:tc>
          <w:tcPr>
            <w:tcW w:w="992" w:type="dxa"/>
            <w:tcBorders>
              <w:top w:val="nil"/>
              <w:left w:val="nil"/>
              <w:bottom w:val="nil"/>
              <w:right w:val="single" w:sz="4" w:space="0" w:color="auto"/>
            </w:tcBorders>
            <w:shd w:val="clear" w:color="auto" w:fill="FFFFFF" w:themeFill="background1"/>
            <w:noWrap/>
            <w:vAlign w:val="center"/>
            <w:hideMark/>
          </w:tcPr>
          <w:p w14:paraId="36737B6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414,500</w:t>
            </w:r>
          </w:p>
        </w:tc>
        <w:tc>
          <w:tcPr>
            <w:tcW w:w="993" w:type="dxa"/>
            <w:tcBorders>
              <w:top w:val="nil"/>
              <w:left w:val="nil"/>
              <w:bottom w:val="nil"/>
              <w:right w:val="nil"/>
            </w:tcBorders>
            <w:shd w:val="clear" w:color="auto" w:fill="FFFFFF" w:themeFill="background1"/>
            <w:noWrap/>
            <w:vAlign w:val="center"/>
            <w:hideMark/>
          </w:tcPr>
          <w:p w14:paraId="0752667B"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186,300</w:t>
            </w:r>
          </w:p>
        </w:tc>
        <w:tc>
          <w:tcPr>
            <w:tcW w:w="1095" w:type="dxa"/>
            <w:tcBorders>
              <w:top w:val="nil"/>
              <w:left w:val="nil"/>
              <w:bottom w:val="nil"/>
              <w:right w:val="nil"/>
            </w:tcBorders>
            <w:shd w:val="clear" w:color="auto" w:fill="FFFFFF" w:themeFill="background1"/>
            <w:noWrap/>
            <w:vAlign w:val="center"/>
            <w:hideMark/>
          </w:tcPr>
          <w:p w14:paraId="7F322F6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119,800</w:t>
            </w:r>
          </w:p>
        </w:tc>
        <w:tc>
          <w:tcPr>
            <w:tcW w:w="1102" w:type="dxa"/>
            <w:tcBorders>
              <w:top w:val="nil"/>
              <w:left w:val="nil"/>
              <w:bottom w:val="nil"/>
              <w:right w:val="nil"/>
            </w:tcBorders>
            <w:shd w:val="clear" w:color="auto" w:fill="FFFFFF" w:themeFill="background1"/>
            <w:noWrap/>
            <w:vAlign w:val="center"/>
            <w:hideMark/>
          </w:tcPr>
          <w:p w14:paraId="4351A7DC"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400</w:t>
            </w:r>
          </w:p>
        </w:tc>
        <w:tc>
          <w:tcPr>
            <w:tcW w:w="1063" w:type="dxa"/>
            <w:tcBorders>
              <w:top w:val="nil"/>
              <w:left w:val="nil"/>
              <w:bottom w:val="nil"/>
              <w:right w:val="single" w:sz="4" w:space="0" w:color="auto"/>
            </w:tcBorders>
            <w:shd w:val="clear" w:color="auto" w:fill="FFFFFF" w:themeFill="background1"/>
            <w:noWrap/>
            <w:vAlign w:val="center"/>
            <w:hideMark/>
          </w:tcPr>
          <w:p w14:paraId="2EA17F29"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123,600</w:t>
            </w:r>
          </w:p>
        </w:tc>
        <w:tc>
          <w:tcPr>
            <w:tcW w:w="1393" w:type="dxa"/>
            <w:tcBorders>
              <w:top w:val="nil"/>
              <w:left w:val="nil"/>
              <w:bottom w:val="nil"/>
              <w:right w:val="single" w:sz="4" w:space="0" w:color="auto"/>
            </w:tcBorders>
            <w:shd w:val="clear" w:color="auto" w:fill="FFFFFF" w:themeFill="background1"/>
            <w:vAlign w:val="center"/>
          </w:tcPr>
          <w:p w14:paraId="04981261"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30</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5905B57B"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91</w:t>
            </w:r>
          </w:p>
        </w:tc>
      </w:tr>
      <w:tr w:rsidR="00D3131B" w:rsidRPr="00527F4B" w14:paraId="1576CF7C" w14:textId="77777777" w:rsidTr="00726F85">
        <w:trPr>
          <w:trHeight w:val="170"/>
        </w:trPr>
        <w:tc>
          <w:tcPr>
            <w:tcW w:w="1560" w:type="dxa"/>
            <w:vMerge/>
            <w:tcBorders>
              <w:top w:val="nil"/>
              <w:bottom w:val="single" w:sz="4" w:space="0" w:color="000000"/>
              <w:right w:val="single" w:sz="4" w:space="0" w:color="auto"/>
            </w:tcBorders>
            <w:vAlign w:val="center"/>
            <w:hideMark/>
          </w:tcPr>
          <w:p w14:paraId="41588AB5"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7CCE0689"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06DDAC3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1,071,296</w:t>
            </w:r>
          </w:p>
        </w:tc>
        <w:tc>
          <w:tcPr>
            <w:tcW w:w="993" w:type="dxa"/>
            <w:tcBorders>
              <w:top w:val="nil"/>
              <w:left w:val="nil"/>
              <w:bottom w:val="single" w:sz="4" w:space="0" w:color="auto"/>
              <w:right w:val="nil"/>
            </w:tcBorders>
            <w:shd w:val="clear" w:color="auto" w:fill="FFFFFF" w:themeFill="background1"/>
            <w:noWrap/>
            <w:vAlign w:val="center"/>
            <w:hideMark/>
          </w:tcPr>
          <w:p w14:paraId="0125340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816,114</w:t>
            </w:r>
          </w:p>
        </w:tc>
        <w:tc>
          <w:tcPr>
            <w:tcW w:w="1089" w:type="dxa"/>
            <w:tcBorders>
              <w:top w:val="nil"/>
              <w:left w:val="nil"/>
              <w:bottom w:val="single" w:sz="4" w:space="0" w:color="auto"/>
              <w:right w:val="nil"/>
            </w:tcBorders>
            <w:shd w:val="clear" w:color="auto" w:fill="FFFFFF" w:themeFill="background1"/>
            <w:noWrap/>
            <w:vAlign w:val="center"/>
            <w:hideMark/>
          </w:tcPr>
          <w:p w14:paraId="0B495C7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579,616</w:t>
            </w:r>
          </w:p>
        </w:tc>
        <w:tc>
          <w:tcPr>
            <w:tcW w:w="1037" w:type="dxa"/>
            <w:tcBorders>
              <w:top w:val="nil"/>
              <w:left w:val="nil"/>
              <w:bottom w:val="single" w:sz="4" w:space="0" w:color="auto"/>
              <w:right w:val="nil"/>
            </w:tcBorders>
            <w:shd w:val="clear" w:color="auto" w:fill="FFFFFF" w:themeFill="background1"/>
            <w:noWrap/>
            <w:vAlign w:val="center"/>
            <w:hideMark/>
          </w:tcPr>
          <w:p w14:paraId="186D010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4,390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8CC0BB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584,006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6EA623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2,151,300</w:t>
            </w:r>
          </w:p>
        </w:tc>
        <w:tc>
          <w:tcPr>
            <w:tcW w:w="993" w:type="dxa"/>
            <w:tcBorders>
              <w:top w:val="nil"/>
              <w:left w:val="nil"/>
              <w:bottom w:val="single" w:sz="4" w:space="0" w:color="auto"/>
              <w:right w:val="nil"/>
            </w:tcBorders>
            <w:shd w:val="clear" w:color="auto" w:fill="FFFFFF" w:themeFill="background1"/>
            <w:noWrap/>
            <w:vAlign w:val="center"/>
            <w:hideMark/>
          </w:tcPr>
          <w:p w14:paraId="58C64A9B"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973,000</w:t>
            </w:r>
          </w:p>
        </w:tc>
        <w:tc>
          <w:tcPr>
            <w:tcW w:w="1095" w:type="dxa"/>
            <w:tcBorders>
              <w:top w:val="nil"/>
              <w:left w:val="nil"/>
              <w:bottom w:val="single" w:sz="4" w:space="0" w:color="auto"/>
              <w:right w:val="nil"/>
            </w:tcBorders>
            <w:shd w:val="clear" w:color="auto" w:fill="FFFFFF" w:themeFill="background1"/>
            <w:noWrap/>
            <w:vAlign w:val="center"/>
            <w:hideMark/>
          </w:tcPr>
          <w:p w14:paraId="4A28F91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667,600</w:t>
            </w:r>
          </w:p>
        </w:tc>
        <w:tc>
          <w:tcPr>
            <w:tcW w:w="1102" w:type="dxa"/>
            <w:tcBorders>
              <w:top w:val="nil"/>
              <w:left w:val="nil"/>
              <w:bottom w:val="single" w:sz="4" w:space="0" w:color="auto"/>
              <w:right w:val="nil"/>
            </w:tcBorders>
            <w:shd w:val="clear" w:color="auto" w:fill="FFFFFF" w:themeFill="background1"/>
            <w:noWrap/>
            <w:vAlign w:val="center"/>
            <w:hideMark/>
          </w:tcPr>
          <w:p w14:paraId="20E7FC6F"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6,000</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7ECC0071"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678,500</w:t>
            </w:r>
          </w:p>
        </w:tc>
        <w:tc>
          <w:tcPr>
            <w:tcW w:w="1393" w:type="dxa"/>
            <w:tcBorders>
              <w:top w:val="nil"/>
              <w:left w:val="nil"/>
              <w:bottom w:val="single" w:sz="4" w:space="0" w:color="auto"/>
              <w:right w:val="single" w:sz="4" w:space="0" w:color="auto"/>
            </w:tcBorders>
            <w:shd w:val="clear" w:color="auto" w:fill="FFFFFF" w:themeFill="background1"/>
            <w:vAlign w:val="center"/>
          </w:tcPr>
          <w:p w14:paraId="7339F23F"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32</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110F5D31"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303</w:t>
            </w:r>
          </w:p>
        </w:tc>
      </w:tr>
      <w:tr w:rsidR="00D3131B" w:rsidRPr="00527F4B" w14:paraId="1C5CE205" w14:textId="77777777" w:rsidTr="00726F85">
        <w:trPr>
          <w:trHeight w:val="170"/>
        </w:trPr>
        <w:tc>
          <w:tcPr>
            <w:tcW w:w="1560" w:type="dxa"/>
            <w:vMerge w:val="restart"/>
            <w:tcBorders>
              <w:top w:val="nil"/>
              <w:bottom w:val="single" w:sz="4" w:space="0" w:color="000000"/>
              <w:right w:val="single" w:sz="4" w:space="0" w:color="auto"/>
            </w:tcBorders>
            <w:shd w:val="clear" w:color="000000" w:fill="FFFFFF"/>
            <w:vAlign w:val="center"/>
            <w:hideMark/>
          </w:tcPr>
          <w:p w14:paraId="0A0281BF" w14:textId="77777777" w:rsidR="00CD481C" w:rsidRPr="002F2D01" w:rsidRDefault="00CD481C" w:rsidP="00CD481C">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 Victorian RFA regions</w:t>
            </w:r>
            <w:r>
              <w:rPr>
                <w:rFonts w:asciiTheme="majorHAnsi" w:hAnsiTheme="majorHAnsi" w:cs="Arial"/>
                <w:b/>
                <w:bCs/>
                <w:sz w:val="16"/>
                <w:szCs w:val="16"/>
              </w:rPr>
              <w:t xml:space="preserve"> </w:t>
            </w:r>
            <w:r w:rsidRPr="00D5055F">
              <w:rPr>
                <w:rFonts w:asciiTheme="majorHAnsi" w:hAnsiTheme="majorHAnsi" w:cs="Arial"/>
                <w:b/>
                <w:bCs/>
                <w:position w:val="4"/>
                <w:sz w:val="16"/>
                <w:szCs w:val="16"/>
              </w:rPr>
              <w:t>d</w:t>
            </w:r>
          </w:p>
        </w:tc>
        <w:tc>
          <w:tcPr>
            <w:tcW w:w="969" w:type="dxa"/>
            <w:tcBorders>
              <w:top w:val="nil"/>
              <w:left w:val="nil"/>
              <w:bottom w:val="nil"/>
              <w:right w:val="single" w:sz="4" w:space="0" w:color="auto"/>
            </w:tcBorders>
            <w:shd w:val="clear" w:color="000000" w:fill="FFFFFF"/>
            <w:vAlign w:val="center"/>
            <w:hideMark/>
          </w:tcPr>
          <w:p w14:paraId="1D382A9F"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nil"/>
              <w:left w:val="nil"/>
              <w:bottom w:val="nil"/>
              <w:right w:val="single" w:sz="4" w:space="0" w:color="auto"/>
            </w:tcBorders>
            <w:shd w:val="clear" w:color="auto" w:fill="FFFFFF" w:themeFill="background1"/>
            <w:noWrap/>
            <w:vAlign w:val="center"/>
            <w:hideMark/>
          </w:tcPr>
          <w:p w14:paraId="0EC7CC0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5,414,951</w:t>
            </w:r>
          </w:p>
        </w:tc>
        <w:tc>
          <w:tcPr>
            <w:tcW w:w="993" w:type="dxa"/>
            <w:tcBorders>
              <w:top w:val="nil"/>
              <w:left w:val="nil"/>
              <w:bottom w:val="nil"/>
              <w:right w:val="nil"/>
            </w:tcBorders>
            <w:shd w:val="clear" w:color="auto" w:fill="FFFFFF" w:themeFill="background1"/>
            <w:noWrap/>
            <w:vAlign w:val="center"/>
            <w:hideMark/>
          </w:tcPr>
          <w:p w14:paraId="21EA560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4,644,169</w:t>
            </w:r>
          </w:p>
        </w:tc>
        <w:tc>
          <w:tcPr>
            <w:tcW w:w="1089" w:type="dxa"/>
            <w:tcBorders>
              <w:top w:val="nil"/>
              <w:left w:val="nil"/>
              <w:bottom w:val="nil"/>
              <w:right w:val="nil"/>
            </w:tcBorders>
            <w:shd w:val="clear" w:color="auto" w:fill="FFFFFF" w:themeFill="background1"/>
            <w:noWrap/>
            <w:vAlign w:val="center"/>
            <w:hideMark/>
          </w:tcPr>
          <w:p w14:paraId="35F3E4B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2,481,107</w:t>
            </w:r>
          </w:p>
        </w:tc>
        <w:tc>
          <w:tcPr>
            <w:tcW w:w="1037" w:type="dxa"/>
            <w:tcBorders>
              <w:top w:val="nil"/>
              <w:left w:val="nil"/>
              <w:bottom w:val="nil"/>
              <w:right w:val="nil"/>
            </w:tcBorders>
            <w:shd w:val="clear" w:color="auto" w:fill="FFFFFF" w:themeFill="background1"/>
            <w:noWrap/>
            <w:vAlign w:val="center"/>
            <w:hideMark/>
          </w:tcPr>
          <w:p w14:paraId="689A694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288,189</w:t>
            </w:r>
          </w:p>
        </w:tc>
        <w:tc>
          <w:tcPr>
            <w:tcW w:w="1134" w:type="dxa"/>
            <w:tcBorders>
              <w:top w:val="nil"/>
              <w:left w:val="nil"/>
              <w:bottom w:val="nil"/>
              <w:right w:val="single" w:sz="4" w:space="0" w:color="auto"/>
            </w:tcBorders>
            <w:shd w:val="clear" w:color="auto" w:fill="FFFFFF" w:themeFill="background1"/>
            <w:noWrap/>
            <w:vAlign w:val="center"/>
            <w:hideMark/>
          </w:tcPr>
          <w:p w14:paraId="06C64528"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2,769,296</w:t>
            </w:r>
          </w:p>
        </w:tc>
        <w:tc>
          <w:tcPr>
            <w:tcW w:w="992" w:type="dxa"/>
            <w:tcBorders>
              <w:top w:val="nil"/>
              <w:left w:val="nil"/>
              <w:bottom w:val="nil"/>
              <w:right w:val="single" w:sz="4" w:space="0" w:color="auto"/>
            </w:tcBorders>
            <w:shd w:val="clear" w:color="auto" w:fill="FFFFFF" w:themeFill="background1"/>
            <w:noWrap/>
            <w:vAlign w:val="center"/>
            <w:hideMark/>
          </w:tcPr>
          <w:p w14:paraId="7F57BA0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6,817,200</w:t>
            </w:r>
          </w:p>
        </w:tc>
        <w:tc>
          <w:tcPr>
            <w:tcW w:w="993" w:type="dxa"/>
            <w:tcBorders>
              <w:top w:val="nil"/>
              <w:left w:val="nil"/>
              <w:bottom w:val="nil"/>
              <w:right w:val="nil"/>
            </w:tcBorders>
            <w:shd w:val="clear" w:color="auto" w:fill="FFFFFF" w:themeFill="background1"/>
            <w:noWrap/>
            <w:vAlign w:val="center"/>
            <w:hideMark/>
          </w:tcPr>
          <w:p w14:paraId="638804EA"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4,860,800</w:t>
            </w:r>
          </w:p>
        </w:tc>
        <w:tc>
          <w:tcPr>
            <w:tcW w:w="1095" w:type="dxa"/>
            <w:tcBorders>
              <w:top w:val="nil"/>
              <w:left w:val="nil"/>
              <w:bottom w:val="nil"/>
              <w:right w:val="nil"/>
            </w:tcBorders>
            <w:shd w:val="clear" w:color="auto" w:fill="FFFFFF" w:themeFill="background1"/>
            <w:noWrap/>
            <w:vAlign w:val="center"/>
            <w:hideMark/>
          </w:tcPr>
          <w:p w14:paraId="743180B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2,650,500</w:t>
            </w:r>
          </w:p>
        </w:tc>
        <w:tc>
          <w:tcPr>
            <w:tcW w:w="1102" w:type="dxa"/>
            <w:tcBorders>
              <w:top w:val="nil"/>
              <w:left w:val="nil"/>
              <w:bottom w:val="nil"/>
              <w:right w:val="nil"/>
            </w:tcBorders>
            <w:shd w:val="clear" w:color="auto" w:fill="FFFFFF" w:themeFill="background1"/>
            <w:noWrap/>
            <w:vAlign w:val="center"/>
            <w:hideMark/>
          </w:tcPr>
          <w:p w14:paraId="2A23C20D"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623,000</w:t>
            </w:r>
          </w:p>
        </w:tc>
        <w:tc>
          <w:tcPr>
            <w:tcW w:w="1063" w:type="dxa"/>
            <w:tcBorders>
              <w:top w:val="nil"/>
              <w:left w:val="nil"/>
              <w:bottom w:val="nil"/>
              <w:right w:val="single" w:sz="4" w:space="0" w:color="auto"/>
            </w:tcBorders>
            <w:shd w:val="clear" w:color="auto" w:fill="FFFFFF" w:themeFill="background1"/>
            <w:noWrap/>
            <w:vAlign w:val="center"/>
            <w:hideMark/>
          </w:tcPr>
          <w:p w14:paraId="38D830F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 xml:space="preserve">3,298,400 </w:t>
            </w:r>
            <w:r w:rsidRPr="00527F4B">
              <w:rPr>
                <w:rFonts w:asciiTheme="majorHAnsi" w:hAnsiTheme="majorHAnsi" w:cs="Arial"/>
                <w:b/>
                <w:bCs/>
                <w:spacing w:val="-4"/>
                <w:position w:val="4"/>
                <w:sz w:val="16"/>
                <w:szCs w:val="16"/>
              </w:rPr>
              <w:t>e</w:t>
            </w:r>
          </w:p>
        </w:tc>
        <w:tc>
          <w:tcPr>
            <w:tcW w:w="1393" w:type="dxa"/>
            <w:tcBorders>
              <w:top w:val="nil"/>
              <w:left w:val="nil"/>
              <w:bottom w:val="nil"/>
              <w:right w:val="single" w:sz="4" w:space="0" w:color="auto"/>
            </w:tcBorders>
            <w:shd w:val="clear" w:color="auto" w:fill="FFFFFF" w:themeFill="background1"/>
            <w:vAlign w:val="center"/>
          </w:tcPr>
          <w:p w14:paraId="58DBF93B"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48</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09F5236E"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261</w:t>
            </w:r>
          </w:p>
        </w:tc>
      </w:tr>
      <w:tr w:rsidR="00D3131B" w:rsidRPr="00527F4B" w14:paraId="19A4175E" w14:textId="77777777" w:rsidTr="00726F85">
        <w:trPr>
          <w:trHeight w:val="170"/>
        </w:trPr>
        <w:tc>
          <w:tcPr>
            <w:tcW w:w="1560" w:type="dxa"/>
            <w:vMerge/>
            <w:tcBorders>
              <w:top w:val="nil"/>
              <w:bottom w:val="single" w:sz="4" w:space="0" w:color="000000"/>
              <w:right w:val="single" w:sz="4" w:space="0" w:color="auto"/>
            </w:tcBorders>
            <w:vAlign w:val="center"/>
            <w:hideMark/>
          </w:tcPr>
          <w:p w14:paraId="32578FFE"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nil"/>
              <w:right w:val="single" w:sz="4" w:space="0" w:color="auto"/>
            </w:tcBorders>
            <w:shd w:val="clear" w:color="000000" w:fill="FFFFFF"/>
            <w:vAlign w:val="center"/>
            <w:hideMark/>
          </w:tcPr>
          <w:p w14:paraId="643BC343"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63BEBFD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310,801</w:t>
            </w:r>
          </w:p>
        </w:tc>
        <w:tc>
          <w:tcPr>
            <w:tcW w:w="993" w:type="dxa"/>
            <w:tcBorders>
              <w:top w:val="nil"/>
              <w:left w:val="nil"/>
              <w:bottom w:val="nil"/>
              <w:right w:val="nil"/>
            </w:tcBorders>
            <w:shd w:val="clear" w:color="auto" w:fill="FFFFFF" w:themeFill="background1"/>
            <w:noWrap/>
            <w:vAlign w:val="center"/>
            <w:hideMark/>
          </w:tcPr>
          <w:p w14:paraId="27D1DD5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272,671</w:t>
            </w:r>
          </w:p>
        </w:tc>
        <w:tc>
          <w:tcPr>
            <w:tcW w:w="1089" w:type="dxa"/>
            <w:tcBorders>
              <w:top w:val="nil"/>
              <w:left w:val="nil"/>
              <w:bottom w:val="nil"/>
              <w:right w:val="nil"/>
            </w:tcBorders>
            <w:shd w:val="clear" w:color="auto" w:fill="FFFFFF" w:themeFill="background1"/>
            <w:noWrap/>
            <w:vAlign w:val="center"/>
            <w:hideMark/>
          </w:tcPr>
          <w:p w14:paraId="39261F3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237,562</w:t>
            </w:r>
          </w:p>
        </w:tc>
        <w:tc>
          <w:tcPr>
            <w:tcW w:w="1037" w:type="dxa"/>
            <w:tcBorders>
              <w:top w:val="nil"/>
              <w:left w:val="nil"/>
              <w:bottom w:val="nil"/>
              <w:right w:val="nil"/>
            </w:tcBorders>
            <w:shd w:val="clear" w:color="auto" w:fill="FFFFFF" w:themeFill="background1"/>
            <w:noWrap/>
            <w:vAlign w:val="center"/>
            <w:hideMark/>
          </w:tcPr>
          <w:p w14:paraId="0688401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12,450</w:t>
            </w:r>
          </w:p>
        </w:tc>
        <w:tc>
          <w:tcPr>
            <w:tcW w:w="1134" w:type="dxa"/>
            <w:tcBorders>
              <w:top w:val="nil"/>
              <w:left w:val="nil"/>
              <w:bottom w:val="nil"/>
              <w:right w:val="single" w:sz="4" w:space="0" w:color="auto"/>
            </w:tcBorders>
            <w:shd w:val="clear" w:color="auto" w:fill="FFFFFF" w:themeFill="background1"/>
            <w:noWrap/>
            <w:vAlign w:val="center"/>
            <w:hideMark/>
          </w:tcPr>
          <w:p w14:paraId="340ECA2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250,012</w:t>
            </w:r>
          </w:p>
        </w:tc>
        <w:tc>
          <w:tcPr>
            <w:tcW w:w="992" w:type="dxa"/>
            <w:tcBorders>
              <w:top w:val="nil"/>
              <w:left w:val="nil"/>
              <w:bottom w:val="nil"/>
              <w:right w:val="single" w:sz="4" w:space="0" w:color="auto"/>
            </w:tcBorders>
            <w:shd w:val="clear" w:color="auto" w:fill="FFFFFF" w:themeFill="background1"/>
            <w:noWrap/>
            <w:vAlign w:val="center"/>
            <w:hideMark/>
          </w:tcPr>
          <w:p w14:paraId="366D3AC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704,400</w:t>
            </w:r>
          </w:p>
        </w:tc>
        <w:tc>
          <w:tcPr>
            <w:tcW w:w="993" w:type="dxa"/>
            <w:tcBorders>
              <w:top w:val="nil"/>
              <w:left w:val="nil"/>
              <w:bottom w:val="nil"/>
              <w:right w:val="nil"/>
            </w:tcBorders>
            <w:shd w:val="clear" w:color="auto" w:fill="FFFFFF" w:themeFill="background1"/>
            <w:noWrap/>
            <w:vAlign w:val="center"/>
            <w:hideMark/>
          </w:tcPr>
          <w:p w14:paraId="17753951"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410,100</w:t>
            </w:r>
          </w:p>
        </w:tc>
        <w:tc>
          <w:tcPr>
            <w:tcW w:w="1095" w:type="dxa"/>
            <w:tcBorders>
              <w:top w:val="nil"/>
              <w:left w:val="nil"/>
              <w:bottom w:val="nil"/>
              <w:right w:val="nil"/>
            </w:tcBorders>
            <w:shd w:val="clear" w:color="auto" w:fill="FFFFFF" w:themeFill="background1"/>
            <w:noWrap/>
            <w:vAlign w:val="center"/>
            <w:hideMark/>
          </w:tcPr>
          <w:p w14:paraId="07249B6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278,400</w:t>
            </w:r>
          </w:p>
        </w:tc>
        <w:tc>
          <w:tcPr>
            <w:tcW w:w="1102" w:type="dxa"/>
            <w:tcBorders>
              <w:top w:val="nil"/>
              <w:left w:val="nil"/>
              <w:bottom w:val="nil"/>
              <w:right w:val="nil"/>
            </w:tcBorders>
            <w:shd w:val="clear" w:color="auto" w:fill="FFFFFF" w:themeFill="background1"/>
            <w:noWrap/>
            <w:vAlign w:val="center"/>
            <w:hideMark/>
          </w:tcPr>
          <w:p w14:paraId="226AF3D2"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5,800</w:t>
            </w:r>
          </w:p>
        </w:tc>
        <w:tc>
          <w:tcPr>
            <w:tcW w:w="1063" w:type="dxa"/>
            <w:tcBorders>
              <w:top w:val="nil"/>
              <w:left w:val="nil"/>
              <w:bottom w:val="nil"/>
              <w:right w:val="single" w:sz="4" w:space="0" w:color="auto"/>
            </w:tcBorders>
            <w:shd w:val="clear" w:color="auto" w:fill="FFFFFF" w:themeFill="background1"/>
            <w:noWrap/>
            <w:vAlign w:val="center"/>
            <w:hideMark/>
          </w:tcPr>
          <w:p w14:paraId="7C188F9C" w14:textId="66A02F6B" w:rsidR="00CD481C" w:rsidRPr="00527F4B" w:rsidRDefault="00CD481C" w:rsidP="000B7359">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287,900</w:t>
            </w:r>
          </w:p>
        </w:tc>
        <w:tc>
          <w:tcPr>
            <w:tcW w:w="1393" w:type="dxa"/>
            <w:tcBorders>
              <w:top w:val="nil"/>
              <w:left w:val="nil"/>
              <w:bottom w:val="nil"/>
              <w:right w:val="single" w:sz="4" w:space="0" w:color="auto"/>
            </w:tcBorders>
            <w:shd w:val="clear" w:color="auto" w:fill="FFFFFF" w:themeFill="background1"/>
            <w:vAlign w:val="center"/>
          </w:tcPr>
          <w:p w14:paraId="554A4915"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41</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1DE29CBF"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143</w:t>
            </w:r>
          </w:p>
        </w:tc>
      </w:tr>
      <w:tr w:rsidR="00D3131B" w:rsidRPr="00527F4B" w14:paraId="01CB2475" w14:textId="77777777" w:rsidTr="00726F85">
        <w:trPr>
          <w:trHeight w:val="170"/>
        </w:trPr>
        <w:tc>
          <w:tcPr>
            <w:tcW w:w="1560" w:type="dxa"/>
            <w:vMerge/>
            <w:tcBorders>
              <w:top w:val="nil"/>
              <w:bottom w:val="single" w:sz="4" w:space="0" w:color="000000"/>
              <w:right w:val="single" w:sz="4" w:space="0" w:color="auto"/>
            </w:tcBorders>
            <w:vAlign w:val="center"/>
            <w:hideMark/>
          </w:tcPr>
          <w:p w14:paraId="47212BAB"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5E9513A3"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181F503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5,725,752</w:t>
            </w:r>
          </w:p>
        </w:tc>
        <w:tc>
          <w:tcPr>
            <w:tcW w:w="993" w:type="dxa"/>
            <w:tcBorders>
              <w:top w:val="nil"/>
              <w:left w:val="nil"/>
              <w:bottom w:val="single" w:sz="4" w:space="0" w:color="auto"/>
              <w:right w:val="nil"/>
            </w:tcBorders>
            <w:shd w:val="clear" w:color="auto" w:fill="FFFFFF" w:themeFill="background1"/>
            <w:noWrap/>
            <w:vAlign w:val="center"/>
            <w:hideMark/>
          </w:tcPr>
          <w:p w14:paraId="045565C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4,916,840</w:t>
            </w:r>
          </w:p>
        </w:tc>
        <w:tc>
          <w:tcPr>
            <w:tcW w:w="1089" w:type="dxa"/>
            <w:tcBorders>
              <w:top w:val="nil"/>
              <w:left w:val="nil"/>
              <w:bottom w:val="single" w:sz="4" w:space="0" w:color="auto"/>
              <w:right w:val="nil"/>
            </w:tcBorders>
            <w:shd w:val="clear" w:color="auto" w:fill="FFFFFF" w:themeFill="background1"/>
            <w:noWrap/>
            <w:vAlign w:val="center"/>
            <w:hideMark/>
          </w:tcPr>
          <w:p w14:paraId="5B2EAA0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2,718,669</w:t>
            </w:r>
          </w:p>
        </w:tc>
        <w:tc>
          <w:tcPr>
            <w:tcW w:w="1037" w:type="dxa"/>
            <w:tcBorders>
              <w:top w:val="nil"/>
              <w:left w:val="nil"/>
              <w:bottom w:val="single" w:sz="4" w:space="0" w:color="auto"/>
              <w:right w:val="nil"/>
            </w:tcBorders>
            <w:shd w:val="clear" w:color="auto" w:fill="FFFFFF" w:themeFill="background1"/>
            <w:noWrap/>
            <w:vAlign w:val="center"/>
            <w:hideMark/>
          </w:tcPr>
          <w:p w14:paraId="283CEE5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300,639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4902A6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3,019,308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B70D4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7,521,600</w:t>
            </w:r>
          </w:p>
        </w:tc>
        <w:tc>
          <w:tcPr>
            <w:tcW w:w="993" w:type="dxa"/>
            <w:tcBorders>
              <w:top w:val="nil"/>
              <w:left w:val="nil"/>
              <w:bottom w:val="single" w:sz="4" w:space="0" w:color="auto"/>
              <w:right w:val="nil"/>
            </w:tcBorders>
            <w:shd w:val="clear" w:color="auto" w:fill="FFFFFF" w:themeFill="background1"/>
            <w:noWrap/>
            <w:vAlign w:val="center"/>
            <w:hideMark/>
          </w:tcPr>
          <w:p w14:paraId="2E862E0C"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5,270,900</w:t>
            </w:r>
          </w:p>
        </w:tc>
        <w:tc>
          <w:tcPr>
            <w:tcW w:w="1095" w:type="dxa"/>
            <w:tcBorders>
              <w:top w:val="nil"/>
              <w:left w:val="nil"/>
              <w:bottom w:val="single" w:sz="4" w:space="0" w:color="auto"/>
              <w:right w:val="nil"/>
            </w:tcBorders>
            <w:shd w:val="clear" w:color="auto" w:fill="FFFFFF" w:themeFill="background1"/>
            <w:noWrap/>
            <w:vAlign w:val="center"/>
            <w:hideMark/>
          </w:tcPr>
          <w:p w14:paraId="6CA14B7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2,928,900</w:t>
            </w:r>
          </w:p>
        </w:tc>
        <w:tc>
          <w:tcPr>
            <w:tcW w:w="1102" w:type="dxa"/>
            <w:tcBorders>
              <w:top w:val="nil"/>
              <w:left w:val="nil"/>
              <w:bottom w:val="single" w:sz="4" w:space="0" w:color="auto"/>
              <w:right w:val="nil"/>
            </w:tcBorders>
            <w:shd w:val="clear" w:color="auto" w:fill="FFFFFF" w:themeFill="background1"/>
            <w:noWrap/>
            <w:vAlign w:val="center"/>
            <w:hideMark/>
          </w:tcPr>
          <w:p w14:paraId="02D9DF0B"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628,800</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7B4E5A5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 xml:space="preserve">3,586,300 </w:t>
            </w:r>
            <w:r w:rsidRPr="00527F4B">
              <w:rPr>
                <w:rFonts w:asciiTheme="majorHAnsi" w:hAnsiTheme="majorHAnsi" w:cs="Arial"/>
                <w:b/>
                <w:bCs/>
                <w:spacing w:val="-4"/>
                <w:position w:val="4"/>
                <w:sz w:val="16"/>
                <w:szCs w:val="16"/>
              </w:rPr>
              <w:t>e</w:t>
            </w:r>
          </w:p>
        </w:tc>
        <w:tc>
          <w:tcPr>
            <w:tcW w:w="1393" w:type="dxa"/>
            <w:tcBorders>
              <w:top w:val="nil"/>
              <w:left w:val="nil"/>
              <w:bottom w:val="single" w:sz="4" w:space="0" w:color="auto"/>
              <w:right w:val="single" w:sz="4" w:space="0" w:color="auto"/>
            </w:tcBorders>
            <w:shd w:val="clear" w:color="auto" w:fill="FFFFFF" w:themeFill="background1"/>
            <w:vAlign w:val="center"/>
          </w:tcPr>
          <w:p w14:paraId="07EDE342"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48</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4C33FF04"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404</w:t>
            </w:r>
          </w:p>
        </w:tc>
      </w:tr>
      <w:tr w:rsidR="00CD481C" w:rsidRPr="00527F4B" w14:paraId="30AF9A19" w14:textId="77777777" w:rsidTr="00726F85">
        <w:trPr>
          <w:trHeight w:val="227"/>
        </w:trPr>
        <w:tc>
          <w:tcPr>
            <w:tcW w:w="15225" w:type="dxa"/>
            <w:gridSpan w:val="14"/>
            <w:tcBorders>
              <w:top w:val="nil"/>
              <w:bottom w:val="nil"/>
            </w:tcBorders>
            <w:shd w:val="clear" w:color="auto" w:fill="auto"/>
            <w:vAlign w:val="center"/>
          </w:tcPr>
          <w:p w14:paraId="69425479" w14:textId="77777777" w:rsidR="00CD481C" w:rsidRPr="00527F4B" w:rsidRDefault="00CD481C" w:rsidP="00CD481C">
            <w:pPr>
              <w:spacing w:before="0" w:after="0"/>
              <w:ind w:left="57" w:right="57"/>
              <w:rPr>
                <w:rFonts w:asciiTheme="majorHAnsi" w:hAnsiTheme="majorHAnsi" w:cs="Arial"/>
                <w:b/>
                <w:bCs/>
                <w:spacing w:val="-4"/>
                <w:sz w:val="16"/>
                <w:szCs w:val="16"/>
              </w:rPr>
            </w:pPr>
            <w:r w:rsidRPr="00527F4B">
              <w:rPr>
                <w:rFonts w:asciiTheme="majorHAnsi" w:hAnsiTheme="majorHAnsi" w:cs="Arial"/>
                <w:b/>
                <w:bCs/>
                <w:spacing w:val="-4"/>
                <w:sz w:val="16"/>
                <w:szCs w:val="16"/>
              </w:rPr>
              <w:t>Western Australia</w:t>
            </w:r>
          </w:p>
        </w:tc>
      </w:tr>
      <w:tr w:rsidR="00D3131B" w:rsidRPr="00527F4B" w14:paraId="441CC33E" w14:textId="77777777" w:rsidTr="00726F85">
        <w:trPr>
          <w:trHeight w:val="170"/>
        </w:trPr>
        <w:tc>
          <w:tcPr>
            <w:tcW w:w="1560" w:type="dxa"/>
            <w:vMerge w:val="restart"/>
            <w:tcBorders>
              <w:top w:val="single" w:sz="4" w:space="0" w:color="auto"/>
              <w:bottom w:val="single" w:sz="4" w:space="0" w:color="000000"/>
              <w:right w:val="single" w:sz="4" w:space="0" w:color="auto"/>
            </w:tcBorders>
            <w:shd w:val="clear" w:color="000000" w:fill="FFFFFF"/>
            <w:vAlign w:val="center"/>
            <w:hideMark/>
          </w:tcPr>
          <w:p w14:paraId="5BB79064" w14:textId="77777777" w:rsidR="00CD481C" w:rsidRPr="00F435C6" w:rsidRDefault="00CD481C" w:rsidP="00CD481C">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South-West Forest Region of WA</w:t>
            </w:r>
          </w:p>
        </w:tc>
        <w:tc>
          <w:tcPr>
            <w:tcW w:w="969" w:type="dxa"/>
            <w:tcBorders>
              <w:top w:val="single" w:sz="4" w:space="0" w:color="auto"/>
              <w:left w:val="nil"/>
              <w:bottom w:val="nil"/>
              <w:right w:val="single" w:sz="4" w:space="0" w:color="auto"/>
            </w:tcBorders>
            <w:shd w:val="clear" w:color="000000" w:fill="FFFFFF"/>
            <w:vAlign w:val="center"/>
            <w:hideMark/>
          </w:tcPr>
          <w:p w14:paraId="2C2B27F8"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single" w:sz="4" w:space="0" w:color="auto"/>
              <w:left w:val="nil"/>
              <w:bottom w:val="nil"/>
              <w:right w:val="single" w:sz="4" w:space="0" w:color="auto"/>
            </w:tcBorders>
            <w:shd w:val="clear" w:color="auto" w:fill="FFFFFF" w:themeFill="background1"/>
            <w:noWrap/>
            <w:vAlign w:val="center"/>
            <w:hideMark/>
          </w:tcPr>
          <w:p w14:paraId="0EA90E31"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2,234,875</w:t>
            </w:r>
          </w:p>
        </w:tc>
        <w:tc>
          <w:tcPr>
            <w:tcW w:w="993" w:type="dxa"/>
            <w:tcBorders>
              <w:top w:val="single" w:sz="4" w:space="0" w:color="auto"/>
              <w:left w:val="nil"/>
              <w:bottom w:val="nil"/>
              <w:right w:val="nil"/>
            </w:tcBorders>
            <w:shd w:val="clear" w:color="auto" w:fill="FFFFFF" w:themeFill="background1"/>
            <w:noWrap/>
            <w:vAlign w:val="center"/>
            <w:hideMark/>
          </w:tcPr>
          <w:p w14:paraId="0692310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1,932,279</w:t>
            </w:r>
          </w:p>
        </w:tc>
        <w:tc>
          <w:tcPr>
            <w:tcW w:w="1089" w:type="dxa"/>
            <w:tcBorders>
              <w:top w:val="single" w:sz="4" w:space="0" w:color="auto"/>
              <w:left w:val="nil"/>
              <w:bottom w:val="nil"/>
              <w:right w:val="nil"/>
            </w:tcBorders>
            <w:shd w:val="clear" w:color="auto" w:fill="FFFFFF" w:themeFill="background1"/>
            <w:noWrap/>
            <w:vAlign w:val="center"/>
            <w:hideMark/>
          </w:tcPr>
          <w:p w14:paraId="316F174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701,759</w:t>
            </w:r>
          </w:p>
        </w:tc>
        <w:tc>
          <w:tcPr>
            <w:tcW w:w="1037" w:type="dxa"/>
            <w:tcBorders>
              <w:top w:val="single" w:sz="4" w:space="0" w:color="auto"/>
              <w:left w:val="nil"/>
              <w:bottom w:val="nil"/>
              <w:right w:val="nil"/>
            </w:tcBorders>
            <w:shd w:val="clear" w:color="auto" w:fill="FFFFFF" w:themeFill="background1"/>
            <w:noWrap/>
            <w:vAlign w:val="center"/>
            <w:hideMark/>
          </w:tcPr>
          <w:p w14:paraId="0DDDF5A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100,982</w:t>
            </w:r>
          </w:p>
        </w:tc>
        <w:tc>
          <w:tcPr>
            <w:tcW w:w="1134" w:type="dxa"/>
            <w:tcBorders>
              <w:top w:val="single" w:sz="4" w:space="0" w:color="auto"/>
              <w:left w:val="nil"/>
              <w:bottom w:val="nil"/>
              <w:right w:val="single" w:sz="4" w:space="0" w:color="auto"/>
            </w:tcBorders>
            <w:shd w:val="clear" w:color="auto" w:fill="FFFFFF" w:themeFill="background1"/>
            <w:noWrap/>
            <w:vAlign w:val="center"/>
            <w:hideMark/>
          </w:tcPr>
          <w:p w14:paraId="1726249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802,741</w:t>
            </w:r>
          </w:p>
        </w:tc>
        <w:tc>
          <w:tcPr>
            <w:tcW w:w="992" w:type="dxa"/>
            <w:tcBorders>
              <w:top w:val="single" w:sz="4" w:space="0" w:color="auto"/>
              <w:left w:val="nil"/>
              <w:bottom w:val="nil"/>
              <w:right w:val="single" w:sz="4" w:space="0" w:color="auto"/>
            </w:tcBorders>
            <w:shd w:val="clear" w:color="auto" w:fill="FFFFFF" w:themeFill="background1"/>
            <w:noWrap/>
            <w:vAlign w:val="center"/>
            <w:hideMark/>
          </w:tcPr>
          <w:p w14:paraId="2D55B62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2,109,880</w:t>
            </w:r>
          </w:p>
        </w:tc>
        <w:tc>
          <w:tcPr>
            <w:tcW w:w="993" w:type="dxa"/>
            <w:tcBorders>
              <w:top w:val="single" w:sz="4" w:space="0" w:color="auto"/>
              <w:left w:val="nil"/>
              <w:bottom w:val="nil"/>
              <w:right w:val="nil"/>
            </w:tcBorders>
            <w:shd w:val="clear" w:color="auto" w:fill="FFFFFF" w:themeFill="background1"/>
            <w:noWrap/>
            <w:vAlign w:val="center"/>
            <w:hideMark/>
          </w:tcPr>
          <w:p w14:paraId="4C39CA16" w14:textId="2A4803CC"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 xml:space="preserve">1,978,650 </w:t>
            </w:r>
            <w:r w:rsidRPr="00527F4B">
              <w:rPr>
                <w:rFonts w:asciiTheme="majorHAnsi" w:hAnsiTheme="majorHAnsi" w:cs="Arial"/>
                <w:b/>
                <w:spacing w:val="-4"/>
                <w:sz w:val="16"/>
                <w:szCs w:val="16"/>
              </w:rPr>
              <w:t>f</w:t>
            </w:r>
          </w:p>
        </w:tc>
        <w:tc>
          <w:tcPr>
            <w:tcW w:w="1095" w:type="dxa"/>
            <w:tcBorders>
              <w:top w:val="single" w:sz="4" w:space="0" w:color="auto"/>
              <w:left w:val="nil"/>
              <w:bottom w:val="nil"/>
              <w:right w:val="nil"/>
            </w:tcBorders>
            <w:shd w:val="clear" w:color="auto" w:fill="FFFFFF" w:themeFill="background1"/>
            <w:noWrap/>
            <w:vAlign w:val="center"/>
            <w:hideMark/>
          </w:tcPr>
          <w:p w14:paraId="600A989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924,559</w:t>
            </w:r>
          </w:p>
        </w:tc>
        <w:tc>
          <w:tcPr>
            <w:tcW w:w="1102" w:type="dxa"/>
            <w:tcBorders>
              <w:top w:val="single" w:sz="4" w:space="0" w:color="auto"/>
              <w:left w:val="nil"/>
              <w:bottom w:val="nil"/>
              <w:right w:val="nil"/>
            </w:tcBorders>
            <w:shd w:val="clear" w:color="auto" w:fill="FFFFFF" w:themeFill="background1"/>
            <w:noWrap/>
            <w:vAlign w:val="center"/>
            <w:hideMark/>
          </w:tcPr>
          <w:p w14:paraId="118DAB16" w14:textId="74423B2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 xml:space="preserve">95,875 </w:t>
            </w:r>
            <w:r w:rsidRPr="00527F4B">
              <w:rPr>
                <w:rFonts w:asciiTheme="majorHAnsi" w:hAnsiTheme="majorHAnsi" w:cs="Arial"/>
                <w:b/>
                <w:bCs/>
                <w:spacing w:val="-4"/>
                <w:position w:val="4"/>
                <w:sz w:val="16"/>
                <w:szCs w:val="16"/>
              </w:rPr>
              <w:t>g</w:t>
            </w:r>
          </w:p>
        </w:tc>
        <w:tc>
          <w:tcPr>
            <w:tcW w:w="1063" w:type="dxa"/>
            <w:tcBorders>
              <w:top w:val="single" w:sz="4" w:space="0" w:color="auto"/>
              <w:left w:val="nil"/>
              <w:bottom w:val="nil"/>
              <w:right w:val="single" w:sz="4" w:space="0" w:color="auto"/>
            </w:tcBorders>
            <w:shd w:val="clear" w:color="auto" w:fill="FFFFFF" w:themeFill="background1"/>
            <w:noWrap/>
            <w:vAlign w:val="center"/>
            <w:hideMark/>
          </w:tcPr>
          <w:p w14:paraId="02E91BA0"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1,020,434</w:t>
            </w:r>
          </w:p>
        </w:tc>
        <w:tc>
          <w:tcPr>
            <w:tcW w:w="1393" w:type="dxa"/>
            <w:tcBorders>
              <w:top w:val="single" w:sz="4" w:space="0" w:color="auto"/>
              <w:left w:val="nil"/>
              <w:bottom w:val="nil"/>
              <w:right w:val="single" w:sz="4" w:space="0" w:color="auto"/>
            </w:tcBorders>
            <w:shd w:val="clear" w:color="auto" w:fill="FFFFFF" w:themeFill="background1"/>
            <w:vAlign w:val="center"/>
          </w:tcPr>
          <w:p w14:paraId="43D5782E"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48</w:t>
            </w:r>
          </w:p>
        </w:tc>
        <w:tc>
          <w:tcPr>
            <w:tcW w:w="932" w:type="dxa"/>
            <w:tcBorders>
              <w:top w:val="single" w:sz="4" w:space="0" w:color="auto"/>
              <w:left w:val="single" w:sz="4" w:space="0" w:color="auto"/>
              <w:bottom w:val="nil"/>
            </w:tcBorders>
            <w:shd w:val="clear" w:color="auto" w:fill="FFFFFF" w:themeFill="background1"/>
            <w:noWrap/>
            <w:tcMar>
              <w:top w:w="0" w:type="dxa"/>
              <w:left w:w="0" w:type="dxa"/>
              <w:bottom w:w="0" w:type="dxa"/>
              <w:right w:w="180" w:type="dxa"/>
            </w:tcMar>
            <w:vAlign w:val="center"/>
            <w:hideMark/>
          </w:tcPr>
          <w:p w14:paraId="6F70593F"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21</w:t>
            </w:r>
          </w:p>
        </w:tc>
      </w:tr>
      <w:tr w:rsidR="00D3131B" w:rsidRPr="00527F4B" w14:paraId="1C7D2D7E" w14:textId="77777777" w:rsidTr="00726F85">
        <w:trPr>
          <w:trHeight w:val="170"/>
        </w:trPr>
        <w:tc>
          <w:tcPr>
            <w:tcW w:w="1560" w:type="dxa"/>
            <w:vMerge/>
            <w:tcBorders>
              <w:top w:val="single" w:sz="4" w:space="0" w:color="auto"/>
              <w:bottom w:val="single" w:sz="4" w:space="0" w:color="000000"/>
              <w:right w:val="single" w:sz="4" w:space="0" w:color="auto"/>
            </w:tcBorders>
            <w:vAlign w:val="center"/>
            <w:hideMark/>
          </w:tcPr>
          <w:p w14:paraId="1E7AF705"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nil"/>
              <w:right w:val="single" w:sz="4" w:space="0" w:color="auto"/>
            </w:tcBorders>
            <w:shd w:val="clear" w:color="000000" w:fill="FFFFFF"/>
            <w:vAlign w:val="center"/>
            <w:hideMark/>
          </w:tcPr>
          <w:p w14:paraId="6E6337F5"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6F66943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398,631</w:t>
            </w:r>
          </w:p>
        </w:tc>
        <w:tc>
          <w:tcPr>
            <w:tcW w:w="993" w:type="dxa"/>
            <w:tcBorders>
              <w:top w:val="nil"/>
              <w:left w:val="nil"/>
              <w:bottom w:val="nil"/>
              <w:right w:val="nil"/>
            </w:tcBorders>
            <w:shd w:val="clear" w:color="auto" w:fill="FFFFFF" w:themeFill="background1"/>
            <w:noWrap/>
            <w:vAlign w:val="center"/>
            <w:hideMark/>
          </w:tcPr>
          <w:p w14:paraId="4D51A0B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350,578</w:t>
            </w:r>
          </w:p>
        </w:tc>
        <w:tc>
          <w:tcPr>
            <w:tcW w:w="1089" w:type="dxa"/>
            <w:tcBorders>
              <w:top w:val="nil"/>
              <w:left w:val="nil"/>
              <w:bottom w:val="nil"/>
              <w:right w:val="nil"/>
            </w:tcBorders>
            <w:shd w:val="clear" w:color="auto" w:fill="FFFFFF" w:themeFill="background1"/>
            <w:noWrap/>
            <w:vAlign w:val="center"/>
            <w:hideMark/>
          </w:tcPr>
          <w:p w14:paraId="4F90052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320,155</w:t>
            </w:r>
          </w:p>
        </w:tc>
        <w:tc>
          <w:tcPr>
            <w:tcW w:w="1037" w:type="dxa"/>
            <w:tcBorders>
              <w:top w:val="nil"/>
              <w:left w:val="nil"/>
              <w:bottom w:val="nil"/>
              <w:right w:val="nil"/>
            </w:tcBorders>
            <w:shd w:val="clear" w:color="auto" w:fill="FFFFFF" w:themeFill="background1"/>
            <w:noWrap/>
            <w:vAlign w:val="center"/>
            <w:hideMark/>
          </w:tcPr>
          <w:p w14:paraId="6323174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17,676</w:t>
            </w:r>
          </w:p>
        </w:tc>
        <w:tc>
          <w:tcPr>
            <w:tcW w:w="1134" w:type="dxa"/>
            <w:tcBorders>
              <w:top w:val="nil"/>
              <w:left w:val="nil"/>
              <w:bottom w:val="nil"/>
              <w:right w:val="single" w:sz="4" w:space="0" w:color="auto"/>
            </w:tcBorders>
            <w:shd w:val="clear" w:color="auto" w:fill="FFFFFF" w:themeFill="background1"/>
            <w:noWrap/>
            <w:vAlign w:val="center"/>
            <w:hideMark/>
          </w:tcPr>
          <w:p w14:paraId="5441557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337,831</w:t>
            </w:r>
          </w:p>
        </w:tc>
        <w:tc>
          <w:tcPr>
            <w:tcW w:w="992" w:type="dxa"/>
            <w:tcBorders>
              <w:top w:val="nil"/>
              <w:left w:val="nil"/>
              <w:bottom w:val="nil"/>
              <w:right w:val="single" w:sz="4" w:space="0" w:color="auto"/>
            </w:tcBorders>
            <w:shd w:val="clear" w:color="auto" w:fill="FFFFFF" w:themeFill="background1"/>
            <w:noWrap/>
            <w:vAlign w:val="center"/>
            <w:hideMark/>
          </w:tcPr>
          <w:p w14:paraId="6978791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400,170</w:t>
            </w:r>
          </w:p>
        </w:tc>
        <w:tc>
          <w:tcPr>
            <w:tcW w:w="993" w:type="dxa"/>
            <w:tcBorders>
              <w:top w:val="nil"/>
              <w:left w:val="nil"/>
              <w:bottom w:val="nil"/>
              <w:right w:val="nil"/>
            </w:tcBorders>
            <w:shd w:val="clear" w:color="auto" w:fill="FFFFFF" w:themeFill="background1"/>
            <w:noWrap/>
            <w:vAlign w:val="center"/>
            <w:hideMark/>
          </w:tcPr>
          <w:p w14:paraId="4DC95BEA" w14:textId="6FD48541"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 xml:space="preserve">364,950 </w:t>
            </w:r>
            <w:r w:rsidRPr="00527F4B">
              <w:rPr>
                <w:rFonts w:asciiTheme="majorHAnsi" w:hAnsiTheme="majorHAnsi" w:cs="Arial"/>
                <w:b/>
                <w:bCs/>
                <w:spacing w:val="-4"/>
                <w:position w:val="4"/>
                <w:sz w:val="16"/>
                <w:szCs w:val="16"/>
              </w:rPr>
              <w:t>f</w:t>
            </w:r>
          </w:p>
        </w:tc>
        <w:tc>
          <w:tcPr>
            <w:tcW w:w="1095" w:type="dxa"/>
            <w:tcBorders>
              <w:top w:val="nil"/>
              <w:left w:val="nil"/>
              <w:bottom w:val="nil"/>
              <w:right w:val="nil"/>
            </w:tcBorders>
            <w:shd w:val="clear" w:color="auto" w:fill="FFFFFF" w:themeFill="background1"/>
            <w:noWrap/>
            <w:vAlign w:val="center"/>
            <w:hideMark/>
          </w:tcPr>
          <w:p w14:paraId="40D7F89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363,981</w:t>
            </w:r>
          </w:p>
        </w:tc>
        <w:tc>
          <w:tcPr>
            <w:tcW w:w="1102" w:type="dxa"/>
            <w:tcBorders>
              <w:top w:val="nil"/>
              <w:left w:val="nil"/>
              <w:bottom w:val="nil"/>
              <w:right w:val="nil"/>
            </w:tcBorders>
            <w:shd w:val="clear" w:color="auto" w:fill="FFFFFF" w:themeFill="background1"/>
            <w:noWrap/>
            <w:vAlign w:val="center"/>
            <w:hideMark/>
          </w:tcPr>
          <w:p w14:paraId="3867EDB4" w14:textId="09E3B10E"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 xml:space="preserve">15,704 </w:t>
            </w:r>
            <w:r w:rsidRPr="00527F4B">
              <w:rPr>
                <w:rFonts w:asciiTheme="majorHAnsi" w:hAnsiTheme="majorHAnsi" w:cs="Arial"/>
                <w:b/>
                <w:bCs/>
                <w:spacing w:val="-4"/>
                <w:position w:val="4"/>
                <w:sz w:val="16"/>
                <w:szCs w:val="16"/>
              </w:rPr>
              <w:t>g</w:t>
            </w:r>
          </w:p>
        </w:tc>
        <w:tc>
          <w:tcPr>
            <w:tcW w:w="1063" w:type="dxa"/>
            <w:tcBorders>
              <w:top w:val="nil"/>
              <w:left w:val="nil"/>
              <w:bottom w:val="nil"/>
              <w:right w:val="single" w:sz="4" w:space="0" w:color="auto"/>
            </w:tcBorders>
            <w:shd w:val="clear" w:color="auto" w:fill="FFFFFF" w:themeFill="background1"/>
            <w:noWrap/>
            <w:vAlign w:val="center"/>
            <w:hideMark/>
          </w:tcPr>
          <w:p w14:paraId="0616E51E"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379,685</w:t>
            </w:r>
          </w:p>
        </w:tc>
        <w:tc>
          <w:tcPr>
            <w:tcW w:w="1393" w:type="dxa"/>
            <w:tcBorders>
              <w:top w:val="nil"/>
              <w:left w:val="nil"/>
              <w:bottom w:val="nil"/>
              <w:right w:val="single" w:sz="4" w:space="0" w:color="auto"/>
            </w:tcBorders>
            <w:shd w:val="clear" w:color="auto" w:fill="FFFFFF" w:themeFill="background1"/>
            <w:vAlign w:val="center"/>
          </w:tcPr>
          <w:p w14:paraId="37605164"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95</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051F4A97"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7</w:t>
            </w:r>
          </w:p>
        </w:tc>
      </w:tr>
      <w:tr w:rsidR="00D3131B" w:rsidRPr="00527F4B" w14:paraId="196DD244" w14:textId="77777777" w:rsidTr="00726F85">
        <w:trPr>
          <w:trHeight w:val="170"/>
        </w:trPr>
        <w:tc>
          <w:tcPr>
            <w:tcW w:w="1560" w:type="dxa"/>
            <w:vMerge/>
            <w:tcBorders>
              <w:top w:val="single" w:sz="4" w:space="0" w:color="auto"/>
              <w:bottom w:val="single" w:sz="4" w:space="0" w:color="000000"/>
              <w:right w:val="single" w:sz="4" w:space="0" w:color="auto"/>
            </w:tcBorders>
            <w:vAlign w:val="center"/>
            <w:hideMark/>
          </w:tcPr>
          <w:p w14:paraId="0946FBD1"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03372785"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75F3BB5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2,633,506</w:t>
            </w:r>
          </w:p>
        </w:tc>
        <w:tc>
          <w:tcPr>
            <w:tcW w:w="993" w:type="dxa"/>
            <w:tcBorders>
              <w:top w:val="nil"/>
              <w:left w:val="nil"/>
              <w:bottom w:val="single" w:sz="4" w:space="0" w:color="auto"/>
              <w:right w:val="nil"/>
            </w:tcBorders>
            <w:shd w:val="clear" w:color="auto" w:fill="FFFFFF" w:themeFill="background1"/>
            <w:noWrap/>
            <w:vAlign w:val="center"/>
            <w:hideMark/>
          </w:tcPr>
          <w:p w14:paraId="2266978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2,282,857</w:t>
            </w:r>
          </w:p>
        </w:tc>
        <w:tc>
          <w:tcPr>
            <w:tcW w:w="1089" w:type="dxa"/>
            <w:tcBorders>
              <w:top w:val="nil"/>
              <w:left w:val="nil"/>
              <w:bottom w:val="single" w:sz="4" w:space="0" w:color="auto"/>
              <w:right w:val="nil"/>
            </w:tcBorders>
            <w:shd w:val="clear" w:color="auto" w:fill="FFFFFF" w:themeFill="background1"/>
            <w:noWrap/>
            <w:vAlign w:val="center"/>
            <w:hideMark/>
          </w:tcPr>
          <w:p w14:paraId="54D0EDB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1,021,914</w:t>
            </w:r>
          </w:p>
        </w:tc>
        <w:tc>
          <w:tcPr>
            <w:tcW w:w="1037" w:type="dxa"/>
            <w:tcBorders>
              <w:top w:val="nil"/>
              <w:left w:val="nil"/>
              <w:bottom w:val="single" w:sz="4" w:space="0" w:color="auto"/>
              <w:right w:val="nil"/>
            </w:tcBorders>
            <w:shd w:val="clear" w:color="auto" w:fill="FFFFFF" w:themeFill="background1"/>
            <w:noWrap/>
            <w:vAlign w:val="center"/>
            <w:hideMark/>
          </w:tcPr>
          <w:p w14:paraId="6E3D4C9D"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118,658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B124E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1,140,572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6E0EA0F"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2,510,050</w:t>
            </w:r>
          </w:p>
        </w:tc>
        <w:tc>
          <w:tcPr>
            <w:tcW w:w="993" w:type="dxa"/>
            <w:tcBorders>
              <w:top w:val="nil"/>
              <w:left w:val="nil"/>
              <w:bottom w:val="single" w:sz="4" w:space="0" w:color="auto"/>
              <w:right w:val="nil"/>
            </w:tcBorders>
            <w:shd w:val="clear" w:color="auto" w:fill="FFFFFF" w:themeFill="background1"/>
            <w:noWrap/>
            <w:vAlign w:val="center"/>
            <w:hideMark/>
          </w:tcPr>
          <w:p w14:paraId="5D803A3B" w14:textId="26BB7BCD"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 xml:space="preserve">2,343,600 </w:t>
            </w:r>
            <w:r w:rsidRPr="00527F4B">
              <w:rPr>
                <w:rFonts w:asciiTheme="majorHAnsi" w:hAnsiTheme="majorHAnsi" w:cs="Arial"/>
                <w:b/>
                <w:bCs/>
                <w:spacing w:val="-4"/>
                <w:position w:val="4"/>
                <w:sz w:val="16"/>
                <w:szCs w:val="16"/>
              </w:rPr>
              <w:t>f</w:t>
            </w:r>
          </w:p>
        </w:tc>
        <w:tc>
          <w:tcPr>
            <w:tcW w:w="1095" w:type="dxa"/>
            <w:tcBorders>
              <w:top w:val="nil"/>
              <w:left w:val="nil"/>
              <w:bottom w:val="single" w:sz="4" w:space="0" w:color="auto"/>
              <w:right w:val="nil"/>
            </w:tcBorders>
            <w:shd w:val="clear" w:color="auto" w:fill="FFFFFF" w:themeFill="background1"/>
            <w:noWrap/>
            <w:vAlign w:val="center"/>
            <w:hideMark/>
          </w:tcPr>
          <w:p w14:paraId="1B46E22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1,288,540</w:t>
            </w:r>
          </w:p>
        </w:tc>
        <w:tc>
          <w:tcPr>
            <w:tcW w:w="1102" w:type="dxa"/>
            <w:tcBorders>
              <w:top w:val="nil"/>
              <w:left w:val="nil"/>
              <w:bottom w:val="single" w:sz="4" w:space="0" w:color="auto"/>
              <w:right w:val="nil"/>
            </w:tcBorders>
            <w:shd w:val="clear" w:color="auto" w:fill="FFFFFF" w:themeFill="background1"/>
            <w:noWrap/>
            <w:vAlign w:val="center"/>
            <w:hideMark/>
          </w:tcPr>
          <w:p w14:paraId="095E70D3" w14:textId="43B59A8A"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 xml:space="preserve">111,579 </w:t>
            </w:r>
            <w:r w:rsidRPr="00527F4B">
              <w:rPr>
                <w:rFonts w:asciiTheme="majorHAnsi" w:hAnsiTheme="majorHAnsi" w:cs="Arial"/>
                <w:b/>
                <w:bCs/>
                <w:spacing w:val="-4"/>
                <w:position w:val="4"/>
                <w:sz w:val="16"/>
                <w:szCs w:val="16"/>
              </w:rPr>
              <w:t>g</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071AF7CB"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1,400,119</w:t>
            </w:r>
          </w:p>
        </w:tc>
        <w:tc>
          <w:tcPr>
            <w:tcW w:w="1393" w:type="dxa"/>
            <w:tcBorders>
              <w:top w:val="nil"/>
              <w:left w:val="nil"/>
              <w:bottom w:val="single" w:sz="4" w:space="0" w:color="auto"/>
              <w:right w:val="single" w:sz="4" w:space="0" w:color="auto"/>
            </w:tcBorders>
            <w:shd w:val="clear" w:color="auto" w:fill="FFFFFF" w:themeFill="background1"/>
            <w:vAlign w:val="center"/>
          </w:tcPr>
          <w:p w14:paraId="30A0CF82"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56</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244580E0"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28</w:t>
            </w:r>
          </w:p>
        </w:tc>
      </w:tr>
      <w:tr w:rsidR="00CD481C" w:rsidRPr="00527F4B" w14:paraId="133B1878" w14:textId="77777777" w:rsidTr="00726F85">
        <w:trPr>
          <w:trHeight w:val="227"/>
        </w:trPr>
        <w:tc>
          <w:tcPr>
            <w:tcW w:w="15225" w:type="dxa"/>
            <w:gridSpan w:val="14"/>
            <w:tcBorders>
              <w:top w:val="nil"/>
              <w:bottom w:val="nil"/>
            </w:tcBorders>
            <w:shd w:val="clear" w:color="auto" w:fill="auto"/>
            <w:vAlign w:val="center"/>
          </w:tcPr>
          <w:p w14:paraId="252839B8" w14:textId="77777777" w:rsidR="00CD481C" w:rsidRPr="00527F4B" w:rsidRDefault="00CD481C" w:rsidP="00CD481C">
            <w:pPr>
              <w:spacing w:before="0" w:after="0"/>
              <w:ind w:left="57" w:right="57"/>
              <w:rPr>
                <w:rFonts w:asciiTheme="majorHAnsi" w:hAnsiTheme="majorHAnsi" w:cs="Arial"/>
                <w:b/>
                <w:bCs/>
                <w:spacing w:val="-4"/>
                <w:sz w:val="16"/>
                <w:szCs w:val="16"/>
              </w:rPr>
            </w:pPr>
            <w:r w:rsidRPr="00527F4B">
              <w:rPr>
                <w:rFonts w:asciiTheme="majorHAnsi" w:hAnsiTheme="majorHAnsi" w:cs="Arial"/>
                <w:b/>
                <w:bCs/>
                <w:spacing w:val="-4"/>
                <w:sz w:val="16"/>
                <w:szCs w:val="16"/>
              </w:rPr>
              <w:t>Total</w:t>
            </w:r>
          </w:p>
        </w:tc>
      </w:tr>
      <w:tr w:rsidR="00D3131B" w:rsidRPr="00527F4B" w14:paraId="6E1EA4D3" w14:textId="77777777" w:rsidTr="00726F85">
        <w:trPr>
          <w:trHeight w:val="170"/>
        </w:trPr>
        <w:tc>
          <w:tcPr>
            <w:tcW w:w="1560" w:type="dxa"/>
            <w:vMerge w:val="restart"/>
            <w:tcBorders>
              <w:top w:val="single" w:sz="4" w:space="0" w:color="auto"/>
              <w:bottom w:val="single" w:sz="4" w:space="0" w:color="000000"/>
              <w:right w:val="single" w:sz="4" w:space="0" w:color="auto"/>
            </w:tcBorders>
            <w:shd w:val="clear" w:color="000000" w:fill="FFFFFF"/>
            <w:vAlign w:val="center"/>
            <w:hideMark/>
          </w:tcPr>
          <w:p w14:paraId="5D267827" w14:textId="77777777" w:rsidR="00CD481C" w:rsidRPr="002F2D01" w:rsidRDefault="00CD481C" w:rsidP="00CD481C">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 all RFA regions</w:t>
            </w:r>
          </w:p>
        </w:tc>
        <w:tc>
          <w:tcPr>
            <w:tcW w:w="969" w:type="dxa"/>
            <w:tcBorders>
              <w:top w:val="single" w:sz="4" w:space="0" w:color="auto"/>
              <w:left w:val="nil"/>
              <w:bottom w:val="nil"/>
              <w:right w:val="single" w:sz="4" w:space="0" w:color="auto"/>
            </w:tcBorders>
            <w:shd w:val="clear" w:color="000000" w:fill="FFFFFF"/>
            <w:vAlign w:val="center"/>
            <w:hideMark/>
          </w:tcPr>
          <w:p w14:paraId="27DC51BA"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Forests</w:t>
            </w:r>
          </w:p>
        </w:tc>
        <w:tc>
          <w:tcPr>
            <w:tcW w:w="873" w:type="dxa"/>
            <w:tcBorders>
              <w:top w:val="single" w:sz="4" w:space="0" w:color="auto"/>
              <w:left w:val="nil"/>
              <w:bottom w:val="nil"/>
              <w:right w:val="single" w:sz="4" w:space="0" w:color="auto"/>
            </w:tcBorders>
            <w:shd w:val="clear" w:color="auto" w:fill="FFFFFF" w:themeFill="background1"/>
            <w:noWrap/>
            <w:vAlign w:val="center"/>
            <w:hideMark/>
          </w:tcPr>
          <w:p w14:paraId="4A38131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19,174,737</w:t>
            </w:r>
          </w:p>
        </w:tc>
        <w:tc>
          <w:tcPr>
            <w:tcW w:w="993" w:type="dxa"/>
            <w:tcBorders>
              <w:top w:val="single" w:sz="4" w:space="0" w:color="auto"/>
              <w:left w:val="nil"/>
              <w:bottom w:val="nil"/>
              <w:right w:val="nil"/>
            </w:tcBorders>
            <w:shd w:val="clear" w:color="auto" w:fill="FFFFFF" w:themeFill="background1"/>
            <w:noWrap/>
            <w:vAlign w:val="center"/>
            <w:hideMark/>
          </w:tcPr>
          <w:p w14:paraId="6440BD2E"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13,576,988</w:t>
            </w:r>
          </w:p>
        </w:tc>
        <w:tc>
          <w:tcPr>
            <w:tcW w:w="1089" w:type="dxa"/>
            <w:tcBorders>
              <w:top w:val="single" w:sz="4" w:space="0" w:color="auto"/>
              <w:left w:val="nil"/>
              <w:bottom w:val="nil"/>
              <w:right w:val="nil"/>
            </w:tcBorders>
            <w:shd w:val="clear" w:color="auto" w:fill="FFFFFF" w:themeFill="background1"/>
            <w:noWrap/>
            <w:vAlign w:val="center"/>
            <w:hideMark/>
          </w:tcPr>
          <w:p w14:paraId="22A6828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7,764,305</w:t>
            </w:r>
          </w:p>
        </w:tc>
        <w:tc>
          <w:tcPr>
            <w:tcW w:w="1037" w:type="dxa"/>
            <w:tcBorders>
              <w:top w:val="single" w:sz="4" w:space="0" w:color="auto"/>
              <w:left w:val="nil"/>
              <w:bottom w:val="nil"/>
              <w:right w:val="nil"/>
            </w:tcBorders>
            <w:shd w:val="clear" w:color="auto" w:fill="FFFFFF" w:themeFill="background1"/>
            <w:noWrap/>
            <w:vAlign w:val="center"/>
            <w:hideMark/>
          </w:tcPr>
          <w:p w14:paraId="68EA2F56"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633,172</w:t>
            </w:r>
          </w:p>
        </w:tc>
        <w:tc>
          <w:tcPr>
            <w:tcW w:w="1134" w:type="dxa"/>
            <w:tcBorders>
              <w:top w:val="single" w:sz="4" w:space="0" w:color="auto"/>
              <w:left w:val="nil"/>
              <w:bottom w:val="nil"/>
              <w:right w:val="single" w:sz="4" w:space="0" w:color="auto"/>
            </w:tcBorders>
            <w:shd w:val="clear" w:color="auto" w:fill="FFFFFF" w:themeFill="background1"/>
            <w:noWrap/>
            <w:vAlign w:val="center"/>
            <w:hideMark/>
          </w:tcPr>
          <w:p w14:paraId="7B26DC37"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8,397,478</w:t>
            </w:r>
          </w:p>
        </w:tc>
        <w:tc>
          <w:tcPr>
            <w:tcW w:w="992" w:type="dxa"/>
            <w:tcBorders>
              <w:top w:val="single" w:sz="4" w:space="0" w:color="auto"/>
              <w:left w:val="nil"/>
              <w:bottom w:val="nil"/>
              <w:right w:val="single" w:sz="4" w:space="0" w:color="auto"/>
            </w:tcBorders>
            <w:shd w:val="clear" w:color="auto" w:fill="FFFFFF" w:themeFill="background1"/>
            <w:noWrap/>
            <w:vAlign w:val="center"/>
            <w:hideMark/>
          </w:tcPr>
          <w:p w14:paraId="1CDB325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20,299,291</w:t>
            </w:r>
          </w:p>
        </w:tc>
        <w:tc>
          <w:tcPr>
            <w:tcW w:w="993" w:type="dxa"/>
            <w:tcBorders>
              <w:top w:val="single" w:sz="4" w:space="0" w:color="auto"/>
              <w:left w:val="nil"/>
              <w:bottom w:val="nil"/>
              <w:right w:val="nil"/>
            </w:tcBorders>
            <w:shd w:val="clear" w:color="auto" w:fill="FFFFFF" w:themeFill="background1"/>
            <w:noWrap/>
            <w:vAlign w:val="center"/>
            <w:hideMark/>
          </w:tcPr>
          <w:p w14:paraId="202770A7"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13,790,021</w:t>
            </w:r>
          </w:p>
        </w:tc>
        <w:tc>
          <w:tcPr>
            <w:tcW w:w="1095" w:type="dxa"/>
            <w:tcBorders>
              <w:top w:val="single" w:sz="4" w:space="0" w:color="auto"/>
              <w:left w:val="nil"/>
              <w:bottom w:val="nil"/>
              <w:right w:val="nil"/>
            </w:tcBorders>
            <w:shd w:val="clear" w:color="auto" w:fill="FFFFFF" w:themeFill="background1"/>
            <w:noWrap/>
            <w:vAlign w:val="center"/>
            <w:hideMark/>
          </w:tcPr>
          <w:p w14:paraId="241974D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9,094,241</w:t>
            </w:r>
          </w:p>
        </w:tc>
        <w:tc>
          <w:tcPr>
            <w:tcW w:w="1102" w:type="dxa"/>
            <w:tcBorders>
              <w:top w:val="single" w:sz="4" w:space="0" w:color="auto"/>
              <w:left w:val="nil"/>
              <w:bottom w:val="nil"/>
              <w:right w:val="nil"/>
            </w:tcBorders>
            <w:shd w:val="clear" w:color="auto" w:fill="FFFFFF" w:themeFill="background1"/>
            <w:noWrap/>
            <w:vAlign w:val="center"/>
            <w:hideMark/>
          </w:tcPr>
          <w:p w14:paraId="7FA4EC9E"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805,743</w:t>
            </w:r>
          </w:p>
        </w:tc>
        <w:tc>
          <w:tcPr>
            <w:tcW w:w="1063" w:type="dxa"/>
            <w:tcBorders>
              <w:top w:val="single" w:sz="4" w:space="0" w:color="auto"/>
              <w:left w:val="nil"/>
              <w:bottom w:val="nil"/>
              <w:right w:val="single" w:sz="4" w:space="0" w:color="auto"/>
            </w:tcBorders>
            <w:shd w:val="clear" w:color="auto" w:fill="FFFFFF" w:themeFill="background1"/>
            <w:noWrap/>
            <w:vAlign w:val="center"/>
            <w:hideMark/>
          </w:tcPr>
          <w:p w14:paraId="75165B49"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10,020,884</w:t>
            </w:r>
          </w:p>
        </w:tc>
        <w:tc>
          <w:tcPr>
            <w:tcW w:w="1393" w:type="dxa"/>
            <w:tcBorders>
              <w:top w:val="single" w:sz="4" w:space="0" w:color="auto"/>
              <w:left w:val="nil"/>
              <w:bottom w:val="nil"/>
              <w:right w:val="single" w:sz="4" w:space="0" w:color="auto"/>
            </w:tcBorders>
            <w:shd w:val="clear" w:color="auto" w:fill="FFFFFF" w:themeFill="background1"/>
            <w:vAlign w:val="center"/>
          </w:tcPr>
          <w:p w14:paraId="75B90351"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49</w:t>
            </w:r>
          </w:p>
        </w:tc>
        <w:tc>
          <w:tcPr>
            <w:tcW w:w="932" w:type="dxa"/>
            <w:tcBorders>
              <w:top w:val="single" w:sz="4" w:space="0" w:color="auto"/>
              <w:left w:val="single" w:sz="4" w:space="0" w:color="auto"/>
              <w:bottom w:val="nil"/>
            </w:tcBorders>
            <w:shd w:val="clear" w:color="auto" w:fill="FFFFFF" w:themeFill="background1"/>
            <w:noWrap/>
            <w:tcMar>
              <w:top w:w="0" w:type="dxa"/>
              <w:left w:w="0" w:type="dxa"/>
              <w:bottom w:w="0" w:type="dxa"/>
              <w:right w:w="180" w:type="dxa"/>
            </w:tcMar>
            <w:vAlign w:val="center"/>
            <w:hideMark/>
          </w:tcPr>
          <w:p w14:paraId="55C127BF"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738</w:t>
            </w:r>
          </w:p>
        </w:tc>
      </w:tr>
      <w:tr w:rsidR="00D3131B" w:rsidRPr="00527F4B" w14:paraId="1B0810EE" w14:textId="77777777" w:rsidTr="00726F85">
        <w:trPr>
          <w:trHeight w:val="170"/>
        </w:trPr>
        <w:tc>
          <w:tcPr>
            <w:tcW w:w="1560" w:type="dxa"/>
            <w:vMerge/>
            <w:tcBorders>
              <w:top w:val="single" w:sz="4" w:space="0" w:color="auto"/>
              <w:bottom w:val="single" w:sz="4" w:space="0" w:color="000000"/>
              <w:right w:val="single" w:sz="4" w:space="0" w:color="auto"/>
            </w:tcBorders>
            <w:vAlign w:val="center"/>
            <w:hideMark/>
          </w:tcPr>
          <w:p w14:paraId="28A615B6"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nil"/>
              <w:right w:val="single" w:sz="4" w:space="0" w:color="auto"/>
            </w:tcBorders>
            <w:shd w:val="clear" w:color="000000" w:fill="FFFFFF"/>
            <w:vAlign w:val="center"/>
            <w:hideMark/>
          </w:tcPr>
          <w:p w14:paraId="069B9FB1"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Non-forests</w:t>
            </w:r>
          </w:p>
        </w:tc>
        <w:tc>
          <w:tcPr>
            <w:tcW w:w="873" w:type="dxa"/>
            <w:tcBorders>
              <w:top w:val="nil"/>
              <w:left w:val="nil"/>
              <w:bottom w:val="nil"/>
              <w:right w:val="single" w:sz="4" w:space="0" w:color="auto"/>
            </w:tcBorders>
            <w:shd w:val="clear" w:color="auto" w:fill="FFFFFF" w:themeFill="background1"/>
            <w:noWrap/>
            <w:vAlign w:val="center"/>
            <w:hideMark/>
          </w:tcPr>
          <w:p w14:paraId="1B4A021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2,490,285</w:t>
            </w:r>
          </w:p>
        </w:tc>
        <w:tc>
          <w:tcPr>
            <w:tcW w:w="993" w:type="dxa"/>
            <w:tcBorders>
              <w:top w:val="nil"/>
              <w:left w:val="nil"/>
              <w:bottom w:val="nil"/>
              <w:right w:val="nil"/>
            </w:tcBorders>
            <w:shd w:val="clear" w:color="auto" w:fill="FFFFFF" w:themeFill="background1"/>
            <w:noWrap/>
            <w:vAlign w:val="center"/>
            <w:hideMark/>
          </w:tcPr>
          <w:p w14:paraId="013F46C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2,305,823</w:t>
            </w:r>
          </w:p>
        </w:tc>
        <w:tc>
          <w:tcPr>
            <w:tcW w:w="1089" w:type="dxa"/>
            <w:tcBorders>
              <w:top w:val="nil"/>
              <w:left w:val="nil"/>
              <w:bottom w:val="nil"/>
              <w:right w:val="nil"/>
            </w:tcBorders>
            <w:shd w:val="clear" w:color="auto" w:fill="FFFFFF" w:themeFill="background1"/>
            <w:noWrap/>
            <w:vAlign w:val="center"/>
            <w:hideMark/>
          </w:tcPr>
          <w:p w14:paraId="738B4E5B"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2,202,896</w:t>
            </w:r>
          </w:p>
        </w:tc>
        <w:tc>
          <w:tcPr>
            <w:tcW w:w="1037" w:type="dxa"/>
            <w:tcBorders>
              <w:top w:val="nil"/>
              <w:left w:val="nil"/>
              <w:bottom w:val="nil"/>
              <w:right w:val="nil"/>
            </w:tcBorders>
            <w:shd w:val="clear" w:color="auto" w:fill="FFFFFF" w:themeFill="background1"/>
            <w:noWrap/>
            <w:vAlign w:val="center"/>
            <w:hideMark/>
          </w:tcPr>
          <w:p w14:paraId="4249E1E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45,322</w:t>
            </w:r>
          </w:p>
        </w:tc>
        <w:tc>
          <w:tcPr>
            <w:tcW w:w="1134" w:type="dxa"/>
            <w:tcBorders>
              <w:top w:val="nil"/>
              <w:left w:val="nil"/>
              <w:bottom w:val="nil"/>
              <w:right w:val="single" w:sz="4" w:space="0" w:color="auto"/>
            </w:tcBorders>
            <w:shd w:val="clear" w:color="auto" w:fill="FFFFFF" w:themeFill="background1"/>
            <w:noWrap/>
            <w:vAlign w:val="center"/>
            <w:hideMark/>
          </w:tcPr>
          <w:p w14:paraId="276B84FA"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2,248,218</w:t>
            </w:r>
          </w:p>
        </w:tc>
        <w:tc>
          <w:tcPr>
            <w:tcW w:w="992" w:type="dxa"/>
            <w:tcBorders>
              <w:top w:val="nil"/>
              <w:left w:val="nil"/>
              <w:bottom w:val="nil"/>
              <w:right w:val="single" w:sz="4" w:space="0" w:color="auto"/>
            </w:tcBorders>
            <w:shd w:val="clear" w:color="auto" w:fill="FFFFFF" w:themeFill="background1"/>
            <w:noWrap/>
            <w:vAlign w:val="center"/>
            <w:hideMark/>
          </w:tcPr>
          <w:p w14:paraId="62D9378C"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2,885,423</w:t>
            </w:r>
          </w:p>
        </w:tc>
        <w:tc>
          <w:tcPr>
            <w:tcW w:w="993" w:type="dxa"/>
            <w:tcBorders>
              <w:top w:val="nil"/>
              <w:left w:val="nil"/>
              <w:bottom w:val="nil"/>
              <w:right w:val="nil"/>
            </w:tcBorders>
            <w:shd w:val="clear" w:color="auto" w:fill="FFFFFF" w:themeFill="background1"/>
            <w:noWrap/>
            <w:vAlign w:val="center"/>
            <w:hideMark/>
          </w:tcPr>
          <w:p w14:paraId="4234CFB3"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2,457,624</w:t>
            </w:r>
          </w:p>
        </w:tc>
        <w:tc>
          <w:tcPr>
            <w:tcW w:w="1095" w:type="dxa"/>
            <w:tcBorders>
              <w:top w:val="nil"/>
              <w:left w:val="nil"/>
              <w:bottom w:val="nil"/>
              <w:right w:val="nil"/>
            </w:tcBorders>
            <w:shd w:val="clear" w:color="auto" w:fill="FFFFFF" w:themeFill="background1"/>
            <w:noWrap/>
            <w:vAlign w:val="center"/>
            <w:hideMark/>
          </w:tcPr>
          <w:p w14:paraId="7F10D7B2"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2,301,034</w:t>
            </w:r>
          </w:p>
        </w:tc>
        <w:tc>
          <w:tcPr>
            <w:tcW w:w="1102" w:type="dxa"/>
            <w:tcBorders>
              <w:top w:val="nil"/>
              <w:left w:val="nil"/>
              <w:bottom w:val="nil"/>
              <w:right w:val="nil"/>
            </w:tcBorders>
            <w:shd w:val="clear" w:color="auto" w:fill="FFFFFF" w:themeFill="background1"/>
            <w:noWrap/>
            <w:vAlign w:val="center"/>
            <w:hideMark/>
          </w:tcPr>
          <w:p w14:paraId="442FC76B"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22,150</w:t>
            </w:r>
          </w:p>
        </w:tc>
        <w:tc>
          <w:tcPr>
            <w:tcW w:w="1063" w:type="dxa"/>
            <w:tcBorders>
              <w:top w:val="nil"/>
              <w:left w:val="nil"/>
              <w:bottom w:val="nil"/>
              <w:right w:val="single" w:sz="4" w:space="0" w:color="auto"/>
            </w:tcBorders>
            <w:shd w:val="clear" w:color="auto" w:fill="FFFFFF" w:themeFill="background1"/>
            <w:noWrap/>
            <w:vAlign w:val="center"/>
            <w:hideMark/>
          </w:tcPr>
          <w:p w14:paraId="7802222B"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2,332,684</w:t>
            </w:r>
          </w:p>
        </w:tc>
        <w:tc>
          <w:tcPr>
            <w:tcW w:w="1393" w:type="dxa"/>
            <w:tcBorders>
              <w:top w:val="nil"/>
              <w:left w:val="nil"/>
              <w:bottom w:val="nil"/>
              <w:right w:val="single" w:sz="4" w:space="0" w:color="auto"/>
            </w:tcBorders>
            <w:shd w:val="clear" w:color="auto" w:fill="FFFFFF" w:themeFill="background1"/>
            <w:vAlign w:val="center"/>
          </w:tcPr>
          <w:p w14:paraId="04E5C4B6"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81</w:t>
            </w:r>
          </w:p>
        </w:tc>
        <w:tc>
          <w:tcPr>
            <w:tcW w:w="932" w:type="dxa"/>
            <w:tcBorders>
              <w:top w:val="nil"/>
              <w:left w:val="single" w:sz="4" w:space="0" w:color="auto"/>
              <w:bottom w:val="nil"/>
            </w:tcBorders>
            <w:shd w:val="clear" w:color="auto" w:fill="FFFFFF" w:themeFill="background1"/>
            <w:noWrap/>
            <w:tcMar>
              <w:top w:w="0" w:type="dxa"/>
              <w:left w:w="0" w:type="dxa"/>
              <w:bottom w:w="0" w:type="dxa"/>
              <w:right w:w="180" w:type="dxa"/>
            </w:tcMar>
            <w:vAlign w:val="center"/>
            <w:hideMark/>
          </w:tcPr>
          <w:p w14:paraId="7DB81B9B"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 xml:space="preserve">203 </w:t>
            </w:r>
            <w:r w:rsidRPr="00527F4B">
              <w:rPr>
                <w:rFonts w:asciiTheme="majorHAnsi" w:hAnsiTheme="majorHAnsi" w:cs="Arial"/>
                <w:b/>
                <w:bCs/>
                <w:spacing w:val="-4"/>
                <w:position w:val="4"/>
                <w:sz w:val="16"/>
                <w:szCs w:val="16"/>
              </w:rPr>
              <w:t>h</w:t>
            </w:r>
          </w:p>
        </w:tc>
      </w:tr>
      <w:tr w:rsidR="00D3131B" w:rsidRPr="00527F4B" w14:paraId="5192E22D" w14:textId="77777777" w:rsidTr="00726F85">
        <w:trPr>
          <w:trHeight w:val="170"/>
        </w:trPr>
        <w:tc>
          <w:tcPr>
            <w:tcW w:w="1560" w:type="dxa"/>
            <w:vMerge/>
            <w:tcBorders>
              <w:top w:val="single" w:sz="4" w:space="0" w:color="auto"/>
              <w:bottom w:val="single" w:sz="4" w:space="0" w:color="000000"/>
              <w:right w:val="single" w:sz="4" w:space="0" w:color="auto"/>
            </w:tcBorders>
            <w:vAlign w:val="center"/>
            <w:hideMark/>
          </w:tcPr>
          <w:p w14:paraId="1F7E4B9C" w14:textId="77777777" w:rsidR="00CD481C" w:rsidRPr="002F2D01" w:rsidRDefault="00CD481C" w:rsidP="00CD481C">
            <w:pPr>
              <w:spacing w:before="0" w:after="0"/>
              <w:ind w:left="57" w:right="57"/>
              <w:rPr>
                <w:rFonts w:asciiTheme="majorHAnsi" w:hAnsiTheme="majorHAnsi" w:cs="Arial"/>
                <w:b/>
                <w:bCs/>
                <w:sz w:val="16"/>
                <w:szCs w:val="16"/>
              </w:rPr>
            </w:pPr>
          </w:p>
        </w:tc>
        <w:tc>
          <w:tcPr>
            <w:tcW w:w="969" w:type="dxa"/>
            <w:tcBorders>
              <w:top w:val="nil"/>
              <w:left w:val="nil"/>
              <w:bottom w:val="single" w:sz="4" w:space="0" w:color="auto"/>
              <w:right w:val="single" w:sz="4" w:space="0" w:color="auto"/>
            </w:tcBorders>
            <w:shd w:val="clear" w:color="000000" w:fill="FFFFFF"/>
            <w:vAlign w:val="center"/>
            <w:hideMark/>
          </w:tcPr>
          <w:p w14:paraId="4B276EA5" w14:textId="77777777" w:rsidR="00CD481C" w:rsidRPr="002F2D01" w:rsidRDefault="00CD481C" w:rsidP="00CD481C">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Total</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42CC9B0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21,665,022</w:t>
            </w:r>
          </w:p>
        </w:tc>
        <w:tc>
          <w:tcPr>
            <w:tcW w:w="993" w:type="dxa"/>
            <w:tcBorders>
              <w:top w:val="nil"/>
              <w:left w:val="nil"/>
              <w:bottom w:val="single" w:sz="4" w:space="0" w:color="auto"/>
              <w:right w:val="nil"/>
            </w:tcBorders>
            <w:shd w:val="clear" w:color="auto" w:fill="FFFFFF" w:themeFill="background1"/>
            <w:noWrap/>
            <w:vAlign w:val="center"/>
            <w:hideMark/>
          </w:tcPr>
          <w:p w14:paraId="3E63B195"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15,882,811</w:t>
            </w:r>
          </w:p>
        </w:tc>
        <w:tc>
          <w:tcPr>
            <w:tcW w:w="1089" w:type="dxa"/>
            <w:tcBorders>
              <w:top w:val="nil"/>
              <w:left w:val="nil"/>
              <w:bottom w:val="single" w:sz="4" w:space="0" w:color="auto"/>
              <w:right w:val="nil"/>
            </w:tcBorders>
            <w:shd w:val="clear" w:color="auto" w:fill="FFFFFF" w:themeFill="background1"/>
            <w:noWrap/>
            <w:vAlign w:val="center"/>
            <w:hideMark/>
          </w:tcPr>
          <w:p w14:paraId="11A085C3"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9,967,202</w:t>
            </w:r>
          </w:p>
        </w:tc>
        <w:tc>
          <w:tcPr>
            <w:tcW w:w="1037" w:type="dxa"/>
            <w:tcBorders>
              <w:top w:val="nil"/>
              <w:left w:val="nil"/>
              <w:bottom w:val="single" w:sz="4" w:space="0" w:color="auto"/>
              <w:right w:val="nil"/>
            </w:tcBorders>
            <w:shd w:val="clear" w:color="auto" w:fill="FFFFFF" w:themeFill="background1"/>
            <w:noWrap/>
            <w:vAlign w:val="center"/>
            <w:hideMark/>
          </w:tcPr>
          <w:p w14:paraId="56383B2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678,494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41C1D9"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10,645,696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3B67FA4"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23,184,714</w:t>
            </w:r>
          </w:p>
        </w:tc>
        <w:tc>
          <w:tcPr>
            <w:tcW w:w="993" w:type="dxa"/>
            <w:tcBorders>
              <w:top w:val="nil"/>
              <w:left w:val="nil"/>
              <w:bottom w:val="single" w:sz="4" w:space="0" w:color="auto"/>
              <w:right w:val="nil"/>
            </w:tcBorders>
            <w:shd w:val="clear" w:color="auto" w:fill="FFFFFF" w:themeFill="background1"/>
            <w:noWrap/>
            <w:vAlign w:val="center"/>
            <w:hideMark/>
          </w:tcPr>
          <w:p w14:paraId="6B4BA04D"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16,247,644</w:t>
            </w:r>
          </w:p>
        </w:tc>
        <w:tc>
          <w:tcPr>
            <w:tcW w:w="1095" w:type="dxa"/>
            <w:tcBorders>
              <w:top w:val="nil"/>
              <w:left w:val="nil"/>
              <w:bottom w:val="single" w:sz="4" w:space="0" w:color="auto"/>
              <w:right w:val="nil"/>
            </w:tcBorders>
            <w:shd w:val="clear" w:color="auto" w:fill="FFFFFF" w:themeFill="background1"/>
            <w:noWrap/>
            <w:vAlign w:val="center"/>
            <w:hideMark/>
          </w:tcPr>
          <w:p w14:paraId="4F518F20" w14:textId="77777777" w:rsidR="00CD481C" w:rsidRPr="00527F4B" w:rsidRDefault="00CD481C" w:rsidP="00CD481C">
            <w:pPr>
              <w:spacing w:before="0" w:after="0"/>
              <w:ind w:left="57" w:right="57"/>
              <w:jc w:val="right"/>
              <w:rPr>
                <w:rFonts w:asciiTheme="majorHAnsi" w:hAnsiTheme="majorHAnsi" w:cs="Arial"/>
                <w:spacing w:val="-4"/>
                <w:sz w:val="16"/>
                <w:szCs w:val="16"/>
              </w:rPr>
            </w:pPr>
            <w:r w:rsidRPr="00527F4B">
              <w:rPr>
                <w:rFonts w:asciiTheme="majorHAnsi" w:hAnsiTheme="majorHAnsi" w:cs="Arial"/>
                <w:spacing w:val="-4"/>
                <w:sz w:val="16"/>
                <w:szCs w:val="16"/>
              </w:rPr>
              <w:t>11,395,275</w:t>
            </w:r>
          </w:p>
        </w:tc>
        <w:tc>
          <w:tcPr>
            <w:tcW w:w="1102" w:type="dxa"/>
            <w:tcBorders>
              <w:top w:val="nil"/>
              <w:left w:val="nil"/>
              <w:bottom w:val="single" w:sz="4" w:space="0" w:color="auto"/>
              <w:right w:val="nil"/>
            </w:tcBorders>
            <w:shd w:val="clear" w:color="auto" w:fill="FFFFFF" w:themeFill="background1"/>
            <w:noWrap/>
            <w:vAlign w:val="center"/>
            <w:hideMark/>
          </w:tcPr>
          <w:p w14:paraId="06ECA0DC"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827,893</w:t>
            </w:r>
          </w:p>
        </w:tc>
        <w:tc>
          <w:tcPr>
            <w:tcW w:w="1063" w:type="dxa"/>
            <w:tcBorders>
              <w:top w:val="nil"/>
              <w:left w:val="nil"/>
              <w:bottom w:val="single" w:sz="4" w:space="0" w:color="auto"/>
              <w:right w:val="single" w:sz="4" w:space="0" w:color="auto"/>
            </w:tcBorders>
            <w:shd w:val="clear" w:color="auto" w:fill="FFFFFF" w:themeFill="background1"/>
            <w:noWrap/>
            <w:vAlign w:val="center"/>
            <w:hideMark/>
          </w:tcPr>
          <w:p w14:paraId="3EE3D06B" w14:textId="77777777" w:rsidR="00CD481C" w:rsidRPr="00527F4B" w:rsidRDefault="00CD481C" w:rsidP="00CD481C">
            <w:pPr>
              <w:spacing w:before="0" w:after="0"/>
              <w:ind w:left="57" w:right="170"/>
              <w:jc w:val="right"/>
              <w:rPr>
                <w:rFonts w:asciiTheme="majorHAnsi" w:hAnsiTheme="majorHAnsi" w:cs="Arial"/>
                <w:spacing w:val="-4"/>
                <w:sz w:val="16"/>
                <w:szCs w:val="16"/>
              </w:rPr>
            </w:pPr>
            <w:r w:rsidRPr="00527F4B">
              <w:rPr>
                <w:rFonts w:asciiTheme="majorHAnsi" w:hAnsiTheme="majorHAnsi" w:cs="Arial"/>
                <w:spacing w:val="-4"/>
                <w:sz w:val="16"/>
                <w:szCs w:val="16"/>
              </w:rPr>
              <w:t>12,353,568</w:t>
            </w:r>
          </w:p>
        </w:tc>
        <w:tc>
          <w:tcPr>
            <w:tcW w:w="1393" w:type="dxa"/>
            <w:tcBorders>
              <w:top w:val="nil"/>
              <w:left w:val="nil"/>
              <w:bottom w:val="single" w:sz="4" w:space="0" w:color="auto"/>
              <w:right w:val="single" w:sz="4" w:space="0" w:color="auto"/>
            </w:tcBorders>
            <w:shd w:val="clear" w:color="auto" w:fill="FFFFFF" w:themeFill="background1"/>
            <w:vAlign w:val="center"/>
          </w:tcPr>
          <w:p w14:paraId="44BF7110" w14:textId="77777777" w:rsidR="00CD481C" w:rsidRPr="00527F4B" w:rsidRDefault="00CD481C" w:rsidP="00CD481C">
            <w:pPr>
              <w:spacing w:before="0" w:after="0"/>
              <w:ind w:left="57" w:right="141"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53</w:t>
            </w:r>
          </w:p>
        </w:tc>
        <w:tc>
          <w:tcPr>
            <w:tcW w:w="932" w:type="dxa"/>
            <w:tcBorders>
              <w:top w:val="nil"/>
              <w:left w:val="single" w:sz="4" w:space="0" w:color="auto"/>
              <w:bottom w:val="single" w:sz="4" w:space="0" w:color="auto"/>
            </w:tcBorders>
            <w:shd w:val="clear" w:color="auto" w:fill="FFFFFF" w:themeFill="background1"/>
            <w:noWrap/>
            <w:tcMar>
              <w:top w:w="0" w:type="dxa"/>
              <w:left w:w="0" w:type="dxa"/>
              <w:bottom w:w="0" w:type="dxa"/>
              <w:right w:w="180" w:type="dxa"/>
            </w:tcMar>
            <w:vAlign w:val="center"/>
            <w:hideMark/>
          </w:tcPr>
          <w:p w14:paraId="7F6144A1" w14:textId="77777777" w:rsidR="00CD481C" w:rsidRPr="00527F4B" w:rsidRDefault="00CD481C" w:rsidP="00CD481C">
            <w:pPr>
              <w:spacing w:before="0" w:after="0"/>
              <w:ind w:left="57" w:right="57" w:firstLineChars="100" w:firstLine="156"/>
              <w:jc w:val="right"/>
              <w:rPr>
                <w:rFonts w:asciiTheme="majorHAnsi" w:hAnsiTheme="majorHAnsi" w:cs="Arial"/>
                <w:spacing w:val="-4"/>
                <w:sz w:val="16"/>
                <w:szCs w:val="16"/>
              </w:rPr>
            </w:pPr>
            <w:r w:rsidRPr="00527F4B">
              <w:rPr>
                <w:rFonts w:asciiTheme="majorHAnsi" w:hAnsiTheme="majorHAnsi" w:cs="Arial"/>
                <w:spacing w:val="-4"/>
                <w:sz w:val="16"/>
                <w:szCs w:val="16"/>
              </w:rPr>
              <w:t>941</w:t>
            </w:r>
          </w:p>
        </w:tc>
      </w:tr>
      <w:tr w:rsidR="00CD481C" w14:paraId="63F5B1BC" w14:textId="77777777" w:rsidTr="00726F85">
        <w:trPr>
          <w:trHeight w:val="2895"/>
        </w:trPr>
        <w:tc>
          <w:tcPr>
            <w:tcW w:w="15225" w:type="dxa"/>
            <w:gridSpan w:val="14"/>
            <w:tcBorders>
              <w:top w:val="single" w:sz="4" w:space="0" w:color="auto"/>
              <w:left w:val="nil"/>
              <w:bottom w:val="nil"/>
              <w:right w:val="nil"/>
            </w:tcBorders>
            <w:shd w:val="clear" w:color="auto" w:fill="auto"/>
          </w:tcPr>
          <w:p w14:paraId="0AFBC4C6" w14:textId="7DDD65D7" w:rsidR="00CD481C" w:rsidRPr="00B263E4" w:rsidRDefault="00CD481C" w:rsidP="00CD481C">
            <w:pPr>
              <w:spacing w:before="0" w:after="0"/>
              <w:rPr>
                <w:rFonts w:ascii="Calibri" w:hAnsi="Calibri" w:cs="Arial"/>
                <w:sz w:val="16"/>
                <w:szCs w:val="16"/>
              </w:rPr>
            </w:pPr>
            <w:r w:rsidRPr="00B263E4">
              <w:rPr>
                <w:rFonts w:ascii="Calibri" w:hAnsi="Calibri" w:cs="Arial"/>
                <w:sz w:val="16"/>
                <w:szCs w:val="16"/>
              </w:rPr>
              <w:t xml:space="preserve">Source: Regional forest agreements, and associated </w:t>
            </w:r>
            <w:r w:rsidRPr="00B263E4">
              <w:rPr>
                <w:rFonts w:ascii="Calibri" w:hAnsi="Calibri" w:cs="Arial"/>
                <w:i/>
                <w:sz w:val="16"/>
                <w:szCs w:val="16"/>
              </w:rPr>
              <w:t>Progress with implementation of regional forest agreements</w:t>
            </w:r>
            <w:r w:rsidRPr="00B263E4">
              <w:rPr>
                <w:rFonts w:ascii="Calibri" w:hAnsi="Calibri" w:cs="Arial"/>
                <w:sz w:val="16"/>
                <w:szCs w:val="16"/>
              </w:rPr>
              <w:t xml:space="preserve"> reports and </w:t>
            </w:r>
            <w:r w:rsidRPr="00B263E4">
              <w:rPr>
                <w:rFonts w:ascii="Calibri" w:hAnsi="Calibri" w:cs="Arial"/>
                <w:i/>
                <w:sz w:val="16"/>
                <w:szCs w:val="16"/>
              </w:rPr>
              <w:t>Assessment of matters pertaining to renewal of regional forest agreements</w:t>
            </w:r>
            <w:r w:rsidRPr="00B263E4">
              <w:rPr>
                <w:rFonts w:ascii="Calibri" w:hAnsi="Calibri" w:cs="Arial"/>
                <w:sz w:val="16"/>
                <w:szCs w:val="16"/>
              </w:rPr>
              <w:t xml:space="preserve"> reports. Column codes D, E, H, I and J are from Table </w:t>
            </w:r>
            <w:r w:rsidR="000429F0">
              <w:rPr>
                <w:rFonts w:ascii="Calibri" w:hAnsi="Calibri" w:cs="Arial"/>
                <w:sz w:val="16"/>
                <w:szCs w:val="16"/>
              </w:rPr>
              <w:t>A</w:t>
            </w:r>
            <w:r w:rsidRPr="00B263E4">
              <w:rPr>
                <w:rFonts w:ascii="Calibri" w:hAnsi="Calibri" w:cs="Arial"/>
                <w:sz w:val="16"/>
                <w:szCs w:val="16"/>
              </w:rPr>
              <w:t xml:space="preserve">1 and indicate calculations undertaken. See notes to Table </w:t>
            </w:r>
            <w:r w:rsidR="000429F0">
              <w:rPr>
                <w:rFonts w:ascii="Calibri" w:hAnsi="Calibri" w:cs="Arial"/>
                <w:sz w:val="16"/>
                <w:szCs w:val="16"/>
              </w:rPr>
              <w:t>A</w:t>
            </w:r>
            <w:r w:rsidRPr="00B263E4">
              <w:rPr>
                <w:rFonts w:ascii="Calibri" w:hAnsi="Calibri" w:cs="Arial"/>
                <w:sz w:val="16"/>
                <w:szCs w:val="16"/>
              </w:rPr>
              <w:t>1.</w:t>
            </w:r>
          </w:p>
          <w:p w14:paraId="77B88D09" w14:textId="084FEE56" w:rsidR="00CD481C" w:rsidRPr="00B263E4" w:rsidRDefault="00CD481C" w:rsidP="00CD481C">
            <w:pPr>
              <w:spacing w:before="0" w:after="0"/>
              <w:rPr>
                <w:rFonts w:ascii="Calibri" w:hAnsi="Calibri" w:cs="Arial"/>
                <w:sz w:val="16"/>
                <w:szCs w:val="16"/>
              </w:rPr>
            </w:pPr>
            <w:r w:rsidRPr="00B263E4">
              <w:rPr>
                <w:rFonts w:ascii="Calibri" w:hAnsi="Calibri" w:cs="Arial"/>
                <w:sz w:val="16"/>
                <w:szCs w:val="16"/>
              </w:rPr>
              <w:t xml:space="preserve">The CAR reserve system includes formal and informal public reserves and areas of public land with values protected by management prescription. Changes in the total area of forest and non-forest ecosystems (Column L compared to Column E) are a result of improved mapping of native ecosystems, and conversion of forest ecosystems to non-forest ecosystems and non-forest ecosystems to forest ecosystems. </w:t>
            </w:r>
            <w:r w:rsidRPr="00B263E4">
              <w:rPr>
                <w:rFonts w:ascii="Calibri" w:hAnsi="Calibri" w:cs="Arial"/>
                <w:sz w:val="16"/>
                <w:szCs w:val="16"/>
              </w:rPr>
              <w:br/>
              <w:t>Date of most recent data is: New South Wales, 2016; Tasmania, 2017 for forest ecosystems and 1998 for non-forest ecosystems; Victoria, 2019; and Western Australia, 2018, unless otherwise noted.</w:t>
            </w:r>
            <w:r w:rsidR="00CD0907">
              <w:rPr>
                <w:rFonts w:ascii="Calibri" w:hAnsi="Calibri" w:cs="Arial"/>
                <w:sz w:val="16"/>
                <w:szCs w:val="16"/>
              </w:rPr>
              <w:t xml:space="preserve"> Data for </w:t>
            </w:r>
            <w:r w:rsidR="00CD0907" w:rsidRPr="005C5680">
              <w:rPr>
                <w:rFonts w:ascii="Calibri" w:hAnsi="Calibri" w:cs="Arial"/>
                <w:sz w:val="16"/>
                <w:szCs w:val="16"/>
                <w:lang w:eastAsia="en-AU"/>
              </w:rPr>
              <w:t xml:space="preserve">Victorian </w:t>
            </w:r>
            <w:r w:rsidR="00CD0907">
              <w:rPr>
                <w:rFonts w:ascii="Calibri" w:hAnsi="Calibri" w:cs="Arial"/>
                <w:sz w:val="16"/>
                <w:szCs w:val="16"/>
                <w:lang w:eastAsia="en-AU"/>
              </w:rPr>
              <w:t xml:space="preserve">RFA regions </w:t>
            </w:r>
            <w:r w:rsidR="00CD0907" w:rsidRPr="005C5680">
              <w:rPr>
                <w:rFonts w:ascii="Calibri" w:hAnsi="Calibri" w:cs="Arial"/>
                <w:sz w:val="16"/>
                <w:szCs w:val="16"/>
                <w:lang w:eastAsia="en-AU"/>
              </w:rPr>
              <w:t xml:space="preserve">presented </w:t>
            </w:r>
            <w:r w:rsidR="00CD0907">
              <w:rPr>
                <w:rFonts w:ascii="Calibri" w:hAnsi="Calibri" w:cs="Arial"/>
                <w:sz w:val="16"/>
                <w:szCs w:val="16"/>
                <w:lang w:eastAsia="en-AU"/>
              </w:rPr>
              <w:t xml:space="preserve">in this table </w:t>
            </w:r>
            <w:r w:rsidR="0044624F">
              <w:rPr>
                <w:rFonts w:ascii="Calibri" w:hAnsi="Calibri" w:cs="Arial"/>
                <w:sz w:val="16"/>
                <w:szCs w:val="16"/>
                <w:lang w:eastAsia="en-AU"/>
              </w:rPr>
              <w:t>are</w:t>
            </w:r>
            <w:r w:rsidR="00CD0907" w:rsidRPr="005C5680">
              <w:rPr>
                <w:rFonts w:ascii="Calibri" w:hAnsi="Calibri" w:cs="Arial"/>
                <w:sz w:val="16"/>
                <w:szCs w:val="16"/>
                <w:lang w:eastAsia="en-AU"/>
              </w:rPr>
              <w:t xml:space="preserve"> based on </w:t>
            </w:r>
            <w:r w:rsidR="00CD0907">
              <w:rPr>
                <w:rFonts w:ascii="Calibri" w:hAnsi="Calibri" w:cs="Arial"/>
                <w:sz w:val="16"/>
                <w:szCs w:val="16"/>
                <w:lang w:eastAsia="en-AU"/>
              </w:rPr>
              <w:t>a reconciliation of the EVC classification at the date of signing RFAs with the updated</w:t>
            </w:r>
            <w:r w:rsidR="00CD0907" w:rsidRPr="005C5680">
              <w:rPr>
                <w:rFonts w:ascii="Calibri" w:hAnsi="Calibri" w:cs="Arial"/>
                <w:sz w:val="16"/>
                <w:szCs w:val="16"/>
                <w:lang w:eastAsia="en-AU"/>
              </w:rPr>
              <w:t xml:space="preserve"> EVC</w:t>
            </w:r>
            <w:r w:rsidR="00CD0907">
              <w:rPr>
                <w:rFonts w:ascii="Calibri" w:hAnsi="Calibri" w:cs="Arial"/>
                <w:sz w:val="16"/>
                <w:szCs w:val="16"/>
                <w:lang w:eastAsia="en-AU"/>
              </w:rPr>
              <w:t xml:space="preserve"> classification as at 2019.</w:t>
            </w:r>
            <w:r w:rsidRPr="00B263E4">
              <w:rPr>
                <w:rFonts w:ascii="Calibri" w:hAnsi="Calibri" w:cs="Arial"/>
                <w:sz w:val="16"/>
                <w:szCs w:val="16"/>
              </w:rPr>
              <w:br/>
            </w:r>
            <w:r w:rsidRPr="00B263E4">
              <w:rPr>
                <w:rFonts w:ascii="Calibri" w:hAnsi="Calibri" w:cs="Arial"/>
                <w:b/>
                <w:sz w:val="16"/>
                <w:szCs w:val="16"/>
              </w:rPr>
              <w:t>a</w:t>
            </w:r>
            <w:r w:rsidRPr="00B263E4">
              <w:rPr>
                <w:rFonts w:ascii="Calibri" w:hAnsi="Calibri" w:cs="Arial"/>
                <w:sz w:val="16"/>
                <w:szCs w:val="16"/>
              </w:rPr>
              <w:t xml:space="preserve"> Figures for the Total area in most recent data and Area on public land in most recent data for the RFA regions in New South Wales use the original total areas identified pre-RFA.</w:t>
            </w:r>
            <w:r w:rsidRPr="00B263E4">
              <w:rPr>
                <w:rFonts w:ascii="Calibri" w:hAnsi="Calibri" w:cs="Arial"/>
                <w:sz w:val="16"/>
                <w:szCs w:val="16"/>
              </w:rPr>
              <w:br/>
            </w:r>
            <w:r w:rsidRPr="00B263E4">
              <w:rPr>
                <w:rFonts w:ascii="Calibri" w:hAnsi="Calibri" w:cs="Arial"/>
                <w:b/>
                <w:sz w:val="16"/>
                <w:szCs w:val="16"/>
              </w:rPr>
              <w:t>b</w:t>
            </w:r>
            <w:r w:rsidRPr="00B263E4">
              <w:rPr>
                <w:rFonts w:ascii="Calibri" w:hAnsi="Calibri" w:cs="Arial"/>
                <w:sz w:val="16"/>
                <w:szCs w:val="16"/>
              </w:rPr>
              <w:t xml:space="preserve"> Figures for the Total area in the CAR reserve system in most recent data for the Tasmanian RFA region include 96,000 hectares of forest on Private CAR reserves not separately shown in this table.</w:t>
            </w:r>
            <w:r w:rsidRPr="00B263E4">
              <w:rPr>
                <w:rFonts w:ascii="Calibri" w:hAnsi="Calibri" w:cs="Arial"/>
                <w:sz w:val="16"/>
                <w:szCs w:val="16"/>
              </w:rPr>
              <w:br/>
            </w:r>
            <w:r w:rsidRPr="00B263E4">
              <w:rPr>
                <w:rFonts w:ascii="Calibri" w:hAnsi="Calibri" w:cs="Arial"/>
                <w:b/>
                <w:sz w:val="16"/>
                <w:szCs w:val="16"/>
              </w:rPr>
              <w:t>c</w:t>
            </w:r>
            <w:r w:rsidRPr="00B263E4">
              <w:rPr>
                <w:rFonts w:ascii="Calibri" w:hAnsi="Calibri" w:cs="Arial"/>
                <w:sz w:val="16"/>
                <w:szCs w:val="16"/>
              </w:rPr>
              <w:t xml:space="preserve"> Figures for the Total area Protected by prescription in most recent data for the Tasmanian RFA region use data published in 1998.</w:t>
            </w:r>
          </w:p>
          <w:p w14:paraId="7E077971" w14:textId="77777777" w:rsidR="00CD481C" w:rsidRPr="00B263E4" w:rsidRDefault="00CD481C" w:rsidP="00CD481C">
            <w:pPr>
              <w:spacing w:before="0" w:after="0"/>
              <w:rPr>
                <w:rFonts w:ascii="Calibri" w:hAnsi="Calibri" w:cs="Arial"/>
                <w:sz w:val="16"/>
                <w:szCs w:val="16"/>
              </w:rPr>
            </w:pPr>
            <w:r w:rsidRPr="00B263E4">
              <w:rPr>
                <w:rFonts w:ascii="Calibri" w:hAnsi="Calibri" w:cs="Arial"/>
                <w:b/>
                <w:sz w:val="16"/>
                <w:szCs w:val="16"/>
              </w:rPr>
              <w:t>d</w:t>
            </w:r>
            <w:r w:rsidRPr="00B263E4">
              <w:rPr>
                <w:rFonts w:ascii="Calibri" w:hAnsi="Calibri" w:cs="Arial"/>
                <w:sz w:val="16"/>
                <w:szCs w:val="16"/>
              </w:rPr>
              <w:t xml:space="preserve"> Areas for the components of the CAR reserve system in Victoria area calculated from reported proportion values and may not sum to the separately calculated total figures.</w:t>
            </w:r>
          </w:p>
          <w:p w14:paraId="7FCAE8E5" w14:textId="77777777" w:rsidR="00CD481C" w:rsidRPr="00B263E4" w:rsidRDefault="00CD481C" w:rsidP="00CD481C">
            <w:pPr>
              <w:spacing w:before="0" w:after="0"/>
              <w:rPr>
                <w:rFonts w:ascii="Calibri" w:hAnsi="Calibri" w:cs="Arial"/>
                <w:sz w:val="16"/>
                <w:szCs w:val="16"/>
              </w:rPr>
            </w:pPr>
            <w:r w:rsidRPr="00B263E4">
              <w:rPr>
                <w:rFonts w:ascii="Calibri" w:hAnsi="Calibri" w:cs="Arial"/>
                <w:b/>
                <w:sz w:val="16"/>
                <w:szCs w:val="16"/>
              </w:rPr>
              <w:t>e</w:t>
            </w:r>
            <w:r w:rsidRPr="00B263E4">
              <w:rPr>
                <w:rFonts w:ascii="Calibri" w:hAnsi="Calibri" w:cs="Arial"/>
                <w:sz w:val="16"/>
                <w:szCs w:val="16"/>
              </w:rPr>
              <w:t xml:space="preserve"> Figures for the area in the CAR reserve system in most recent data for Victorian RFAs includes 26,000 hectares of forest on private land covenants not separately shown in this table.</w:t>
            </w:r>
          </w:p>
          <w:p w14:paraId="26559B58" w14:textId="77777777" w:rsidR="00CD481C" w:rsidRPr="00B263E4" w:rsidRDefault="00CD481C" w:rsidP="00CD481C">
            <w:pPr>
              <w:spacing w:before="0" w:after="0"/>
              <w:rPr>
                <w:rFonts w:ascii="Calibri" w:hAnsi="Calibri" w:cs="Arial"/>
                <w:sz w:val="16"/>
                <w:szCs w:val="16"/>
              </w:rPr>
            </w:pPr>
            <w:r w:rsidRPr="00B263E4">
              <w:rPr>
                <w:rFonts w:ascii="Calibri" w:hAnsi="Calibri" w:cs="Arial"/>
                <w:b/>
                <w:sz w:val="16"/>
                <w:szCs w:val="16"/>
              </w:rPr>
              <w:t>f</w:t>
            </w:r>
            <w:r w:rsidRPr="00B263E4">
              <w:rPr>
                <w:rFonts w:ascii="Calibri" w:hAnsi="Calibri" w:cs="Arial"/>
                <w:sz w:val="16"/>
                <w:szCs w:val="16"/>
              </w:rPr>
              <w:t xml:space="preserve"> Figures for the Total area on public land in most recent data for the South-West Forest Region of WA are calculated using data published in 2014.</w:t>
            </w:r>
            <w:r w:rsidRPr="00B263E4">
              <w:rPr>
                <w:rFonts w:ascii="Calibri" w:hAnsi="Calibri" w:cs="Arial"/>
                <w:sz w:val="16"/>
                <w:szCs w:val="16"/>
              </w:rPr>
              <w:br/>
            </w:r>
            <w:r w:rsidRPr="00B263E4">
              <w:rPr>
                <w:rFonts w:ascii="Calibri" w:hAnsi="Calibri" w:cs="Arial"/>
                <w:b/>
                <w:sz w:val="16"/>
                <w:szCs w:val="16"/>
              </w:rPr>
              <w:t>g</w:t>
            </w:r>
            <w:r w:rsidRPr="00B263E4">
              <w:rPr>
                <w:rFonts w:ascii="Calibri" w:hAnsi="Calibri" w:cs="Arial"/>
                <w:sz w:val="16"/>
                <w:szCs w:val="16"/>
              </w:rPr>
              <w:t xml:space="preserve"> Figures for the area Protected by prescription in most recent data for the South-West Forest Region of WA are calculated using data published in 2014.</w:t>
            </w:r>
          </w:p>
          <w:p w14:paraId="3D354614" w14:textId="77777777" w:rsidR="00CD481C" w:rsidRPr="00B263E4" w:rsidRDefault="00CD481C" w:rsidP="00CD481C">
            <w:pPr>
              <w:spacing w:before="0" w:after="0"/>
              <w:rPr>
                <w:rFonts w:ascii="Calibri" w:hAnsi="Calibri" w:cs="Arial"/>
                <w:sz w:val="16"/>
                <w:szCs w:val="16"/>
              </w:rPr>
            </w:pPr>
            <w:r w:rsidRPr="00B263E4">
              <w:rPr>
                <w:rFonts w:ascii="Calibri" w:hAnsi="Calibri" w:cs="Arial"/>
                <w:b/>
                <w:sz w:val="16"/>
                <w:szCs w:val="16"/>
              </w:rPr>
              <w:t>h</w:t>
            </w:r>
            <w:r w:rsidRPr="00B263E4">
              <w:rPr>
                <w:rFonts w:ascii="Calibri" w:hAnsi="Calibri" w:cs="Arial"/>
                <w:sz w:val="16"/>
                <w:szCs w:val="16"/>
              </w:rPr>
              <w:t xml:space="preserve"> Count does not include non-forest ecosystems from the Tasmanian RFA region.</w:t>
            </w:r>
            <w:r w:rsidRPr="00B263E4">
              <w:rPr>
                <w:rFonts w:ascii="Calibri" w:hAnsi="Calibri" w:cs="Arial"/>
                <w:sz w:val="16"/>
                <w:szCs w:val="16"/>
              </w:rPr>
              <w:br/>
            </w:r>
            <w:r w:rsidRPr="00B263E4">
              <w:rPr>
                <w:rFonts w:ascii="Calibri" w:hAnsi="Calibri" w:cs="Arial"/>
                <w:b/>
                <w:sz w:val="16"/>
                <w:szCs w:val="16"/>
              </w:rPr>
              <w:t>nr</w:t>
            </w:r>
            <w:r w:rsidRPr="00B263E4">
              <w:rPr>
                <w:rFonts w:ascii="Calibri" w:hAnsi="Calibri" w:cs="Arial"/>
                <w:sz w:val="16"/>
                <w:szCs w:val="16"/>
              </w:rPr>
              <w:t>, not reported.</w:t>
            </w:r>
          </w:p>
          <w:p w14:paraId="0B2003D5" w14:textId="77777777" w:rsidR="00CD481C" w:rsidRDefault="00CD481C" w:rsidP="00CD481C">
            <w:pPr>
              <w:spacing w:before="0" w:after="0"/>
              <w:rPr>
                <w:rFonts w:ascii="Calibri" w:hAnsi="Calibri" w:cs="Arial"/>
                <w:sz w:val="16"/>
                <w:szCs w:val="16"/>
              </w:rPr>
            </w:pPr>
            <w:r w:rsidRPr="00B263E4">
              <w:rPr>
                <w:rFonts w:ascii="Calibri" w:hAnsi="Calibri" w:cs="Arial"/>
                <w:sz w:val="16"/>
                <w:szCs w:val="16"/>
              </w:rPr>
              <w:t>Totals may not tally due to rounding.</w:t>
            </w:r>
          </w:p>
          <w:p w14:paraId="3FCE2F34" w14:textId="686CAA02" w:rsidR="00527F4B" w:rsidRDefault="00674019" w:rsidP="00DB0CD3">
            <w:pPr>
              <w:spacing w:before="0" w:after="0"/>
              <w:rPr>
                <w:rFonts w:ascii="Calibri" w:hAnsi="Calibri" w:cs="Arial"/>
                <w:sz w:val="16"/>
                <w:szCs w:val="16"/>
              </w:rPr>
            </w:pPr>
            <w:r>
              <w:rPr>
                <w:rFonts w:asciiTheme="minorHAnsi" w:hAnsiTheme="minorHAnsi"/>
                <w:noProof/>
                <w:sz w:val="16"/>
              </w:rPr>
              <w:t>This</w:t>
            </w:r>
            <w:r w:rsidR="00527F4B">
              <w:rPr>
                <w:rFonts w:asciiTheme="minorHAnsi" w:hAnsiTheme="minorHAnsi"/>
                <w:noProof/>
                <w:sz w:val="16"/>
              </w:rPr>
              <w:t xml:space="preserve"> table</w:t>
            </w:r>
            <w:r w:rsidR="00527F4B" w:rsidRPr="00831C40">
              <w:rPr>
                <w:rFonts w:asciiTheme="minorHAnsi" w:hAnsiTheme="minorHAnsi"/>
                <w:noProof/>
                <w:sz w:val="16"/>
              </w:rPr>
              <w:t xml:space="preserve">, together with other data in this report, is available in Microsoft Excel </w:t>
            </w:r>
            <w:r w:rsidR="00DB0CD3">
              <w:rPr>
                <w:rFonts w:asciiTheme="minorHAnsi" w:hAnsiTheme="minorHAnsi"/>
                <w:noProof/>
                <w:sz w:val="16"/>
              </w:rPr>
              <w:t>at</w:t>
            </w:r>
            <w:r w:rsidR="00527F4B" w:rsidRPr="00831C40">
              <w:rPr>
                <w:rFonts w:asciiTheme="minorHAnsi" w:hAnsiTheme="minorHAnsi"/>
                <w:noProof/>
                <w:sz w:val="16"/>
              </w:rPr>
              <w:t xml:space="preserve"> </w:t>
            </w:r>
            <w:hyperlink r:id="rId44" w:history="1">
              <w:r w:rsidR="00DD59DD" w:rsidRPr="0090070F">
                <w:rPr>
                  <w:rStyle w:val="Hyperlink"/>
                  <w:rFonts w:asciiTheme="minorHAnsi" w:hAnsiTheme="minorHAnsi"/>
                  <w:noProof/>
                  <w:color w:val="0070C0"/>
                  <w:sz w:val="16"/>
                </w:rPr>
                <w:t>doi.org/10.25814/pczx-xk66</w:t>
              </w:r>
            </w:hyperlink>
            <w:r w:rsidR="00DD59DD">
              <w:rPr>
                <w:rFonts w:asciiTheme="minorHAnsi" w:hAnsiTheme="minorHAnsi"/>
                <w:noProof/>
                <w:sz w:val="16"/>
              </w:rPr>
              <w:t>.</w:t>
            </w:r>
          </w:p>
        </w:tc>
      </w:tr>
    </w:tbl>
    <w:p w14:paraId="017F14F5" w14:textId="58B7DE98" w:rsidR="00653B81" w:rsidRDefault="00653B81" w:rsidP="00CB0E93">
      <w:pPr>
        <w:spacing w:before="0" w:after="0"/>
        <w:ind w:right="-926"/>
        <w:rPr>
          <w:rFonts w:asciiTheme="minorHAnsi" w:hAnsiTheme="minorHAnsi"/>
          <w:sz w:val="18"/>
          <w:szCs w:val="18"/>
        </w:rPr>
      </w:pPr>
    </w:p>
    <w:p w14:paraId="20E35A8B" w14:textId="77777777" w:rsidR="00653B81" w:rsidRDefault="00653B81" w:rsidP="00CB0E93">
      <w:pPr>
        <w:spacing w:before="0" w:after="0" w:line="276" w:lineRule="auto"/>
        <w:rPr>
          <w:rFonts w:asciiTheme="minorHAnsi" w:hAnsiTheme="minorHAnsi"/>
          <w:sz w:val="18"/>
          <w:szCs w:val="18"/>
        </w:rPr>
      </w:pPr>
      <w:r>
        <w:rPr>
          <w:rFonts w:asciiTheme="minorHAnsi" w:hAnsiTheme="minorHAnsi"/>
          <w:sz w:val="18"/>
          <w:szCs w:val="18"/>
        </w:rPr>
        <w:br w:type="page"/>
      </w:r>
    </w:p>
    <w:p w14:paraId="6CB3AC8B" w14:textId="6E9A9252" w:rsidR="00E06603" w:rsidRDefault="00E06603" w:rsidP="004C0DDC">
      <w:pPr>
        <w:pStyle w:val="Caption"/>
      </w:pPr>
      <w:bookmarkStart w:id="42" w:name="_Ref55466362"/>
      <w:bookmarkStart w:id="43" w:name="_Toc58234967"/>
      <w:r>
        <w:lastRenderedPageBreak/>
        <w:t xml:space="preserve">Table </w:t>
      </w:r>
      <w:r w:rsidR="00D15AE0">
        <w:t>A</w:t>
      </w:r>
      <w:r w:rsidR="00DD454E">
        <w:rPr>
          <w:noProof/>
        </w:rPr>
        <w:fldChar w:fldCharType="begin"/>
      </w:r>
      <w:r w:rsidR="00DD454E">
        <w:rPr>
          <w:noProof/>
        </w:rPr>
        <w:instrText xml:space="preserve"> SEQ Table \* ARABIC </w:instrText>
      </w:r>
      <w:r w:rsidR="00DD454E">
        <w:rPr>
          <w:noProof/>
        </w:rPr>
        <w:fldChar w:fldCharType="separate"/>
      </w:r>
      <w:r w:rsidR="00CC3B42">
        <w:rPr>
          <w:noProof/>
        </w:rPr>
        <w:t>4</w:t>
      </w:r>
      <w:r w:rsidR="00DD454E">
        <w:rPr>
          <w:noProof/>
        </w:rPr>
        <w:fldChar w:fldCharType="end"/>
      </w:r>
      <w:bookmarkEnd w:id="42"/>
      <w:r>
        <w:t xml:space="preserve"> Change in area of native forest and non-forest ecosystems in RFA regions, and areas reserved </w:t>
      </w:r>
      <w:r w:rsidR="00D34B52">
        <w:t>in most recent data</w:t>
      </w:r>
      <w:bookmarkEnd w:id="43"/>
    </w:p>
    <w:tbl>
      <w:tblPr>
        <w:tblW w:w="13690" w:type="dxa"/>
        <w:tblInd w:w="-426" w:type="dxa"/>
        <w:tblCellMar>
          <w:left w:w="0" w:type="dxa"/>
          <w:right w:w="0" w:type="dxa"/>
        </w:tblCellMar>
        <w:tblLook w:val="04A0" w:firstRow="1" w:lastRow="0" w:firstColumn="1" w:lastColumn="0" w:noHBand="0" w:noVBand="1"/>
      </w:tblPr>
      <w:tblGrid>
        <w:gridCol w:w="2009"/>
        <w:gridCol w:w="1551"/>
        <w:gridCol w:w="1847"/>
        <w:gridCol w:w="1891"/>
        <w:gridCol w:w="1669"/>
        <w:gridCol w:w="2001"/>
        <w:gridCol w:w="1413"/>
        <w:gridCol w:w="1325"/>
      </w:tblGrid>
      <w:tr w:rsidR="00E06603" w14:paraId="6D990213" w14:textId="77777777" w:rsidTr="004C0DDC">
        <w:trPr>
          <w:trHeight w:val="541"/>
          <w:tblHeader/>
        </w:trPr>
        <w:tc>
          <w:tcPr>
            <w:tcW w:w="2001" w:type="dxa"/>
            <w:vMerge w:val="restart"/>
            <w:tcBorders>
              <w:top w:val="single" w:sz="4" w:space="0" w:color="auto"/>
              <w:bottom w:val="single" w:sz="4" w:space="0" w:color="000000"/>
              <w:right w:val="single" w:sz="4" w:space="0" w:color="auto"/>
            </w:tcBorders>
            <w:shd w:val="clear" w:color="000000" w:fill="FFFFFF"/>
            <w:vAlign w:val="bottom"/>
            <w:hideMark/>
          </w:tcPr>
          <w:p w14:paraId="6D0A1381" w14:textId="77777777" w:rsidR="00E06603" w:rsidRPr="00ED67A1" w:rsidRDefault="00E06603" w:rsidP="00CB0E93">
            <w:pPr>
              <w:spacing w:before="0" w:after="0"/>
              <w:ind w:left="57" w:right="57"/>
              <w:rPr>
                <w:rFonts w:asciiTheme="majorHAnsi" w:hAnsiTheme="majorHAnsi" w:cs="Arial"/>
                <w:b/>
                <w:bCs/>
                <w:sz w:val="16"/>
                <w:szCs w:val="16"/>
              </w:rPr>
            </w:pPr>
            <w:r w:rsidRPr="00ED67A1">
              <w:rPr>
                <w:rFonts w:asciiTheme="majorHAnsi" w:hAnsiTheme="majorHAnsi" w:cs="Arial"/>
                <w:b/>
                <w:bCs/>
                <w:sz w:val="16"/>
                <w:szCs w:val="16"/>
              </w:rPr>
              <w:t>RFA state and region</w:t>
            </w:r>
          </w:p>
        </w:tc>
        <w:tc>
          <w:tcPr>
            <w:tcW w:w="1551"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369B3240" w14:textId="77777777" w:rsidR="00E06603" w:rsidRPr="00ED67A1" w:rsidRDefault="00E06603" w:rsidP="00CB0E93">
            <w:pPr>
              <w:spacing w:before="0" w:after="0"/>
              <w:ind w:left="57" w:right="57"/>
              <w:rPr>
                <w:rFonts w:asciiTheme="majorHAnsi" w:hAnsiTheme="majorHAnsi" w:cs="Arial"/>
                <w:b/>
                <w:bCs/>
                <w:sz w:val="16"/>
                <w:szCs w:val="16"/>
              </w:rPr>
            </w:pPr>
            <w:r w:rsidRPr="00ED67A1">
              <w:rPr>
                <w:rFonts w:asciiTheme="majorHAnsi" w:hAnsiTheme="majorHAnsi" w:cs="Arial"/>
                <w:b/>
                <w:bCs/>
                <w:sz w:val="16"/>
                <w:szCs w:val="16"/>
              </w:rPr>
              <w:t>Terrestrial native ecosystems</w:t>
            </w:r>
          </w:p>
        </w:tc>
        <w:tc>
          <w:tcPr>
            <w:tcW w:w="1839"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7AE39AC9" w14:textId="41E4311C" w:rsidR="00E06603" w:rsidRPr="00ED67A1" w:rsidRDefault="00E06603" w:rsidP="00CB0E93">
            <w:pPr>
              <w:spacing w:before="0" w:after="0"/>
              <w:ind w:left="57" w:right="57"/>
              <w:jc w:val="right"/>
              <w:rPr>
                <w:rFonts w:asciiTheme="majorHAnsi" w:hAnsiTheme="majorHAnsi" w:cs="Arial"/>
                <w:b/>
                <w:bCs/>
                <w:sz w:val="16"/>
                <w:szCs w:val="16"/>
              </w:rPr>
            </w:pPr>
            <w:r w:rsidRPr="00ED67A1">
              <w:rPr>
                <w:rFonts w:asciiTheme="majorHAnsi" w:hAnsiTheme="majorHAnsi" w:cs="Arial"/>
                <w:b/>
                <w:bCs/>
                <w:sz w:val="16"/>
                <w:szCs w:val="16"/>
              </w:rPr>
              <w:t xml:space="preserve">Change in total area between </w:t>
            </w:r>
            <w:r w:rsidR="00EF4716" w:rsidRPr="00ED67A1">
              <w:rPr>
                <w:rFonts w:asciiTheme="majorHAnsi" w:hAnsiTheme="majorHAnsi" w:cs="Arial"/>
                <w:b/>
                <w:bCs/>
                <w:sz w:val="16"/>
                <w:szCs w:val="16"/>
              </w:rPr>
              <w:t>post-</w:t>
            </w:r>
            <w:r w:rsidRPr="00ED67A1">
              <w:rPr>
                <w:rFonts w:asciiTheme="majorHAnsi" w:hAnsiTheme="majorHAnsi" w:cs="Arial"/>
                <w:b/>
                <w:bCs/>
                <w:sz w:val="16"/>
                <w:szCs w:val="16"/>
              </w:rPr>
              <w:t>RFA and most recent data (ha)</w:t>
            </w:r>
          </w:p>
        </w:tc>
        <w:tc>
          <w:tcPr>
            <w:tcW w:w="1883"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08B6138C" w14:textId="30524B5D" w:rsidR="00E06603" w:rsidRPr="00ED67A1" w:rsidRDefault="00E06603" w:rsidP="00CB0E93">
            <w:pPr>
              <w:spacing w:before="0" w:after="0"/>
              <w:ind w:left="57" w:right="57"/>
              <w:jc w:val="right"/>
              <w:rPr>
                <w:rFonts w:asciiTheme="majorHAnsi" w:hAnsiTheme="majorHAnsi" w:cs="Arial"/>
                <w:b/>
                <w:bCs/>
                <w:sz w:val="16"/>
                <w:szCs w:val="16"/>
              </w:rPr>
            </w:pPr>
            <w:r w:rsidRPr="00ED67A1">
              <w:rPr>
                <w:rFonts w:asciiTheme="majorHAnsi" w:hAnsiTheme="majorHAnsi" w:cs="Arial"/>
                <w:b/>
                <w:bCs/>
                <w:sz w:val="16"/>
                <w:szCs w:val="16"/>
              </w:rPr>
              <w:t xml:space="preserve">Change in area on public land between </w:t>
            </w:r>
            <w:r w:rsidR="00EF4716" w:rsidRPr="00ED67A1">
              <w:rPr>
                <w:rFonts w:asciiTheme="majorHAnsi" w:hAnsiTheme="majorHAnsi" w:cs="Arial"/>
                <w:b/>
                <w:bCs/>
                <w:sz w:val="16"/>
                <w:szCs w:val="16"/>
              </w:rPr>
              <w:t>post-</w:t>
            </w:r>
            <w:r w:rsidRPr="00ED67A1">
              <w:rPr>
                <w:rFonts w:asciiTheme="majorHAnsi" w:hAnsiTheme="majorHAnsi" w:cs="Arial"/>
                <w:b/>
                <w:bCs/>
                <w:sz w:val="16"/>
                <w:szCs w:val="16"/>
              </w:rPr>
              <w:t>RFA and most recent data (ha)</w:t>
            </w:r>
            <w:r w:rsidRPr="00ED67A1">
              <w:rPr>
                <w:rFonts w:asciiTheme="majorHAnsi" w:hAnsiTheme="majorHAnsi"/>
                <w:sz w:val="16"/>
                <w:szCs w:val="16"/>
              </w:rPr>
              <w:t> </w:t>
            </w:r>
          </w:p>
        </w:tc>
        <w:tc>
          <w:tcPr>
            <w:tcW w:w="1661"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4C18A585" w14:textId="50FDE2EF" w:rsidR="00E06603" w:rsidRPr="00ED67A1" w:rsidRDefault="00E06603" w:rsidP="00CB0E93">
            <w:pPr>
              <w:spacing w:before="0" w:after="0"/>
              <w:ind w:left="57" w:right="57"/>
              <w:jc w:val="right"/>
              <w:rPr>
                <w:rFonts w:asciiTheme="majorHAnsi" w:hAnsiTheme="majorHAnsi" w:cs="Arial"/>
                <w:b/>
                <w:bCs/>
                <w:sz w:val="16"/>
                <w:szCs w:val="16"/>
              </w:rPr>
            </w:pPr>
            <w:r w:rsidRPr="00ED67A1">
              <w:rPr>
                <w:rFonts w:asciiTheme="majorHAnsi" w:hAnsiTheme="majorHAnsi" w:cs="Arial"/>
                <w:b/>
                <w:bCs/>
                <w:sz w:val="16"/>
                <w:szCs w:val="16"/>
              </w:rPr>
              <w:t xml:space="preserve">Change in </w:t>
            </w:r>
            <w:r w:rsidR="0058128F">
              <w:rPr>
                <w:rFonts w:asciiTheme="majorHAnsi" w:hAnsiTheme="majorHAnsi" w:cs="Arial"/>
                <w:b/>
                <w:bCs/>
                <w:sz w:val="16"/>
                <w:szCs w:val="16"/>
              </w:rPr>
              <w:t xml:space="preserve">area of </w:t>
            </w:r>
            <w:r w:rsidRPr="00ED67A1">
              <w:rPr>
                <w:rFonts w:asciiTheme="majorHAnsi" w:hAnsiTheme="majorHAnsi" w:cs="Arial"/>
                <w:b/>
                <w:bCs/>
                <w:sz w:val="16"/>
                <w:szCs w:val="16"/>
              </w:rPr>
              <w:t xml:space="preserve">formal and informal reserves between </w:t>
            </w:r>
            <w:r w:rsidR="00EF4716" w:rsidRPr="00ED67A1">
              <w:rPr>
                <w:rFonts w:asciiTheme="majorHAnsi" w:hAnsiTheme="majorHAnsi" w:cs="Arial"/>
                <w:b/>
                <w:bCs/>
                <w:sz w:val="16"/>
                <w:szCs w:val="16"/>
              </w:rPr>
              <w:t>post-</w:t>
            </w:r>
            <w:r w:rsidRPr="00ED67A1">
              <w:rPr>
                <w:rFonts w:asciiTheme="majorHAnsi" w:hAnsiTheme="majorHAnsi" w:cs="Arial"/>
                <w:b/>
                <w:bCs/>
                <w:sz w:val="16"/>
                <w:szCs w:val="16"/>
              </w:rPr>
              <w:t>RFA and most recent data (ha)</w:t>
            </w:r>
          </w:p>
        </w:tc>
        <w:tc>
          <w:tcPr>
            <w:tcW w:w="1993"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6892B9FA" w14:textId="1B5C6B46" w:rsidR="00E06603" w:rsidRPr="00ED67A1" w:rsidRDefault="00E06603" w:rsidP="00CB0E93">
            <w:pPr>
              <w:spacing w:before="0" w:after="0"/>
              <w:ind w:left="57" w:right="57"/>
              <w:jc w:val="right"/>
              <w:rPr>
                <w:rFonts w:asciiTheme="majorHAnsi" w:hAnsiTheme="majorHAnsi" w:cs="Arial"/>
                <w:b/>
                <w:bCs/>
                <w:sz w:val="16"/>
                <w:szCs w:val="16"/>
              </w:rPr>
            </w:pPr>
            <w:r w:rsidRPr="00ED67A1">
              <w:rPr>
                <w:rFonts w:asciiTheme="majorHAnsi" w:hAnsiTheme="majorHAnsi" w:cs="Arial"/>
                <w:b/>
                <w:bCs/>
                <w:sz w:val="16"/>
                <w:szCs w:val="16"/>
              </w:rPr>
              <w:t xml:space="preserve">Change in area of protected by prescription between </w:t>
            </w:r>
            <w:r w:rsidR="00EF4716" w:rsidRPr="00ED67A1">
              <w:rPr>
                <w:rFonts w:asciiTheme="majorHAnsi" w:hAnsiTheme="majorHAnsi" w:cs="Arial"/>
                <w:b/>
                <w:bCs/>
                <w:sz w:val="16"/>
                <w:szCs w:val="16"/>
              </w:rPr>
              <w:t>post-</w:t>
            </w:r>
            <w:r w:rsidRPr="00ED67A1">
              <w:rPr>
                <w:rFonts w:asciiTheme="majorHAnsi" w:hAnsiTheme="majorHAnsi" w:cs="Arial"/>
                <w:b/>
                <w:bCs/>
                <w:sz w:val="16"/>
                <w:szCs w:val="16"/>
              </w:rPr>
              <w:t>RFA and most recent data (ha)</w:t>
            </w:r>
          </w:p>
        </w:tc>
        <w:tc>
          <w:tcPr>
            <w:tcW w:w="2762" w:type="dxa"/>
            <w:gridSpan w:val="2"/>
            <w:tcBorders>
              <w:top w:val="single" w:sz="4" w:space="0" w:color="auto"/>
              <w:left w:val="nil"/>
              <w:bottom w:val="single" w:sz="4" w:space="0" w:color="auto"/>
            </w:tcBorders>
            <w:shd w:val="clear" w:color="000000" w:fill="FFFFFF"/>
            <w:vAlign w:val="bottom"/>
            <w:hideMark/>
          </w:tcPr>
          <w:p w14:paraId="5FF5A3C7" w14:textId="36F7C32A" w:rsidR="00E06603" w:rsidRPr="00ED67A1" w:rsidRDefault="00E06603" w:rsidP="00CB0E93">
            <w:pPr>
              <w:spacing w:before="0" w:after="0"/>
              <w:ind w:left="57" w:right="57"/>
              <w:jc w:val="center"/>
              <w:rPr>
                <w:rFonts w:asciiTheme="majorHAnsi" w:hAnsiTheme="majorHAnsi" w:cs="Arial"/>
                <w:b/>
                <w:bCs/>
                <w:sz w:val="16"/>
                <w:szCs w:val="16"/>
              </w:rPr>
            </w:pPr>
            <w:r w:rsidRPr="00ED67A1">
              <w:rPr>
                <w:rFonts w:asciiTheme="majorHAnsi" w:hAnsiTheme="majorHAnsi" w:cs="Arial"/>
                <w:b/>
                <w:bCs/>
                <w:sz w:val="16"/>
                <w:szCs w:val="16"/>
              </w:rPr>
              <w:t xml:space="preserve">Change in </w:t>
            </w:r>
            <w:r w:rsidR="0058128F">
              <w:rPr>
                <w:rFonts w:asciiTheme="majorHAnsi" w:hAnsiTheme="majorHAnsi" w:cs="Arial"/>
                <w:b/>
                <w:bCs/>
                <w:sz w:val="16"/>
                <w:szCs w:val="16"/>
              </w:rPr>
              <w:t xml:space="preserve">area of </w:t>
            </w:r>
            <w:r w:rsidRPr="00ED67A1">
              <w:rPr>
                <w:rFonts w:asciiTheme="majorHAnsi" w:hAnsiTheme="majorHAnsi" w:cs="Arial"/>
                <w:b/>
                <w:bCs/>
                <w:sz w:val="16"/>
                <w:szCs w:val="16"/>
              </w:rPr>
              <w:t xml:space="preserve">CAR reserve system between </w:t>
            </w:r>
            <w:r w:rsidR="00EF4716" w:rsidRPr="00ED67A1">
              <w:rPr>
                <w:rFonts w:asciiTheme="majorHAnsi" w:hAnsiTheme="majorHAnsi" w:cs="Arial"/>
                <w:b/>
                <w:bCs/>
                <w:sz w:val="16"/>
                <w:szCs w:val="16"/>
              </w:rPr>
              <w:t>post-</w:t>
            </w:r>
            <w:r w:rsidRPr="00ED67A1">
              <w:rPr>
                <w:rFonts w:asciiTheme="majorHAnsi" w:hAnsiTheme="majorHAnsi" w:cs="Arial"/>
                <w:b/>
                <w:bCs/>
                <w:sz w:val="16"/>
                <w:szCs w:val="16"/>
              </w:rPr>
              <w:t>RFA and in most recent data</w:t>
            </w:r>
          </w:p>
        </w:tc>
      </w:tr>
      <w:tr w:rsidR="00E06603" w14:paraId="39866370" w14:textId="77777777" w:rsidTr="004C0DDC">
        <w:trPr>
          <w:trHeight w:val="264"/>
          <w:tblHeader/>
        </w:trPr>
        <w:tc>
          <w:tcPr>
            <w:tcW w:w="2001" w:type="dxa"/>
            <w:vMerge/>
            <w:tcBorders>
              <w:top w:val="single" w:sz="4" w:space="0" w:color="auto"/>
              <w:bottom w:val="single" w:sz="4" w:space="0" w:color="000000"/>
              <w:right w:val="single" w:sz="4" w:space="0" w:color="auto"/>
            </w:tcBorders>
            <w:vAlign w:val="center"/>
            <w:hideMark/>
          </w:tcPr>
          <w:p w14:paraId="21F18B9D" w14:textId="77777777" w:rsidR="00E06603" w:rsidRPr="00ED67A1" w:rsidRDefault="00E06603" w:rsidP="00CB0E93">
            <w:pPr>
              <w:spacing w:before="0" w:after="0"/>
              <w:ind w:left="57" w:right="57"/>
              <w:rPr>
                <w:rFonts w:asciiTheme="majorHAnsi" w:hAnsiTheme="majorHAnsi" w:cs="Arial"/>
                <w:b/>
                <w:bCs/>
                <w:sz w:val="16"/>
                <w:szCs w:val="16"/>
              </w:rPr>
            </w:pPr>
          </w:p>
        </w:tc>
        <w:tc>
          <w:tcPr>
            <w:tcW w:w="1551" w:type="dxa"/>
            <w:vMerge/>
            <w:tcBorders>
              <w:top w:val="single" w:sz="4" w:space="0" w:color="auto"/>
              <w:left w:val="single" w:sz="4" w:space="0" w:color="auto"/>
              <w:bottom w:val="single" w:sz="4" w:space="0" w:color="000000"/>
              <w:right w:val="single" w:sz="4" w:space="0" w:color="auto"/>
            </w:tcBorders>
            <w:vAlign w:val="center"/>
            <w:hideMark/>
          </w:tcPr>
          <w:p w14:paraId="4A85D17D" w14:textId="77777777" w:rsidR="00E06603" w:rsidRPr="00ED67A1" w:rsidRDefault="00E06603" w:rsidP="00CB0E93">
            <w:pPr>
              <w:spacing w:before="0" w:after="0"/>
              <w:ind w:left="57" w:right="57"/>
              <w:rPr>
                <w:rFonts w:asciiTheme="majorHAnsi" w:hAnsiTheme="majorHAnsi" w:cs="Arial"/>
                <w:b/>
                <w:bCs/>
                <w:sz w:val="16"/>
                <w:szCs w:val="16"/>
              </w:rPr>
            </w:pPr>
          </w:p>
        </w:tc>
        <w:tc>
          <w:tcPr>
            <w:tcW w:w="1839" w:type="dxa"/>
            <w:vMerge/>
            <w:tcBorders>
              <w:top w:val="single" w:sz="4" w:space="0" w:color="auto"/>
              <w:left w:val="single" w:sz="4" w:space="0" w:color="auto"/>
              <w:bottom w:val="single" w:sz="4" w:space="0" w:color="000000"/>
              <w:right w:val="single" w:sz="4" w:space="0" w:color="auto"/>
            </w:tcBorders>
            <w:vAlign w:val="center"/>
            <w:hideMark/>
          </w:tcPr>
          <w:p w14:paraId="0AC27EE2" w14:textId="77777777" w:rsidR="00E06603" w:rsidRPr="00ED67A1" w:rsidRDefault="00E06603" w:rsidP="00CB0E93">
            <w:pPr>
              <w:spacing w:before="0" w:after="0"/>
              <w:ind w:left="57" w:right="57"/>
              <w:rPr>
                <w:rFonts w:asciiTheme="majorHAnsi" w:hAnsiTheme="majorHAnsi" w:cs="Arial"/>
                <w:b/>
                <w:bCs/>
                <w:sz w:val="16"/>
                <w:szCs w:val="16"/>
              </w:rPr>
            </w:pPr>
          </w:p>
        </w:tc>
        <w:tc>
          <w:tcPr>
            <w:tcW w:w="1883" w:type="dxa"/>
            <w:vMerge/>
            <w:tcBorders>
              <w:top w:val="single" w:sz="4" w:space="0" w:color="auto"/>
              <w:left w:val="single" w:sz="4" w:space="0" w:color="auto"/>
              <w:bottom w:val="single" w:sz="4" w:space="0" w:color="000000"/>
              <w:right w:val="single" w:sz="4" w:space="0" w:color="auto"/>
            </w:tcBorders>
            <w:vAlign w:val="center"/>
            <w:hideMark/>
          </w:tcPr>
          <w:p w14:paraId="628A48BD" w14:textId="77777777" w:rsidR="00E06603" w:rsidRPr="00ED67A1" w:rsidRDefault="00E06603" w:rsidP="00CB0E93">
            <w:pPr>
              <w:spacing w:before="0" w:after="0"/>
              <w:ind w:left="57" w:right="57"/>
              <w:rPr>
                <w:rFonts w:asciiTheme="majorHAnsi" w:hAnsiTheme="majorHAnsi" w:cs="Arial"/>
                <w:b/>
                <w:bCs/>
                <w:sz w:val="16"/>
                <w:szCs w:val="16"/>
              </w:rPr>
            </w:pPr>
          </w:p>
        </w:tc>
        <w:tc>
          <w:tcPr>
            <w:tcW w:w="1661" w:type="dxa"/>
            <w:vMerge/>
            <w:tcBorders>
              <w:top w:val="single" w:sz="4" w:space="0" w:color="auto"/>
              <w:left w:val="single" w:sz="4" w:space="0" w:color="auto"/>
              <w:bottom w:val="single" w:sz="4" w:space="0" w:color="000000"/>
              <w:right w:val="single" w:sz="4" w:space="0" w:color="auto"/>
            </w:tcBorders>
            <w:vAlign w:val="center"/>
            <w:hideMark/>
          </w:tcPr>
          <w:p w14:paraId="6E15740B" w14:textId="77777777" w:rsidR="00E06603" w:rsidRPr="00ED67A1" w:rsidRDefault="00E06603" w:rsidP="00CB0E93">
            <w:pPr>
              <w:spacing w:before="0" w:after="0"/>
              <w:ind w:left="57" w:right="57"/>
              <w:rPr>
                <w:rFonts w:asciiTheme="majorHAnsi" w:hAnsiTheme="majorHAnsi" w:cs="Arial"/>
                <w:b/>
                <w:bCs/>
                <w:sz w:val="16"/>
                <w:szCs w:val="16"/>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14:paraId="4811ADBA" w14:textId="77777777" w:rsidR="00E06603" w:rsidRPr="00ED67A1" w:rsidRDefault="00E06603" w:rsidP="00CB0E93">
            <w:pPr>
              <w:spacing w:before="0" w:after="0"/>
              <w:ind w:left="57" w:right="57"/>
              <w:rPr>
                <w:rFonts w:asciiTheme="majorHAnsi" w:hAnsiTheme="majorHAnsi" w:cs="Arial"/>
                <w:b/>
                <w:bCs/>
                <w:sz w:val="16"/>
                <w:szCs w:val="16"/>
              </w:rPr>
            </w:pPr>
          </w:p>
        </w:tc>
        <w:tc>
          <w:tcPr>
            <w:tcW w:w="1413" w:type="dxa"/>
            <w:tcBorders>
              <w:top w:val="nil"/>
              <w:left w:val="nil"/>
              <w:bottom w:val="single" w:sz="4" w:space="0" w:color="auto"/>
              <w:right w:val="single" w:sz="4" w:space="0" w:color="auto"/>
            </w:tcBorders>
            <w:shd w:val="clear" w:color="000000" w:fill="FFFFFF"/>
            <w:vAlign w:val="bottom"/>
            <w:hideMark/>
          </w:tcPr>
          <w:p w14:paraId="6942896A" w14:textId="77777777" w:rsidR="00E06603" w:rsidRPr="00ED67A1" w:rsidRDefault="00E06603" w:rsidP="00CB0E93">
            <w:pPr>
              <w:spacing w:before="0" w:after="0"/>
              <w:ind w:left="57" w:right="57"/>
              <w:jc w:val="right"/>
              <w:rPr>
                <w:rFonts w:asciiTheme="majorHAnsi" w:hAnsiTheme="majorHAnsi" w:cs="Arial"/>
                <w:b/>
                <w:bCs/>
                <w:sz w:val="16"/>
                <w:szCs w:val="16"/>
              </w:rPr>
            </w:pPr>
            <w:r w:rsidRPr="00ED67A1">
              <w:rPr>
                <w:rFonts w:asciiTheme="majorHAnsi" w:hAnsiTheme="majorHAnsi" w:cs="Arial"/>
                <w:b/>
                <w:bCs/>
                <w:sz w:val="16"/>
                <w:szCs w:val="16"/>
              </w:rPr>
              <w:t>By area (ha)</w:t>
            </w:r>
          </w:p>
        </w:tc>
        <w:tc>
          <w:tcPr>
            <w:tcW w:w="1349" w:type="dxa"/>
            <w:tcBorders>
              <w:top w:val="nil"/>
              <w:left w:val="nil"/>
              <w:bottom w:val="single" w:sz="4" w:space="0" w:color="auto"/>
            </w:tcBorders>
            <w:shd w:val="clear" w:color="000000" w:fill="FFFFFF"/>
            <w:vAlign w:val="bottom"/>
            <w:hideMark/>
          </w:tcPr>
          <w:p w14:paraId="389EA756" w14:textId="77777777" w:rsidR="00E06603" w:rsidRPr="00ED67A1" w:rsidRDefault="00E06603" w:rsidP="00CB0E93">
            <w:pPr>
              <w:spacing w:before="0" w:after="0"/>
              <w:ind w:left="57" w:right="57"/>
              <w:jc w:val="right"/>
              <w:rPr>
                <w:rFonts w:asciiTheme="majorHAnsi" w:hAnsiTheme="majorHAnsi" w:cs="Arial"/>
                <w:b/>
                <w:bCs/>
                <w:sz w:val="16"/>
                <w:szCs w:val="16"/>
              </w:rPr>
            </w:pPr>
            <w:r w:rsidRPr="00ED67A1">
              <w:rPr>
                <w:rFonts w:asciiTheme="majorHAnsi" w:hAnsiTheme="majorHAnsi" w:cs="Arial"/>
                <w:b/>
                <w:bCs/>
                <w:sz w:val="16"/>
                <w:szCs w:val="16"/>
              </w:rPr>
              <w:t>By proportion (%)</w:t>
            </w:r>
          </w:p>
        </w:tc>
      </w:tr>
      <w:tr w:rsidR="00E06603" w14:paraId="214D9F5A" w14:textId="77777777" w:rsidTr="004C0DDC">
        <w:trPr>
          <w:trHeight w:val="737"/>
        </w:trPr>
        <w:tc>
          <w:tcPr>
            <w:tcW w:w="2001" w:type="dxa"/>
            <w:tcBorders>
              <w:top w:val="nil"/>
              <w:bottom w:val="nil"/>
              <w:right w:val="single" w:sz="4" w:space="0" w:color="auto"/>
            </w:tcBorders>
            <w:shd w:val="clear" w:color="000000" w:fill="FFFFFF"/>
            <w:vAlign w:val="center"/>
            <w:hideMark/>
          </w:tcPr>
          <w:p w14:paraId="020C763F" w14:textId="77777777" w:rsidR="00E06603" w:rsidRPr="002F2D01" w:rsidRDefault="00E06603" w:rsidP="00CB0E93">
            <w:pPr>
              <w:spacing w:before="0" w:after="0"/>
              <w:ind w:left="57" w:right="57"/>
              <w:rPr>
                <w:rFonts w:asciiTheme="majorHAnsi" w:hAnsiTheme="majorHAnsi" w:cs="Arial"/>
                <w:bCs/>
                <w:sz w:val="16"/>
                <w:szCs w:val="16"/>
              </w:rPr>
            </w:pPr>
            <w:r w:rsidRPr="002F2D01">
              <w:rPr>
                <w:rFonts w:asciiTheme="majorHAnsi" w:hAnsiTheme="majorHAnsi" w:cs="Arial"/>
                <w:bCs/>
                <w:sz w:val="16"/>
                <w:szCs w:val="16"/>
              </w:rPr>
              <w:t xml:space="preserve">Derivation of figures </w:t>
            </w:r>
          </w:p>
          <w:p w14:paraId="73A18751" w14:textId="33210031" w:rsidR="00E06603" w:rsidRPr="002F2D01" w:rsidRDefault="00E06603" w:rsidP="00CB0E93">
            <w:pPr>
              <w:spacing w:before="0" w:after="0"/>
              <w:ind w:left="57" w:right="57"/>
              <w:rPr>
                <w:rFonts w:asciiTheme="majorHAnsi" w:hAnsiTheme="majorHAnsi" w:cs="Arial"/>
                <w:b/>
                <w:bCs/>
                <w:sz w:val="16"/>
                <w:szCs w:val="16"/>
              </w:rPr>
            </w:pPr>
            <w:r w:rsidRPr="002F2D01">
              <w:rPr>
                <w:rFonts w:asciiTheme="majorHAnsi" w:hAnsiTheme="majorHAnsi" w:cs="Arial"/>
                <w:bCs/>
                <w:sz w:val="16"/>
                <w:szCs w:val="16"/>
              </w:rPr>
              <w:t>(Column codes from Tables 1 and 3)</w:t>
            </w:r>
          </w:p>
        </w:tc>
        <w:tc>
          <w:tcPr>
            <w:tcW w:w="1551" w:type="dxa"/>
            <w:tcBorders>
              <w:top w:val="nil"/>
              <w:left w:val="nil"/>
              <w:bottom w:val="nil"/>
              <w:right w:val="single" w:sz="4" w:space="0" w:color="auto"/>
            </w:tcBorders>
            <w:shd w:val="clear" w:color="000000" w:fill="FFFFFF"/>
            <w:vAlign w:val="center"/>
            <w:hideMark/>
          </w:tcPr>
          <w:p w14:paraId="16D12125" w14:textId="77777777" w:rsidR="00E06603" w:rsidRPr="002F2D01" w:rsidRDefault="00E06603"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 </w:t>
            </w:r>
          </w:p>
        </w:tc>
        <w:tc>
          <w:tcPr>
            <w:tcW w:w="1839" w:type="dxa"/>
            <w:tcBorders>
              <w:top w:val="nil"/>
              <w:left w:val="nil"/>
              <w:bottom w:val="nil"/>
              <w:right w:val="single" w:sz="4" w:space="0" w:color="auto"/>
            </w:tcBorders>
            <w:shd w:val="clear" w:color="000000" w:fill="FFFFFF"/>
            <w:noWrap/>
            <w:vAlign w:val="center"/>
            <w:hideMark/>
          </w:tcPr>
          <w:p w14:paraId="6FF13F83" w14:textId="214A9FF2" w:rsidR="00E06603" w:rsidRPr="002F2D01" w:rsidRDefault="0024614C" w:rsidP="00CB0E93">
            <w:pPr>
              <w:spacing w:before="0" w:after="0"/>
              <w:ind w:left="57" w:right="57"/>
              <w:jc w:val="right"/>
              <w:rPr>
                <w:rFonts w:asciiTheme="majorHAnsi" w:hAnsiTheme="majorHAnsi" w:cs="Arial"/>
                <w:bCs/>
                <w:sz w:val="16"/>
                <w:szCs w:val="16"/>
              </w:rPr>
            </w:pPr>
            <w:r w:rsidRPr="002F2D01">
              <w:rPr>
                <w:rFonts w:asciiTheme="majorHAnsi" w:hAnsiTheme="majorHAnsi" w:cs="Arial"/>
                <w:bCs/>
                <w:sz w:val="16"/>
                <w:szCs w:val="16"/>
              </w:rPr>
              <w:t>=</w:t>
            </w:r>
            <w:r w:rsidR="00E06603" w:rsidRPr="002F2D01">
              <w:rPr>
                <w:rFonts w:asciiTheme="majorHAnsi" w:hAnsiTheme="majorHAnsi" w:cs="Arial"/>
                <w:bCs/>
                <w:sz w:val="16"/>
                <w:szCs w:val="16"/>
              </w:rPr>
              <w:t>L-E</w:t>
            </w:r>
          </w:p>
        </w:tc>
        <w:tc>
          <w:tcPr>
            <w:tcW w:w="1883" w:type="dxa"/>
            <w:tcBorders>
              <w:top w:val="nil"/>
              <w:left w:val="nil"/>
              <w:bottom w:val="nil"/>
              <w:right w:val="single" w:sz="4" w:space="0" w:color="auto"/>
            </w:tcBorders>
            <w:shd w:val="clear" w:color="000000" w:fill="FFFFFF"/>
            <w:vAlign w:val="center"/>
            <w:hideMark/>
          </w:tcPr>
          <w:p w14:paraId="151E71D7" w14:textId="45FADE9F" w:rsidR="00E06603" w:rsidRPr="002F2D01" w:rsidRDefault="0024614C" w:rsidP="00CB0E93">
            <w:pPr>
              <w:spacing w:before="0" w:after="0"/>
              <w:ind w:left="57" w:right="57"/>
              <w:jc w:val="right"/>
              <w:rPr>
                <w:rFonts w:asciiTheme="majorHAnsi" w:hAnsiTheme="majorHAnsi" w:cs="Arial"/>
                <w:bCs/>
                <w:sz w:val="16"/>
                <w:szCs w:val="16"/>
              </w:rPr>
            </w:pPr>
            <w:r w:rsidRPr="002F2D01">
              <w:rPr>
                <w:rFonts w:asciiTheme="majorHAnsi" w:hAnsiTheme="majorHAnsi" w:cs="Arial"/>
                <w:bCs/>
                <w:sz w:val="16"/>
                <w:szCs w:val="16"/>
              </w:rPr>
              <w:t>=</w:t>
            </w:r>
            <w:r w:rsidR="00E06603" w:rsidRPr="002F2D01">
              <w:rPr>
                <w:rFonts w:asciiTheme="majorHAnsi" w:hAnsiTheme="majorHAnsi" w:cs="Arial"/>
                <w:bCs/>
                <w:sz w:val="16"/>
                <w:szCs w:val="16"/>
              </w:rPr>
              <w:t>M-D</w:t>
            </w:r>
          </w:p>
        </w:tc>
        <w:tc>
          <w:tcPr>
            <w:tcW w:w="1661" w:type="dxa"/>
            <w:tcBorders>
              <w:top w:val="nil"/>
              <w:left w:val="nil"/>
              <w:bottom w:val="nil"/>
              <w:right w:val="single" w:sz="4" w:space="0" w:color="auto"/>
            </w:tcBorders>
            <w:shd w:val="clear" w:color="000000" w:fill="FFFFFF"/>
            <w:noWrap/>
            <w:vAlign w:val="center"/>
            <w:hideMark/>
          </w:tcPr>
          <w:p w14:paraId="4C01F249" w14:textId="6B35136B" w:rsidR="00E06603" w:rsidRPr="002F2D01" w:rsidRDefault="0024614C" w:rsidP="00CB0E93">
            <w:pPr>
              <w:spacing w:before="0" w:after="0"/>
              <w:ind w:left="57" w:right="57"/>
              <w:jc w:val="right"/>
              <w:rPr>
                <w:rFonts w:asciiTheme="majorHAnsi" w:hAnsiTheme="majorHAnsi" w:cs="Arial"/>
                <w:bCs/>
                <w:sz w:val="16"/>
                <w:szCs w:val="16"/>
              </w:rPr>
            </w:pPr>
            <w:r w:rsidRPr="002F2D01">
              <w:rPr>
                <w:rFonts w:asciiTheme="majorHAnsi" w:hAnsiTheme="majorHAnsi" w:cs="Arial"/>
                <w:bCs/>
                <w:sz w:val="16"/>
                <w:szCs w:val="16"/>
              </w:rPr>
              <w:t>=</w:t>
            </w:r>
            <w:r w:rsidR="00E06603" w:rsidRPr="002F2D01">
              <w:rPr>
                <w:rFonts w:asciiTheme="majorHAnsi" w:hAnsiTheme="majorHAnsi" w:cs="Arial"/>
                <w:bCs/>
                <w:sz w:val="16"/>
                <w:szCs w:val="16"/>
              </w:rPr>
              <w:t>N-H</w:t>
            </w:r>
          </w:p>
        </w:tc>
        <w:tc>
          <w:tcPr>
            <w:tcW w:w="1993" w:type="dxa"/>
            <w:tcBorders>
              <w:top w:val="nil"/>
              <w:left w:val="nil"/>
              <w:bottom w:val="nil"/>
              <w:right w:val="single" w:sz="4" w:space="0" w:color="auto"/>
            </w:tcBorders>
            <w:shd w:val="clear" w:color="000000" w:fill="FFFFFF"/>
            <w:noWrap/>
            <w:vAlign w:val="center"/>
            <w:hideMark/>
          </w:tcPr>
          <w:p w14:paraId="01B8C8AB" w14:textId="45D630BC" w:rsidR="00E06603" w:rsidRPr="002F2D01" w:rsidRDefault="0024614C" w:rsidP="00CB0E93">
            <w:pPr>
              <w:spacing w:before="0" w:after="0"/>
              <w:ind w:left="57" w:right="57"/>
              <w:jc w:val="right"/>
              <w:rPr>
                <w:rFonts w:asciiTheme="majorHAnsi" w:hAnsiTheme="majorHAnsi" w:cs="Arial"/>
                <w:bCs/>
                <w:sz w:val="16"/>
                <w:szCs w:val="16"/>
              </w:rPr>
            </w:pPr>
            <w:r w:rsidRPr="002F2D01">
              <w:rPr>
                <w:rFonts w:asciiTheme="majorHAnsi" w:hAnsiTheme="majorHAnsi" w:cs="Arial"/>
                <w:bCs/>
                <w:sz w:val="16"/>
                <w:szCs w:val="16"/>
              </w:rPr>
              <w:t>=</w:t>
            </w:r>
            <w:r w:rsidR="00E06603" w:rsidRPr="002F2D01">
              <w:rPr>
                <w:rFonts w:asciiTheme="majorHAnsi" w:hAnsiTheme="majorHAnsi" w:cs="Arial"/>
                <w:bCs/>
                <w:sz w:val="16"/>
                <w:szCs w:val="16"/>
              </w:rPr>
              <w:t>O-I</w:t>
            </w:r>
          </w:p>
        </w:tc>
        <w:tc>
          <w:tcPr>
            <w:tcW w:w="0" w:type="auto"/>
            <w:tcBorders>
              <w:top w:val="nil"/>
              <w:left w:val="nil"/>
              <w:bottom w:val="nil"/>
              <w:right w:val="single" w:sz="4" w:space="0" w:color="auto"/>
            </w:tcBorders>
            <w:shd w:val="clear" w:color="000000" w:fill="FFFFFF"/>
            <w:noWrap/>
            <w:vAlign w:val="center"/>
            <w:hideMark/>
          </w:tcPr>
          <w:p w14:paraId="28F6FC0C" w14:textId="61FE8A8D" w:rsidR="00E06603" w:rsidRPr="002F2D01" w:rsidRDefault="0024614C" w:rsidP="00CB0E93">
            <w:pPr>
              <w:spacing w:before="0" w:after="0"/>
              <w:ind w:left="57" w:right="57"/>
              <w:jc w:val="right"/>
              <w:rPr>
                <w:rFonts w:asciiTheme="majorHAnsi" w:hAnsiTheme="majorHAnsi" w:cs="Arial"/>
                <w:bCs/>
                <w:sz w:val="16"/>
                <w:szCs w:val="16"/>
              </w:rPr>
            </w:pPr>
            <w:r w:rsidRPr="002F2D01">
              <w:rPr>
                <w:rFonts w:asciiTheme="majorHAnsi" w:hAnsiTheme="majorHAnsi" w:cs="Arial"/>
                <w:bCs/>
                <w:sz w:val="16"/>
                <w:szCs w:val="16"/>
              </w:rPr>
              <w:t>=</w:t>
            </w:r>
            <w:r w:rsidR="00E06603" w:rsidRPr="002F2D01">
              <w:rPr>
                <w:rFonts w:asciiTheme="majorHAnsi" w:hAnsiTheme="majorHAnsi" w:cs="Arial"/>
                <w:bCs/>
                <w:sz w:val="16"/>
                <w:szCs w:val="16"/>
              </w:rPr>
              <w:t>P-K</w:t>
            </w:r>
          </w:p>
        </w:tc>
        <w:tc>
          <w:tcPr>
            <w:tcW w:w="0" w:type="auto"/>
            <w:tcBorders>
              <w:top w:val="nil"/>
              <w:left w:val="nil"/>
              <w:bottom w:val="nil"/>
            </w:tcBorders>
            <w:shd w:val="clear" w:color="000000" w:fill="FFFFFF"/>
            <w:noWrap/>
            <w:vAlign w:val="center"/>
            <w:hideMark/>
          </w:tcPr>
          <w:p w14:paraId="26302D7B" w14:textId="6D484661" w:rsidR="00E06603" w:rsidRPr="002F2D01" w:rsidRDefault="0024614C" w:rsidP="00CB0E93">
            <w:pPr>
              <w:spacing w:before="0" w:after="0"/>
              <w:ind w:left="57" w:right="57"/>
              <w:jc w:val="right"/>
              <w:rPr>
                <w:rFonts w:asciiTheme="majorHAnsi" w:hAnsiTheme="majorHAnsi" w:cs="Arial"/>
                <w:bCs/>
                <w:sz w:val="16"/>
                <w:szCs w:val="16"/>
              </w:rPr>
            </w:pPr>
            <w:r w:rsidRPr="002F2D01">
              <w:rPr>
                <w:rFonts w:asciiTheme="majorHAnsi" w:hAnsiTheme="majorHAnsi" w:cs="Arial"/>
                <w:bCs/>
                <w:sz w:val="16"/>
                <w:szCs w:val="16"/>
              </w:rPr>
              <w:t>=</w:t>
            </w:r>
            <w:r w:rsidR="00E06603" w:rsidRPr="002F2D01">
              <w:rPr>
                <w:rFonts w:asciiTheme="majorHAnsi" w:hAnsiTheme="majorHAnsi" w:cs="Arial"/>
                <w:bCs/>
                <w:sz w:val="16"/>
                <w:szCs w:val="16"/>
              </w:rPr>
              <w:t>(P-K)/K</w:t>
            </w:r>
          </w:p>
        </w:tc>
      </w:tr>
      <w:tr w:rsidR="00E06603" w14:paraId="6F084E41" w14:textId="77777777" w:rsidTr="00C935F0">
        <w:trPr>
          <w:trHeight w:val="340"/>
        </w:trPr>
        <w:tc>
          <w:tcPr>
            <w:tcW w:w="13690" w:type="dxa"/>
            <w:gridSpan w:val="8"/>
            <w:tcBorders>
              <w:top w:val="single" w:sz="4" w:space="0" w:color="auto"/>
              <w:bottom w:val="single" w:sz="4" w:space="0" w:color="auto"/>
            </w:tcBorders>
            <w:shd w:val="clear" w:color="auto" w:fill="auto"/>
            <w:vAlign w:val="center"/>
            <w:hideMark/>
          </w:tcPr>
          <w:p w14:paraId="39E7071A" w14:textId="77777777" w:rsidR="00E06603" w:rsidRPr="002F2D01" w:rsidRDefault="00E06603"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New South Wales</w:t>
            </w:r>
          </w:p>
        </w:tc>
      </w:tr>
      <w:tr w:rsidR="00E06603" w14:paraId="31B9F471"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2CAEFD57" w14:textId="77777777" w:rsidR="00E06603" w:rsidRPr="00F435C6" w:rsidRDefault="00E06603" w:rsidP="00CB0E93">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Eden</w:t>
            </w:r>
          </w:p>
        </w:tc>
        <w:tc>
          <w:tcPr>
            <w:tcW w:w="1551" w:type="dxa"/>
            <w:tcBorders>
              <w:top w:val="nil"/>
              <w:left w:val="nil"/>
              <w:bottom w:val="nil"/>
              <w:right w:val="single" w:sz="4" w:space="0" w:color="auto"/>
            </w:tcBorders>
            <w:shd w:val="clear" w:color="000000" w:fill="FFFFFF"/>
            <w:vAlign w:val="center"/>
            <w:hideMark/>
          </w:tcPr>
          <w:p w14:paraId="5039B178"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505A31A4"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hideMark/>
          </w:tcPr>
          <w:p w14:paraId="2F2F53BF" w14:textId="5A59ED63"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45AC80D5"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34,080</w:t>
            </w:r>
          </w:p>
        </w:tc>
        <w:tc>
          <w:tcPr>
            <w:tcW w:w="1993" w:type="dxa"/>
            <w:tcBorders>
              <w:top w:val="nil"/>
              <w:left w:val="nil"/>
              <w:bottom w:val="nil"/>
              <w:right w:val="single" w:sz="4" w:space="0" w:color="auto"/>
            </w:tcBorders>
            <w:shd w:val="clear" w:color="auto" w:fill="FFFFFF" w:themeFill="background1"/>
            <w:noWrap/>
            <w:vAlign w:val="center"/>
            <w:hideMark/>
          </w:tcPr>
          <w:p w14:paraId="05D738EF"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2,459</w:t>
            </w:r>
          </w:p>
        </w:tc>
        <w:tc>
          <w:tcPr>
            <w:tcW w:w="0" w:type="auto"/>
            <w:tcBorders>
              <w:top w:val="nil"/>
              <w:left w:val="nil"/>
              <w:bottom w:val="nil"/>
              <w:right w:val="single" w:sz="4" w:space="0" w:color="auto"/>
            </w:tcBorders>
            <w:shd w:val="clear" w:color="auto" w:fill="FFFFFF" w:themeFill="background1"/>
            <w:noWrap/>
            <w:vAlign w:val="center"/>
            <w:hideMark/>
          </w:tcPr>
          <w:p w14:paraId="2CAFDC3A"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36,539</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71A067C5"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14</w:t>
            </w:r>
          </w:p>
        </w:tc>
      </w:tr>
      <w:tr w:rsidR="00E06603" w14:paraId="5FB3D3F1" w14:textId="77777777" w:rsidTr="004C0DDC">
        <w:trPr>
          <w:trHeight w:val="20"/>
        </w:trPr>
        <w:tc>
          <w:tcPr>
            <w:tcW w:w="2001" w:type="dxa"/>
            <w:vMerge/>
            <w:tcBorders>
              <w:top w:val="nil"/>
              <w:bottom w:val="single" w:sz="4" w:space="0" w:color="000000"/>
              <w:right w:val="single" w:sz="4" w:space="0" w:color="auto"/>
            </w:tcBorders>
            <w:vAlign w:val="center"/>
            <w:hideMark/>
          </w:tcPr>
          <w:p w14:paraId="45E360E7" w14:textId="77777777" w:rsidR="00E06603" w:rsidRPr="00F435C6" w:rsidRDefault="00E06603" w:rsidP="00CB0E93">
            <w:pPr>
              <w:spacing w:before="0" w:after="0"/>
              <w:ind w:left="57" w:right="57"/>
              <w:rPr>
                <w:rFonts w:asciiTheme="majorHAnsi" w:hAnsiTheme="majorHAnsi" w:cs="Arial"/>
                <w:bCs/>
                <w:sz w:val="16"/>
                <w:szCs w:val="16"/>
              </w:rPr>
            </w:pPr>
          </w:p>
        </w:tc>
        <w:tc>
          <w:tcPr>
            <w:tcW w:w="1551" w:type="dxa"/>
            <w:tcBorders>
              <w:top w:val="nil"/>
              <w:left w:val="nil"/>
              <w:bottom w:val="nil"/>
              <w:right w:val="single" w:sz="4" w:space="0" w:color="auto"/>
            </w:tcBorders>
            <w:shd w:val="clear" w:color="000000" w:fill="FFFFFF"/>
            <w:vAlign w:val="center"/>
            <w:hideMark/>
          </w:tcPr>
          <w:p w14:paraId="3F094D31"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62E33162"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40EA5B9C" w14:textId="6166D734"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79C955CC"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678</w:t>
            </w:r>
          </w:p>
        </w:tc>
        <w:tc>
          <w:tcPr>
            <w:tcW w:w="1993" w:type="dxa"/>
            <w:tcBorders>
              <w:top w:val="nil"/>
              <w:left w:val="nil"/>
              <w:bottom w:val="nil"/>
              <w:right w:val="single" w:sz="4" w:space="0" w:color="auto"/>
            </w:tcBorders>
            <w:shd w:val="clear" w:color="auto" w:fill="FFFFFF" w:themeFill="background1"/>
            <w:noWrap/>
            <w:vAlign w:val="center"/>
            <w:hideMark/>
          </w:tcPr>
          <w:p w14:paraId="3BED630E"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24</w:t>
            </w:r>
          </w:p>
        </w:tc>
        <w:tc>
          <w:tcPr>
            <w:tcW w:w="0" w:type="auto"/>
            <w:tcBorders>
              <w:top w:val="nil"/>
              <w:left w:val="nil"/>
              <w:bottom w:val="nil"/>
              <w:right w:val="single" w:sz="4" w:space="0" w:color="auto"/>
            </w:tcBorders>
            <w:shd w:val="clear" w:color="auto" w:fill="FFFFFF" w:themeFill="background1"/>
            <w:noWrap/>
            <w:vAlign w:val="center"/>
            <w:hideMark/>
          </w:tcPr>
          <w:p w14:paraId="1CFDD1F3"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702</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506C2427"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7</w:t>
            </w:r>
          </w:p>
        </w:tc>
      </w:tr>
      <w:tr w:rsidR="00E06603" w14:paraId="29C583D2" w14:textId="77777777" w:rsidTr="004C0DDC">
        <w:trPr>
          <w:trHeight w:val="20"/>
        </w:trPr>
        <w:tc>
          <w:tcPr>
            <w:tcW w:w="2001" w:type="dxa"/>
            <w:vMerge/>
            <w:tcBorders>
              <w:top w:val="nil"/>
              <w:bottom w:val="single" w:sz="4" w:space="0" w:color="000000"/>
              <w:right w:val="single" w:sz="4" w:space="0" w:color="auto"/>
            </w:tcBorders>
            <w:vAlign w:val="center"/>
            <w:hideMark/>
          </w:tcPr>
          <w:p w14:paraId="10D6B459" w14:textId="77777777" w:rsidR="00E06603" w:rsidRPr="00F435C6" w:rsidRDefault="00E06603" w:rsidP="00CB0E93">
            <w:pPr>
              <w:spacing w:before="0" w:after="0"/>
              <w:ind w:left="57" w:right="57"/>
              <w:rPr>
                <w:rFonts w:asciiTheme="majorHAnsi" w:hAnsiTheme="majorHAnsi" w:cs="Arial"/>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17D16E1C"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5879EF5A"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single" w:sz="4" w:space="0" w:color="auto"/>
              <w:right w:val="single" w:sz="4" w:space="0" w:color="auto"/>
            </w:tcBorders>
            <w:shd w:val="clear" w:color="auto" w:fill="FFFFFF" w:themeFill="background1"/>
            <w:noWrap/>
            <w:vAlign w:val="center"/>
          </w:tcPr>
          <w:p w14:paraId="58E03EF6" w14:textId="415ADA68"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2DDC5975"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34,758</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79609B2B"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2,483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A2DAD45"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37,241</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155CF23B"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14</w:t>
            </w:r>
          </w:p>
        </w:tc>
      </w:tr>
      <w:tr w:rsidR="00E06603" w14:paraId="4691B50D"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195EE695" w14:textId="77777777" w:rsidR="00E06603" w:rsidRPr="00F435C6" w:rsidRDefault="00E06603" w:rsidP="00CB0E93">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Upper North East</w:t>
            </w:r>
          </w:p>
        </w:tc>
        <w:tc>
          <w:tcPr>
            <w:tcW w:w="1551" w:type="dxa"/>
            <w:tcBorders>
              <w:top w:val="nil"/>
              <w:left w:val="nil"/>
              <w:bottom w:val="nil"/>
              <w:right w:val="single" w:sz="4" w:space="0" w:color="auto"/>
            </w:tcBorders>
            <w:shd w:val="clear" w:color="000000" w:fill="FFFFFF"/>
            <w:vAlign w:val="center"/>
            <w:hideMark/>
          </w:tcPr>
          <w:p w14:paraId="68C0AD0E"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42BBE480"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3D39EA5A" w14:textId="55798C90"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71E04F17"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196,035</w:t>
            </w:r>
          </w:p>
        </w:tc>
        <w:tc>
          <w:tcPr>
            <w:tcW w:w="1993" w:type="dxa"/>
            <w:tcBorders>
              <w:top w:val="nil"/>
              <w:left w:val="nil"/>
              <w:bottom w:val="nil"/>
              <w:right w:val="single" w:sz="4" w:space="0" w:color="auto"/>
            </w:tcBorders>
            <w:shd w:val="clear" w:color="auto" w:fill="FFFFFF" w:themeFill="background1"/>
            <w:noWrap/>
            <w:vAlign w:val="center"/>
            <w:hideMark/>
          </w:tcPr>
          <w:p w14:paraId="454721BD"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-56,780</w:t>
            </w:r>
          </w:p>
        </w:tc>
        <w:tc>
          <w:tcPr>
            <w:tcW w:w="0" w:type="auto"/>
            <w:tcBorders>
              <w:top w:val="nil"/>
              <w:left w:val="nil"/>
              <w:bottom w:val="nil"/>
              <w:right w:val="single" w:sz="4" w:space="0" w:color="auto"/>
            </w:tcBorders>
            <w:shd w:val="clear" w:color="auto" w:fill="FFFFFF" w:themeFill="background1"/>
            <w:noWrap/>
            <w:vAlign w:val="center"/>
            <w:hideMark/>
          </w:tcPr>
          <w:p w14:paraId="54E61737"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139,254</w:t>
            </w:r>
          </w:p>
        </w:tc>
        <w:tc>
          <w:tcPr>
            <w:tcW w:w="1349" w:type="dxa"/>
            <w:tcBorders>
              <w:top w:val="nil"/>
              <w:left w:val="nil"/>
              <w:bottom w:val="nil"/>
            </w:tcBorders>
            <w:shd w:val="clear" w:color="auto" w:fill="FFFFFF" w:themeFill="background1"/>
            <w:tcMar>
              <w:top w:w="0" w:type="dxa"/>
              <w:left w:w="0" w:type="dxa"/>
              <w:bottom w:w="0" w:type="dxa"/>
              <w:right w:w="180" w:type="dxa"/>
            </w:tcMar>
            <w:vAlign w:val="center"/>
            <w:hideMark/>
          </w:tcPr>
          <w:p w14:paraId="1A1584BB"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21</w:t>
            </w:r>
          </w:p>
        </w:tc>
      </w:tr>
      <w:tr w:rsidR="00E06603" w14:paraId="4F0CD170" w14:textId="77777777" w:rsidTr="004C0DDC">
        <w:trPr>
          <w:trHeight w:val="20"/>
        </w:trPr>
        <w:tc>
          <w:tcPr>
            <w:tcW w:w="2001" w:type="dxa"/>
            <w:vMerge/>
            <w:tcBorders>
              <w:top w:val="nil"/>
              <w:bottom w:val="single" w:sz="4" w:space="0" w:color="000000"/>
              <w:right w:val="single" w:sz="4" w:space="0" w:color="auto"/>
            </w:tcBorders>
            <w:vAlign w:val="center"/>
            <w:hideMark/>
          </w:tcPr>
          <w:p w14:paraId="5EDB99A0" w14:textId="77777777" w:rsidR="00E06603" w:rsidRPr="00F435C6" w:rsidRDefault="00E06603" w:rsidP="00CB0E93">
            <w:pPr>
              <w:spacing w:before="0" w:after="0"/>
              <w:ind w:left="57" w:right="57"/>
              <w:rPr>
                <w:rFonts w:asciiTheme="majorHAnsi" w:hAnsiTheme="majorHAnsi" w:cs="Arial"/>
                <w:bCs/>
                <w:sz w:val="16"/>
                <w:szCs w:val="16"/>
              </w:rPr>
            </w:pPr>
          </w:p>
        </w:tc>
        <w:tc>
          <w:tcPr>
            <w:tcW w:w="1551" w:type="dxa"/>
            <w:tcBorders>
              <w:top w:val="nil"/>
              <w:left w:val="nil"/>
              <w:bottom w:val="nil"/>
              <w:right w:val="single" w:sz="4" w:space="0" w:color="auto"/>
            </w:tcBorders>
            <w:shd w:val="clear" w:color="000000" w:fill="FFFFFF"/>
            <w:vAlign w:val="center"/>
            <w:hideMark/>
          </w:tcPr>
          <w:p w14:paraId="29A16A2A"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30729B56"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37BDF00F" w14:textId="331266C6"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0CAF43AC"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9,842</w:t>
            </w:r>
          </w:p>
        </w:tc>
        <w:tc>
          <w:tcPr>
            <w:tcW w:w="1993" w:type="dxa"/>
            <w:tcBorders>
              <w:top w:val="nil"/>
              <w:left w:val="nil"/>
              <w:bottom w:val="nil"/>
              <w:right w:val="single" w:sz="4" w:space="0" w:color="auto"/>
            </w:tcBorders>
            <w:shd w:val="clear" w:color="auto" w:fill="FFFFFF" w:themeFill="background1"/>
            <w:noWrap/>
            <w:vAlign w:val="center"/>
            <w:hideMark/>
          </w:tcPr>
          <w:p w14:paraId="3AC3D741"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-6,640</w:t>
            </w:r>
          </w:p>
        </w:tc>
        <w:tc>
          <w:tcPr>
            <w:tcW w:w="0" w:type="auto"/>
            <w:tcBorders>
              <w:top w:val="nil"/>
              <w:left w:val="nil"/>
              <w:bottom w:val="nil"/>
              <w:right w:val="single" w:sz="4" w:space="0" w:color="auto"/>
            </w:tcBorders>
            <w:shd w:val="clear" w:color="auto" w:fill="FFFFFF" w:themeFill="background1"/>
            <w:noWrap/>
            <w:vAlign w:val="center"/>
            <w:hideMark/>
          </w:tcPr>
          <w:p w14:paraId="0625B42E"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3,202</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6F7DFAD6"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8</w:t>
            </w:r>
          </w:p>
        </w:tc>
      </w:tr>
      <w:tr w:rsidR="00E06603" w14:paraId="78950869" w14:textId="77777777" w:rsidTr="004C0DDC">
        <w:trPr>
          <w:trHeight w:val="20"/>
        </w:trPr>
        <w:tc>
          <w:tcPr>
            <w:tcW w:w="2001" w:type="dxa"/>
            <w:vMerge/>
            <w:tcBorders>
              <w:top w:val="nil"/>
              <w:bottom w:val="single" w:sz="4" w:space="0" w:color="000000"/>
              <w:right w:val="single" w:sz="4" w:space="0" w:color="auto"/>
            </w:tcBorders>
            <w:vAlign w:val="center"/>
            <w:hideMark/>
          </w:tcPr>
          <w:p w14:paraId="39CB8C88" w14:textId="77777777" w:rsidR="00E06603" w:rsidRPr="00F435C6" w:rsidRDefault="00E06603" w:rsidP="00CB0E93">
            <w:pPr>
              <w:spacing w:before="0" w:after="0"/>
              <w:ind w:left="57" w:right="57"/>
              <w:rPr>
                <w:rFonts w:asciiTheme="majorHAnsi" w:hAnsiTheme="majorHAnsi" w:cs="Arial"/>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50DB04E3"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D575D3D"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single" w:sz="4" w:space="0" w:color="auto"/>
              <w:right w:val="single" w:sz="4" w:space="0" w:color="auto"/>
            </w:tcBorders>
            <w:shd w:val="clear" w:color="auto" w:fill="FFFFFF" w:themeFill="background1"/>
            <w:noWrap/>
            <w:vAlign w:val="center"/>
          </w:tcPr>
          <w:p w14:paraId="1BA0F921" w14:textId="63FD9A6F"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09822628"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205,877</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60FE84BA"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-63,420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F36B641"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142,456</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10FA978F"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20</w:t>
            </w:r>
          </w:p>
        </w:tc>
      </w:tr>
      <w:tr w:rsidR="00E06603" w14:paraId="385170BC"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08709E95" w14:textId="77777777" w:rsidR="00E06603" w:rsidRPr="00F435C6" w:rsidRDefault="00E06603" w:rsidP="00CB0E93">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Lower North East</w:t>
            </w:r>
          </w:p>
        </w:tc>
        <w:tc>
          <w:tcPr>
            <w:tcW w:w="1551" w:type="dxa"/>
            <w:tcBorders>
              <w:top w:val="nil"/>
              <w:left w:val="nil"/>
              <w:bottom w:val="nil"/>
              <w:right w:val="single" w:sz="4" w:space="0" w:color="auto"/>
            </w:tcBorders>
            <w:shd w:val="clear" w:color="000000" w:fill="FFFFFF"/>
            <w:vAlign w:val="center"/>
            <w:hideMark/>
          </w:tcPr>
          <w:p w14:paraId="6380661C"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4FDA31EA"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00B9AD83" w14:textId="131A92BB"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6E422359"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216,009</w:t>
            </w:r>
          </w:p>
        </w:tc>
        <w:tc>
          <w:tcPr>
            <w:tcW w:w="1993" w:type="dxa"/>
            <w:tcBorders>
              <w:top w:val="nil"/>
              <w:left w:val="nil"/>
              <w:bottom w:val="nil"/>
              <w:right w:val="single" w:sz="4" w:space="0" w:color="auto"/>
            </w:tcBorders>
            <w:shd w:val="clear" w:color="auto" w:fill="FFFFFF" w:themeFill="background1"/>
            <w:noWrap/>
            <w:vAlign w:val="center"/>
            <w:hideMark/>
          </w:tcPr>
          <w:p w14:paraId="7A530657"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-74,624</w:t>
            </w:r>
          </w:p>
        </w:tc>
        <w:tc>
          <w:tcPr>
            <w:tcW w:w="0" w:type="auto"/>
            <w:tcBorders>
              <w:top w:val="nil"/>
              <w:left w:val="nil"/>
              <w:bottom w:val="nil"/>
              <w:right w:val="single" w:sz="4" w:space="0" w:color="auto"/>
            </w:tcBorders>
            <w:shd w:val="clear" w:color="auto" w:fill="FFFFFF" w:themeFill="background1"/>
            <w:noWrap/>
            <w:vAlign w:val="center"/>
            <w:hideMark/>
          </w:tcPr>
          <w:p w14:paraId="5E272A78"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141,385</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1F9528F8"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11</w:t>
            </w:r>
          </w:p>
        </w:tc>
      </w:tr>
      <w:tr w:rsidR="00E06603" w14:paraId="2ACCF0E7" w14:textId="77777777" w:rsidTr="004C0DDC">
        <w:trPr>
          <w:trHeight w:val="20"/>
        </w:trPr>
        <w:tc>
          <w:tcPr>
            <w:tcW w:w="2001" w:type="dxa"/>
            <w:vMerge/>
            <w:tcBorders>
              <w:top w:val="nil"/>
              <w:bottom w:val="single" w:sz="4" w:space="0" w:color="000000"/>
              <w:right w:val="single" w:sz="4" w:space="0" w:color="auto"/>
            </w:tcBorders>
            <w:vAlign w:val="center"/>
            <w:hideMark/>
          </w:tcPr>
          <w:p w14:paraId="275EB071" w14:textId="77777777" w:rsidR="00E06603" w:rsidRPr="00F435C6" w:rsidRDefault="00E06603" w:rsidP="00CB0E93">
            <w:pPr>
              <w:spacing w:before="0" w:after="0"/>
              <w:ind w:left="57" w:right="57"/>
              <w:rPr>
                <w:rFonts w:asciiTheme="majorHAnsi" w:hAnsiTheme="majorHAnsi" w:cs="Arial"/>
                <w:bCs/>
                <w:sz w:val="16"/>
                <w:szCs w:val="16"/>
              </w:rPr>
            </w:pPr>
          </w:p>
        </w:tc>
        <w:tc>
          <w:tcPr>
            <w:tcW w:w="1551" w:type="dxa"/>
            <w:tcBorders>
              <w:top w:val="nil"/>
              <w:left w:val="nil"/>
              <w:bottom w:val="nil"/>
              <w:right w:val="single" w:sz="4" w:space="0" w:color="auto"/>
            </w:tcBorders>
            <w:shd w:val="clear" w:color="000000" w:fill="FFFFFF"/>
            <w:vAlign w:val="center"/>
            <w:hideMark/>
          </w:tcPr>
          <w:p w14:paraId="76A3B836"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01DEF5AB"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618352F2" w14:textId="7D7BD3D1"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0612061B"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3,040</w:t>
            </w:r>
          </w:p>
        </w:tc>
        <w:tc>
          <w:tcPr>
            <w:tcW w:w="1993" w:type="dxa"/>
            <w:tcBorders>
              <w:top w:val="nil"/>
              <w:left w:val="nil"/>
              <w:bottom w:val="nil"/>
              <w:right w:val="single" w:sz="4" w:space="0" w:color="auto"/>
            </w:tcBorders>
            <w:shd w:val="clear" w:color="auto" w:fill="FFFFFF" w:themeFill="background1"/>
            <w:noWrap/>
            <w:vAlign w:val="center"/>
            <w:hideMark/>
          </w:tcPr>
          <w:p w14:paraId="7C80EB68"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-1,841</w:t>
            </w:r>
          </w:p>
        </w:tc>
        <w:tc>
          <w:tcPr>
            <w:tcW w:w="0" w:type="auto"/>
            <w:tcBorders>
              <w:top w:val="nil"/>
              <w:left w:val="nil"/>
              <w:bottom w:val="nil"/>
              <w:right w:val="single" w:sz="4" w:space="0" w:color="auto"/>
            </w:tcBorders>
            <w:shd w:val="clear" w:color="auto" w:fill="FFFFFF" w:themeFill="background1"/>
            <w:noWrap/>
            <w:vAlign w:val="center"/>
            <w:hideMark/>
          </w:tcPr>
          <w:p w14:paraId="78D3FE6C"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1,199</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77D468FF"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4</w:t>
            </w:r>
          </w:p>
        </w:tc>
      </w:tr>
      <w:tr w:rsidR="00E06603" w14:paraId="18B7BB2D" w14:textId="77777777" w:rsidTr="004C0DDC">
        <w:trPr>
          <w:trHeight w:val="20"/>
        </w:trPr>
        <w:tc>
          <w:tcPr>
            <w:tcW w:w="2001" w:type="dxa"/>
            <w:vMerge/>
            <w:tcBorders>
              <w:top w:val="nil"/>
              <w:bottom w:val="single" w:sz="4" w:space="0" w:color="000000"/>
              <w:right w:val="single" w:sz="4" w:space="0" w:color="auto"/>
            </w:tcBorders>
            <w:vAlign w:val="center"/>
            <w:hideMark/>
          </w:tcPr>
          <w:p w14:paraId="1342A7E9" w14:textId="77777777" w:rsidR="00E06603" w:rsidRPr="00F435C6" w:rsidRDefault="00E06603" w:rsidP="00CB0E93">
            <w:pPr>
              <w:spacing w:before="0" w:after="0"/>
              <w:ind w:left="57" w:right="57"/>
              <w:rPr>
                <w:rFonts w:asciiTheme="majorHAnsi" w:hAnsiTheme="majorHAnsi" w:cs="Arial"/>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7F304EE3"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B4F51F9"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single" w:sz="4" w:space="0" w:color="auto"/>
              <w:right w:val="single" w:sz="4" w:space="0" w:color="auto"/>
            </w:tcBorders>
            <w:shd w:val="clear" w:color="auto" w:fill="FFFFFF" w:themeFill="background1"/>
            <w:noWrap/>
            <w:vAlign w:val="center"/>
          </w:tcPr>
          <w:p w14:paraId="2D08B2DF" w14:textId="1279E87F"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41C2E0C4"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219,050</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6C358B2E"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-76,465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D294497"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142,584</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13394FD1"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10</w:t>
            </w:r>
          </w:p>
        </w:tc>
      </w:tr>
      <w:tr w:rsidR="00E06603" w14:paraId="2CC2148F"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5B94744E" w14:textId="77777777" w:rsidR="00E06603" w:rsidRPr="00F435C6" w:rsidRDefault="00E06603" w:rsidP="00CB0E93">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Southern NSW</w:t>
            </w:r>
          </w:p>
        </w:tc>
        <w:tc>
          <w:tcPr>
            <w:tcW w:w="1551" w:type="dxa"/>
            <w:tcBorders>
              <w:top w:val="nil"/>
              <w:left w:val="nil"/>
              <w:bottom w:val="nil"/>
              <w:right w:val="single" w:sz="4" w:space="0" w:color="auto"/>
            </w:tcBorders>
            <w:shd w:val="clear" w:color="000000" w:fill="FFFFFF"/>
            <w:vAlign w:val="center"/>
            <w:hideMark/>
          </w:tcPr>
          <w:p w14:paraId="693EAEB3"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24C0E51E"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17226C71" w14:textId="69D91571"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1EA6FBE7"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71,659</w:t>
            </w:r>
          </w:p>
        </w:tc>
        <w:tc>
          <w:tcPr>
            <w:tcW w:w="1993" w:type="dxa"/>
            <w:tcBorders>
              <w:top w:val="nil"/>
              <w:left w:val="nil"/>
              <w:bottom w:val="nil"/>
              <w:right w:val="single" w:sz="4" w:space="0" w:color="auto"/>
            </w:tcBorders>
            <w:shd w:val="clear" w:color="auto" w:fill="FFFFFF" w:themeFill="background1"/>
            <w:noWrap/>
            <w:vAlign w:val="center"/>
            <w:hideMark/>
          </w:tcPr>
          <w:p w14:paraId="071A8006"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-25,988</w:t>
            </w:r>
          </w:p>
        </w:tc>
        <w:tc>
          <w:tcPr>
            <w:tcW w:w="0" w:type="auto"/>
            <w:tcBorders>
              <w:top w:val="nil"/>
              <w:left w:val="nil"/>
              <w:bottom w:val="nil"/>
              <w:right w:val="single" w:sz="4" w:space="0" w:color="auto"/>
            </w:tcBorders>
            <w:shd w:val="clear" w:color="auto" w:fill="FFFFFF" w:themeFill="background1"/>
            <w:noWrap/>
            <w:vAlign w:val="center"/>
            <w:hideMark/>
          </w:tcPr>
          <w:p w14:paraId="1EAE1503"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45,671</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1768DBB9"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3</w:t>
            </w:r>
          </w:p>
        </w:tc>
      </w:tr>
      <w:tr w:rsidR="00E06603" w14:paraId="42184EF6" w14:textId="77777777" w:rsidTr="004C0DDC">
        <w:trPr>
          <w:trHeight w:val="20"/>
        </w:trPr>
        <w:tc>
          <w:tcPr>
            <w:tcW w:w="2001" w:type="dxa"/>
            <w:vMerge/>
            <w:tcBorders>
              <w:top w:val="nil"/>
              <w:bottom w:val="single" w:sz="4" w:space="0" w:color="000000"/>
              <w:right w:val="single" w:sz="4" w:space="0" w:color="auto"/>
            </w:tcBorders>
            <w:vAlign w:val="center"/>
            <w:hideMark/>
          </w:tcPr>
          <w:p w14:paraId="2C9B8F50" w14:textId="77777777" w:rsidR="00E06603" w:rsidRPr="002F2D01" w:rsidRDefault="00E06603"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66D5AFF9"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2ECCE157"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04ED8014" w14:textId="481890ED"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26573EF5"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-87</w:t>
            </w:r>
          </w:p>
        </w:tc>
        <w:tc>
          <w:tcPr>
            <w:tcW w:w="1993" w:type="dxa"/>
            <w:tcBorders>
              <w:top w:val="nil"/>
              <w:left w:val="nil"/>
              <w:bottom w:val="nil"/>
              <w:right w:val="single" w:sz="4" w:space="0" w:color="auto"/>
            </w:tcBorders>
            <w:shd w:val="clear" w:color="auto" w:fill="FFFFFF" w:themeFill="background1"/>
            <w:noWrap/>
            <w:vAlign w:val="center"/>
            <w:hideMark/>
          </w:tcPr>
          <w:p w14:paraId="7C16FF9D"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-292</w:t>
            </w:r>
          </w:p>
        </w:tc>
        <w:tc>
          <w:tcPr>
            <w:tcW w:w="0" w:type="auto"/>
            <w:tcBorders>
              <w:top w:val="nil"/>
              <w:left w:val="nil"/>
              <w:bottom w:val="nil"/>
              <w:right w:val="single" w:sz="4" w:space="0" w:color="auto"/>
            </w:tcBorders>
            <w:shd w:val="clear" w:color="auto" w:fill="FFFFFF" w:themeFill="background1"/>
            <w:noWrap/>
            <w:vAlign w:val="center"/>
            <w:hideMark/>
          </w:tcPr>
          <w:p w14:paraId="1959163C"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-379</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09B6BA5E"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0</w:t>
            </w:r>
          </w:p>
        </w:tc>
      </w:tr>
      <w:tr w:rsidR="00E06603" w14:paraId="1371C433" w14:textId="77777777" w:rsidTr="004C0DDC">
        <w:trPr>
          <w:trHeight w:val="20"/>
        </w:trPr>
        <w:tc>
          <w:tcPr>
            <w:tcW w:w="2001" w:type="dxa"/>
            <w:vMerge/>
            <w:tcBorders>
              <w:top w:val="nil"/>
              <w:bottom w:val="single" w:sz="4" w:space="0" w:color="000000"/>
              <w:right w:val="single" w:sz="4" w:space="0" w:color="auto"/>
            </w:tcBorders>
            <w:vAlign w:val="center"/>
            <w:hideMark/>
          </w:tcPr>
          <w:p w14:paraId="399A10A7" w14:textId="77777777" w:rsidR="00E06603" w:rsidRPr="002F2D01" w:rsidRDefault="00E06603" w:rsidP="00CB0E93">
            <w:pPr>
              <w:spacing w:before="0" w:after="0"/>
              <w:ind w:left="57" w:right="57"/>
              <w:rPr>
                <w:rFonts w:asciiTheme="majorHAnsi" w:hAnsiTheme="majorHAnsi" w:cs="Arial"/>
                <w:b/>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667DB5FA"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FBB1374"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single" w:sz="4" w:space="0" w:color="auto"/>
              <w:right w:val="single" w:sz="4" w:space="0" w:color="auto"/>
            </w:tcBorders>
            <w:shd w:val="clear" w:color="auto" w:fill="FFFFFF" w:themeFill="background1"/>
            <w:noWrap/>
            <w:vAlign w:val="center"/>
          </w:tcPr>
          <w:p w14:paraId="46E64EF6" w14:textId="717CBE1E"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0C701D18"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71,572</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4418E082"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-26,280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969BD50"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45,292</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3890509F"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3</w:t>
            </w:r>
          </w:p>
        </w:tc>
      </w:tr>
      <w:tr w:rsidR="00E06603" w14:paraId="3280431D" w14:textId="77777777" w:rsidTr="004C0DDC">
        <w:trPr>
          <w:trHeight w:val="20"/>
        </w:trPr>
        <w:tc>
          <w:tcPr>
            <w:tcW w:w="2001" w:type="dxa"/>
            <w:vMerge w:val="restart"/>
            <w:tcBorders>
              <w:top w:val="nil"/>
              <w:bottom w:val="nil"/>
              <w:right w:val="single" w:sz="4" w:space="0" w:color="auto"/>
            </w:tcBorders>
            <w:shd w:val="clear" w:color="000000" w:fill="FFFFFF"/>
            <w:vAlign w:val="center"/>
            <w:hideMark/>
          </w:tcPr>
          <w:p w14:paraId="0E80833D" w14:textId="77777777" w:rsidR="00E06603" w:rsidRPr="002F2D01" w:rsidRDefault="00E06603"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 New South Wales RFA regions</w:t>
            </w:r>
          </w:p>
        </w:tc>
        <w:tc>
          <w:tcPr>
            <w:tcW w:w="1551" w:type="dxa"/>
            <w:tcBorders>
              <w:top w:val="nil"/>
              <w:left w:val="nil"/>
              <w:bottom w:val="nil"/>
              <w:right w:val="single" w:sz="4" w:space="0" w:color="auto"/>
            </w:tcBorders>
            <w:shd w:val="clear" w:color="000000" w:fill="FFFFFF"/>
            <w:vAlign w:val="center"/>
            <w:hideMark/>
          </w:tcPr>
          <w:p w14:paraId="7337832A"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33AFD174"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7B0317E5" w14:textId="599685EC"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40B89458"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517,783</w:t>
            </w:r>
          </w:p>
        </w:tc>
        <w:tc>
          <w:tcPr>
            <w:tcW w:w="1993" w:type="dxa"/>
            <w:tcBorders>
              <w:top w:val="nil"/>
              <w:left w:val="nil"/>
              <w:bottom w:val="nil"/>
              <w:right w:val="single" w:sz="4" w:space="0" w:color="auto"/>
            </w:tcBorders>
            <w:shd w:val="clear" w:color="auto" w:fill="FFFFFF" w:themeFill="background1"/>
            <w:noWrap/>
            <w:vAlign w:val="center"/>
            <w:hideMark/>
          </w:tcPr>
          <w:p w14:paraId="041FBA08"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-154,934</w:t>
            </w:r>
          </w:p>
        </w:tc>
        <w:tc>
          <w:tcPr>
            <w:tcW w:w="0" w:type="auto"/>
            <w:tcBorders>
              <w:top w:val="nil"/>
              <w:left w:val="nil"/>
              <w:bottom w:val="nil"/>
              <w:right w:val="single" w:sz="4" w:space="0" w:color="auto"/>
            </w:tcBorders>
            <w:shd w:val="clear" w:color="auto" w:fill="FFFFFF" w:themeFill="background1"/>
            <w:noWrap/>
            <w:vAlign w:val="center"/>
            <w:hideMark/>
          </w:tcPr>
          <w:p w14:paraId="50307203"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362,849</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6D92C443"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10</w:t>
            </w:r>
          </w:p>
        </w:tc>
      </w:tr>
      <w:tr w:rsidR="00E06603" w14:paraId="08A19FDC" w14:textId="77777777" w:rsidTr="004C0DDC">
        <w:trPr>
          <w:trHeight w:val="20"/>
        </w:trPr>
        <w:tc>
          <w:tcPr>
            <w:tcW w:w="2001" w:type="dxa"/>
            <w:vMerge/>
            <w:tcBorders>
              <w:top w:val="nil"/>
              <w:bottom w:val="nil"/>
              <w:right w:val="single" w:sz="4" w:space="0" w:color="auto"/>
            </w:tcBorders>
            <w:vAlign w:val="center"/>
            <w:hideMark/>
          </w:tcPr>
          <w:p w14:paraId="7D9B8447" w14:textId="77777777" w:rsidR="00E06603" w:rsidRPr="002F2D01" w:rsidRDefault="00E06603"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522E8257"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5D4B28D5"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276A5C6E" w14:textId="7E9CA6D7"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3668B4C3"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13,473</w:t>
            </w:r>
          </w:p>
        </w:tc>
        <w:tc>
          <w:tcPr>
            <w:tcW w:w="1993" w:type="dxa"/>
            <w:tcBorders>
              <w:top w:val="nil"/>
              <w:left w:val="nil"/>
              <w:bottom w:val="nil"/>
              <w:right w:val="single" w:sz="4" w:space="0" w:color="auto"/>
            </w:tcBorders>
            <w:shd w:val="clear" w:color="auto" w:fill="FFFFFF" w:themeFill="background1"/>
            <w:noWrap/>
            <w:vAlign w:val="center"/>
            <w:hideMark/>
          </w:tcPr>
          <w:p w14:paraId="69EB7DA5"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-8,749</w:t>
            </w:r>
          </w:p>
        </w:tc>
        <w:tc>
          <w:tcPr>
            <w:tcW w:w="0" w:type="auto"/>
            <w:tcBorders>
              <w:top w:val="nil"/>
              <w:left w:val="nil"/>
              <w:bottom w:val="nil"/>
              <w:right w:val="single" w:sz="4" w:space="0" w:color="auto"/>
            </w:tcBorders>
            <w:shd w:val="clear" w:color="auto" w:fill="FFFFFF" w:themeFill="background1"/>
            <w:noWrap/>
            <w:vAlign w:val="center"/>
            <w:hideMark/>
          </w:tcPr>
          <w:p w14:paraId="0A4016DC"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4,724</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57B9A952"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3</w:t>
            </w:r>
          </w:p>
        </w:tc>
      </w:tr>
      <w:tr w:rsidR="00E06603" w14:paraId="7BBEC48D" w14:textId="77777777" w:rsidTr="004C0DDC">
        <w:trPr>
          <w:trHeight w:val="20"/>
        </w:trPr>
        <w:tc>
          <w:tcPr>
            <w:tcW w:w="2001" w:type="dxa"/>
            <w:vMerge/>
            <w:tcBorders>
              <w:top w:val="nil"/>
              <w:bottom w:val="nil"/>
              <w:right w:val="single" w:sz="4" w:space="0" w:color="auto"/>
            </w:tcBorders>
            <w:vAlign w:val="center"/>
            <w:hideMark/>
          </w:tcPr>
          <w:p w14:paraId="3B7E7212" w14:textId="77777777" w:rsidR="00E06603" w:rsidRPr="002F2D01" w:rsidRDefault="00E06603"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7CEAEA63"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nil"/>
              <w:right w:val="single" w:sz="4" w:space="0" w:color="auto"/>
            </w:tcBorders>
            <w:shd w:val="clear" w:color="auto" w:fill="FFFFFF" w:themeFill="background1"/>
            <w:noWrap/>
            <w:vAlign w:val="center"/>
            <w:hideMark/>
          </w:tcPr>
          <w:p w14:paraId="5B2ECD9A"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883" w:type="dxa"/>
            <w:tcBorders>
              <w:top w:val="nil"/>
              <w:left w:val="nil"/>
              <w:bottom w:val="nil"/>
              <w:right w:val="single" w:sz="4" w:space="0" w:color="auto"/>
            </w:tcBorders>
            <w:shd w:val="clear" w:color="auto" w:fill="FFFFFF" w:themeFill="background1"/>
            <w:noWrap/>
            <w:vAlign w:val="center"/>
          </w:tcPr>
          <w:p w14:paraId="2D926DAE" w14:textId="5AB98CD3" w:rsidR="00E06603" w:rsidRPr="00667E42" w:rsidRDefault="00FD21E9"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1661" w:type="dxa"/>
            <w:tcBorders>
              <w:top w:val="nil"/>
              <w:left w:val="nil"/>
              <w:bottom w:val="nil"/>
              <w:right w:val="single" w:sz="4" w:space="0" w:color="auto"/>
            </w:tcBorders>
            <w:shd w:val="clear" w:color="auto" w:fill="FFFFFF" w:themeFill="background1"/>
            <w:noWrap/>
            <w:vAlign w:val="center"/>
            <w:hideMark/>
          </w:tcPr>
          <w:p w14:paraId="658672CB"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531,256</w:t>
            </w:r>
          </w:p>
        </w:tc>
        <w:tc>
          <w:tcPr>
            <w:tcW w:w="1993" w:type="dxa"/>
            <w:tcBorders>
              <w:top w:val="nil"/>
              <w:left w:val="nil"/>
              <w:bottom w:val="nil"/>
              <w:right w:val="single" w:sz="4" w:space="0" w:color="auto"/>
            </w:tcBorders>
            <w:shd w:val="clear" w:color="auto" w:fill="FFFFFF" w:themeFill="background1"/>
            <w:noWrap/>
            <w:vAlign w:val="center"/>
            <w:hideMark/>
          </w:tcPr>
          <w:p w14:paraId="71EEB3A1"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-163,683</w:t>
            </w:r>
          </w:p>
        </w:tc>
        <w:tc>
          <w:tcPr>
            <w:tcW w:w="0" w:type="auto"/>
            <w:tcBorders>
              <w:top w:val="nil"/>
              <w:left w:val="nil"/>
              <w:bottom w:val="nil"/>
              <w:right w:val="single" w:sz="4" w:space="0" w:color="auto"/>
            </w:tcBorders>
            <w:shd w:val="clear" w:color="auto" w:fill="FFFFFF" w:themeFill="background1"/>
            <w:noWrap/>
            <w:vAlign w:val="center"/>
            <w:hideMark/>
          </w:tcPr>
          <w:p w14:paraId="6D6E182E" w14:textId="77777777" w:rsidR="00E06603" w:rsidRPr="00667E42" w:rsidRDefault="00E06603"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367,573</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33A27DBF" w14:textId="77777777" w:rsidR="00E06603" w:rsidRPr="00667E42" w:rsidRDefault="00E06603"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10</w:t>
            </w:r>
          </w:p>
        </w:tc>
      </w:tr>
      <w:tr w:rsidR="00E06603" w14:paraId="421331DC" w14:textId="77777777" w:rsidTr="00C935F0">
        <w:trPr>
          <w:trHeight w:val="340"/>
        </w:trPr>
        <w:tc>
          <w:tcPr>
            <w:tcW w:w="13690" w:type="dxa"/>
            <w:gridSpan w:val="8"/>
            <w:tcBorders>
              <w:top w:val="single" w:sz="4" w:space="0" w:color="auto"/>
              <w:bottom w:val="single" w:sz="4" w:space="0" w:color="auto"/>
            </w:tcBorders>
            <w:shd w:val="clear" w:color="auto" w:fill="auto"/>
            <w:noWrap/>
            <w:vAlign w:val="center"/>
            <w:hideMark/>
          </w:tcPr>
          <w:p w14:paraId="60874FF4" w14:textId="77777777" w:rsidR="00E06603" w:rsidRPr="00667E42" w:rsidRDefault="00E06603" w:rsidP="00CB0E93">
            <w:pPr>
              <w:spacing w:before="0" w:after="0"/>
              <w:ind w:left="57" w:right="57"/>
              <w:rPr>
                <w:rFonts w:asciiTheme="majorHAnsi" w:hAnsiTheme="majorHAnsi" w:cs="Arial"/>
                <w:b/>
                <w:bCs/>
                <w:sz w:val="16"/>
                <w:szCs w:val="16"/>
              </w:rPr>
            </w:pPr>
            <w:r w:rsidRPr="00667E42">
              <w:rPr>
                <w:rFonts w:asciiTheme="majorHAnsi" w:hAnsiTheme="majorHAnsi" w:cs="Arial"/>
                <w:b/>
                <w:bCs/>
                <w:sz w:val="16"/>
                <w:szCs w:val="16"/>
              </w:rPr>
              <w:t>Tasmania</w:t>
            </w:r>
          </w:p>
        </w:tc>
      </w:tr>
      <w:tr w:rsidR="00E06603" w14:paraId="231BC334" w14:textId="77777777" w:rsidTr="004C0DDC">
        <w:trPr>
          <w:trHeight w:val="20"/>
        </w:trPr>
        <w:tc>
          <w:tcPr>
            <w:tcW w:w="2001" w:type="dxa"/>
            <w:vMerge w:val="restart"/>
            <w:tcBorders>
              <w:top w:val="nil"/>
              <w:bottom w:val="nil"/>
              <w:right w:val="single" w:sz="4" w:space="0" w:color="auto"/>
            </w:tcBorders>
            <w:shd w:val="clear" w:color="000000" w:fill="FFFFFF"/>
            <w:noWrap/>
            <w:vAlign w:val="center"/>
            <w:hideMark/>
          </w:tcPr>
          <w:p w14:paraId="756CA62D" w14:textId="77777777" w:rsidR="00E06603" w:rsidRPr="00F435C6" w:rsidRDefault="00E06603" w:rsidP="00CB0E93">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Tasmanian</w:t>
            </w:r>
          </w:p>
        </w:tc>
        <w:tc>
          <w:tcPr>
            <w:tcW w:w="1551" w:type="dxa"/>
            <w:tcBorders>
              <w:top w:val="nil"/>
              <w:left w:val="nil"/>
              <w:bottom w:val="nil"/>
              <w:right w:val="single" w:sz="4" w:space="0" w:color="auto"/>
            </w:tcBorders>
            <w:shd w:val="clear" w:color="000000" w:fill="FFFFFF"/>
            <w:vAlign w:val="center"/>
            <w:hideMark/>
          </w:tcPr>
          <w:p w14:paraId="643003B5"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210B1E3B"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-152,700</w:t>
            </w:r>
          </w:p>
        </w:tc>
        <w:tc>
          <w:tcPr>
            <w:tcW w:w="1883" w:type="dxa"/>
            <w:tcBorders>
              <w:top w:val="nil"/>
              <w:left w:val="nil"/>
              <w:bottom w:val="nil"/>
              <w:right w:val="single" w:sz="4" w:space="0" w:color="auto"/>
            </w:tcBorders>
            <w:shd w:val="clear" w:color="auto" w:fill="FFFFFF" w:themeFill="background1"/>
            <w:vAlign w:val="center"/>
            <w:hideMark/>
          </w:tcPr>
          <w:p w14:paraId="4293915A"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-49,970</w:t>
            </w:r>
          </w:p>
        </w:tc>
        <w:tc>
          <w:tcPr>
            <w:tcW w:w="1661" w:type="dxa"/>
            <w:tcBorders>
              <w:top w:val="nil"/>
              <w:left w:val="nil"/>
              <w:bottom w:val="nil"/>
              <w:right w:val="single" w:sz="4" w:space="0" w:color="auto"/>
            </w:tcBorders>
            <w:shd w:val="clear" w:color="auto" w:fill="FFFFFF" w:themeFill="background1"/>
            <w:noWrap/>
            <w:vAlign w:val="center"/>
            <w:hideMark/>
          </w:tcPr>
          <w:p w14:paraId="323C1452"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419,960</w:t>
            </w:r>
          </w:p>
        </w:tc>
        <w:tc>
          <w:tcPr>
            <w:tcW w:w="1993" w:type="dxa"/>
            <w:tcBorders>
              <w:top w:val="nil"/>
              <w:left w:val="nil"/>
              <w:bottom w:val="nil"/>
              <w:right w:val="single" w:sz="4" w:space="0" w:color="auto"/>
            </w:tcBorders>
            <w:shd w:val="clear" w:color="auto" w:fill="FFFFFF" w:themeFill="background1"/>
            <w:noWrap/>
            <w:vAlign w:val="center"/>
            <w:hideMark/>
          </w:tcPr>
          <w:p w14:paraId="45E45379" w14:textId="622F636C" w:rsidR="00E06603" w:rsidRPr="00667E42" w:rsidRDefault="00667E42" w:rsidP="00CB0E93">
            <w:pPr>
              <w:spacing w:before="0" w:after="0"/>
              <w:ind w:left="57" w:right="57"/>
              <w:jc w:val="right"/>
              <w:rPr>
                <w:rFonts w:asciiTheme="majorHAnsi" w:hAnsiTheme="majorHAnsi" w:cs="Arial"/>
                <w:sz w:val="16"/>
                <w:szCs w:val="16"/>
              </w:rPr>
            </w:pPr>
            <w:r>
              <w:rPr>
                <w:rFonts w:asciiTheme="majorHAnsi" w:hAnsiTheme="majorHAnsi" w:cs="Arial"/>
                <w:sz w:val="16"/>
                <w:szCs w:val="16"/>
              </w:rPr>
              <w:t>n</w:t>
            </w:r>
            <w:r w:rsidR="00E06603" w:rsidRPr="00667E42">
              <w:rPr>
                <w:rFonts w:asciiTheme="majorHAnsi" w:hAnsiTheme="majorHAnsi" w:cs="Arial"/>
                <w:sz w:val="16"/>
                <w:szCs w:val="16"/>
              </w:rPr>
              <w:t>a</w:t>
            </w:r>
          </w:p>
        </w:tc>
        <w:tc>
          <w:tcPr>
            <w:tcW w:w="0" w:type="auto"/>
            <w:tcBorders>
              <w:top w:val="nil"/>
              <w:left w:val="nil"/>
              <w:bottom w:val="nil"/>
              <w:right w:val="single" w:sz="4" w:space="0" w:color="auto"/>
            </w:tcBorders>
            <w:shd w:val="clear" w:color="auto" w:fill="FFFFFF" w:themeFill="background1"/>
            <w:noWrap/>
            <w:vAlign w:val="center"/>
            <w:hideMark/>
          </w:tcPr>
          <w:p w14:paraId="63631FF2" w14:textId="3422505F"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513,760</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a</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6CCD82B1" w14:textId="5C9F4683" w:rsidR="00E06603" w:rsidRPr="00667E42" w:rsidRDefault="00E06603"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41</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a</w:t>
            </w:r>
          </w:p>
        </w:tc>
      </w:tr>
      <w:tr w:rsidR="00E06603" w14:paraId="45B212E3" w14:textId="77777777" w:rsidTr="004C0DDC">
        <w:trPr>
          <w:trHeight w:val="20"/>
        </w:trPr>
        <w:tc>
          <w:tcPr>
            <w:tcW w:w="2001" w:type="dxa"/>
            <w:vMerge/>
            <w:tcBorders>
              <w:top w:val="nil"/>
              <w:bottom w:val="nil"/>
              <w:right w:val="single" w:sz="4" w:space="0" w:color="auto"/>
            </w:tcBorders>
            <w:vAlign w:val="center"/>
            <w:hideMark/>
          </w:tcPr>
          <w:p w14:paraId="7B1C61F3" w14:textId="77777777" w:rsidR="00E06603" w:rsidRPr="002F2D01" w:rsidRDefault="00E06603"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0AE6B319"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4F717776" w14:textId="0818B3F7" w:rsidR="00E06603" w:rsidRPr="00667E42" w:rsidRDefault="00E06603" w:rsidP="00667E42">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na</w:t>
            </w:r>
          </w:p>
        </w:tc>
        <w:tc>
          <w:tcPr>
            <w:tcW w:w="1883" w:type="dxa"/>
            <w:tcBorders>
              <w:top w:val="nil"/>
              <w:left w:val="nil"/>
              <w:bottom w:val="nil"/>
              <w:right w:val="single" w:sz="4" w:space="0" w:color="auto"/>
            </w:tcBorders>
            <w:shd w:val="clear" w:color="auto" w:fill="FFFFFF" w:themeFill="background1"/>
            <w:noWrap/>
            <w:vAlign w:val="center"/>
            <w:hideMark/>
          </w:tcPr>
          <w:p w14:paraId="4F00B83E" w14:textId="2AE19C34" w:rsidR="00E06603" w:rsidRPr="00667E42" w:rsidRDefault="00667E42" w:rsidP="00667E42">
            <w:pPr>
              <w:spacing w:before="0" w:after="0"/>
              <w:ind w:left="57" w:right="57"/>
              <w:jc w:val="right"/>
              <w:rPr>
                <w:rFonts w:asciiTheme="majorHAnsi" w:hAnsiTheme="majorHAnsi" w:cs="Arial"/>
                <w:sz w:val="16"/>
                <w:szCs w:val="16"/>
              </w:rPr>
            </w:pPr>
            <w:r>
              <w:rPr>
                <w:rFonts w:asciiTheme="majorHAnsi" w:hAnsiTheme="majorHAnsi" w:cs="Arial"/>
                <w:sz w:val="16"/>
                <w:szCs w:val="16"/>
              </w:rPr>
              <w:t>n</w:t>
            </w:r>
            <w:r w:rsidR="00E06603" w:rsidRPr="00667E42">
              <w:rPr>
                <w:rFonts w:asciiTheme="majorHAnsi" w:hAnsiTheme="majorHAnsi" w:cs="Arial"/>
                <w:sz w:val="16"/>
                <w:szCs w:val="16"/>
              </w:rPr>
              <w:t>a</w:t>
            </w:r>
          </w:p>
        </w:tc>
        <w:tc>
          <w:tcPr>
            <w:tcW w:w="1661" w:type="dxa"/>
            <w:tcBorders>
              <w:top w:val="nil"/>
              <w:left w:val="nil"/>
              <w:bottom w:val="nil"/>
              <w:right w:val="single" w:sz="4" w:space="0" w:color="auto"/>
            </w:tcBorders>
            <w:shd w:val="clear" w:color="auto" w:fill="FFFFFF" w:themeFill="background1"/>
            <w:noWrap/>
            <w:vAlign w:val="center"/>
            <w:hideMark/>
          </w:tcPr>
          <w:p w14:paraId="69A8FC36" w14:textId="1F55FE5E" w:rsidR="00E06603" w:rsidRPr="00667E42" w:rsidRDefault="00E06603" w:rsidP="00667E42">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na</w:t>
            </w:r>
          </w:p>
        </w:tc>
        <w:tc>
          <w:tcPr>
            <w:tcW w:w="1993" w:type="dxa"/>
            <w:tcBorders>
              <w:top w:val="nil"/>
              <w:left w:val="nil"/>
              <w:bottom w:val="nil"/>
              <w:right w:val="single" w:sz="4" w:space="0" w:color="auto"/>
            </w:tcBorders>
            <w:shd w:val="clear" w:color="auto" w:fill="FFFFFF" w:themeFill="background1"/>
            <w:noWrap/>
            <w:vAlign w:val="center"/>
            <w:hideMark/>
          </w:tcPr>
          <w:p w14:paraId="12E08DB8" w14:textId="410C31F1" w:rsidR="00E06603" w:rsidRPr="00667E42" w:rsidRDefault="00E06603" w:rsidP="00667E42">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na</w:t>
            </w:r>
          </w:p>
        </w:tc>
        <w:tc>
          <w:tcPr>
            <w:tcW w:w="0" w:type="auto"/>
            <w:tcBorders>
              <w:top w:val="nil"/>
              <w:left w:val="nil"/>
              <w:bottom w:val="nil"/>
              <w:right w:val="single" w:sz="4" w:space="0" w:color="auto"/>
            </w:tcBorders>
            <w:shd w:val="clear" w:color="auto" w:fill="FFFFFF" w:themeFill="background1"/>
            <w:noWrap/>
            <w:vAlign w:val="center"/>
            <w:hideMark/>
          </w:tcPr>
          <w:p w14:paraId="4BA9871D" w14:textId="2BDB71B3" w:rsidR="00E06603" w:rsidRPr="00667E42" w:rsidRDefault="00667E42" w:rsidP="0014075F">
            <w:pPr>
              <w:spacing w:before="0" w:after="0"/>
              <w:ind w:left="57" w:right="170"/>
              <w:jc w:val="right"/>
              <w:rPr>
                <w:rFonts w:asciiTheme="majorHAnsi" w:hAnsiTheme="majorHAnsi" w:cs="Arial"/>
                <w:sz w:val="16"/>
                <w:szCs w:val="16"/>
              </w:rPr>
            </w:pPr>
            <w:r>
              <w:rPr>
                <w:rFonts w:asciiTheme="majorHAnsi" w:hAnsiTheme="majorHAnsi" w:cs="Arial"/>
                <w:sz w:val="16"/>
                <w:szCs w:val="16"/>
              </w:rPr>
              <w:t>n</w:t>
            </w:r>
            <w:r w:rsidR="00E06603" w:rsidRPr="00667E42">
              <w:rPr>
                <w:rFonts w:asciiTheme="majorHAnsi" w:hAnsiTheme="majorHAnsi" w:cs="Arial"/>
                <w:sz w:val="16"/>
                <w:szCs w:val="16"/>
              </w:rPr>
              <w:t>a</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41B13103" w14:textId="52638D12" w:rsidR="00E06603" w:rsidRPr="00667E42" w:rsidRDefault="00667E42" w:rsidP="00667E42">
            <w:pPr>
              <w:spacing w:before="0" w:after="0"/>
              <w:ind w:left="57" w:right="156" w:firstLine="160"/>
              <w:jc w:val="right"/>
              <w:rPr>
                <w:rFonts w:asciiTheme="majorHAnsi" w:hAnsiTheme="majorHAnsi" w:cs="Arial"/>
                <w:sz w:val="16"/>
                <w:szCs w:val="16"/>
              </w:rPr>
            </w:pPr>
            <w:r>
              <w:rPr>
                <w:rFonts w:asciiTheme="majorHAnsi" w:hAnsiTheme="majorHAnsi" w:cs="Arial"/>
                <w:sz w:val="16"/>
                <w:szCs w:val="16"/>
              </w:rPr>
              <w:t>n</w:t>
            </w:r>
            <w:r w:rsidR="00E06603" w:rsidRPr="00667E42">
              <w:rPr>
                <w:rFonts w:asciiTheme="majorHAnsi" w:hAnsiTheme="majorHAnsi" w:cs="Arial"/>
                <w:sz w:val="16"/>
                <w:szCs w:val="16"/>
              </w:rPr>
              <w:t>a</w:t>
            </w:r>
          </w:p>
        </w:tc>
      </w:tr>
      <w:tr w:rsidR="00E06603" w14:paraId="587F3932" w14:textId="77777777" w:rsidTr="004C0DDC">
        <w:trPr>
          <w:trHeight w:val="20"/>
        </w:trPr>
        <w:tc>
          <w:tcPr>
            <w:tcW w:w="2001" w:type="dxa"/>
            <w:vMerge/>
            <w:tcBorders>
              <w:top w:val="nil"/>
              <w:bottom w:val="nil"/>
              <w:right w:val="single" w:sz="4" w:space="0" w:color="auto"/>
            </w:tcBorders>
            <w:vAlign w:val="center"/>
            <w:hideMark/>
          </w:tcPr>
          <w:p w14:paraId="5B8B5D4A" w14:textId="77777777" w:rsidR="00E06603" w:rsidRPr="002F2D01" w:rsidRDefault="00E06603"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nil"/>
            </w:tcBorders>
            <w:shd w:val="clear" w:color="000000" w:fill="FFFFFF"/>
            <w:vAlign w:val="center"/>
            <w:hideMark/>
          </w:tcPr>
          <w:p w14:paraId="0C86BD06" w14:textId="77777777" w:rsidR="00E06603" w:rsidRPr="00667E42" w:rsidRDefault="00E06603"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single" w:sz="4" w:space="0" w:color="auto"/>
              <w:bottom w:val="nil"/>
              <w:right w:val="single" w:sz="4" w:space="0" w:color="auto"/>
            </w:tcBorders>
            <w:shd w:val="clear" w:color="auto" w:fill="FFFFFF" w:themeFill="background1"/>
            <w:noWrap/>
            <w:vAlign w:val="center"/>
            <w:hideMark/>
          </w:tcPr>
          <w:p w14:paraId="280E3A31"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-152,700</w:t>
            </w:r>
          </w:p>
        </w:tc>
        <w:tc>
          <w:tcPr>
            <w:tcW w:w="1883" w:type="dxa"/>
            <w:tcBorders>
              <w:top w:val="nil"/>
              <w:left w:val="nil"/>
              <w:bottom w:val="nil"/>
              <w:right w:val="single" w:sz="4" w:space="0" w:color="auto"/>
            </w:tcBorders>
            <w:shd w:val="clear" w:color="auto" w:fill="FFFFFF" w:themeFill="background1"/>
            <w:vAlign w:val="center"/>
            <w:hideMark/>
          </w:tcPr>
          <w:p w14:paraId="44DB2751"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-49,970</w:t>
            </w:r>
          </w:p>
        </w:tc>
        <w:tc>
          <w:tcPr>
            <w:tcW w:w="1661" w:type="dxa"/>
            <w:tcBorders>
              <w:top w:val="nil"/>
              <w:left w:val="nil"/>
              <w:bottom w:val="nil"/>
              <w:right w:val="single" w:sz="4" w:space="0" w:color="auto"/>
            </w:tcBorders>
            <w:shd w:val="clear" w:color="auto" w:fill="FFFFFF" w:themeFill="background1"/>
            <w:noWrap/>
            <w:vAlign w:val="center"/>
            <w:hideMark/>
          </w:tcPr>
          <w:p w14:paraId="26802D23" w14:textId="77777777"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419,960</w:t>
            </w:r>
          </w:p>
        </w:tc>
        <w:tc>
          <w:tcPr>
            <w:tcW w:w="1993" w:type="dxa"/>
            <w:tcBorders>
              <w:top w:val="nil"/>
              <w:left w:val="nil"/>
              <w:bottom w:val="nil"/>
              <w:right w:val="single" w:sz="4" w:space="0" w:color="auto"/>
            </w:tcBorders>
            <w:shd w:val="clear" w:color="auto" w:fill="FFFFFF" w:themeFill="background1"/>
            <w:noWrap/>
            <w:vAlign w:val="center"/>
            <w:hideMark/>
          </w:tcPr>
          <w:p w14:paraId="1E5061F9" w14:textId="4DDB2350" w:rsidR="00E06603" w:rsidRPr="00667E42" w:rsidRDefault="00667E42" w:rsidP="00CB0E93">
            <w:pPr>
              <w:spacing w:before="0" w:after="0"/>
              <w:ind w:left="57" w:right="57"/>
              <w:jc w:val="right"/>
              <w:rPr>
                <w:rFonts w:asciiTheme="majorHAnsi" w:hAnsiTheme="majorHAnsi" w:cs="Arial"/>
                <w:sz w:val="16"/>
                <w:szCs w:val="16"/>
              </w:rPr>
            </w:pPr>
            <w:r>
              <w:rPr>
                <w:rFonts w:asciiTheme="majorHAnsi" w:hAnsiTheme="majorHAnsi" w:cs="Arial"/>
                <w:sz w:val="16"/>
                <w:szCs w:val="16"/>
              </w:rPr>
              <w:t>n</w:t>
            </w:r>
            <w:r w:rsidR="00E06603" w:rsidRPr="00667E42">
              <w:rPr>
                <w:rFonts w:asciiTheme="majorHAnsi" w:hAnsiTheme="majorHAnsi" w:cs="Arial"/>
                <w:sz w:val="16"/>
                <w:szCs w:val="16"/>
              </w:rPr>
              <w:t>a</w:t>
            </w:r>
          </w:p>
        </w:tc>
        <w:tc>
          <w:tcPr>
            <w:tcW w:w="0" w:type="auto"/>
            <w:tcBorders>
              <w:top w:val="nil"/>
              <w:left w:val="nil"/>
              <w:bottom w:val="nil"/>
              <w:right w:val="single" w:sz="4" w:space="0" w:color="auto"/>
            </w:tcBorders>
            <w:shd w:val="clear" w:color="auto" w:fill="FFFFFF" w:themeFill="background1"/>
            <w:noWrap/>
            <w:vAlign w:val="center"/>
            <w:hideMark/>
          </w:tcPr>
          <w:p w14:paraId="0CCB4129" w14:textId="22EB3378" w:rsidR="00E06603" w:rsidRPr="00667E42" w:rsidRDefault="00E06603"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513,760</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a</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6C8F821B" w14:textId="5027D38A" w:rsidR="00E06603" w:rsidRPr="00667E42" w:rsidRDefault="00E06603"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19</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a</w:t>
            </w:r>
          </w:p>
        </w:tc>
      </w:tr>
      <w:tr w:rsidR="00E06603" w14:paraId="6AA700EC" w14:textId="77777777" w:rsidTr="00C935F0">
        <w:trPr>
          <w:trHeight w:val="340"/>
        </w:trPr>
        <w:tc>
          <w:tcPr>
            <w:tcW w:w="13690" w:type="dxa"/>
            <w:gridSpan w:val="8"/>
            <w:tcBorders>
              <w:top w:val="single" w:sz="4" w:space="0" w:color="auto"/>
              <w:bottom w:val="single" w:sz="4" w:space="0" w:color="auto"/>
            </w:tcBorders>
            <w:shd w:val="clear" w:color="auto" w:fill="auto"/>
            <w:noWrap/>
            <w:vAlign w:val="center"/>
            <w:hideMark/>
          </w:tcPr>
          <w:p w14:paraId="23C228E1" w14:textId="77777777" w:rsidR="00E06603" w:rsidRPr="00667E42" w:rsidRDefault="00E06603" w:rsidP="00CB0E93">
            <w:pPr>
              <w:spacing w:before="0" w:after="0"/>
              <w:ind w:left="57" w:right="57"/>
              <w:rPr>
                <w:rFonts w:asciiTheme="majorHAnsi" w:hAnsiTheme="majorHAnsi" w:cs="Arial"/>
                <w:b/>
                <w:bCs/>
                <w:sz w:val="16"/>
                <w:szCs w:val="16"/>
              </w:rPr>
            </w:pPr>
            <w:r w:rsidRPr="00667E42">
              <w:rPr>
                <w:rFonts w:asciiTheme="majorHAnsi" w:hAnsiTheme="majorHAnsi" w:cs="Arial"/>
                <w:b/>
                <w:bCs/>
                <w:sz w:val="16"/>
                <w:szCs w:val="16"/>
              </w:rPr>
              <w:t>Victoria</w:t>
            </w:r>
          </w:p>
        </w:tc>
      </w:tr>
      <w:tr w:rsidR="00D45BF6" w14:paraId="1FC7E989"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23DB5EFD" w14:textId="77777777" w:rsidR="00D45BF6" w:rsidRPr="00F435C6" w:rsidRDefault="00D45BF6" w:rsidP="00CB0E93">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East Gippsland</w:t>
            </w:r>
          </w:p>
        </w:tc>
        <w:tc>
          <w:tcPr>
            <w:tcW w:w="1551" w:type="dxa"/>
            <w:tcBorders>
              <w:top w:val="nil"/>
              <w:left w:val="nil"/>
              <w:bottom w:val="nil"/>
              <w:right w:val="single" w:sz="4" w:space="0" w:color="auto"/>
            </w:tcBorders>
            <w:shd w:val="clear" w:color="000000" w:fill="FFFFFF"/>
            <w:vAlign w:val="center"/>
            <w:hideMark/>
          </w:tcPr>
          <w:p w14:paraId="31D7D00D"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3F5548C8"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21,102</w:t>
            </w:r>
          </w:p>
        </w:tc>
        <w:tc>
          <w:tcPr>
            <w:tcW w:w="1883" w:type="dxa"/>
            <w:tcBorders>
              <w:top w:val="nil"/>
              <w:left w:val="nil"/>
              <w:bottom w:val="nil"/>
              <w:right w:val="single" w:sz="4" w:space="0" w:color="auto"/>
            </w:tcBorders>
            <w:shd w:val="clear" w:color="auto" w:fill="FFFFFF" w:themeFill="background1"/>
            <w:vAlign w:val="center"/>
            <w:hideMark/>
          </w:tcPr>
          <w:p w14:paraId="45D5F420" w14:textId="01B51EEC"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5,760</w:t>
            </w:r>
          </w:p>
        </w:tc>
        <w:tc>
          <w:tcPr>
            <w:tcW w:w="1661" w:type="dxa"/>
            <w:tcBorders>
              <w:top w:val="nil"/>
              <w:left w:val="nil"/>
              <w:bottom w:val="nil"/>
              <w:right w:val="single" w:sz="4" w:space="0" w:color="auto"/>
            </w:tcBorders>
            <w:shd w:val="clear" w:color="auto" w:fill="FFFFFF" w:themeFill="background1"/>
            <w:noWrap/>
            <w:vAlign w:val="center"/>
            <w:hideMark/>
          </w:tcPr>
          <w:p w14:paraId="3C0356CD" w14:textId="0D1593AF"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41,147</w:t>
            </w:r>
          </w:p>
        </w:tc>
        <w:tc>
          <w:tcPr>
            <w:tcW w:w="1993" w:type="dxa"/>
            <w:tcBorders>
              <w:top w:val="nil"/>
              <w:left w:val="nil"/>
              <w:bottom w:val="nil"/>
              <w:right w:val="single" w:sz="4" w:space="0" w:color="auto"/>
            </w:tcBorders>
            <w:shd w:val="clear" w:color="auto" w:fill="FFFFFF" w:themeFill="background1"/>
            <w:noWrap/>
            <w:vAlign w:val="center"/>
            <w:hideMark/>
          </w:tcPr>
          <w:p w14:paraId="6725D4E1" w14:textId="21FA6FD3"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55,604</w:t>
            </w:r>
          </w:p>
        </w:tc>
        <w:tc>
          <w:tcPr>
            <w:tcW w:w="0" w:type="auto"/>
            <w:tcBorders>
              <w:top w:val="nil"/>
              <w:left w:val="nil"/>
              <w:bottom w:val="nil"/>
              <w:right w:val="single" w:sz="4" w:space="0" w:color="auto"/>
            </w:tcBorders>
            <w:shd w:val="clear" w:color="auto" w:fill="FFFFFF" w:themeFill="background1"/>
            <w:noWrap/>
            <w:vAlign w:val="center"/>
            <w:hideMark/>
          </w:tcPr>
          <w:p w14:paraId="3164B6D9" w14:textId="743E8E60"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91,851</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7FC76703" w14:textId="6BC1F956" w:rsidR="00D45BF6" w:rsidRPr="00667E42" w:rsidRDefault="00D45BF6"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17</w:t>
            </w:r>
          </w:p>
        </w:tc>
      </w:tr>
      <w:tr w:rsidR="00D45BF6" w14:paraId="72521C67" w14:textId="77777777" w:rsidTr="004C0DDC">
        <w:trPr>
          <w:trHeight w:val="20"/>
        </w:trPr>
        <w:tc>
          <w:tcPr>
            <w:tcW w:w="2001" w:type="dxa"/>
            <w:vMerge/>
            <w:tcBorders>
              <w:top w:val="nil"/>
              <w:bottom w:val="single" w:sz="4" w:space="0" w:color="000000"/>
              <w:right w:val="single" w:sz="4" w:space="0" w:color="auto"/>
            </w:tcBorders>
            <w:vAlign w:val="center"/>
            <w:hideMark/>
          </w:tcPr>
          <w:p w14:paraId="5356E198" w14:textId="77777777" w:rsidR="00D45BF6" w:rsidRPr="00F435C6" w:rsidRDefault="00D45BF6" w:rsidP="00CB0E93">
            <w:pPr>
              <w:spacing w:before="0" w:after="0"/>
              <w:ind w:left="57" w:right="57"/>
              <w:rPr>
                <w:rFonts w:asciiTheme="majorHAnsi" w:hAnsiTheme="majorHAnsi" w:cs="Arial"/>
                <w:bCs/>
                <w:sz w:val="16"/>
                <w:szCs w:val="16"/>
              </w:rPr>
            </w:pPr>
          </w:p>
        </w:tc>
        <w:tc>
          <w:tcPr>
            <w:tcW w:w="1551" w:type="dxa"/>
            <w:tcBorders>
              <w:top w:val="nil"/>
              <w:left w:val="nil"/>
              <w:bottom w:val="nil"/>
              <w:right w:val="single" w:sz="4" w:space="0" w:color="auto"/>
            </w:tcBorders>
            <w:shd w:val="clear" w:color="000000" w:fill="FFFFFF"/>
            <w:vAlign w:val="center"/>
            <w:hideMark/>
          </w:tcPr>
          <w:p w14:paraId="4719603B"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338D935F"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-901</w:t>
            </w:r>
          </w:p>
        </w:tc>
        <w:tc>
          <w:tcPr>
            <w:tcW w:w="1883" w:type="dxa"/>
            <w:tcBorders>
              <w:top w:val="nil"/>
              <w:left w:val="nil"/>
              <w:bottom w:val="nil"/>
              <w:right w:val="single" w:sz="4" w:space="0" w:color="auto"/>
            </w:tcBorders>
            <w:shd w:val="clear" w:color="auto" w:fill="FFFFFF" w:themeFill="background1"/>
            <w:vAlign w:val="center"/>
            <w:hideMark/>
          </w:tcPr>
          <w:p w14:paraId="595B787B" w14:textId="604AD6C0"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-2,967</w:t>
            </w:r>
          </w:p>
        </w:tc>
        <w:tc>
          <w:tcPr>
            <w:tcW w:w="1661" w:type="dxa"/>
            <w:tcBorders>
              <w:top w:val="nil"/>
              <w:left w:val="nil"/>
              <w:bottom w:val="nil"/>
              <w:right w:val="single" w:sz="4" w:space="0" w:color="auto"/>
            </w:tcBorders>
            <w:shd w:val="clear" w:color="auto" w:fill="FFFFFF" w:themeFill="background1"/>
            <w:noWrap/>
            <w:vAlign w:val="center"/>
            <w:hideMark/>
          </w:tcPr>
          <w:p w14:paraId="2529DFC6" w14:textId="2F53B0B9"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-2,217</w:t>
            </w:r>
          </w:p>
        </w:tc>
        <w:tc>
          <w:tcPr>
            <w:tcW w:w="1993" w:type="dxa"/>
            <w:tcBorders>
              <w:top w:val="nil"/>
              <w:left w:val="nil"/>
              <w:bottom w:val="nil"/>
              <w:right w:val="single" w:sz="4" w:space="0" w:color="auto"/>
            </w:tcBorders>
            <w:shd w:val="clear" w:color="auto" w:fill="FFFFFF" w:themeFill="background1"/>
            <w:noWrap/>
            <w:vAlign w:val="center"/>
            <w:hideMark/>
          </w:tcPr>
          <w:p w14:paraId="527A87A5" w14:textId="3CFEBAAA"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-8,834</w:t>
            </w:r>
          </w:p>
        </w:tc>
        <w:tc>
          <w:tcPr>
            <w:tcW w:w="0" w:type="auto"/>
            <w:tcBorders>
              <w:top w:val="nil"/>
              <w:left w:val="nil"/>
              <w:bottom w:val="nil"/>
              <w:right w:val="single" w:sz="4" w:space="0" w:color="auto"/>
            </w:tcBorders>
            <w:shd w:val="clear" w:color="auto" w:fill="FFFFFF" w:themeFill="background1"/>
            <w:noWrap/>
            <w:vAlign w:val="center"/>
            <w:hideMark/>
          </w:tcPr>
          <w:p w14:paraId="41B2A12E" w14:textId="6320FFD4"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-10,851</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7CDE2C30" w14:textId="0DFF0958" w:rsidR="00D45BF6" w:rsidRPr="00667E42" w:rsidRDefault="00D45BF6"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-28</w:t>
            </w:r>
          </w:p>
        </w:tc>
      </w:tr>
      <w:tr w:rsidR="00D45BF6" w14:paraId="2C56DB22" w14:textId="77777777" w:rsidTr="004C0DDC">
        <w:trPr>
          <w:trHeight w:val="20"/>
        </w:trPr>
        <w:tc>
          <w:tcPr>
            <w:tcW w:w="2001" w:type="dxa"/>
            <w:vMerge/>
            <w:tcBorders>
              <w:top w:val="nil"/>
              <w:bottom w:val="single" w:sz="4" w:space="0" w:color="000000"/>
              <w:right w:val="single" w:sz="4" w:space="0" w:color="auto"/>
            </w:tcBorders>
            <w:vAlign w:val="center"/>
            <w:hideMark/>
          </w:tcPr>
          <w:p w14:paraId="53189C12" w14:textId="77777777" w:rsidR="00D45BF6" w:rsidRPr="00F435C6" w:rsidRDefault="00D45BF6" w:rsidP="00CB0E93">
            <w:pPr>
              <w:spacing w:before="0" w:after="0"/>
              <w:ind w:left="57" w:right="57"/>
              <w:rPr>
                <w:rFonts w:asciiTheme="majorHAnsi" w:hAnsiTheme="majorHAnsi" w:cs="Arial"/>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722833BB"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0B557AEF"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20,201</w:t>
            </w:r>
          </w:p>
        </w:tc>
        <w:tc>
          <w:tcPr>
            <w:tcW w:w="1883" w:type="dxa"/>
            <w:tcBorders>
              <w:top w:val="nil"/>
              <w:left w:val="nil"/>
              <w:bottom w:val="single" w:sz="4" w:space="0" w:color="auto"/>
              <w:right w:val="single" w:sz="4" w:space="0" w:color="auto"/>
            </w:tcBorders>
            <w:shd w:val="clear" w:color="auto" w:fill="FFFFFF" w:themeFill="background1"/>
            <w:vAlign w:val="center"/>
            <w:hideMark/>
          </w:tcPr>
          <w:p w14:paraId="6959C8D0" w14:textId="48F510C4"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2,793</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3479B0ED" w14:textId="654B0330"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38,929</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3B853403" w14:textId="15E098A2"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46,771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0292E9C" w14:textId="5CBD34F5"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81,000</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46EDD024" w14:textId="2796A511" w:rsidR="00D45BF6" w:rsidRPr="00667E42" w:rsidRDefault="00D45BF6"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14</w:t>
            </w:r>
          </w:p>
        </w:tc>
      </w:tr>
      <w:tr w:rsidR="00D45BF6" w14:paraId="29BBB314"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1B21785A" w14:textId="77777777" w:rsidR="00D45BF6" w:rsidRPr="00F435C6" w:rsidRDefault="00D45BF6" w:rsidP="00CB0E93">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Central Highlands</w:t>
            </w:r>
          </w:p>
        </w:tc>
        <w:tc>
          <w:tcPr>
            <w:tcW w:w="1551" w:type="dxa"/>
            <w:tcBorders>
              <w:top w:val="nil"/>
              <w:left w:val="nil"/>
              <w:bottom w:val="nil"/>
              <w:right w:val="single" w:sz="4" w:space="0" w:color="auto"/>
            </w:tcBorders>
            <w:shd w:val="clear" w:color="000000" w:fill="FFFFFF"/>
            <w:vAlign w:val="center"/>
            <w:hideMark/>
          </w:tcPr>
          <w:p w14:paraId="6E12D5BB"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639E5A3F"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93,307</w:t>
            </w:r>
          </w:p>
        </w:tc>
        <w:tc>
          <w:tcPr>
            <w:tcW w:w="1883" w:type="dxa"/>
            <w:tcBorders>
              <w:top w:val="nil"/>
              <w:left w:val="nil"/>
              <w:bottom w:val="nil"/>
              <w:right w:val="single" w:sz="4" w:space="0" w:color="auto"/>
            </w:tcBorders>
            <w:shd w:val="clear" w:color="auto" w:fill="FFFFFF" w:themeFill="background1"/>
            <w:vAlign w:val="center"/>
            <w:hideMark/>
          </w:tcPr>
          <w:p w14:paraId="4CF911B5" w14:textId="203B4DA1"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8,124</w:t>
            </w:r>
          </w:p>
        </w:tc>
        <w:tc>
          <w:tcPr>
            <w:tcW w:w="1661" w:type="dxa"/>
            <w:tcBorders>
              <w:top w:val="nil"/>
              <w:left w:val="nil"/>
              <w:bottom w:val="nil"/>
              <w:right w:val="single" w:sz="4" w:space="0" w:color="auto"/>
            </w:tcBorders>
            <w:shd w:val="clear" w:color="auto" w:fill="FFFFFF" w:themeFill="background1"/>
            <w:noWrap/>
            <w:vAlign w:val="center"/>
            <w:hideMark/>
          </w:tcPr>
          <w:p w14:paraId="0A291909" w14:textId="798EE2EA"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14,510</w:t>
            </w:r>
          </w:p>
        </w:tc>
        <w:tc>
          <w:tcPr>
            <w:tcW w:w="1993" w:type="dxa"/>
            <w:tcBorders>
              <w:top w:val="nil"/>
              <w:left w:val="nil"/>
              <w:bottom w:val="nil"/>
              <w:right w:val="single" w:sz="4" w:space="0" w:color="auto"/>
            </w:tcBorders>
            <w:shd w:val="clear" w:color="auto" w:fill="FFFFFF" w:themeFill="background1"/>
            <w:noWrap/>
            <w:vAlign w:val="center"/>
            <w:hideMark/>
          </w:tcPr>
          <w:p w14:paraId="65B21E4C" w14:textId="29DB4B36"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52,163</w:t>
            </w:r>
          </w:p>
        </w:tc>
        <w:tc>
          <w:tcPr>
            <w:tcW w:w="0" w:type="auto"/>
            <w:tcBorders>
              <w:top w:val="nil"/>
              <w:left w:val="nil"/>
              <w:bottom w:val="nil"/>
              <w:right w:val="single" w:sz="4" w:space="0" w:color="auto"/>
            </w:tcBorders>
            <w:shd w:val="clear" w:color="auto" w:fill="FFFFFF" w:themeFill="background1"/>
            <w:noWrap/>
            <w:vAlign w:val="center"/>
            <w:hideMark/>
          </w:tcPr>
          <w:p w14:paraId="7D413401" w14:textId="4360A8F5"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66,073</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497507DE" w14:textId="6FEB05A0" w:rsidR="00D45BF6" w:rsidRPr="00667E42" w:rsidRDefault="00D45BF6"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23</w:t>
            </w:r>
          </w:p>
        </w:tc>
      </w:tr>
      <w:tr w:rsidR="00D45BF6" w14:paraId="07981697" w14:textId="77777777" w:rsidTr="004C0DDC">
        <w:trPr>
          <w:trHeight w:val="20"/>
        </w:trPr>
        <w:tc>
          <w:tcPr>
            <w:tcW w:w="2001" w:type="dxa"/>
            <w:vMerge/>
            <w:tcBorders>
              <w:top w:val="nil"/>
              <w:bottom w:val="single" w:sz="4" w:space="0" w:color="000000"/>
              <w:right w:val="single" w:sz="4" w:space="0" w:color="auto"/>
            </w:tcBorders>
            <w:vAlign w:val="center"/>
            <w:hideMark/>
          </w:tcPr>
          <w:p w14:paraId="20D1E188" w14:textId="77777777" w:rsidR="00D45BF6" w:rsidRPr="00F435C6" w:rsidRDefault="00D45BF6" w:rsidP="00CB0E93">
            <w:pPr>
              <w:spacing w:before="0" w:after="0"/>
              <w:ind w:left="57" w:right="57"/>
              <w:rPr>
                <w:rFonts w:asciiTheme="majorHAnsi" w:hAnsiTheme="majorHAnsi" w:cs="Arial"/>
                <w:bCs/>
                <w:sz w:val="16"/>
                <w:szCs w:val="16"/>
              </w:rPr>
            </w:pPr>
          </w:p>
        </w:tc>
        <w:tc>
          <w:tcPr>
            <w:tcW w:w="1551" w:type="dxa"/>
            <w:tcBorders>
              <w:top w:val="nil"/>
              <w:left w:val="nil"/>
              <w:bottom w:val="nil"/>
              <w:right w:val="single" w:sz="4" w:space="0" w:color="auto"/>
            </w:tcBorders>
            <w:shd w:val="clear" w:color="000000" w:fill="FFFFFF"/>
            <w:vAlign w:val="center"/>
            <w:hideMark/>
          </w:tcPr>
          <w:p w14:paraId="2EC5DB06"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77704CFE"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-1,151</w:t>
            </w:r>
          </w:p>
        </w:tc>
        <w:tc>
          <w:tcPr>
            <w:tcW w:w="1883" w:type="dxa"/>
            <w:tcBorders>
              <w:top w:val="nil"/>
              <w:left w:val="nil"/>
              <w:bottom w:val="nil"/>
              <w:right w:val="single" w:sz="4" w:space="0" w:color="auto"/>
            </w:tcBorders>
            <w:shd w:val="clear" w:color="auto" w:fill="FFFFFF" w:themeFill="background1"/>
            <w:vAlign w:val="center"/>
            <w:hideMark/>
          </w:tcPr>
          <w:p w14:paraId="2A46A7FB" w14:textId="0EE54968"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-2,137</w:t>
            </w:r>
          </w:p>
        </w:tc>
        <w:tc>
          <w:tcPr>
            <w:tcW w:w="1661" w:type="dxa"/>
            <w:tcBorders>
              <w:top w:val="nil"/>
              <w:left w:val="nil"/>
              <w:bottom w:val="nil"/>
              <w:right w:val="single" w:sz="4" w:space="0" w:color="auto"/>
            </w:tcBorders>
            <w:shd w:val="clear" w:color="auto" w:fill="FFFFFF" w:themeFill="background1"/>
            <w:noWrap/>
            <w:vAlign w:val="center"/>
            <w:hideMark/>
          </w:tcPr>
          <w:p w14:paraId="73A71DD3" w14:textId="1A29889B"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-898</w:t>
            </w:r>
          </w:p>
        </w:tc>
        <w:tc>
          <w:tcPr>
            <w:tcW w:w="1993" w:type="dxa"/>
            <w:tcBorders>
              <w:top w:val="nil"/>
              <w:left w:val="nil"/>
              <w:bottom w:val="nil"/>
              <w:right w:val="single" w:sz="4" w:space="0" w:color="auto"/>
            </w:tcBorders>
            <w:shd w:val="clear" w:color="auto" w:fill="FFFFFF" w:themeFill="background1"/>
            <w:noWrap/>
            <w:vAlign w:val="center"/>
            <w:hideMark/>
          </w:tcPr>
          <w:p w14:paraId="6D301917" w14:textId="77B4B9D6"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-146</w:t>
            </w:r>
          </w:p>
        </w:tc>
        <w:tc>
          <w:tcPr>
            <w:tcW w:w="0" w:type="auto"/>
            <w:tcBorders>
              <w:top w:val="nil"/>
              <w:left w:val="nil"/>
              <w:bottom w:val="nil"/>
              <w:right w:val="single" w:sz="4" w:space="0" w:color="auto"/>
            </w:tcBorders>
            <w:shd w:val="clear" w:color="auto" w:fill="FFFFFF" w:themeFill="background1"/>
            <w:noWrap/>
            <w:vAlign w:val="center"/>
            <w:hideMark/>
          </w:tcPr>
          <w:p w14:paraId="693F87DB" w14:textId="1A2933E7"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-944</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454BCA2E" w14:textId="07D038A3" w:rsidR="00D45BF6" w:rsidRPr="00667E42" w:rsidRDefault="00D45BF6"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-12</w:t>
            </w:r>
          </w:p>
        </w:tc>
      </w:tr>
      <w:tr w:rsidR="00D45BF6" w14:paraId="4A57B64B" w14:textId="77777777" w:rsidTr="004C0DDC">
        <w:trPr>
          <w:trHeight w:val="20"/>
        </w:trPr>
        <w:tc>
          <w:tcPr>
            <w:tcW w:w="2001" w:type="dxa"/>
            <w:vMerge/>
            <w:tcBorders>
              <w:top w:val="nil"/>
              <w:bottom w:val="single" w:sz="4" w:space="0" w:color="000000"/>
              <w:right w:val="single" w:sz="4" w:space="0" w:color="auto"/>
            </w:tcBorders>
            <w:vAlign w:val="center"/>
            <w:hideMark/>
          </w:tcPr>
          <w:p w14:paraId="70A74418" w14:textId="77777777" w:rsidR="00D45BF6" w:rsidRPr="00F435C6" w:rsidRDefault="00D45BF6" w:rsidP="00CB0E93">
            <w:pPr>
              <w:spacing w:before="0" w:after="0"/>
              <w:ind w:left="57" w:right="57"/>
              <w:rPr>
                <w:rFonts w:asciiTheme="majorHAnsi" w:hAnsiTheme="majorHAnsi" w:cs="Arial"/>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5BEC311F"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0F255B64"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92,156</w:t>
            </w:r>
          </w:p>
        </w:tc>
        <w:tc>
          <w:tcPr>
            <w:tcW w:w="1883" w:type="dxa"/>
            <w:tcBorders>
              <w:top w:val="nil"/>
              <w:left w:val="nil"/>
              <w:bottom w:val="single" w:sz="4" w:space="0" w:color="auto"/>
              <w:right w:val="single" w:sz="4" w:space="0" w:color="auto"/>
            </w:tcBorders>
            <w:shd w:val="clear" w:color="auto" w:fill="FFFFFF" w:themeFill="background1"/>
            <w:vAlign w:val="center"/>
            <w:hideMark/>
          </w:tcPr>
          <w:p w14:paraId="272FB8BD" w14:textId="1E54AEAF"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5,987</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6CCEE0FB" w14:textId="65D50115"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13,612</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5799F179" w14:textId="48DF49EF"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52,017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7D18533" w14:textId="3A627428"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65,129</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4BEFD1FD" w14:textId="502857DB" w:rsidR="00D45BF6" w:rsidRPr="00667E42" w:rsidRDefault="00D45BF6"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22</w:t>
            </w:r>
          </w:p>
        </w:tc>
      </w:tr>
      <w:tr w:rsidR="00D45BF6" w14:paraId="6C6A2ABB"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21F93DDB" w14:textId="77777777" w:rsidR="00D45BF6" w:rsidRPr="00F435C6" w:rsidRDefault="00D45BF6" w:rsidP="00CB0E93">
            <w:pPr>
              <w:spacing w:before="0" w:after="0"/>
              <w:ind w:left="57" w:right="57"/>
              <w:rPr>
                <w:rFonts w:asciiTheme="majorHAnsi" w:hAnsiTheme="majorHAnsi" w:cs="Arial"/>
                <w:bCs/>
                <w:sz w:val="16"/>
                <w:szCs w:val="16"/>
              </w:rPr>
            </w:pPr>
            <w:r w:rsidRPr="00F435C6">
              <w:rPr>
                <w:rFonts w:asciiTheme="majorHAnsi" w:hAnsiTheme="majorHAnsi" w:cs="Arial"/>
                <w:bCs/>
                <w:sz w:val="16"/>
                <w:szCs w:val="16"/>
              </w:rPr>
              <w:t>North East</w:t>
            </w:r>
          </w:p>
        </w:tc>
        <w:tc>
          <w:tcPr>
            <w:tcW w:w="1551" w:type="dxa"/>
            <w:tcBorders>
              <w:top w:val="nil"/>
              <w:left w:val="nil"/>
              <w:bottom w:val="nil"/>
              <w:right w:val="single" w:sz="4" w:space="0" w:color="auto"/>
            </w:tcBorders>
            <w:shd w:val="clear" w:color="000000" w:fill="FFFFFF"/>
            <w:vAlign w:val="center"/>
            <w:hideMark/>
          </w:tcPr>
          <w:p w14:paraId="71C6AF88"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6E48DE5A"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255,026</w:t>
            </w:r>
          </w:p>
        </w:tc>
        <w:tc>
          <w:tcPr>
            <w:tcW w:w="1883" w:type="dxa"/>
            <w:tcBorders>
              <w:top w:val="nil"/>
              <w:left w:val="nil"/>
              <w:bottom w:val="nil"/>
              <w:right w:val="single" w:sz="4" w:space="0" w:color="auto"/>
            </w:tcBorders>
            <w:shd w:val="clear" w:color="auto" w:fill="FFFFFF" w:themeFill="background1"/>
            <w:vAlign w:val="center"/>
            <w:hideMark/>
          </w:tcPr>
          <w:p w14:paraId="7C871CE6" w14:textId="634D051B"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79,791</w:t>
            </w:r>
          </w:p>
        </w:tc>
        <w:tc>
          <w:tcPr>
            <w:tcW w:w="1661" w:type="dxa"/>
            <w:tcBorders>
              <w:top w:val="nil"/>
              <w:left w:val="nil"/>
              <w:bottom w:val="nil"/>
              <w:right w:val="single" w:sz="4" w:space="0" w:color="auto"/>
            </w:tcBorders>
            <w:shd w:val="clear" w:color="auto" w:fill="FFFFFF" w:themeFill="background1"/>
            <w:noWrap/>
            <w:vAlign w:val="center"/>
            <w:hideMark/>
          </w:tcPr>
          <w:p w14:paraId="666CADA5" w14:textId="01541146"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43,522</w:t>
            </w:r>
          </w:p>
        </w:tc>
        <w:tc>
          <w:tcPr>
            <w:tcW w:w="1993" w:type="dxa"/>
            <w:tcBorders>
              <w:top w:val="nil"/>
              <w:left w:val="nil"/>
              <w:bottom w:val="nil"/>
              <w:right w:val="single" w:sz="4" w:space="0" w:color="auto"/>
            </w:tcBorders>
            <w:shd w:val="clear" w:color="auto" w:fill="FFFFFF" w:themeFill="background1"/>
            <w:noWrap/>
            <w:vAlign w:val="center"/>
            <w:hideMark/>
          </w:tcPr>
          <w:p w14:paraId="724E8A26" w14:textId="2EA65AD1"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124,526</w:t>
            </w:r>
          </w:p>
        </w:tc>
        <w:tc>
          <w:tcPr>
            <w:tcW w:w="0" w:type="auto"/>
            <w:tcBorders>
              <w:top w:val="nil"/>
              <w:left w:val="nil"/>
              <w:bottom w:val="nil"/>
              <w:right w:val="single" w:sz="4" w:space="0" w:color="auto"/>
            </w:tcBorders>
            <w:shd w:val="clear" w:color="auto" w:fill="FFFFFF" w:themeFill="background1"/>
            <w:noWrap/>
            <w:vAlign w:val="center"/>
            <w:hideMark/>
          </w:tcPr>
          <w:p w14:paraId="4A16D3A2" w14:textId="1ECA93C5"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171,348</w:t>
            </w:r>
          </w:p>
        </w:tc>
        <w:tc>
          <w:tcPr>
            <w:tcW w:w="1349" w:type="dxa"/>
            <w:tcBorders>
              <w:top w:val="nil"/>
              <w:left w:val="nil"/>
              <w:bottom w:val="nil"/>
            </w:tcBorders>
            <w:shd w:val="clear" w:color="auto" w:fill="FFFFFF" w:themeFill="background1"/>
            <w:tcMar>
              <w:top w:w="0" w:type="dxa"/>
              <w:left w:w="0" w:type="dxa"/>
              <w:bottom w:w="0" w:type="dxa"/>
              <w:right w:w="180" w:type="dxa"/>
            </w:tcMar>
            <w:vAlign w:val="center"/>
            <w:hideMark/>
          </w:tcPr>
          <w:p w14:paraId="68C1C331" w14:textId="2A7D48FC" w:rsidR="00D45BF6" w:rsidRPr="00667E42" w:rsidRDefault="00D45BF6"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26</w:t>
            </w:r>
          </w:p>
        </w:tc>
      </w:tr>
      <w:tr w:rsidR="00D45BF6" w14:paraId="7E6ADD5B" w14:textId="77777777" w:rsidTr="004C0DDC">
        <w:trPr>
          <w:trHeight w:val="20"/>
        </w:trPr>
        <w:tc>
          <w:tcPr>
            <w:tcW w:w="2001" w:type="dxa"/>
            <w:vMerge/>
            <w:tcBorders>
              <w:top w:val="nil"/>
              <w:bottom w:val="single" w:sz="4" w:space="0" w:color="000000"/>
              <w:right w:val="single" w:sz="4" w:space="0" w:color="auto"/>
            </w:tcBorders>
            <w:vAlign w:val="center"/>
            <w:hideMark/>
          </w:tcPr>
          <w:p w14:paraId="3FF63268" w14:textId="77777777" w:rsidR="00D45BF6" w:rsidRPr="002F2D01"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62F89DF7"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76D0F2EE"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-6,464</w:t>
            </w:r>
          </w:p>
        </w:tc>
        <w:tc>
          <w:tcPr>
            <w:tcW w:w="1883" w:type="dxa"/>
            <w:tcBorders>
              <w:top w:val="nil"/>
              <w:left w:val="nil"/>
              <w:bottom w:val="nil"/>
              <w:right w:val="single" w:sz="4" w:space="0" w:color="auto"/>
            </w:tcBorders>
            <w:shd w:val="clear" w:color="auto" w:fill="FFFFFF" w:themeFill="background1"/>
            <w:vAlign w:val="center"/>
            <w:hideMark/>
          </w:tcPr>
          <w:p w14:paraId="49048B5F" w14:textId="0DC60D04"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-6,720</w:t>
            </w:r>
          </w:p>
        </w:tc>
        <w:tc>
          <w:tcPr>
            <w:tcW w:w="1661" w:type="dxa"/>
            <w:tcBorders>
              <w:top w:val="nil"/>
              <w:left w:val="nil"/>
              <w:bottom w:val="nil"/>
              <w:right w:val="single" w:sz="4" w:space="0" w:color="auto"/>
            </w:tcBorders>
            <w:shd w:val="clear" w:color="auto" w:fill="FFFFFF" w:themeFill="background1"/>
            <w:noWrap/>
            <w:vAlign w:val="center"/>
            <w:hideMark/>
          </w:tcPr>
          <w:p w14:paraId="4E639F8A" w14:textId="263D8C6A"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-7,005</w:t>
            </w:r>
          </w:p>
        </w:tc>
        <w:tc>
          <w:tcPr>
            <w:tcW w:w="1993" w:type="dxa"/>
            <w:tcBorders>
              <w:top w:val="nil"/>
              <w:left w:val="nil"/>
              <w:bottom w:val="nil"/>
              <w:right w:val="single" w:sz="4" w:space="0" w:color="auto"/>
            </w:tcBorders>
            <w:shd w:val="clear" w:color="auto" w:fill="FFFFFF" w:themeFill="background1"/>
            <w:noWrap/>
            <w:vAlign w:val="center"/>
            <w:hideMark/>
          </w:tcPr>
          <w:p w14:paraId="5EEC5DC7" w14:textId="220AA38E"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0</w:t>
            </w:r>
          </w:p>
        </w:tc>
        <w:tc>
          <w:tcPr>
            <w:tcW w:w="0" w:type="auto"/>
            <w:tcBorders>
              <w:top w:val="nil"/>
              <w:left w:val="nil"/>
              <w:bottom w:val="nil"/>
              <w:right w:val="single" w:sz="4" w:space="0" w:color="auto"/>
            </w:tcBorders>
            <w:shd w:val="clear" w:color="auto" w:fill="FFFFFF" w:themeFill="background1"/>
            <w:noWrap/>
            <w:vAlign w:val="center"/>
            <w:hideMark/>
          </w:tcPr>
          <w:p w14:paraId="2CD683AB" w14:textId="3457561B"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-6,905</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3C8611EF" w14:textId="2CAB47C2" w:rsidR="00D45BF6" w:rsidRPr="00667E42" w:rsidRDefault="00D45BF6"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-28</w:t>
            </w:r>
          </w:p>
        </w:tc>
      </w:tr>
      <w:tr w:rsidR="00D45BF6" w14:paraId="08F1FDD9" w14:textId="77777777" w:rsidTr="004C0DDC">
        <w:trPr>
          <w:trHeight w:val="20"/>
        </w:trPr>
        <w:tc>
          <w:tcPr>
            <w:tcW w:w="2001" w:type="dxa"/>
            <w:vMerge/>
            <w:tcBorders>
              <w:top w:val="nil"/>
              <w:bottom w:val="single" w:sz="4" w:space="0" w:color="000000"/>
              <w:right w:val="single" w:sz="4" w:space="0" w:color="auto"/>
            </w:tcBorders>
            <w:vAlign w:val="center"/>
            <w:hideMark/>
          </w:tcPr>
          <w:p w14:paraId="64BADC99" w14:textId="77777777" w:rsidR="00D45BF6" w:rsidRPr="002F2D01"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6FADD330"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A8BD112"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248,562</w:t>
            </w:r>
          </w:p>
        </w:tc>
        <w:tc>
          <w:tcPr>
            <w:tcW w:w="1883" w:type="dxa"/>
            <w:tcBorders>
              <w:top w:val="nil"/>
              <w:left w:val="nil"/>
              <w:bottom w:val="single" w:sz="4" w:space="0" w:color="auto"/>
              <w:right w:val="single" w:sz="4" w:space="0" w:color="auto"/>
            </w:tcBorders>
            <w:shd w:val="clear" w:color="auto" w:fill="FFFFFF" w:themeFill="background1"/>
            <w:vAlign w:val="center"/>
            <w:hideMark/>
          </w:tcPr>
          <w:p w14:paraId="60E08A76" w14:textId="2EB20D96"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73,071</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212CB280" w14:textId="02CFA9F5"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36,517</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4AC8A5FA" w14:textId="6B1B9053"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124,626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E943A9F" w14:textId="19EC8BD4"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164,343</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67998E39" w14:textId="481BBB2D" w:rsidR="00D45BF6" w:rsidRPr="00667E42" w:rsidRDefault="00D45BF6" w:rsidP="0014075F">
            <w:pPr>
              <w:spacing w:before="0" w:after="0"/>
              <w:ind w:left="57" w:right="170" w:firstLine="159"/>
              <w:jc w:val="right"/>
              <w:rPr>
                <w:rFonts w:asciiTheme="majorHAnsi" w:hAnsiTheme="majorHAnsi" w:cs="Arial"/>
                <w:sz w:val="16"/>
                <w:szCs w:val="16"/>
              </w:rPr>
            </w:pPr>
            <w:r w:rsidRPr="00667E42">
              <w:rPr>
                <w:rFonts w:asciiTheme="majorHAnsi" w:hAnsiTheme="majorHAnsi" w:cs="Arial"/>
                <w:sz w:val="16"/>
                <w:szCs w:val="16"/>
              </w:rPr>
              <w:t>24</w:t>
            </w:r>
          </w:p>
        </w:tc>
      </w:tr>
      <w:tr w:rsidR="00D45BF6" w14:paraId="3BD3EFF4"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46A418D7"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Gippsland</w:t>
            </w:r>
          </w:p>
        </w:tc>
        <w:tc>
          <w:tcPr>
            <w:tcW w:w="1551" w:type="dxa"/>
            <w:tcBorders>
              <w:top w:val="nil"/>
              <w:left w:val="nil"/>
              <w:bottom w:val="nil"/>
              <w:right w:val="single" w:sz="4" w:space="0" w:color="auto"/>
            </w:tcBorders>
            <w:shd w:val="clear" w:color="000000" w:fill="FFFFFF"/>
            <w:vAlign w:val="center"/>
            <w:hideMark/>
          </w:tcPr>
          <w:p w14:paraId="2059D3FD"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31264942"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174,523</w:t>
            </w:r>
          </w:p>
        </w:tc>
        <w:tc>
          <w:tcPr>
            <w:tcW w:w="1883" w:type="dxa"/>
            <w:tcBorders>
              <w:top w:val="nil"/>
              <w:left w:val="nil"/>
              <w:bottom w:val="nil"/>
              <w:right w:val="single" w:sz="4" w:space="0" w:color="auto"/>
            </w:tcBorders>
            <w:shd w:val="clear" w:color="auto" w:fill="FFFFFF" w:themeFill="background1"/>
            <w:vAlign w:val="center"/>
            <w:hideMark/>
          </w:tcPr>
          <w:p w14:paraId="24D5333C" w14:textId="757D2F45"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57,480</w:t>
            </w:r>
          </w:p>
        </w:tc>
        <w:tc>
          <w:tcPr>
            <w:tcW w:w="1661" w:type="dxa"/>
            <w:tcBorders>
              <w:top w:val="nil"/>
              <w:left w:val="nil"/>
              <w:bottom w:val="nil"/>
              <w:right w:val="single" w:sz="4" w:space="0" w:color="auto"/>
            </w:tcBorders>
            <w:shd w:val="clear" w:color="auto" w:fill="FFFFFF" w:themeFill="background1"/>
            <w:noWrap/>
            <w:vAlign w:val="center"/>
            <w:hideMark/>
          </w:tcPr>
          <w:p w14:paraId="221B3880" w14:textId="25396DA9"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15,380</w:t>
            </w:r>
          </w:p>
        </w:tc>
        <w:tc>
          <w:tcPr>
            <w:tcW w:w="1993" w:type="dxa"/>
            <w:tcBorders>
              <w:top w:val="nil"/>
              <w:left w:val="nil"/>
              <w:bottom w:val="nil"/>
              <w:right w:val="single" w:sz="4" w:space="0" w:color="auto"/>
            </w:tcBorders>
            <w:shd w:val="clear" w:color="auto" w:fill="FFFFFF" w:themeFill="background1"/>
            <w:noWrap/>
            <w:vAlign w:val="center"/>
            <w:hideMark/>
          </w:tcPr>
          <w:p w14:paraId="095346B8" w14:textId="1282BC61"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101,408</w:t>
            </w:r>
          </w:p>
        </w:tc>
        <w:tc>
          <w:tcPr>
            <w:tcW w:w="0" w:type="auto"/>
            <w:tcBorders>
              <w:top w:val="nil"/>
              <w:left w:val="nil"/>
              <w:bottom w:val="nil"/>
              <w:right w:val="single" w:sz="4" w:space="0" w:color="auto"/>
            </w:tcBorders>
            <w:shd w:val="clear" w:color="auto" w:fill="FFFFFF" w:themeFill="background1"/>
            <w:noWrap/>
            <w:vAlign w:val="center"/>
            <w:hideMark/>
          </w:tcPr>
          <w:p w14:paraId="5ACCA781" w14:textId="54351A4F"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142,388</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7842F593" w14:textId="586713E9" w:rsidR="00D45BF6" w:rsidRPr="00667E42" w:rsidRDefault="00D45BF6" w:rsidP="006E6BFA">
            <w:pPr>
              <w:spacing w:before="0" w:after="0"/>
              <w:ind w:left="57" w:right="156" w:firstLine="160"/>
              <w:jc w:val="right"/>
              <w:rPr>
                <w:rFonts w:asciiTheme="majorHAnsi" w:hAnsiTheme="majorHAnsi" w:cs="Arial"/>
                <w:sz w:val="16"/>
                <w:szCs w:val="16"/>
              </w:rPr>
            </w:pPr>
            <w:r w:rsidRPr="00667E42">
              <w:rPr>
                <w:rFonts w:asciiTheme="majorHAnsi" w:hAnsiTheme="majorHAnsi" w:cs="Arial"/>
                <w:sz w:val="16"/>
                <w:szCs w:val="16"/>
              </w:rPr>
              <w:t>18</w:t>
            </w:r>
          </w:p>
        </w:tc>
      </w:tr>
      <w:tr w:rsidR="00D45BF6" w14:paraId="3AEB938C" w14:textId="77777777" w:rsidTr="004C0DDC">
        <w:trPr>
          <w:trHeight w:val="20"/>
        </w:trPr>
        <w:tc>
          <w:tcPr>
            <w:tcW w:w="2001" w:type="dxa"/>
            <w:vMerge/>
            <w:tcBorders>
              <w:top w:val="nil"/>
              <w:bottom w:val="single" w:sz="4" w:space="0" w:color="000000"/>
              <w:right w:val="single" w:sz="4" w:space="0" w:color="auto"/>
            </w:tcBorders>
            <w:vAlign w:val="center"/>
            <w:hideMark/>
          </w:tcPr>
          <w:p w14:paraId="4CA93EAE" w14:textId="77777777" w:rsidR="00D45BF6" w:rsidRPr="00667E42" w:rsidRDefault="00D45BF6" w:rsidP="00CB0E93">
            <w:pPr>
              <w:spacing w:before="0" w:after="0"/>
              <w:ind w:left="57" w:right="57"/>
              <w:rPr>
                <w:rFonts w:asciiTheme="majorHAnsi" w:hAnsiTheme="majorHAnsi" w:cs="Arial"/>
                <w:bCs/>
                <w:sz w:val="16"/>
                <w:szCs w:val="16"/>
              </w:rPr>
            </w:pPr>
          </w:p>
        </w:tc>
        <w:tc>
          <w:tcPr>
            <w:tcW w:w="1551" w:type="dxa"/>
            <w:tcBorders>
              <w:top w:val="nil"/>
              <w:left w:val="nil"/>
              <w:bottom w:val="nil"/>
              <w:right w:val="single" w:sz="4" w:space="0" w:color="auto"/>
            </w:tcBorders>
            <w:shd w:val="clear" w:color="000000" w:fill="FFFFFF"/>
            <w:vAlign w:val="center"/>
            <w:hideMark/>
          </w:tcPr>
          <w:p w14:paraId="13D6674A"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23453FB3"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9,396</w:t>
            </w:r>
          </w:p>
        </w:tc>
        <w:tc>
          <w:tcPr>
            <w:tcW w:w="1883" w:type="dxa"/>
            <w:tcBorders>
              <w:top w:val="nil"/>
              <w:left w:val="nil"/>
              <w:bottom w:val="nil"/>
              <w:right w:val="single" w:sz="4" w:space="0" w:color="auto"/>
            </w:tcBorders>
            <w:shd w:val="clear" w:color="auto" w:fill="FFFFFF" w:themeFill="background1"/>
            <w:vAlign w:val="center"/>
            <w:hideMark/>
          </w:tcPr>
          <w:p w14:paraId="32A98A3F" w14:textId="447A83B5"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57,843</w:t>
            </w:r>
          </w:p>
        </w:tc>
        <w:tc>
          <w:tcPr>
            <w:tcW w:w="1661" w:type="dxa"/>
            <w:tcBorders>
              <w:top w:val="nil"/>
              <w:left w:val="nil"/>
              <w:bottom w:val="nil"/>
              <w:right w:val="single" w:sz="4" w:space="0" w:color="auto"/>
            </w:tcBorders>
            <w:shd w:val="clear" w:color="auto" w:fill="FFFFFF" w:themeFill="background1"/>
            <w:noWrap/>
            <w:vAlign w:val="center"/>
            <w:hideMark/>
          </w:tcPr>
          <w:p w14:paraId="2D297305" w14:textId="5A02DA59"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17,709</w:t>
            </w:r>
          </w:p>
        </w:tc>
        <w:tc>
          <w:tcPr>
            <w:tcW w:w="1993" w:type="dxa"/>
            <w:tcBorders>
              <w:top w:val="nil"/>
              <w:left w:val="nil"/>
              <w:bottom w:val="nil"/>
              <w:right w:val="single" w:sz="4" w:space="0" w:color="auto"/>
            </w:tcBorders>
            <w:shd w:val="clear" w:color="auto" w:fill="FFFFFF" w:themeFill="background1"/>
            <w:noWrap/>
            <w:vAlign w:val="center"/>
            <w:hideMark/>
          </w:tcPr>
          <w:p w14:paraId="2A2E6261" w14:textId="46B78332"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1,929</w:t>
            </w:r>
          </w:p>
        </w:tc>
        <w:tc>
          <w:tcPr>
            <w:tcW w:w="0" w:type="auto"/>
            <w:tcBorders>
              <w:top w:val="nil"/>
              <w:left w:val="nil"/>
              <w:bottom w:val="nil"/>
              <w:right w:val="single" w:sz="4" w:space="0" w:color="auto"/>
            </w:tcBorders>
            <w:shd w:val="clear" w:color="auto" w:fill="FFFFFF" w:themeFill="background1"/>
            <w:noWrap/>
            <w:vAlign w:val="center"/>
            <w:hideMark/>
          </w:tcPr>
          <w:p w14:paraId="5080FBBA" w14:textId="3573295B"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19,538</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7F45FC43" w14:textId="738DC141" w:rsidR="00D45BF6" w:rsidRPr="00667E42" w:rsidRDefault="00D45BF6" w:rsidP="006E6BFA">
            <w:pPr>
              <w:spacing w:before="0" w:after="0"/>
              <w:ind w:left="57" w:right="156" w:firstLine="160"/>
              <w:jc w:val="right"/>
              <w:rPr>
                <w:rFonts w:asciiTheme="majorHAnsi" w:hAnsiTheme="majorHAnsi" w:cs="Arial"/>
                <w:sz w:val="16"/>
                <w:szCs w:val="16"/>
              </w:rPr>
            </w:pPr>
            <w:r w:rsidRPr="00667E42">
              <w:rPr>
                <w:rFonts w:asciiTheme="majorHAnsi" w:hAnsiTheme="majorHAnsi" w:cs="Arial"/>
                <w:sz w:val="16"/>
                <w:szCs w:val="16"/>
              </w:rPr>
              <w:t>22</w:t>
            </w:r>
          </w:p>
        </w:tc>
      </w:tr>
      <w:tr w:rsidR="00D45BF6" w14:paraId="1BF0D1A4" w14:textId="77777777" w:rsidTr="004C0DDC">
        <w:trPr>
          <w:trHeight w:val="20"/>
        </w:trPr>
        <w:tc>
          <w:tcPr>
            <w:tcW w:w="2001" w:type="dxa"/>
            <w:vMerge/>
            <w:tcBorders>
              <w:top w:val="nil"/>
              <w:bottom w:val="single" w:sz="4" w:space="0" w:color="000000"/>
              <w:right w:val="single" w:sz="4" w:space="0" w:color="auto"/>
            </w:tcBorders>
            <w:vAlign w:val="center"/>
            <w:hideMark/>
          </w:tcPr>
          <w:p w14:paraId="7A88296A" w14:textId="77777777" w:rsidR="00D45BF6" w:rsidRPr="00667E42" w:rsidRDefault="00D45BF6" w:rsidP="00CB0E93">
            <w:pPr>
              <w:spacing w:before="0" w:after="0"/>
              <w:ind w:left="57" w:right="57"/>
              <w:rPr>
                <w:rFonts w:asciiTheme="majorHAnsi" w:hAnsiTheme="majorHAnsi" w:cs="Arial"/>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54A9B341"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0D4EA640"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183,919</w:t>
            </w:r>
          </w:p>
        </w:tc>
        <w:tc>
          <w:tcPr>
            <w:tcW w:w="1883" w:type="dxa"/>
            <w:tcBorders>
              <w:top w:val="nil"/>
              <w:left w:val="nil"/>
              <w:bottom w:val="single" w:sz="4" w:space="0" w:color="auto"/>
              <w:right w:val="single" w:sz="4" w:space="0" w:color="auto"/>
            </w:tcBorders>
            <w:shd w:val="clear" w:color="auto" w:fill="FFFFFF" w:themeFill="background1"/>
            <w:vAlign w:val="center"/>
            <w:hideMark/>
          </w:tcPr>
          <w:p w14:paraId="1D4C8C5D" w14:textId="300D5AB7"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115,323</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1CB19E95" w14:textId="2E00DF7D"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33,089</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651D88F4" w14:textId="49E00258"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103,337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91BD5C7" w14:textId="324FA27E"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161,926</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7BE504A9" w14:textId="51E1587C" w:rsidR="00D45BF6" w:rsidRPr="00667E42" w:rsidRDefault="00D45BF6" w:rsidP="006E6BFA">
            <w:pPr>
              <w:spacing w:before="0" w:after="0"/>
              <w:ind w:left="57" w:right="156" w:firstLine="160"/>
              <w:jc w:val="right"/>
              <w:rPr>
                <w:rFonts w:asciiTheme="majorHAnsi" w:hAnsiTheme="majorHAnsi" w:cs="Arial"/>
                <w:sz w:val="16"/>
                <w:szCs w:val="16"/>
              </w:rPr>
            </w:pPr>
            <w:r w:rsidRPr="00667E42">
              <w:rPr>
                <w:rFonts w:asciiTheme="majorHAnsi" w:hAnsiTheme="majorHAnsi" w:cs="Arial"/>
                <w:sz w:val="16"/>
                <w:szCs w:val="16"/>
              </w:rPr>
              <w:t>18</w:t>
            </w:r>
          </w:p>
        </w:tc>
      </w:tr>
      <w:tr w:rsidR="00D45BF6" w14:paraId="52398C1A"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00A73901"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lastRenderedPageBreak/>
              <w:t>West Victoria</w:t>
            </w:r>
          </w:p>
        </w:tc>
        <w:tc>
          <w:tcPr>
            <w:tcW w:w="1551" w:type="dxa"/>
            <w:tcBorders>
              <w:top w:val="nil"/>
              <w:left w:val="nil"/>
              <w:bottom w:val="nil"/>
              <w:right w:val="single" w:sz="4" w:space="0" w:color="auto"/>
            </w:tcBorders>
            <w:shd w:val="clear" w:color="000000" w:fill="FFFFFF"/>
            <w:vAlign w:val="center"/>
            <w:hideMark/>
          </w:tcPr>
          <w:p w14:paraId="2A428639"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55240EA6"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612,621</w:t>
            </w:r>
          </w:p>
        </w:tc>
        <w:tc>
          <w:tcPr>
            <w:tcW w:w="1883" w:type="dxa"/>
            <w:tcBorders>
              <w:top w:val="nil"/>
              <w:left w:val="nil"/>
              <w:bottom w:val="nil"/>
              <w:right w:val="single" w:sz="4" w:space="0" w:color="auto"/>
            </w:tcBorders>
            <w:shd w:val="clear" w:color="auto" w:fill="FFFFFF" w:themeFill="background1"/>
            <w:vAlign w:val="center"/>
            <w:hideMark/>
          </w:tcPr>
          <w:p w14:paraId="6352E8C1" w14:textId="73043F68"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65,477</w:t>
            </w:r>
          </w:p>
        </w:tc>
        <w:tc>
          <w:tcPr>
            <w:tcW w:w="1661" w:type="dxa"/>
            <w:tcBorders>
              <w:top w:val="nil"/>
              <w:left w:val="nil"/>
              <w:bottom w:val="nil"/>
              <w:right w:val="single" w:sz="4" w:space="0" w:color="auto"/>
            </w:tcBorders>
            <w:shd w:val="clear" w:color="auto" w:fill="FFFFFF" w:themeFill="background1"/>
            <w:noWrap/>
            <w:vAlign w:val="center"/>
            <w:hideMark/>
          </w:tcPr>
          <w:p w14:paraId="7EB83297" w14:textId="218E8FB2"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54,834</w:t>
            </w:r>
          </w:p>
        </w:tc>
        <w:tc>
          <w:tcPr>
            <w:tcW w:w="1993" w:type="dxa"/>
            <w:tcBorders>
              <w:top w:val="nil"/>
              <w:left w:val="nil"/>
              <w:bottom w:val="nil"/>
              <w:right w:val="single" w:sz="4" w:space="0" w:color="auto"/>
            </w:tcBorders>
            <w:shd w:val="clear" w:color="auto" w:fill="FFFFFF" w:themeFill="background1"/>
            <w:noWrap/>
            <w:vAlign w:val="center"/>
            <w:hideMark/>
          </w:tcPr>
          <w:p w14:paraId="7B79BC12" w14:textId="1E688C7B"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1,110</w:t>
            </w:r>
          </w:p>
        </w:tc>
        <w:tc>
          <w:tcPr>
            <w:tcW w:w="0" w:type="auto"/>
            <w:tcBorders>
              <w:top w:val="nil"/>
              <w:left w:val="nil"/>
              <w:bottom w:val="nil"/>
              <w:right w:val="single" w:sz="4" w:space="0" w:color="auto"/>
            </w:tcBorders>
            <w:shd w:val="clear" w:color="auto" w:fill="FFFFFF" w:themeFill="background1"/>
            <w:noWrap/>
            <w:vAlign w:val="center"/>
            <w:hideMark/>
          </w:tcPr>
          <w:p w14:paraId="0830EA11" w14:textId="183C386E"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57,444</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57903477" w14:textId="117C40E5"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12</w:t>
            </w:r>
          </w:p>
        </w:tc>
      </w:tr>
      <w:tr w:rsidR="00D45BF6" w14:paraId="54AA18EB" w14:textId="77777777" w:rsidTr="004C0DDC">
        <w:trPr>
          <w:trHeight w:val="20"/>
        </w:trPr>
        <w:tc>
          <w:tcPr>
            <w:tcW w:w="2001" w:type="dxa"/>
            <w:vMerge/>
            <w:tcBorders>
              <w:top w:val="nil"/>
              <w:bottom w:val="single" w:sz="4" w:space="0" w:color="000000"/>
              <w:right w:val="single" w:sz="4" w:space="0" w:color="auto"/>
            </w:tcBorders>
            <w:vAlign w:val="center"/>
            <w:hideMark/>
          </w:tcPr>
          <w:p w14:paraId="04C0973E" w14:textId="77777777" w:rsidR="00D45BF6" w:rsidRPr="00667E42"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6B76D82C"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49500818"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102,920</w:t>
            </w:r>
          </w:p>
        </w:tc>
        <w:tc>
          <w:tcPr>
            <w:tcW w:w="1883" w:type="dxa"/>
            <w:tcBorders>
              <w:top w:val="nil"/>
              <w:left w:val="nil"/>
              <w:bottom w:val="nil"/>
              <w:right w:val="single" w:sz="4" w:space="0" w:color="auto"/>
            </w:tcBorders>
            <w:shd w:val="clear" w:color="auto" w:fill="FFFFFF" w:themeFill="background1"/>
            <w:vAlign w:val="center"/>
            <w:hideMark/>
          </w:tcPr>
          <w:p w14:paraId="1E536127" w14:textId="29E0B9F8"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91,409</w:t>
            </w:r>
          </w:p>
        </w:tc>
        <w:tc>
          <w:tcPr>
            <w:tcW w:w="1661" w:type="dxa"/>
            <w:tcBorders>
              <w:top w:val="nil"/>
              <w:left w:val="nil"/>
              <w:bottom w:val="nil"/>
              <w:right w:val="single" w:sz="4" w:space="0" w:color="auto"/>
            </w:tcBorders>
            <w:shd w:val="clear" w:color="auto" w:fill="FFFFFF" w:themeFill="background1"/>
            <w:noWrap/>
            <w:vAlign w:val="center"/>
            <w:hideMark/>
          </w:tcPr>
          <w:p w14:paraId="7FC2E63D" w14:textId="385E4B4F"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33,250</w:t>
            </w:r>
          </w:p>
        </w:tc>
        <w:tc>
          <w:tcPr>
            <w:tcW w:w="1993" w:type="dxa"/>
            <w:tcBorders>
              <w:top w:val="nil"/>
              <w:left w:val="nil"/>
              <w:bottom w:val="nil"/>
              <w:right w:val="single" w:sz="4" w:space="0" w:color="auto"/>
            </w:tcBorders>
            <w:shd w:val="clear" w:color="auto" w:fill="FFFFFF" w:themeFill="background1"/>
            <w:noWrap/>
            <w:vAlign w:val="center"/>
            <w:hideMark/>
          </w:tcPr>
          <w:p w14:paraId="7307A087" w14:textId="715C55E8"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400</w:t>
            </w:r>
          </w:p>
        </w:tc>
        <w:tc>
          <w:tcPr>
            <w:tcW w:w="0" w:type="auto"/>
            <w:tcBorders>
              <w:top w:val="nil"/>
              <w:left w:val="nil"/>
              <w:bottom w:val="nil"/>
              <w:right w:val="single" w:sz="4" w:space="0" w:color="auto"/>
            </w:tcBorders>
            <w:shd w:val="clear" w:color="auto" w:fill="FFFFFF" w:themeFill="background1"/>
            <w:noWrap/>
            <w:vAlign w:val="center"/>
            <w:hideMark/>
          </w:tcPr>
          <w:p w14:paraId="06A64A51" w14:textId="27533481"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37,050</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347DAEDD" w14:textId="568113C5"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43</w:t>
            </w:r>
          </w:p>
        </w:tc>
      </w:tr>
      <w:tr w:rsidR="00D45BF6" w14:paraId="1FFECFC3" w14:textId="77777777" w:rsidTr="004C0DDC">
        <w:trPr>
          <w:trHeight w:val="20"/>
        </w:trPr>
        <w:tc>
          <w:tcPr>
            <w:tcW w:w="2001" w:type="dxa"/>
            <w:vMerge/>
            <w:tcBorders>
              <w:top w:val="nil"/>
              <w:bottom w:val="single" w:sz="4" w:space="0" w:color="000000"/>
              <w:right w:val="single" w:sz="4" w:space="0" w:color="auto"/>
            </w:tcBorders>
            <w:vAlign w:val="center"/>
            <w:hideMark/>
          </w:tcPr>
          <w:p w14:paraId="1C8AD7E6" w14:textId="77777777" w:rsidR="00D45BF6" w:rsidRPr="00667E42"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158954F2"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508C78D7"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715,541</w:t>
            </w:r>
          </w:p>
        </w:tc>
        <w:tc>
          <w:tcPr>
            <w:tcW w:w="1883" w:type="dxa"/>
            <w:tcBorders>
              <w:top w:val="nil"/>
              <w:left w:val="nil"/>
              <w:bottom w:val="single" w:sz="4" w:space="0" w:color="auto"/>
              <w:right w:val="single" w:sz="4" w:space="0" w:color="auto"/>
            </w:tcBorders>
            <w:shd w:val="clear" w:color="auto" w:fill="FFFFFF" w:themeFill="background1"/>
            <w:vAlign w:val="center"/>
            <w:hideMark/>
          </w:tcPr>
          <w:p w14:paraId="3804C166" w14:textId="267B5B25"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156,886</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297C321C" w14:textId="582A12B5"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87,984</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1C9B1DA9" w14:textId="21CE0368"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1,610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5CDACCC" w14:textId="075E5353"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94,494</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3E6ABDC4" w14:textId="081F508B"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16</w:t>
            </w:r>
          </w:p>
        </w:tc>
      </w:tr>
      <w:tr w:rsidR="00D45BF6" w14:paraId="2803580C" w14:textId="77777777" w:rsidTr="004C0DDC">
        <w:trPr>
          <w:trHeight w:val="20"/>
        </w:trPr>
        <w:tc>
          <w:tcPr>
            <w:tcW w:w="2001" w:type="dxa"/>
            <w:vMerge w:val="restart"/>
            <w:tcBorders>
              <w:top w:val="nil"/>
              <w:bottom w:val="nil"/>
              <w:right w:val="single" w:sz="4" w:space="0" w:color="auto"/>
            </w:tcBorders>
            <w:shd w:val="clear" w:color="000000" w:fill="FFFFFF"/>
            <w:vAlign w:val="center"/>
            <w:hideMark/>
          </w:tcPr>
          <w:p w14:paraId="0D75313A" w14:textId="77777777" w:rsidR="00D45BF6" w:rsidRPr="00667E42" w:rsidRDefault="00D45BF6" w:rsidP="00CB0E93">
            <w:pPr>
              <w:spacing w:before="0" w:after="0"/>
              <w:ind w:left="57" w:right="57"/>
              <w:rPr>
                <w:rFonts w:asciiTheme="majorHAnsi" w:hAnsiTheme="majorHAnsi" w:cs="Arial"/>
                <w:b/>
                <w:bCs/>
                <w:sz w:val="16"/>
                <w:szCs w:val="16"/>
              </w:rPr>
            </w:pPr>
            <w:r w:rsidRPr="00667E42">
              <w:rPr>
                <w:rFonts w:asciiTheme="majorHAnsi" w:hAnsiTheme="majorHAnsi" w:cs="Arial"/>
                <w:b/>
                <w:bCs/>
                <w:sz w:val="16"/>
                <w:szCs w:val="16"/>
              </w:rPr>
              <w:t>Total Victorian RFA regions</w:t>
            </w:r>
          </w:p>
        </w:tc>
        <w:tc>
          <w:tcPr>
            <w:tcW w:w="1551" w:type="dxa"/>
            <w:tcBorders>
              <w:top w:val="nil"/>
              <w:left w:val="nil"/>
              <w:bottom w:val="nil"/>
              <w:right w:val="single" w:sz="4" w:space="0" w:color="auto"/>
            </w:tcBorders>
            <w:shd w:val="clear" w:color="000000" w:fill="FFFFFF"/>
            <w:vAlign w:val="center"/>
            <w:hideMark/>
          </w:tcPr>
          <w:p w14:paraId="63EE3930"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4514CC57"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1,156,579</w:t>
            </w:r>
          </w:p>
        </w:tc>
        <w:tc>
          <w:tcPr>
            <w:tcW w:w="1883" w:type="dxa"/>
            <w:tcBorders>
              <w:top w:val="nil"/>
              <w:left w:val="nil"/>
              <w:bottom w:val="nil"/>
              <w:right w:val="single" w:sz="4" w:space="0" w:color="auto"/>
            </w:tcBorders>
            <w:shd w:val="clear" w:color="auto" w:fill="FFFFFF" w:themeFill="background1"/>
            <w:vAlign w:val="center"/>
            <w:hideMark/>
          </w:tcPr>
          <w:p w14:paraId="49F000A5" w14:textId="1EF33E6D"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216,631</w:t>
            </w:r>
          </w:p>
        </w:tc>
        <w:tc>
          <w:tcPr>
            <w:tcW w:w="1661" w:type="dxa"/>
            <w:tcBorders>
              <w:top w:val="nil"/>
              <w:left w:val="nil"/>
              <w:bottom w:val="nil"/>
              <w:right w:val="single" w:sz="4" w:space="0" w:color="auto"/>
            </w:tcBorders>
            <w:shd w:val="clear" w:color="auto" w:fill="FFFFFF" w:themeFill="background1"/>
            <w:noWrap/>
            <w:vAlign w:val="center"/>
            <w:hideMark/>
          </w:tcPr>
          <w:p w14:paraId="17558805" w14:textId="680F996F"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169,393</w:t>
            </w:r>
          </w:p>
        </w:tc>
        <w:tc>
          <w:tcPr>
            <w:tcW w:w="1993" w:type="dxa"/>
            <w:tcBorders>
              <w:top w:val="nil"/>
              <w:left w:val="nil"/>
              <w:bottom w:val="nil"/>
              <w:right w:val="single" w:sz="4" w:space="0" w:color="auto"/>
            </w:tcBorders>
            <w:shd w:val="clear" w:color="auto" w:fill="FFFFFF" w:themeFill="background1"/>
            <w:noWrap/>
            <w:vAlign w:val="center"/>
            <w:hideMark/>
          </w:tcPr>
          <w:p w14:paraId="474FE5A2" w14:textId="3795A534"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334,811</w:t>
            </w:r>
          </w:p>
        </w:tc>
        <w:tc>
          <w:tcPr>
            <w:tcW w:w="0" w:type="auto"/>
            <w:tcBorders>
              <w:top w:val="nil"/>
              <w:left w:val="nil"/>
              <w:bottom w:val="nil"/>
              <w:right w:val="single" w:sz="4" w:space="0" w:color="auto"/>
            </w:tcBorders>
            <w:shd w:val="clear" w:color="auto" w:fill="FFFFFF" w:themeFill="background1"/>
            <w:noWrap/>
            <w:vAlign w:val="center"/>
            <w:hideMark/>
          </w:tcPr>
          <w:p w14:paraId="5F294C12" w14:textId="329E52D2"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529,104</w:t>
            </w:r>
            <w:r w:rsidR="00667E42" w:rsidRPr="00667E42">
              <w:rPr>
                <w:rFonts w:asciiTheme="majorHAnsi" w:hAnsiTheme="majorHAnsi" w:cs="Arial"/>
                <w:b/>
                <w:bCs/>
                <w:position w:val="4"/>
                <w:sz w:val="16"/>
                <w:szCs w:val="16"/>
              </w:rPr>
              <w:t xml:space="preserve"> </w:t>
            </w:r>
            <w:r w:rsidRPr="00667E42">
              <w:rPr>
                <w:rFonts w:asciiTheme="majorHAnsi" w:hAnsiTheme="majorHAnsi" w:cs="Arial"/>
                <w:b/>
                <w:bCs/>
                <w:position w:val="4"/>
                <w:sz w:val="16"/>
                <w:szCs w:val="16"/>
              </w:rPr>
              <w:t>b</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4E582EAC" w14:textId="51AB0152"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19</w:t>
            </w:r>
          </w:p>
        </w:tc>
      </w:tr>
      <w:tr w:rsidR="00D45BF6" w14:paraId="5DDD7257" w14:textId="77777777" w:rsidTr="004C0DDC">
        <w:trPr>
          <w:trHeight w:val="20"/>
        </w:trPr>
        <w:tc>
          <w:tcPr>
            <w:tcW w:w="2001" w:type="dxa"/>
            <w:vMerge/>
            <w:tcBorders>
              <w:top w:val="nil"/>
              <w:bottom w:val="nil"/>
              <w:right w:val="single" w:sz="4" w:space="0" w:color="auto"/>
            </w:tcBorders>
            <w:vAlign w:val="center"/>
            <w:hideMark/>
          </w:tcPr>
          <w:p w14:paraId="23559CDA" w14:textId="77777777" w:rsidR="00D45BF6" w:rsidRPr="00667E42"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266F1E87"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0FF2F7E3"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103,800</w:t>
            </w:r>
          </w:p>
        </w:tc>
        <w:tc>
          <w:tcPr>
            <w:tcW w:w="1883" w:type="dxa"/>
            <w:tcBorders>
              <w:top w:val="nil"/>
              <w:left w:val="nil"/>
              <w:bottom w:val="nil"/>
              <w:right w:val="single" w:sz="4" w:space="0" w:color="auto"/>
            </w:tcBorders>
            <w:shd w:val="clear" w:color="auto" w:fill="FFFFFF" w:themeFill="background1"/>
            <w:vAlign w:val="center"/>
            <w:hideMark/>
          </w:tcPr>
          <w:p w14:paraId="771C86F2" w14:textId="4B685E72"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137,429</w:t>
            </w:r>
          </w:p>
        </w:tc>
        <w:tc>
          <w:tcPr>
            <w:tcW w:w="1661" w:type="dxa"/>
            <w:tcBorders>
              <w:top w:val="nil"/>
              <w:left w:val="nil"/>
              <w:bottom w:val="nil"/>
              <w:right w:val="single" w:sz="4" w:space="0" w:color="auto"/>
            </w:tcBorders>
            <w:shd w:val="clear" w:color="auto" w:fill="FFFFFF" w:themeFill="background1"/>
            <w:noWrap/>
            <w:vAlign w:val="center"/>
            <w:hideMark/>
          </w:tcPr>
          <w:p w14:paraId="1C71D6B2" w14:textId="4BE4C37B"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40,838</w:t>
            </w:r>
          </w:p>
        </w:tc>
        <w:tc>
          <w:tcPr>
            <w:tcW w:w="1993" w:type="dxa"/>
            <w:tcBorders>
              <w:top w:val="nil"/>
              <w:left w:val="nil"/>
              <w:bottom w:val="nil"/>
              <w:right w:val="single" w:sz="4" w:space="0" w:color="auto"/>
            </w:tcBorders>
            <w:shd w:val="clear" w:color="auto" w:fill="FFFFFF" w:themeFill="background1"/>
            <w:noWrap/>
            <w:vAlign w:val="center"/>
            <w:hideMark/>
          </w:tcPr>
          <w:p w14:paraId="564629FA" w14:textId="13CD51D1"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-6,650</w:t>
            </w:r>
          </w:p>
        </w:tc>
        <w:tc>
          <w:tcPr>
            <w:tcW w:w="0" w:type="auto"/>
            <w:tcBorders>
              <w:top w:val="nil"/>
              <w:left w:val="nil"/>
              <w:bottom w:val="nil"/>
              <w:right w:val="single" w:sz="4" w:space="0" w:color="auto"/>
            </w:tcBorders>
            <w:shd w:val="clear" w:color="auto" w:fill="FFFFFF" w:themeFill="background1"/>
            <w:noWrap/>
            <w:vAlign w:val="center"/>
            <w:hideMark/>
          </w:tcPr>
          <w:p w14:paraId="5CC54851" w14:textId="210AB3BE"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37,888</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b</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177425DE" w14:textId="53231D08"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15</w:t>
            </w:r>
          </w:p>
        </w:tc>
      </w:tr>
      <w:tr w:rsidR="00D45BF6" w14:paraId="30A3C7A6" w14:textId="77777777" w:rsidTr="004C0DDC">
        <w:trPr>
          <w:trHeight w:val="20"/>
        </w:trPr>
        <w:tc>
          <w:tcPr>
            <w:tcW w:w="2001" w:type="dxa"/>
            <w:vMerge/>
            <w:tcBorders>
              <w:top w:val="nil"/>
              <w:bottom w:val="nil"/>
              <w:right w:val="single" w:sz="4" w:space="0" w:color="auto"/>
            </w:tcBorders>
            <w:vAlign w:val="center"/>
            <w:hideMark/>
          </w:tcPr>
          <w:p w14:paraId="13785265" w14:textId="77777777" w:rsidR="00D45BF6" w:rsidRPr="00667E42"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09FD978E"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nil"/>
              <w:right w:val="single" w:sz="4" w:space="0" w:color="auto"/>
            </w:tcBorders>
            <w:shd w:val="clear" w:color="auto" w:fill="FFFFFF" w:themeFill="background1"/>
            <w:noWrap/>
            <w:vAlign w:val="center"/>
            <w:hideMark/>
          </w:tcPr>
          <w:p w14:paraId="60ABD22A"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1,260,379</w:t>
            </w:r>
          </w:p>
        </w:tc>
        <w:tc>
          <w:tcPr>
            <w:tcW w:w="1883" w:type="dxa"/>
            <w:tcBorders>
              <w:top w:val="nil"/>
              <w:left w:val="nil"/>
              <w:bottom w:val="nil"/>
              <w:right w:val="single" w:sz="4" w:space="0" w:color="auto"/>
            </w:tcBorders>
            <w:shd w:val="clear" w:color="auto" w:fill="FFFFFF" w:themeFill="background1"/>
            <w:vAlign w:val="center"/>
            <w:hideMark/>
          </w:tcPr>
          <w:p w14:paraId="3AAA7C36" w14:textId="5B6E0D67"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354,060</w:t>
            </w:r>
          </w:p>
        </w:tc>
        <w:tc>
          <w:tcPr>
            <w:tcW w:w="1661" w:type="dxa"/>
            <w:tcBorders>
              <w:top w:val="nil"/>
              <w:left w:val="nil"/>
              <w:bottom w:val="nil"/>
              <w:right w:val="single" w:sz="4" w:space="0" w:color="auto"/>
            </w:tcBorders>
            <w:shd w:val="clear" w:color="auto" w:fill="FFFFFF" w:themeFill="background1"/>
            <w:noWrap/>
            <w:vAlign w:val="center"/>
            <w:hideMark/>
          </w:tcPr>
          <w:p w14:paraId="396BED1F" w14:textId="63E6A7A1"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210,231</w:t>
            </w:r>
          </w:p>
        </w:tc>
        <w:tc>
          <w:tcPr>
            <w:tcW w:w="1993" w:type="dxa"/>
            <w:tcBorders>
              <w:top w:val="nil"/>
              <w:left w:val="nil"/>
              <w:bottom w:val="nil"/>
              <w:right w:val="single" w:sz="4" w:space="0" w:color="auto"/>
            </w:tcBorders>
            <w:shd w:val="clear" w:color="auto" w:fill="FFFFFF" w:themeFill="background1"/>
            <w:noWrap/>
            <w:vAlign w:val="center"/>
            <w:hideMark/>
          </w:tcPr>
          <w:p w14:paraId="7C749F5E" w14:textId="48EB4376"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328,161</w:t>
            </w:r>
          </w:p>
        </w:tc>
        <w:tc>
          <w:tcPr>
            <w:tcW w:w="0" w:type="auto"/>
            <w:tcBorders>
              <w:top w:val="nil"/>
              <w:left w:val="nil"/>
              <w:bottom w:val="nil"/>
              <w:right w:val="single" w:sz="4" w:space="0" w:color="auto"/>
            </w:tcBorders>
            <w:shd w:val="clear" w:color="auto" w:fill="FFFFFF" w:themeFill="background1"/>
            <w:noWrap/>
            <w:vAlign w:val="center"/>
            <w:hideMark/>
          </w:tcPr>
          <w:p w14:paraId="2112C293" w14:textId="598A1313"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566,992</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b</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67BF4AC1" w14:textId="0ED79C21"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19</w:t>
            </w:r>
          </w:p>
        </w:tc>
      </w:tr>
      <w:tr w:rsidR="00D45BF6" w14:paraId="22B78734" w14:textId="77777777" w:rsidTr="00C935F0">
        <w:trPr>
          <w:trHeight w:val="340"/>
        </w:trPr>
        <w:tc>
          <w:tcPr>
            <w:tcW w:w="13690" w:type="dxa"/>
            <w:gridSpan w:val="8"/>
            <w:tcBorders>
              <w:top w:val="single" w:sz="4" w:space="0" w:color="auto"/>
              <w:bottom w:val="single" w:sz="4" w:space="0" w:color="auto"/>
            </w:tcBorders>
            <w:shd w:val="clear" w:color="auto" w:fill="auto"/>
            <w:noWrap/>
            <w:vAlign w:val="center"/>
            <w:hideMark/>
          </w:tcPr>
          <w:p w14:paraId="162EF69C" w14:textId="77777777" w:rsidR="00D45BF6" w:rsidRPr="00667E42" w:rsidRDefault="00D45BF6" w:rsidP="00CB0E93">
            <w:pPr>
              <w:spacing w:before="0" w:after="0"/>
              <w:ind w:left="57" w:right="57"/>
              <w:rPr>
                <w:rFonts w:asciiTheme="majorHAnsi" w:hAnsiTheme="majorHAnsi" w:cs="Arial"/>
                <w:b/>
                <w:bCs/>
                <w:sz w:val="16"/>
                <w:szCs w:val="16"/>
              </w:rPr>
            </w:pPr>
            <w:r w:rsidRPr="00667E42">
              <w:rPr>
                <w:rFonts w:asciiTheme="majorHAnsi" w:hAnsiTheme="majorHAnsi" w:cs="Arial"/>
                <w:b/>
                <w:bCs/>
                <w:sz w:val="16"/>
                <w:szCs w:val="16"/>
              </w:rPr>
              <w:t>Western Australia</w:t>
            </w:r>
          </w:p>
        </w:tc>
      </w:tr>
      <w:tr w:rsidR="00D45BF6" w14:paraId="29057685" w14:textId="77777777" w:rsidTr="004C0DDC">
        <w:trPr>
          <w:trHeight w:val="20"/>
        </w:trPr>
        <w:tc>
          <w:tcPr>
            <w:tcW w:w="2001" w:type="dxa"/>
            <w:vMerge w:val="restart"/>
            <w:tcBorders>
              <w:top w:val="nil"/>
              <w:bottom w:val="nil"/>
              <w:right w:val="single" w:sz="4" w:space="0" w:color="auto"/>
            </w:tcBorders>
            <w:shd w:val="clear" w:color="000000" w:fill="FFFFFF"/>
            <w:vAlign w:val="center"/>
            <w:hideMark/>
          </w:tcPr>
          <w:p w14:paraId="75CAA922"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South-West Forest Region of WA</w:t>
            </w:r>
          </w:p>
        </w:tc>
        <w:tc>
          <w:tcPr>
            <w:tcW w:w="1551" w:type="dxa"/>
            <w:tcBorders>
              <w:top w:val="nil"/>
              <w:left w:val="nil"/>
              <w:bottom w:val="nil"/>
              <w:right w:val="single" w:sz="4" w:space="0" w:color="auto"/>
            </w:tcBorders>
            <w:shd w:val="clear" w:color="000000" w:fill="FFFFFF"/>
            <w:vAlign w:val="center"/>
            <w:hideMark/>
          </w:tcPr>
          <w:p w14:paraId="7AC775FC"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51062F78"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-124,995</w:t>
            </w:r>
          </w:p>
        </w:tc>
        <w:tc>
          <w:tcPr>
            <w:tcW w:w="1883" w:type="dxa"/>
            <w:tcBorders>
              <w:top w:val="nil"/>
              <w:left w:val="nil"/>
              <w:bottom w:val="nil"/>
              <w:right w:val="single" w:sz="4" w:space="0" w:color="auto"/>
            </w:tcBorders>
            <w:shd w:val="clear" w:color="auto" w:fill="FFFFFF" w:themeFill="background1"/>
            <w:vAlign w:val="center"/>
            <w:hideMark/>
          </w:tcPr>
          <w:p w14:paraId="7557F039" w14:textId="237214D2"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46,371</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c</w:t>
            </w:r>
          </w:p>
        </w:tc>
        <w:tc>
          <w:tcPr>
            <w:tcW w:w="1661" w:type="dxa"/>
            <w:tcBorders>
              <w:top w:val="nil"/>
              <w:left w:val="nil"/>
              <w:bottom w:val="nil"/>
              <w:right w:val="single" w:sz="4" w:space="0" w:color="auto"/>
            </w:tcBorders>
            <w:shd w:val="clear" w:color="auto" w:fill="FFFFFF" w:themeFill="background1"/>
            <w:noWrap/>
            <w:vAlign w:val="center"/>
            <w:hideMark/>
          </w:tcPr>
          <w:p w14:paraId="49A7AE8C"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222,800</w:t>
            </w:r>
          </w:p>
        </w:tc>
        <w:tc>
          <w:tcPr>
            <w:tcW w:w="1993" w:type="dxa"/>
            <w:tcBorders>
              <w:top w:val="nil"/>
              <w:left w:val="nil"/>
              <w:bottom w:val="nil"/>
              <w:right w:val="single" w:sz="4" w:space="0" w:color="auto"/>
            </w:tcBorders>
            <w:shd w:val="clear" w:color="auto" w:fill="FFFFFF" w:themeFill="background1"/>
            <w:noWrap/>
            <w:vAlign w:val="center"/>
            <w:hideMark/>
          </w:tcPr>
          <w:p w14:paraId="40E003CE" w14:textId="1E7FA17F"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-5,107</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d</w:t>
            </w:r>
          </w:p>
        </w:tc>
        <w:tc>
          <w:tcPr>
            <w:tcW w:w="0" w:type="auto"/>
            <w:tcBorders>
              <w:top w:val="nil"/>
              <w:left w:val="nil"/>
              <w:bottom w:val="nil"/>
              <w:right w:val="single" w:sz="4" w:space="0" w:color="auto"/>
            </w:tcBorders>
            <w:shd w:val="clear" w:color="auto" w:fill="FFFFFF" w:themeFill="background1"/>
            <w:noWrap/>
            <w:vAlign w:val="center"/>
            <w:hideMark/>
          </w:tcPr>
          <w:p w14:paraId="6CFED298" w14:textId="4CB1BC1A"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217,693</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d</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06E20C7B" w14:textId="77777777"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27</w:t>
            </w:r>
          </w:p>
        </w:tc>
      </w:tr>
      <w:tr w:rsidR="00D45BF6" w14:paraId="5AA4CE34" w14:textId="77777777" w:rsidTr="004C0DDC">
        <w:trPr>
          <w:trHeight w:val="20"/>
        </w:trPr>
        <w:tc>
          <w:tcPr>
            <w:tcW w:w="2001" w:type="dxa"/>
            <w:vMerge/>
            <w:tcBorders>
              <w:top w:val="nil"/>
              <w:bottom w:val="nil"/>
              <w:right w:val="single" w:sz="4" w:space="0" w:color="auto"/>
            </w:tcBorders>
            <w:vAlign w:val="center"/>
            <w:hideMark/>
          </w:tcPr>
          <w:p w14:paraId="51A089C2" w14:textId="77777777" w:rsidR="00D45BF6" w:rsidRPr="00667E42"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16D1AF38"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053BC5B9"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1,539</w:t>
            </w:r>
          </w:p>
        </w:tc>
        <w:tc>
          <w:tcPr>
            <w:tcW w:w="1883" w:type="dxa"/>
            <w:tcBorders>
              <w:top w:val="nil"/>
              <w:left w:val="nil"/>
              <w:bottom w:val="nil"/>
              <w:right w:val="single" w:sz="4" w:space="0" w:color="auto"/>
            </w:tcBorders>
            <w:shd w:val="clear" w:color="auto" w:fill="FFFFFF" w:themeFill="background1"/>
            <w:vAlign w:val="center"/>
            <w:hideMark/>
          </w:tcPr>
          <w:p w14:paraId="611CFD88" w14:textId="6A957AA1"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14,372</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c</w:t>
            </w:r>
          </w:p>
        </w:tc>
        <w:tc>
          <w:tcPr>
            <w:tcW w:w="1661" w:type="dxa"/>
            <w:tcBorders>
              <w:top w:val="nil"/>
              <w:left w:val="nil"/>
              <w:bottom w:val="nil"/>
              <w:right w:val="single" w:sz="4" w:space="0" w:color="auto"/>
            </w:tcBorders>
            <w:shd w:val="clear" w:color="auto" w:fill="FFFFFF" w:themeFill="background1"/>
            <w:noWrap/>
            <w:vAlign w:val="center"/>
            <w:hideMark/>
          </w:tcPr>
          <w:p w14:paraId="30373482"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43,826</w:t>
            </w:r>
          </w:p>
        </w:tc>
        <w:tc>
          <w:tcPr>
            <w:tcW w:w="1993" w:type="dxa"/>
            <w:tcBorders>
              <w:top w:val="nil"/>
              <w:left w:val="nil"/>
              <w:bottom w:val="nil"/>
              <w:right w:val="single" w:sz="4" w:space="0" w:color="auto"/>
            </w:tcBorders>
            <w:shd w:val="clear" w:color="auto" w:fill="FFFFFF" w:themeFill="background1"/>
            <w:noWrap/>
            <w:vAlign w:val="center"/>
            <w:hideMark/>
          </w:tcPr>
          <w:p w14:paraId="50E61A7E" w14:textId="21635995"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-1,972</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d</w:t>
            </w:r>
          </w:p>
        </w:tc>
        <w:tc>
          <w:tcPr>
            <w:tcW w:w="0" w:type="auto"/>
            <w:tcBorders>
              <w:top w:val="nil"/>
              <w:left w:val="nil"/>
              <w:bottom w:val="nil"/>
              <w:right w:val="single" w:sz="4" w:space="0" w:color="auto"/>
            </w:tcBorders>
            <w:shd w:val="clear" w:color="auto" w:fill="FFFFFF" w:themeFill="background1"/>
            <w:noWrap/>
            <w:vAlign w:val="center"/>
            <w:hideMark/>
          </w:tcPr>
          <w:p w14:paraId="2693479D" w14:textId="31E8D7F6"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41,854</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d</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7B2F24D4" w14:textId="77777777"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12</w:t>
            </w:r>
          </w:p>
        </w:tc>
      </w:tr>
      <w:tr w:rsidR="00D45BF6" w14:paraId="67F0BB71" w14:textId="77777777" w:rsidTr="004C0DDC">
        <w:trPr>
          <w:trHeight w:val="20"/>
        </w:trPr>
        <w:tc>
          <w:tcPr>
            <w:tcW w:w="2001" w:type="dxa"/>
            <w:vMerge/>
            <w:tcBorders>
              <w:top w:val="nil"/>
              <w:bottom w:val="nil"/>
              <w:right w:val="single" w:sz="4" w:space="0" w:color="auto"/>
            </w:tcBorders>
            <w:vAlign w:val="center"/>
            <w:hideMark/>
          </w:tcPr>
          <w:p w14:paraId="7F877E06" w14:textId="77777777" w:rsidR="00D45BF6" w:rsidRPr="00667E42"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0BFAA3EB"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nil"/>
              <w:right w:val="single" w:sz="4" w:space="0" w:color="auto"/>
            </w:tcBorders>
            <w:shd w:val="clear" w:color="auto" w:fill="FFFFFF" w:themeFill="background1"/>
            <w:noWrap/>
            <w:vAlign w:val="center"/>
            <w:hideMark/>
          </w:tcPr>
          <w:p w14:paraId="296F2C0A"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-123,456</w:t>
            </w:r>
          </w:p>
        </w:tc>
        <w:tc>
          <w:tcPr>
            <w:tcW w:w="1883" w:type="dxa"/>
            <w:tcBorders>
              <w:top w:val="nil"/>
              <w:left w:val="nil"/>
              <w:bottom w:val="nil"/>
              <w:right w:val="single" w:sz="4" w:space="0" w:color="auto"/>
            </w:tcBorders>
            <w:shd w:val="clear" w:color="auto" w:fill="FFFFFF" w:themeFill="background1"/>
            <w:vAlign w:val="center"/>
            <w:hideMark/>
          </w:tcPr>
          <w:p w14:paraId="28F941EB" w14:textId="038E5120"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60,743</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c</w:t>
            </w:r>
          </w:p>
        </w:tc>
        <w:tc>
          <w:tcPr>
            <w:tcW w:w="1661" w:type="dxa"/>
            <w:tcBorders>
              <w:top w:val="nil"/>
              <w:left w:val="nil"/>
              <w:bottom w:val="nil"/>
              <w:right w:val="single" w:sz="4" w:space="0" w:color="auto"/>
            </w:tcBorders>
            <w:shd w:val="clear" w:color="auto" w:fill="FFFFFF" w:themeFill="background1"/>
            <w:noWrap/>
            <w:vAlign w:val="center"/>
            <w:hideMark/>
          </w:tcPr>
          <w:p w14:paraId="7D629661"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266,626</w:t>
            </w:r>
          </w:p>
        </w:tc>
        <w:tc>
          <w:tcPr>
            <w:tcW w:w="1993" w:type="dxa"/>
            <w:tcBorders>
              <w:top w:val="nil"/>
              <w:left w:val="nil"/>
              <w:bottom w:val="nil"/>
              <w:right w:val="single" w:sz="4" w:space="0" w:color="auto"/>
            </w:tcBorders>
            <w:shd w:val="clear" w:color="auto" w:fill="FFFFFF" w:themeFill="background1"/>
            <w:noWrap/>
            <w:vAlign w:val="center"/>
            <w:hideMark/>
          </w:tcPr>
          <w:p w14:paraId="4A30086A" w14:textId="7B7077CD"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-7,079</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d</w:t>
            </w:r>
          </w:p>
        </w:tc>
        <w:tc>
          <w:tcPr>
            <w:tcW w:w="0" w:type="auto"/>
            <w:tcBorders>
              <w:top w:val="nil"/>
              <w:left w:val="nil"/>
              <w:bottom w:val="nil"/>
              <w:right w:val="single" w:sz="4" w:space="0" w:color="auto"/>
            </w:tcBorders>
            <w:shd w:val="clear" w:color="auto" w:fill="FFFFFF" w:themeFill="background1"/>
            <w:noWrap/>
            <w:vAlign w:val="center"/>
            <w:hideMark/>
          </w:tcPr>
          <w:p w14:paraId="2FBFAA0B" w14:textId="24B0E90A"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259,547</w:t>
            </w:r>
            <w:r w:rsidR="00667E42">
              <w:rPr>
                <w:rFonts w:asciiTheme="majorHAnsi" w:hAnsiTheme="majorHAnsi" w:cs="Arial"/>
                <w:sz w:val="16"/>
                <w:szCs w:val="16"/>
              </w:rPr>
              <w:t xml:space="preserve"> </w:t>
            </w:r>
            <w:r w:rsidRPr="00667E42">
              <w:rPr>
                <w:rFonts w:asciiTheme="majorHAnsi" w:hAnsiTheme="majorHAnsi" w:cs="Arial"/>
                <w:b/>
                <w:bCs/>
                <w:position w:val="4"/>
                <w:sz w:val="16"/>
                <w:szCs w:val="16"/>
              </w:rPr>
              <w:t>d</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66EB322C" w14:textId="77777777"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23</w:t>
            </w:r>
          </w:p>
        </w:tc>
      </w:tr>
      <w:tr w:rsidR="00D45BF6" w14:paraId="3E493A67" w14:textId="77777777" w:rsidTr="00C935F0">
        <w:trPr>
          <w:trHeight w:val="340"/>
        </w:trPr>
        <w:tc>
          <w:tcPr>
            <w:tcW w:w="13690" w:type="dxa"/>
            <w:gridSpan w:val="8"/>
            <w:tcBorders>
              <w:top w:val="single" w:sz="4" w:space="0" w:color="auto"/>
              <w:bottom w:val="single" w:sz="4" w:space="0" w:color="auto"/>
            </w:tcBorders>
            <w:shd w:val="clear" w:color="auto" w:fill="auto"/>
            <w:noWrap/>
            <w:vAlign w:val="center"/>
            <w:hideMark/>
          </w:tcPr>
          <w:p w14:paraId="1953C8C0" w14:textId="77777777" w:rsidR="00D45BF6" w:rsidRPr="00667E42" w:rsidRDefault="00D45BF6" w:rsidP="00CB0E93">
            <w:pPr>
              <w:spacing w:before="0" w:after="0"/>
              <w:ind w:left="57" w:right="57"/>
              <w:rPr>
                <w:rFonts w:asciiTheme="majorHAnsi" w:hAnsiTheme="majorHAnsi" w:cs="Arial"/>
                <w:b/>
                <w:bCs/>
                <w:sz w:val="16"/>
                <w:szCs w:val="16"/>
              </w:rPr>
            </w:pPr>
            <w:r w:rsidRPr="00667E42">
              <w:rPr>
                <w:rFonts w:asciiTheme="majorHAnsi" w:hAnsiTheme="majorHAnsi" w:cs="Arial"/>
                <w:b/>
                <w:bCs/>
                <w:sz w:val="16"/>
                <w:szCs w:val="16"/>
              </w:rPr>
              <w:t>Total</w:t>
            </w:r>
          </w:p>
        </w:tc>
      </w:tr>
      <w:tr w:rsidR="00D45BF6" w14:paraId="57085DCF" w14:textId="77777777" w:rsidTr="004C0DDC">
        <w:trPr>
          <w:trHeight w:val="20"/>
        </w:trPr>
        <w:tc>
          <w:tcPr>
            <w:tcW w:w="2001" w:type="dxa"/>
            <w:vMerge w:val="restart"/>
            <w:tcBorders>
              <w:top w:val="nil"/>
              <w:bottom w:val="single" w:sz="4" w:space="0" w:color="000000"/>
              <w:right w:val="single" w:sz="4" w:space="0" w:color="auto"/>
            </w:tcBorders>
            <w:shd w:val="clear" w:color="000000" w:fill="FFFFFF"/>
            <w:vAlign w:val="center"/>
            <w:hideMark/>
          </w:tcPr>
          <w:p w14:paraId="1A52544B" w14:textId="7889EC49" w:rsidR="00D45BF6" w:rsidRPr="00667E42" w:rsidRDefault="00D45BF6" w:rsidP="00CB0E93">
            <w:pPr>
              <w:spacing w:before="0" w:after="0"/>
              <w:ind w:left="57" w:right="57"/>
              <w:rPr>
                <w:rFonts w:asciiTheme="majorHAnsi" w:hAnsiTheme="majorHAnsi" w:cs="Arial"/>
                <w:b/>
                <w:bCs/>
                <w:sz w:val="16"/>
                <w:szCs w:val="16"/>
              </w:rPr>
            </w:pPr>
            <w:r w:rsidRPr="00667E42">
              <w:rPr>
                <w:rFonts w:asciiTheme="majorHAnsi" w:hAnsiTheme="majorHAnsi" w:cs="Arial"/>
                <w:b/>
                <w:bCs/>
                <w:sz w:val="16"/>
                <w:szCs w:val="16"/>
              </w:rPr>
              <w:t>Total all RFA regions</w:t>
            </w:r>
            <w:r w:rsidR="00667E42">
              <w:rPr>
                <w:rFonts w:asciiTheme="majorHAnsi" w:hAnsiTheme="majorHAnsi" w:cs="Arial"/>
                <w:b/>
                <w:bCs/>
                <w:sz w:val="16"/>
                <w:szCs w:val="16"/>
              </w:rPr>
              <w:t xml:space="preserve"> </w:t>
            </w:r>
            <w:r w:rsidRPr="00667E42">
              <w:rPr>
                <w:rFonts w:asciiTheme="majorHAnsi" w:hAnsiTheme="majorHAnsi" w:cs="Arial"/>
                <w:b/>
                <w:bCs/>
                <w:position w:val="4"/>
                <w:sz w:val="16"/>
                <w:szCs w:val="16"/>
              </w:rPr>
              <w:t>e</w:t>
            </w:r>
          </w:p>
        </w:tc>
        <w:tc>
          <w:tcPr>
            <w:tcW w:w="1551" w:type="dxa"/>
            <w:tcBorders>
              <w:top w:val="nil"/>
              <w:left w:val="nil"/>
              <w:bottom w:val="nil"/>
              <w:right w:val="single" w:sz="4" w:space="0" w:color="auto"/>
            </w:tcBorders>
            <w:shd w:val="clear" w:color="000000" w:fill="FFFFFF"/>
            <w:vAlign w:val="center"/>
            <w:hideMark/>
          </w:tcPr>
          <w:p w14:paraId="637870AD"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Forests</w:t>
            </w:r>
          </w:p>
        </w:tc>
        <w:tc>
          <w:tcPr>
            <w:tcW w:w="1839" w:type="dxa"/>
            <w:tcBorders>
              <w:top w:val="nil"/>
              <w:left w:val="nil"/>
              <w:bottom w:val="nil"/>
              <w:right w:val="single" w:sz="4" w:space="0" w:color="auto"/>
            </w:tcBorders>
            <w:shd w:val="clear" w:color="auto" w:fill="FFFFFF" w:themeFill="background1"/>
            <w:noWrap/>
            <w:vAlign w:val="center"/>
            <w:hideMark/>
          </w:tcPr>
          <w:p w14:paraId="1E8775DD"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878,884</w:t>
            </w:r>
          </w:p>
        </w:tc>
        <w:tc>
          <w:tcPr>
            <w:tcW w:w="1883" w:type="dxa"/>
            <w:tcBorders>
              <w:top w:val="nil"/>
              <w:left w:val="nil"/>
              <w:bottom w:val="nil"/>
              <w:right w:val="single" w:sz="4" w:space="0" w:color="auto"/>
            </w:tcBorders>
            <w:shd w:val="clear" w:color="auto" w:fill="FFFFFF" w:themeFill="background1"/>
            <w:noWrap/>
            <w:vAlign w:val="center"/>
            <w:hideMark/>
          </w:tcPr>
          <w:p w14:paraId="4DC17108" w14:textId="047C0F32" w:rsidR="00D45BF6" w:rsidRPr="00667E42" w:rsidRDefault="00667E42" w:rsidP="00667E42">
            <w:pPr>
              <w:spacing w:before="0" w:after="0"/>
              <w:ind w:left="57" w:right="57"/>
              <w:jc w:val="right"/>
              <w:rPr>
                <w:rFonts w:asciiTheme="majorHAnsi" w:hAnsiTheme="majorHAnsi" w:cs="Arial"/>
                <w:sz w:val="16"/>
                <w:szCs w:val="16"/>
              </w:rPr>
            </w:pPr>
            <w:r>
              <w:rPr>
                <w:rFonts w:asciiTheme="majorHAnsi" w:hAnsiTheme="majorHAnsi" w:cs="Arial"/>
                <w:sz w:val="16"/>
                <w:szCs w:val="16"/>
              </w:rPr>
              <w:t>n</w:t>
            </w:r>
            <w:r w:rsidR="00D45BF6" w:rsidRPr="00667E42">
              <w:rPr>
                <w:rFonts w:asciiTheme="majorHAnsi" w:hAnsiTheme="majorHAnsi" w:cs="Arial"/>
                <w:sz w:val="16"/>
                <w:szCs w:val="16"/>
              </w:rPr>
              <w:t>a</w:t>
            </w:r>
          </w:p>
        </w:tc>
        <w:tc>
          <w:tcPr>
            <w:tcW w:w="1661" w:type="dxa"/>
            <w:tcBorders>
              <w:top w:val="nil"/>
              <w:left w:val="nil"/>
              <w:bottom w:val="nil"/>
              <w:right w:val="single" w:sz="4" w:space="0" w:color="auto"/>
            </w:tcBorders>
            <w:shd w:val="clear" w:color="auto" w:fill="FFFFFF" w:themeFill="background1"/>
            <w:noWrap/>
            <w:vAlign w:val="center"/>
            <w:hideMark/>
          </w:tcPr>
          <w:p w14:paraId="111A2044"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1,329,594</w:t>
            </w:r>
          </w:p>
        </w:tc>
        <w:tc>
          <w:tcPr>
            <w:tcW w:w="1993" w:type="dxa"/>
            <w:tcBorders>
              <w:top w:val="nil"/>
              <w:left w:val="nil"/>
              <w:bottom w:val="nil"/>
              <w:right w:val="single" w:sz="4" w:space="0" w:color="auto"/>
            </w:tcBorders>
            <w:shd w:val="clear" w:color="auto" w:fill="FFFFFF" w:themeFill="background1"/>
            <w:noWrap/>
            <w:vAlign w:val="center"/>
            <w:hideMark/>
          </w:tcPr>
          <w:p w14:paraId="32549ACF" w14:textId="77777777"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-181,375</w:t>
            </w:r>
          </w:p>
        </w:tc>
        <w:tc>
          <w:tcPr>
            <w:tcW w:w="0" w:type="auto"/>
            <w:tcBorders>
              <w:top w:val="nil"/>
              <w:left w:val="nil"/>
              <w:bottom w:val="nil"/>
              <w:right w:val="single" w:sz="4" w:space="0" w:color="auto"/>
            </w:tcBorders>
            <w:shd w:val="clear" w:color="auto" w:fill="FFFFFF" w:themeFill="background1"/>
            <w:noWrap/>
            <w:vAlign w:val="center"/>
            <w:hideMark/>
          </w:tcPr>
          <w:p w14:paraId="72C3C353" w14:textId="77777777"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1,244,218</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5B2935F8" w14:textId="77777777" w:rsidR="00D45BF6" w:rsidRPr="00667E42" w:rsidRDefault="00D45BF6" w:rsidP="00CB0E93">
            <w:pPr>
              <w:spacing w:before="0" w:after="0"/>
              <w:ind w:left="57" w:right="57" w:firstLine="160"/>
              <w:jc w:val="right"/>
              <w:rPr>
                <w:rFonts w:asciiTheme="majorHAnsi" w:hAnsiTheme="majorHAnsi" w:cs="Arial"/>
                <w:sz w:val="16"/>
                <w:szCs w:val="16"/>
              </w:rPr>
            </w:pPr>
            <w:r w:rsidRPr="00667E42">
              <w:rPr>
                <w:rFonts w:asciiTheme="majorHAnsi" w:hAnsiTheme="majorHAnsi" w:cs="Arial"/>
                <w:sz w:val="16"/>
                <w:szCs w:val="16"/>
              </w:rPr>
              <w:t>15</w:t>
            </w:r>
          </w:p>
        </w:tc>
      </w:tr>
      <w:tr w:rsidR="00D45BF6" w14:paraId="72BCD35D" w14:textId="77777777" w:rsidTr="004C0DDC">
        <w:trPr>
          <w:trHeight w:val="20"/>
        </w:trPr>
        <w:tc>
          <w:tcPr>
            <w:tcW w:w="2001" w:type="dxa"/>
            <w:vMerge/>
            <w:tcBorders>
              <w:top w:val="nil"/>
              <w:bottom w:val="single" w:sz="4" w:space="0" w:color="000000"/>
              <w:right w:val="single" w:sz="4" w:space="0" w:color="auto"/>
            </w:tcBorders>
            <w:vAlign w:val="center"/>
            <w:hideMark/>
          </w:tcPr>
          <w:p w14:paraId="7703AB8F" w14:textId="77777777" w:rsidR="00D45BF6" w:rsidRPr="00667E42"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nil"/>
              <w:right w:val="single" w:sz="4" w:space="0" w:color="auto"/>
            </w:tcBorders>
            <w:shd w:val="clear" w:color="000000" w:fill="FFFFFF"/>
            <w:vAlign w:val="center"/>
            <w:hideMark/>
          </w:tcPr>
          <w:p w14:paraId="62D97339"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Non-forests</w:t>
            </w:r>
          </w:p>
        </w:tc>
        <w:tc>
          <w:tcPr>
            <w:tcW w:w="1839" w:type="dxa"/>
            <w:tcBorders>
              <w:top w:val="nil"/>
              <w:left w:val="nil"/>
              <w:bottom w:val="nil"/>
              <w:right w:val="single" w:sz="4" w:space="0" w:color="auto"/>
            </w:tcBorders>
            <w:shd w:val="clear" w:color="auto" w:fill="FFFFFF" w:themeFill="background1"/>
            <w:noWrap/>
            <w:vAlign w:val="center"/>
            <w:hideMark/>
          </w:tcPr>
          <w:p w14:paraId="4B264FA9"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105,339</w:t>
            </w:r>
          </w:p>
        </w:tc>
        <w:tc>
          <w:tcPr>
            <w:tcW w:w="1883" w:type="dxa"/>
            <w:tcBorders>
              <w:top w:val="nil"/>
              <w:left w:val="nil"/>
              <w:bottom w:val="nil"/>
              <w:right w:val="single" w:sz="4" w:space="0" w:color="auto"/>
            </w:tcBorders>
            <w:shd w:val="clear" w:color="auto" w:fill="FFFFFF" w:themeFill="background1"/>
            <w:noWrap/>
            <w:vAlign w:val="center"/>
            <w:hideMark/>
          </w:tcPr>
          <w:p w14:paraId="17CAED33" w14:textId="7A610F03" w:rsidR="00D45BF6" w:rsidRPr="00667E42" w:rsidRDefault="00667E42" w:rsidP="00667E42">
            <w:pPr>
              <w:spacing w:before="0" w:after="0"/>
              <w:ind w:left="57" w:right="57"/>
              <w:jc w:val="right"/>
              <w:rPr>
                <w:rFonts w:asciiTheme="majorHAnsi" w:hAnsiTheme="majorHAnsi" w:cs="Arial"/>
                <w:sz w:val="16"/>
                <w:szCs w:val="16"/>
              </w:rPr>
            </w:pPr>
            <w:r>
              <w:rPr>
                <w:rFonts w:asciiTheme="majorHAnsi" w:hAnsiTheme="majorHAnsi" w:cs="Arial"/>
                <w:sz w:val="16"/>
                <w:szCs w:val="16"/>
              </w:rPr>
              <w:t>n</w:t>
            </w:r>
            <w:r w:rsidR="00D45BF6" w:rsidRPr="00667E42">
              <w:rPr>
                <w:rFonts w:asciiTheme="majorHAnsi" w:hAnsiTheme="majorHAnsi" w:cs="Arial"/>
                <w:sz w:val="16"/>
                <w:szCs w:val="16"/>
              </w:rPr>
              <w:t>a</w:t>
            </w:r>
          </w:p>
        </w:tc>
        <w:tc>
          <w:tcPr>
            <w:tcW w:w="1661" w:type="dxa"/>
            <w:tcBorders>
              <w:top w:val="nil"/>
              <w:left w:val="nil"/>
              <w:bottom w:val="nil"/>
              <w:right w:val="single" w:sz="4" w:space="0" w:color="auto"/>
            </w:tcBorders>
            <w:shd w:val="clear" w:color="auto" w:fill="FFFFFF" w:themeFill="background1"/>
            <w:noWrap/>
            <w:vAlign w:val="center"/>
            <w:hideMark/>
          </w:tcPr>
          <w:p w14:paraId="5EFA7918" w14:textId="3B0AD2F7" w:rsidR="00D45BF6" w:rsidRPr="00667E42" w:rsidRDefault="00667E42" w:rsidP="00667E42">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n</w:t>
            </w:r>
            <w:r w:rsidR="00D45BF6" w:rsidRPr="00667E42">
              <w:rPr>
                <w:rFonts w:asciiTheme="majorHAnsi" w:hAnsiTheme="majorHAnsi" w:cs="Arial"/>
                <w:sz w:val="16"/>
                <w:szCs w:val="16"/>
              </w:rPr>
              <w:t>a</w:t>
            </w:r>
          </w:p>
        </w:tc>
        <w:tc>
          <w:tcPr>
            <w:tcW w:w="1993" w:type="dxa"/>
            <w:tcBorders>
              <w:top w:val="nil"/>
              <w:left w:val="nil"/>
              <w:bottom w:val="nil"/>
              <w:right w:val="single" w:sz="4" w:space="0" w:color="auto"/>
            </w:tcBorders>
            <w:shd w:val="clear" w:color="auto" w:fill="FFFFFF" w:themeFill="background1"/>
            <w:noWrap/>
            <w:vAlign w:val="center"/>
            <w:hideMark/>
          </w:tcPr>
          <w:p w14:paraId="4A047711" w14:textId="77777777"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-25,749</w:t>
            </w:r>
          </w:p>
        </w:tc>
        <w:tc>
          <w:tcPr>
            <w:tcW w:w="0" w:type="auto"/>
            <w:tcBorders>
              <w:top w:val="nil"/>
              <w:left w:val="nil"/>
              <w:bottom w:val="nil"/>
              <w:right w:val="single" w:sz="4" w:space="0" w:color="auto"/>
            </w:tcBorders>
            <w:shd w:val="clear" w:color="auto" w:fill="FFFFFF" w:themeFill="background1"/>
            <w:noWrap/>
            <w:vAlign w:val="center"/>
            <w:hideMark/>
          </w:tcPr>
          <w:p w14:paraId="2858AFDA" w14:textId="77777777"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6,833</w:t>
            </w:r>
          </w:p>
        </w:tc>
        <w:tc>
          <w:tcPr>
            <w:tcW w:w="0" w:type="auto"/>
            <w:tcBorders>
              <w:top w:val="nil"/>
              <w:left w:val="nil"/>
              <w:bottom w:val="nil"/>
            </w:tcBorders>
            <w:shd w:val="clear" w:color="auto" w:fill="FFFFFF" w:themeFill="background1"/>
            <w:noWrap/>
            <w:tcMar>
              <w:top w:w="0" w:type="dxa"/>
              <w:left w:w="0" w:type="dxa"/>
              <w:bottom w:w="0" w:type="dxa"/>
              <w:right w:w="180" w:type="dxa"/>
            </w:tcMar>
            <w:vAlign w:val="center"/>
            <w:hideMark/>
          </w:tcPr>
          <w:p w14:paraId="6D5F0E84" w14:textId="2B4FEBD4" w:rsidR="00D45BF6" w:rsidRPr="00667E42" w:rsidRDefault="00667E42" w:rsidP="00667E42">
            <w:pPr>
              <w:spacing w:before="0" w:after="0"/>
              <w:ind w:left="57" w:right="57" w:firstLine="160"/>
              <w:jc w:val="right"/>
              <w:rPr>
                <w:rFonts w:asciiTheme="majorHAnsi" w:hAnsiTheme="majorHAnsi" w:cs="Arial"/>
                <w:sz w:val="16"/>
                <w:szCs w:val="16"/>
              </w:rPr>
            </w:pPr>
            <w:r>
              <w:rPr>
                <w:rFonts w:asciiTheme="majorHAnsi" w:hAnsiTheme="majorHAnsi" w:cs="Arial"/>
                <w:sz w:val="16"/>
                <w:szCs w:val="16"/>
              </w:rPr>
              <w:t>n</w:t>
            </w:r>
            <w:r w:rsidR="00D45BF6" w:rsidRPr="00667E42">
              <w:rPr>
                <w:rFonts w:asciiTheme="majorHAnsi" w:hAnsiTheme="majorHAnsi" w:cs="Arial"/>
                <w:sz w:val="16"/>
                <w:szCs w:val="16"/>
              </w:rPr>
              <w:t>a</w:t>
            </w:r>
          </w:p>
        </w:tc>
      </w:tr>
      <w:tr w:rsidR="00D45BF6" w14:paraId="21C01C79" w14:textId="77777777" w:rsidTr="004C0DDC">
        <w:trPr>
          <w:trHeight w:val="20"/>
        </w:trPr>
        <w:tc>
          <w:tcPr>
            <w:tcW w:w="2001" w:type="dxa"/>
            <w:vMerge/>
            <w:tcBorders>
              <w:top w:val="nil"/>
              <w:bottom w:val="single" w:sz="4" w:space="0" w:color="000000"/>
              <w:right w:val="single" w:sz="4" w:space="0" w:color="auto"/>
            </w:tcBorders>
            <w:vAlign w:val="center"/>
            <w:hideMark/>
          </w:tcPr>
          <w:p w14:paraId="510588E6" w14:textId="77777777" w:rsidR="00D45BF6" w:rsidRPr="00667E42" w:rsidRDefault="00D45BF6" w:rsidP="00CB0E93">
            <w:pPr>
              <w:spacing w:before="0" w:after="0"/>
              <w:ind w:left="57" w:right="57"/>
              <w:rPr>
                <w:rFonts w:asciiTheme="majorHAnsi" w:hAnsiTheme="majorHAnsi" w:cs="Arial"/>
                <w:b/>
                <w:bCs/>
                <w:sz w:val="16"/>
                <w:szCs w:val="16"/>
              </w:rPr>
            </w:pPr>
          </w:p>
        </w:tc>
        <w:tc>
          <w:tcPr>
            <w:tcW w:w="1551" w:type="dxa"/>
            <w:tcBorders>
              <w:top w:val="nil"/>
              <w:left w:val="nil"/>
              <w:bottom w:val="single" w:sz="4" w:space="0" w:color="auto"/>
              <w:right w:val="single" w:sz="4" w:space="0" w:color="auto"/>
            </w:tcBorders>
            <w:shd w:val="clear" w:color="000000" w:fill="FFFFFF"/>
            <w:vAlign w:val="center"/>
            <w:hideMark/>
          </w:tcPr>
          <w:p w14:paraId="5C61D1F8" w14:textId="77777777" w:rsidR="00D45BF6" w:rsidRPr="00667E42" w:rsidRDefault="00D45BF6" w:rsidP="00CB0E93">
            <w:pPr>
              <w:spacing w:before="0" w:after="0"/>
              <w:ind w:left="57" w:right="57"/>
              <w:rPr>
                <w:rFonts w:asciiTheme="majorHAnsi" w:hAnsiTheme="majorHAnsi" w:cs="Arial"/>
                <w:bCs/>
                <w:sz w:val="16"/>
                <w:szCs w:val="16"/>
              </w:rPr>
            </w:pPr>
            <w:r w:rsidRPr="00667E42">
              <w:rPr>
                <w:rFonts w:asciiTheme="majorHAnsi" w:hAnsiTheme="majorHAnsi" w:cs="Arial"/>
                <w:bCs/>
                <w:sz w:val="16"/>
                <w:szCs w:val="16"/>
              </w:rPr>
              <w:t>Total</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2FC0FEF2" w14:textId="77777777" w:rsidR="00D45BF6" w:rsidRPr="00667E42" w:rsidRDefault="00D45BF6"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984,223</w:t>
            </w:r>
          </w:p>
        </w:tc>
        <w:tc>
          <w:tcPr>
            <w:tcW w:w="1883" w:type="dxa"/>
            <w:tcBorders>
              <w:top w:val="nil"/>
              <w:left w:val="nil"/>
              <w:bottom w:val="single" w:sz="4" w:space="0" w:color="auto"/>
              <w:right w:val="single" w:sz="4" w:space="0" w:color="auto"/>
            </w:tcBorders>
            <w:shd w:val="clear" w:color="auto" w:fill="FFFFFF" w:themeFill="background1"/>
            <w:noWrap/>
            <w:vAlign w:val="center"/>
            <w:hideMark/>
          </w:tcPr>
          <w:p w14:paraId="1A015A51" w14:textId="656D8E8D" w:rsidR="00D45BF6" w:rsidRPr="00667E42" w:rsidRDefault="00667E42" w:rsidP="00CB0E93">
            <w:pPr>
              <w:spacing w:before="0" w:after="0"/>
              <w:ind w:left="57" w:right="57"/>
              <w:jc w:val="right"/>
              <w:rPr>
                <w:rFonts w:asciiTheme="majorHAnsi" w:hAnsiTheme="majorHAnsi" w:cs="Arial"/>
                <w:sz w:val="16"/>
                <w:szCs w:val="16"/>
              </w:rPr>
            </w:pPr>
            <w:r>
              <w:rPr>
                <w:rFonts w:asciiTheme="majorHAnsi" w:hAnsiTheme="majorHAnsi" w:cs="Arial"/>
                <w:sz w:val="16"/>
                <w:szCs w:val="16"/>
              </w:rPr>
              <w:t>na</w:t>
            </w:r>
          </w:p>
        </w:tc>
        <w:tc>
          <w:tcPr>
            <w:tcW w:w="1661" w:type="dxa"/>
            <w:tcBorders>
              <w:top w:val="nil"/>
              <w:left w:val="nil"/>
              <w:bottom w:val="single" w:sz="4" w:space="0" w:color="auto"/>
              <w:right w:val="single" w:sz="4" w:space="0" w:color="auto"/>
            </w:tcBorders>
            <w:shd w:val="clear" w:color="auto" w:fill="FFFFFF" w:themeFill="background1"/>
            <w:noWrap/>
            <w:vAlign w:val="center"/>
            <w:hideMark/>
          </w:tcPr>
          <w:p w14:paraId="40F28515" w14:textId="6AECEE52" w:rsidR="00D45BF6" w:rsidRPr="00667E42" w:rsidRDefault="00667E42" w:rsidP="00CB0E93">
            <w:pPr>
              <w:spacing w:before="0" w:after="0"/>
              <w:ind w:left="57" w:right="57"/>
              <w:jc w:val="right"/>
              <w:rPr>
                <w:rFonts w:asciiTheme="majorHAnsi" w:hAnsiTheme="majorHAnsi" w:cs="Arial"/>
                <w:sz w:val="16"/>
                <w:szCs w:val="16"/>
              </w:rPr>
            </w:pPr>
            <w:r w:rsidRPr="00667E42">
              <w:rPr>
                <w:rFonts w:asciiTheme="majorHAnsi" w:hAnsiTheme="majorHAnsi" w:cs="Arial"/>
                <w:sz w:val="16"/>
                <w:szCs w:val="16"/>
              </w:rPr>
              <w:t>na</w:t>
            </w:r>
          </w:p>
        </w:tc>
        <w:tc>
          <w:tcPr>
            <w:tcW w:w="1993" w:type="dxa"/>
            <w:tcBorders>
              <w:top w:val="nil"/>
              <w:left w:val="nil"/>
              <w:bottom w:val="single" w:sz="4" w:space="0" w:color="auto"/>
              <w:right w:val="single" w:sz="4" w:space="0" w:color="auto"/>
            </w:tcBorders>
            <w:shd w:val="clear" w:color="auto" w:fill="FFFFFF" w:themeFill="background1"/>
            <w:noWrap/>
            <w:vAlign w:val="center"/>
            <w:hideMark/>
          </w:tcPr>
          <w:p w14:paraId="32E83E30" w14:textId="77777777"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-207,124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2A67CD3" w14:textId="77777777" w:rsidR="00D45BF6" w:rsidRPr="00667E42" w:rsidRDefault="00D45BF6" w:rsidP="0014075F">
            <w:pPr>
              <w:spacing w:before="0" w:after="0"/>
              <w:ind w:left="57" w:right="170"/>
              <w:jc w:val="right"/>
              <w:rPr>
                <w:rFonts w:asciiTheme="majorHAnsi" w:hAnsiTheme="majorHAnsi" w:cs="Arial"/>
                <w:sz w:val="16"/>
                <w:szCs w:val="16"/>
              </w:rPr>
            </w:pPr>
            <w:r w:rsidRPr="00667E42">
              <w:rPr>
                <w:rFonts w:asciiTheme="majorHAnsi" w:hAnsiTheme="majorHAnsi" w:cs="Arial"/>
                <w:sz w:val="16"/>
                <w:szCs w:val="16"/>
              </w:rPr>
              <w:t>1,251,051</w:t>
            </w:r>
          </w:p>
        </w:tc>
        <w:tc>
          <w:tcPr>
            <w:tcW w:w="0" w:type="auto"/>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180F65C6" w14:textId="3692A253" w:rsidR="00D45BF6" w:rsidRPr="00667E42" w:rsidRDefault="00667E42" w:rsidP="00CB0E93">
            <w:pPr>
              <w:spacing w:before="0" w:after="0"/>
              <w:ind w:left="57" w:right="57" w:firstLine="160"/>
              <w:jc w:val="right"/>
              <w:rPr>
                <w:rFonts w:asciiTheme="majorHAnsi" w:hAnsiTheme="majorHAnsi" w:cs="Arial"/>
                <w:sz w:val="16"/>
                <w:szCs w:val="16"/>
              </w:rPr>
            </w:pPr>
            <w:r>
              <w:rPr>
                <w:rFonts w:asciiTheme="majorHAnsi" w:hAnsiTheme="majorHAnsi" w:cs="Arial"/>
                <w:sz w:val="16"/>
                <w:szCs w:val="16"/>
              </w:rPr>
              <w:t>na</w:t>
            </w:r>
          </w:p>
        </w:tc>
      </w:tr>
      <w:tr w:rsidR="00D45BF6" w14:paraId="419ECEED" w14:textId="77777777" w:rsidTr="004C0DDC">
        <w:trPr>
          <w:trHeight w:val="3210"/>
        </w:trPr>
        <w:tc>
          <w:tcPr>
            <w:tcW w:w="13690" w:type="dxa"/>
            <w:gridSpan w:val="8"/>
            <w:tcBorders>
              <w:top w:val="single" w:sz="4" w:space="0" w:color="auto"/>
              <w:left w:val="nil"/>
              <w:bottom w:val="nil"/>
              <w:right w:val="nil"/>
            </w:tcBorders>
            <w:shd w:val="clear" w:color="auto" w:fill="auto"/>
            <w:hideMark/>
          </w:tcPr>
          <w:p w14:paraId="5F816BBF" w14:textId="3D23A3E2" w:rsidR="00283ABC" w:rsidRPr="00667E42" w:rsidRDefault="00D45BF6" w:rsidP="00CB0E93">
            <w:pPr>
              <w:spacing w:before="0" w:after="0"/>
              <w:ind w:left="57" w:right="57"/>
              <w:rPr>
                <w:rFonts w:ascii="Calibri" w:hAnsi="Calibri" w:cs="Arial"/>
                <w:sz w:val="16"/>
                <w:szCs w:val="16"/>
              </w:rPr>
            </w:pPr>
            <w:r w:rsidRPr="00667E42">
              <w:rPr>
                <w:rFonts w:ascii="Calibri" w:hAnsi="Calibri" w:cs="Arial"/>
                <w:sz w:val="16"/>
                <w:szCs w:val="16"/>
              </w:rPr>
              <w:t xml:space="preserve">Source: Figures are derived from areas shown in Tables 1 and 3. Column codes </w:t>
            </w:r>
            <w:r w:rsidR="00C2285A" w:rsidRPr="00667E42">
              <w:rPr>
                <w:rFonts w:ascii="Calibri" w:hAnsi="Calibri" w:cs="Arial"/>
                <w:sz w:val="16"/>
                <w:szCs w:val="16"/>
              </w:rPr>
              <w:t xml:space="preserve">continue </w:t>
            </w:r>
            <w:r w:rsidRPr="00667E42">
              <w:rPr>
                <w:rFonts w:ascii="Calibri" w:hAnsi="Calibri" w:cs="Arial"/>
                <w:sz w:val="16"/>
                <w:szCs w:val="16"/>
              </w:rPr>
              <w:t>from Tables 1 and 3 indicate calculations undertaken. See notes to Tables 1 and 3.</w:t>
            </w:r>
            <w:r w:rsidRPr="00667E42">
              <w:rPr>
                <w:rFonts w:ascii="Calibri" w:hAnsi="Calibri" w:cs="Arial"/>
                <w:sz w:val="16"/>
                <w:szCs w:val="16"/>
              </w:rPr>
              <w:br/>
              <w:t>The CAR reserve system includes formal and informal public reserves and areas of land</w:t>
            </w:r>
            <w:r w:rsidR="009F2677" w:rsidRPr="00667E42">
              <w:rPr>
                <w:rFonts w:ascii="Calibri" w:hAnsi="Calibri" w:cs="Arial"/>
                <w:sz w:val="16"/>
                <w:szCs w:val="16"/>
              </w:rPr>
              <w:t xml:space="preserve"> with values protected by</w:t>
            </w:r>
            <w:r w:rsidRPr="00667E42">
              <w:rPr>
                <w:rFonts w:ascii="Calibri" w:hAnsi="Calibri" w:cs="Arial"/>
                <w:sz w:val="16"/>
                <w:szCs w:val="16"/>
              </w:rPr>
              <w:t xml:space="preserve"> manage</w:t>
            </w:r>
            <w:r w:rsidR="009F2677" w:rsidRPr="00667E42">
              <w:rPr>
                <w:rFonts w:ascii="Calibri" w:hAnsi="Calibri" w:cs="Arial"/>
                <w:sz w:val="16"/>
                <w:szCs w:val="16"/>
              </w:rPr>
              <w:t>ment</w:t>
            </w:r>
            <w:r w:rsidRPr="00667E42">
              <w:rPr>
                <w:rFonts w:ascii="Calibri" w:hAnsi="Calibri" w:cs="Arial"/>
                <w:sz w:val="16"/>
                <w:szCs w:val="16"/>
              </w:rPr>
              <w:t xml:space="preserve"> prescription</w:t>
            </w:r>
            <w:r w:rsidR="009F2677" w:rsidRPr="00667E42">
              <w:rPr>
                <w:rFonts w:ascii="Calibri" w:hAnsi="Calibri" w:cs="Arial"/>
                <w:sz w:val="16"/>
                <w:szCs w:val="16"/>
              </w:rPr>
              <w:t>s</w:t>
            </w:r>
            <w:r w:rsidRPr="00667E42">
              <w:rPr>
                <w:rFonts w:ascii="Calibri" w:hAnsi="Calibri" w:cs="Arial"/>
                <w:sz w:val="16"/>
                <w:szCs w:val="16"/>
              </w:rPr>
              <w:t>.</w:t>
            </w:r>
            <w:r w:rsidR="009F2677" w:rsidRPr="00667E42">
              <w:rPr>
                <w:rFonts w:ascii="Calibri" w:hAnsi="Calibri" w:cs="Arial"/>
                <w:sz w:val="16"/>
                <w:szCs w:val="16"/>
              </w:rPr>
              <w:t xml:space="preserve"> Figures for the change in the CAR reserve system </w:t>
            </w:r>
            <w:r w:rsidR="00283ABC" w:rsidRPr="00667E42">
              <w:rPr>
                <w:rFonts w:ascii="Calibri" w:hAnsi="Calibri" w:cs="Arial"/>
                <w:sz w:val="16"/>
                <w:szCs w:val="16"/>
              </w:rPr>
              <w:t xml:space="preserve">between post-RFA and </w:t>
            </w:r>
            <w:r w:rsidR="009F2677" w:rsidRPr="00667E42">
              <w:rPr>
                <w:rFonts w:ascii="Calibri" w:hAnsi="Calibri" w:cs="Arial"/>
                <w:sz w:val="16"/>
                <w:szCs w:val="16"/>
              </w:rPr>
              <w:t>in most recent data for</w:t>
            </w:r>
            <w:r w:rsidR="00283ABC" w:rsidRPr="00667E42">
              <w:rPr>
                <w:rFonts w:ascii="Calibri" w:hAnsi="Calibri" w:cs="Arial"/>
                <w:sz w:val="16"/>
                <w:szCs w:val="16"/>
              </w:rPr>
              <w:t xml:space="preserve"> Victorian RFA regions and</w:t>
            </w:r>
            <w:r w:rsidR="009F2677" w:rsidRPr="00667E42">
              <w:rPr>
                <w:rFonts w:ascii="Calibri" w:hAnsi="Calibri" w:cs="Arial"/>
                <w:sz w:val="16"/>
                <w:szCs w:val="16"/>
              </w:rPr>
              <w:t xml:space="preserve"> the Tasmanian RFA region include forest on Private CAR reserves </w:t>
            </w:r>
            <w:r w:rsidR="00283ABC" w:rsidRPr="00667E42">
              <w:rPr>
                <w:rFonts w:ascii="Calibri" w:hAnsi="Calibri" w:cs="Arial"/>
                <w:sz w:val="16"/>
                <w:szCs w:val="16"/>
              </w:rPr>
              <w:t xml:space="preserve">not separately shown in this table. See footnotes </w:t>
            </w:r>
            <w:r w:rsidR="00283ABC" w:rsidRPr="000C4F22">
              <w:rPr>
                <w:rFonts w:ascii="Calibri" w:hAnsi="Calibri" w:cs="Arial"/>
                <w:b/>
                <w:sz w:val="16"/>
                <w:szCs w:val="16"/>
              </w:rPr>
              <w:t>a</w:t>
            </w:r>
            <w:r w:rsidR="00283ABC" w:rsidRPr="00667E42">
              <w:rPr>
                <w:rFonts w:ascii="Calibri" w:hAnsi="Calibri" w:cs="Arial"/>
                <w:sz w:val="16"/>
                <w:szCs w:val="16"/>
              </w:rPr>
              <w:t xml:space="preserve"> and </w:t>
            </w:r>
            <w:r w:rsidR="00283ABC" w:rsidRPr="000C4F22">
              <w:rPr>
                <w:rFonts w:ascii="Calibri" w:hAnsi="Calibri" w:cs="Arial"/>
                <w:b/>
                <w:sz w:val="16"/>
                <w:szCs w:val="16"/>
              </w:rPr>
              <w:t>b</w:t>
            </w:r>
            <w:r w:rsidR="00283ABC" w:rsidRPr="00667E42">
              <w:rPr>
                <w:rFonts w:ascii="Calibri" w:hAnsi="Calibri" w:cs="Arial"/>
                <w:sz w:val="16"/>
                <w:szCs w:val="16"/>
              </w:rPr>
              <w:t>.</w:t>
            </w:r>
          </w:p>
          <w:p w14:paraId="5EA518F2" w14:textId="533E291D" w:rsidR="00F73235" w:rsidRPr="00667E42" w:rsidRDefault="00F73235" w:rsidP="00CB0E93">
            <w:pPr>
              <w:spacing w:before="0" w:after="0"/>
              <w:ind w:left="57" w:right="57"/>
              <w:rPr>
                <w:rFonts w:ascii="Calibri" w:hAnsi="Calibri" w:cs="Arial"/>
                <w:sz w:val="16"/>
                <w:szCs w:val="16"/>
              </w:rPr>
            </w:pPr>
            <w:r w:rsidRPr="00667E42">
              <w:rPr>
                <w:rFonts w:ascii="Calibri" w:hAnsi="Calibri" w:cs="Arial"/>
                <w:sz w:val="16"/>
                <w:szCs w:val="16"/>
              </w:rPr>
              <w:t xml:space="preserve">‘Post-RFA’ </w:t>
            </w:r>
            <w:r w:rsidR="00430B52" w:rsidRPr="00667E42">
              <w:rPr>
                <w:rFonts w:ascii="Calibri" w:hAnsi="Calibri" w:cs="Arial"/>
                <w:sz w:val="16"/>
                <w:szCs w:val="16"/>
              </w:rPr>
              <w:t>refers to immediately after the date of signing of the relevant RFA.</w:t>
            </w:r>
          </w:p>
          <w:p w14:paraId="2B50EC39" w14:textId="36D99451" w:rsidR="00D45BF6" w:rsidRPr="00667E42" w:rsidRDefault="00D45BF6" w:rsidP="00CB0E93">
            <w:pPr>
              <w:spacing w:before="0" w:after="0"/>
              <w:ind w:left="57" w:right="57"/>
              <w:rPr>
                <w:rFonts w:ascii="Calibri" w:hAnsi="Calibri" w:cs="Arial"/>
                <w:sz w:val="16"/>
                <w:szCs w:val="16"/>
              </w:rPr>
            </w:pPr>
            <w:r w:rsidRPr="00667E42">
              <w:rPr>
                <w:rFonts w:ascii="Calibri" w:hAnsi="Calibri" w:cs="Arial"/>
                <w:sz w:val="16"/>
                <w:szCs w:val="16"/>
              </w:rPr>
              <w:t>Date of most recent data is: New South Wales, 2016; Tasmania, 201</w:t>
            </w:r>
            <w:r w:rsidR="00283ABC" w:rsidRPr="00667E42">
              <w:rPr>
                <w:rFonts w:ascii="Calibri" w:hAnsi="Calibri" w:cs="Arial"/>
                <w:sz w:val="16"/>
                <w:szCs w:val="16"/>
              </w:rPr>
              <w:t>7</w:t>
            </w:r>
            <w:r w:rsidRPr="00667E42">
              <w:rPr>
                <w:rFonts w:ascii="Calibri" w:hAnsi="Calibri" w:cs="Arial"/>
                <w:sz w:val="16"/>
                <w:szCs w:val="16"/>
              </w:rPr>
              <w:t xml:space="preserve"> for forest ecosystems and 1998 for non-forest ecosystems; Victoria, 201</w:t>
            </w:r>
            <w:r w:rsidR="006F6587" w:rsidRPr="00667E42">
              <w:rPr>
                <w:rFonts w:ascii="Calibri" w:hAnsi="Calibri" w:cs="Arial"/>
                <w:sz w:val="16"/>
                <w:szCs w:val="16"/>
              </w:rPr>
              <w:t>9</w:t>
            </w:r>
            <w:r w:rsidRPr="00667E42">
              <w:rPr>
                <w:rFonts w:ascii="Calibri" w:hAnsi="Calibri" w:cs="Arial"/>
                <w:sz w:val="16"/>
                <w:szCs w:val="16"/>
              </w:rPr>
              <w:t>; and Western Australia, 2018, unless otherwise noted.</w:t>
            </w:r>
            <w:r w:rsidRPr="00667E42">
              <w:rPr>
                <w:rFonts w:ascii="Calibri" w:hAnsi="Calibri" w:cs="Arial"/>
                <w:sz w:val="16"/>
                <w:szCs w:val="16"/>
              </w:rPr>
              <w:br/>
            </w:r>
            <w:r w:rsidRPr="00667E42">
              <w:rPr>
                <w:rFonts w:ascii="Calibri" w:hAnsi="Calibri" w:cs="Arial"/>
                <w:b/>
                <w:sz w:val="16"/>
                <w:szCs w:val="16"/>
              </w:rPr>
              <w:t>a</w:t>
            </w:r>
            <w:r w:rsidRPr="00667E42">
              <w:rPr>
                <w:rFonts w:ascii="Calibri" w:hAnsi="Calibri" w:cs="Arial"/>
                <w:sz w:val="16"/>
                <w:szCs w:val="16"/>
              </w:rPr>
              <w:t xml:space="preserve"> Figures for the Change in CAR reserve system between RFA and most recent data for the Tasmanian RFA region includes 96,000 hectares of forest on Private CAR reserves not separately shown in this table.</w:t>
            </w:r>
            <w:r w:rsidRPr="00667E42">
              <w:rPr>
                <w:rFonts w:ascii="Calibri" w:hAnsi="Calibri" w:cs="Arial"/>
                <w:sz w:val="16"/>
                <w:szCs w:val="16"/>
              </w:rPr>
              <w:br/>
            </w:r>
            <w:r w:rsidRPr="00667E42">
              <w:rPr>
                <w:rFonts w:ascii="Calibri" w:hAnsi="Calibri" w:cs="Arial"/>
                <w:b/>
                <w:sz w:val="16"/>
                <w:szCs w:val="16"/>
              </w:rPr>
              <w:t>b</w:t>
            </w:r>
            <w:r w:rsidRPr="00667E42">
              <w:rPr>
                <w:rFonts w:ascii="Calibri" w:hAnsi="Calibri" w:cs="Arial"/>
                <w:sz w:val="16"/>
                <w:szCs w:val="16"/>
              </w:rPr>
              <w:t xml:space="preserve"> Figures for the area in the CAR reserve system in most recent data for Victorian RFAs includes 26,000 hectares of forest on private land covenants not separately </w:t>
            </w:r>
            <w:r w:rsidR="00283ABC" w:rsidRPr="00667E42">
              <w:rPr>
                <w:rFonts w:ascii="Calibri" w:hAnsi="Calibri" w:cs="Arial"/>
                <w:sz w:val="16"/>
                <w:szCs w:val="16"/>
              </w:rPr>
              <w:t>shown</w:t>
            </w:r>
            <w:r w:rsidRPr="00667E42">
              <w:rPr>
                <w:rFonts w:ascii="Calibri" w:hAnsi="Calibri" w:cs="Arial"/>
                <w:sz w:val="16"/>
                <w:szCs w:val="16"/>
              </w:rPr>
              <w:t xml:space="preserve"> in this table.</w:t>
            </w:r>
          </w:p>
          <w:p w14:paraId="4F8208CB" w14:textId="77777777" w:rsidR="00D45BF6" w:rsidRDefault="00D45BF6" w:rsidP="00667E42">
            <w:pPr>
              <w:spacing w:before="0" w:after="0"/>
              <w:ind w:left="57" w:right="57"/>
              <w:rPr>
                <w:rFonts w:ascii="Calibri" w:hAnsi="Calibri" w:cs="Arial"/>
                <w:sz w:val="16"/>
                <w:szCs w:val="16"/>
              </w:rPr>
            </w:pPr>
            <w:r w:rsidRPr="00667E42">
              <w:rPr>
                <w:rFonts w:ascii="Calibri" w:hAnsi="Calibri" w:cs="Arial"/>
                <w:b/>
                <w:sz w:val="16"/>
                <w:szCs w:val="16"/>
              </w:rPr>
              <w:t>c</w:t>
            </w:r>
            <w:r w:rsidRPr="00667E42">
              <w:rPr>
                <w:rFonts w:ascii="Calibri" w:hAnsi="Calibri" w:cs="Arial"/>
                <w:sz w:val="16"/>
                <w:szCs w:val="16"/>
              </w:rPr>
              <w:t xml:space="preserve"> Figures for the Change in area on public land between RFA and most recent data for the South-West Forest Region of WA are calculated using data published in 2014 for the 'most recent data'.</w:t>
            </w:r>
            <w:r w:rsidRPr="00667E42">
              <w:rPr>
                <w:rFonts w:ascii="Calibri" w:hAnsi="Calibri" w:cs="Arial"/>
                <w:sz w:val="16"/>
                <w:szCs w:val="16"/>
              </w:rPr>
              <w:br/>
            </w:r>
            <w:r w:rsidRPr="00667E42">
              <w:rPr>
                <w:rFonts w:ascii="Calibri" w:hAnsi="Calibri" w:cs="Arial"/>
                <w:b/>
                <w:sz w:val="16"/>
                <w:szCs w:val="16"/>
              </w:rPr>
              <w:t>d</w:t>
            </w:r>
            <w:r w:rsidRPr="00667E42">
              <w:rPr>
                <w:rFonts w:ascii="Calibri" w:hAnsi="Calibri" w:cs="Arial"/>
                <w:sz w:val="16"/>
                <w:szCs w:val="16"/>
              </w:rPr>
              <w:t xml:space="preserve"> Figures for the Change in CAR reserve system between RFA and most recent data for the South-West Forest Region of WA are calculated using data for Prescriptions published in 2014. </w:t>
            </w:r>
            <w:r w:rsidRPr="00667E42">
              <w:rPr>
                <w:rFonts w:ascii="Calibri" w:hAnsi="Calibri" w:cs="Arial"/>
                <w:sz w:val="16"/>
                <w:szCs w:val="16"/>
              </w:rPr>
              <w:br/>
            </w:r>
            <w:r w:rsidRPr="00667E42">
              <w:rPr>
                <w:rFonts w:ascii="Calibri" w:hAnsi="Calibri" w:cs="Arial"/>
                <w:b/>
                <w:sz w:val="16"/>
                <w:szCs w:val="16"/>
              </w:rPr>
              <w:t>e</w:t>
            </w:r>
            <w:r w:rsidRPr="00667E42">
              <w:rPr>
                <w:rFonts w:ascii="Calibri" w:hAnsi="Calibri" w:cs="Arial"/>
                <w:sz w:val="16"/>
                <w:szCs w:val="16"/>
              </w:rPr>
              <w:t xml:space="preserve"> Some figures for Total for all RFA regions may not tally across columns due to the different date stamps of source data.</w:t>
            </w:r>
            <w:r w:rsidRPr="00667E42">
              <w:rPr>
                <w:rFonts w:ascii="Calibri" w:hAnsi="Calibri" w:cs="Arial"/>
                <w:sz w:val="16"/>
                <w:szCs w:val="16"/>
              </w:rPr>
              <w:br/>
            </w:r>
            <w:r w:rsidRPr="00667E42">
              <w:rPr>
                <w:rFonts w:ascii="Calibri" w:hAnsi="Calibri" w:cs="Arial"/>
                <w:b/>
                <w:sz w:val="16"/>
                <w:szCs w:val="16"/>
              </w:rPr>
              <w:t>na</w:t>
            </w:r>
            <w:r w:rsidRPr="00667E42">
              <w:rPr>
                <w:rFonts w:ascii="Calibri" w:hAnsi="Calibri" w:cs="Arial"/>
                <w:sz w:val="16"/>
                <w:szCs w:val="16"/>
              </w:rPr>
              <w:t>, not available.</w:t>
            </w:r>
            <w:r w:rsidRPr="00667E42">
              <w:rPr>
                <w:rFonts w:ascii="Calibri" w:hAnsi="Calibri" w:cs="Arial"/>
                <w:sz w:val="16"/>
                <w:szCs w:val="16"/>
              </w:rPr>
              <w:br/>
              <w:t>Totals may not tally due to rounding.</w:t>
            </w:r>
          </w:p>
          <w:p w14:paraId="621102A1" w14:textId="13F425BB" w:rsidR="00674019" w:rsidRDefault="00674019" w:rsidP="00DB0CD3">
            <w:pPr>
              <w:spacing w:before="0" w:after="0"/>
              <w:ind w:left="57" w:right="57"/>
              <w:rPr>
                <w:rFonts w:ascii="Calibri" w:hAnsi="Calibri" w:cs="Arial"/>
                <w:sz w:val="16"/>
                <w:szCs w:val="16"/>
              </w:rPr>
            </w:pPr>
            <w:r>
              <w:rPr>
                <w:rFonts w:asciiTheme="minorHAnsi" w:hAnsiTheme="minorHAnsi"/>
                <w:noProof/>
                <w:sz w:val="16"/>
              </w:rPr>
              <w:t>This table</w:t>
            </w:r>
            <w:r w:rsidRPr="00831C40">
              <w:rPr>
                <w:rFonts w:asciiTheme="minorHAnsi" w:hAnsiTheme="minorHAnsi"/>
                <w:noProof/>
                <w:sz w:val="16"/>
              </w:rPr>
              <w:t xml:space="preserve">, together with other data in this report, is available in Microsoft Excel </w:t>
            </w:r>
            <w:r w:rsidR="00DB0CD3">
              <w:rPr>
                <w:rFonts w:asciiTheme="minorHAnsi" w:hAnsiTheme="minorHAnsi"/>
                <w:noProof/>
                <w:sz w:val="16"/>
              </w:rPr>
              <w:t>at</w:t>
            </w:r>
            <w:r w:rsidRPr="00831C40">
              <w:rPr>
                <w:rFonts w:asciiTheme="minorHAnsi" w:hAnsiTheme="minorHAnsi"/>
                <w:noProof/>
                <w:sz w:val="16"/>
              </w:rPr>
              <w:t xml:space="preserve"> </w:t>
            </w:r>
            <w:hyperlink r:id="rId45" w:history="1">
              <w:r w:rsidR="00DD59DD" w:rsidRPr="0090070F">
                <w:rPr>
                  <w:rStyle w:val="Hyperlink"/>
                  <w:rFonts w:asciiTheme="minorHAnsi" w:hAnsiTheme="minorHAnsi"/>
                  <w:noProof/>
                  <w:color w:val="0070C0"/>
                  <w:sz w:val="16"/>
                </w:rPr>
                <w:t>doi.org/10.25814/pczx-xk66</w:t>
              </w:r>
            </w:hyperlink>
            <w:r w:rsidR="00DD59DD">
              <w:rPr>
                <w:rFonts w:asciiTheme="minorHAnsi" w:hAnsiTheme="minorHAnsi"/>
                <w:noProof/>
                <w:sz w:val="16"/>
              </w:rPr>
              <w:t>.</w:t>
            </w:r>
          </w:p>
        </w:tc>
      </w:tr>
    </w:tbl>
    <w:p w14:paraId="4FB53341" w14:textId="2B88DA5D" w:rsidR="00C023FA" w:rsidRDefault="00E06603" w:rsidP="00CB0E93">
      <w:pPr>
        <w:spacing w:before="0" w:after="0" w:line="276" w:lineRule="auto"/>
        <w:rPr>
          <w:b/>
          <w:lang w:eastAsia="ja-JP"/>
        </w:rPr>
      </w:pPr>
      <w:r>
        <w:rPr>
          <w:b/>
          <w:lang w:eastAsia="ja-JP"/>
        </w:rPr>
        <w:t xml:space="preserve"> </w:t>
      </w:r>
      <w:r w:rsidR="00C023FA">
        <w:rPr>
          <w:b/>
          <w:lang w:eastAsia="ja-JP"/>
        </w:rPr>
        <w:br w:type="page"/>
      </w:r>
    </w:p>
    <w:p w14:paraId="41686560" w14:textId="3AEC533E" w:rsidR="003A7FC9" w:rsidRDefault="003A7FC9" w:rsidP="004C0DDC">
      <w:pPr>
        <w:pStyle w:val="Caption"/>
      </w:pPr>
      <w:bookmarkStart w:id="44" w:name="_Ref55396300"/>
      <w:bookmarkStart w:id="45" w:name="_Toc58234968"/>
      <w:r>
        <w:lastRenderedPageBreak/>
        <w:t xml:space="preserve">Table </w:t>
      </w:r>
      <w:r w:rsidR="00D15AE0">
        <w:t>A</w:t>
      </w:r>
      <w:r w:rsidR="00DD454E">
        <w:rPr>
          <w:noProof/>
        </w:rPr>
        <w:fldChar w:fldCharType="begin"/>
      </w:r>
      <w:r w:rsidR="00DD454E">
        <w:rPr>
          <w:noProof/>
        </w:rPr>
        <w:instrText xml:space="preserve"> SEQ Table \* ARABIC </w:instrText>
      </w:r>
      <w:r w:rsidR="00DD454E">
        <w:rPr>
          <w:noProof/>
        </w:rPr>
        <w:fldChar w:fldCharType="separate"/>
      </w:r>
      <w:r w:rsidR="00CC3B42">
        <w:rPr>
          <w:noProof/>
        </w:rPr>
        <w:t>5</w:t>
      </w:r>
      <w:r w:rsidR="00DD454E">
        <w:rPr>
          <w:noProof/>
        </w:rPr>
        <w:fldChar w:fldCharType="end"/>
      </w:r>
      <w:bookmarkEnd w:id="44"/>
      <w:r>
        <w:t xml:space="preserve"> Changes in areas in components </w:t>
      </w:r>
      <w:r w:rsidR="00643332">
        <w:t>of CAR</w:t>
      </w:r>
      <w:r>
        <w:t xml:space="preserve"> reserve systems in RFA regions</w:t>
      </w:r>
      <w:r w:rsidR="00C2285A">
        <w:t>, by jurisdiction</w:t>
      </w:r>
      <w:bookmarkEnd w:id="45"/>
    </w:p>
    <w:tbl>
      <w:tblPr>
        <w:tblW w:w="13798" w:type="dxa"/>
        <w:tblInd w:w="-426" w:type="dxa"/>
        <w:tblCellMar>
          <w:left w:w="0" w:type="dxa"/>
          <w:right w:w="0" w:type="dxa"/>
        </w:tblCellMar>
        <w:tblLook w:val="04A0" w:firstRow="1" w:lastRow="0" w:firstColumn="1" w:lastColumn="0" w:noHBand="0" w:noVBand="1"/>
      </w:tblPr>
      <w:tblGrid>
        <w:gridCol w:w="1734"/>
        <w:gridCol w:w="1149"/>
        <w:gridCol w:w="1465"/>
        <w:gridCol w:w="1407"/>
        <w:gridCol w:w="1425"/>
        <w:gridCol w:w="1210"/>
        <w:gridCol w:w="1488"/>
        <w:gridCol w:w="1427"/>
        <w:gridCol w:w="1268"/>
        <w:gridCol w:w="1225"/>
      </w:tblGrid>
      <w:tr w:rsidR="003A7FC9" w14:paraId="6C7F1AD8" w14:textId="77777777" w:rsidTr="004C0DDC">
        <w:trPr>
          <w:trHeight w:val="690"/>
        </w:trPr>
        <w:tc>
          <w:tcPr>
            <w:tcW w:w="1726" w:type="dxa"/>
            <w:vMerge w:val="restart"/>
            <w:tcBorders>
              <w:top w:val="single" w:sz="4" w:space="0" w:color="auto"/>
              <w:bottom w:val="single" w:sz="4" w:space="0" w:color="000000"/>
              <w:right w:val="single" w:sz="4" w:space="0" w:color="auto"/>
            </w:tcBorders>
            <w:shd w:val="clear" w:color="000000" w:fill="FFFFFF"/>
            <w:noWrap/>
            <w:vAlign w:val="bottom"/>
            <w:hideMark/>
          </w:tcPr>
          <w:p w14:paraId="1878EB84" w14:textId="77777777" w:rsidR="003A7FC9" w:rsidRPr="002F2D01" w:rsidRDefault="003A7FC9"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State</w:t>
            </w:r>
          </w:p>
        </w:tc>
        <w:tc>
          <w:tcPr>
            <w:tcW w:w="1141"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71EFF7A6" w14:textId="77777777" w:rsidR="003A7FC9" w:rsidRPr="002F2D01" w:rsidRDefault="003A7FC9"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Terrestrial native ecosystems</w:t>
            </w:r>
          </w:p>
        </w:tc>
        <w:tc>
          <w:tcPr>
            <w:tcW w:w="1469"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1DFC8D33" w14:textId="72B83E74" w:rsidR="003A7FC9" w:rsidRPr="002F2D01" w:rsidRDefault="003A7FC9"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Total formal and informal reserve area</w:t>
            </w:r>
            <w:r w:rsidR="00FD1ABB" w:rsidRPr="002F2D01">
              <w:rPr>
                <w:rFonts w:asciiTheme="majorHAnsi" w:hAnsiTheme="majorHAnsi" w:cs="Arial"/>
                <w:b/>
                <w:bCs/>
                <w:sz w:val="16"/>
                <w:szCs w:val="16"/>
              </w:rPr>
              <w:t xml:space="preserve"> on public land</w:t>
            </w:r>
            <w:r w:rsidRPr="002F2D01">
              <w:rPr>
                <w:rFonts w:asciiTheme="majorHAnsi" w:hAnsiTheme="majorHAnsi" w:cs="Arial"/>
                <w:b/>
                <w:bCs/>
                <w:sz w:val="16"/>
                <w:szCs w:val="16"/>
              </w:rPr>
              <w:t xml:space="preserve"> pre-RFA (ha)</w:t>
            </w:r>
          </w:p>
        </w:tc>
        <w:tc>
          <w:tcPr>
            <w:tcW w:w="141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7CC19499" w14:textId="77777777" w:rsidR="003A7FC9" w:rsidRPr="002F2D01" w:rsidRDefault="003A7FC9"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Total formal and informal reserve area in most recent data (ha)</w:t>
            </w:r>
          </w:p>
        </w:tc>
        <w:tc>
          <w:tcPr>
            <w:tcW w:w="2631" w:type="dxa"/>
            <w:gridSpan w:val="2"/>
            <w:tcBorders>
              <w:top w:val="single" w:sz="4" w:space="0" w:color="auto"/>
              <w:left w:val="nil"/>
              <w:bottom w:val="single" w:sz="4" w:space="0" w:color="auto"/>
              <w:right w:val="single" w:sz="4" w:space="0" w:color="000000"/>
            </w:tcBorders>
            <w:shd w:val="clear" w:color="000000" w:fill="FFFFFF"/>
            <w:vAlign w:val="bottom"/>
            <w:hideMark/>
          </w:tcPr>
          <w:p w14:paraId="296E9ED4" w14:textId="77777777" w:rsidR="003A7FC9" w:rsidRPr="002F2D01" w:rsidRDefault="003A7FC9"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Change in area of formal and informal reserves between pre-RFA data and most recent data</w:t>
            </w:r>
          </w:p>
        </w:tc>
        <w:tc>
          <w:tcPr>
            <w:tcW w:w="1491"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13CFFE90" w14:textId="77777777" w:rsidR="003A7FC9" w:rsidRPr="002F2D01" w:rsidRDefault="003A7FC9"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Total area in protected by prescription in most recent data (ha)</w:t>
            </w:r>
          </w:p>
        </w:tc>
        <w:tc>
          <w:tcPr>
            <w:tcW w:w="143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2D65A218" w14:textId="086D53DD" w:rsidR="003A7FC9" w:rsidRPr="002F2D01" w:rsidRDefault="003A7FC9"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 xml:space="preserve">Total </w:t>
            </w:r>
            <w:r w:rsidR="00077B7D">
              <w:rPr>
                <w:rFonts w:asciiTheme="majorHAnsi" w:hAnsiTheme="majorHAnsi" w:cs="Arial"/>
                <w:b/>
                <w:bCs/>
                <w:sz w:val="16"/>
                <w:szCs w:val="16"/>
              </w:rPr>
              <w:t xml:space="preserve">area of </w:t>
            </w:r>
            <w:r w:rsidRPr="002F2D01">
              <w:rPr>
                <w:rFonts w:asciiTheme="majorHAnsi" w:hAnsiTheme="majorHAnsi" w:cs="Arial"/>
                <w:b/>
                <w:bCs/>
                <w:sz w:val="16"/>
                <w:szCs w:val="16"/>
              </w:rPr>
              <w:t>CAR reserve system in most recent data (ha)</w:t>
            </w:r>
          </w:p>
        </w:tc>
        <w:tc>
          <w:tcPr>
            <w:tcW w:w="2500" w:type="dxa"/>
            <w:gridSpan w:val="2"/>
            <w:tcBorders>
              <w:top w:val="single" w:sz="4" w:space="0" w:color="auto"/>
              <w:left w:val="nil"/>
              <w:bottom w:val="single" w:sz="4" w:space="0" w:color="auto"/>
            </w:tcBorders>
            <w:shd w:val="clear" w:color="000000" w:fill="FFFFFF"/>
            <w:vAlign w:val="bottom"/>
            <w:hideMark/>
          </w:tcPr>
          <w:p w14:paraId="2F084D02" w14:textId="77777777" w:rsidR="003A7FC9" w:rsidRPr="002F2D01" w:rsidRDefault="003A7FC9"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Change in area in reserves between pre-RFA data and most recent data</w:t>
            </w:r>
          </w:p>
        </w:tc>
      </w:tr>
      <w:tr w:rsidR="003A7FC9" w14:paraId="2D601FDF" w14:textId="77777777" w:rsidTr="004C0DDC">
        <w:trPr>
          <w:trHeight w:val="255"/>
        </w:trPr>
        <w:tc>
          <w:tcPr>
            <w:tcW w:w="1726" w:type="dxa"/>
            <w:vMerge/>
            <w:tcBorders>
              <w:top w:val="single" w:sz="4" w:space="0" w:color="auto"/>
              <w:bottom w:val="single" w:sz="4" w:space="0" w:color="000000"/>
              <w:right w:val="single" w:sz="4" w:space="0" w:color="auto"/>
            </w:tcBorders>
            <w:vAlign w:val="center"/>
            <w:hideMark/>
          </w:tcPr>
          <w:p w14:paraId="6335B77E" w14:textId="77777777" w:rsidR="003A7FC9" w:rsidRPr="002F2D01" w:rsidRDefault="003A7FC9" w:rsidP="00CB0E93">
            <w:pPr>
              <w:spacing w:before="0" w:after="0"/>
              <w:ind w:left="57" w:right="57"/>
              <w:rPr>
                <w:rFonts w:asciiTheme="majorHAnsi" w:hAnsiTheme="majorHAnsi" w:cs="Arial"/>
                <w:b/>
                <w:bCs/>
                <w:sz w:val="16"/>
                <w:szCs w:val="16"/>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1ECD53B0" w14:textId="77777777" w:rsidR="003A7FC9" w:rsidRPr="002F2D01" w:rsidRDefault="003A7FC9" w:rsidP="00CB0E93">
            <w:pPr>
              <w:spacing w:before="0" w:after="0"/>
              <w:ind w:left="57" w:right="57"/>
              <w:rPr>
                <w:rFonts w:asciiTheme="majorHAnsi" w:hAnsiTheme="majorHAnsi"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6104487" w14:textId="77777777" w:rsidR="003A7FC9" w:rsidRPr="002F2D01" w:rsidRDefault="003A7FC9" w:rsidP="00CB0E93">
            <w:pPr>
              <w:spacing w:before="0" w:after="0"/>
              <w:ind w:left="57" w:right="57"/>
              <w:rPr>
                <w:rFonts w:asciiTheme="majorHAnsi" w:hAnsiTheme="majorHAnsi"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21D4B8" w14:textId="77777777" w:rsidR="003A7FC9" w:rsidRPr="002F2D01" w:rsidRDefault="003A7FC9" w:rsidP="00CB0E93">
            <w:pPr>
              <w:spacing w:before="0" w:after="0"/>
              <w:ind w:left="57" w:right="57"/>
              <w:rPr>
                <w:rFonts w:asciiTheme="majorHAnsi" w:hAnsiTheme="majorHAnsi" w:cs="Arial"/>
                <w:b/>
                <w:bCs/>
                <w:sz w:val="16"/>
                <w:szCs w:val="16"/>
              </w:rPr>
            </w:pPr>
          </w:p>
        </w:tc>
        <w:tc>
          <w:tcPr>
            <w:tcW w:w="1429" w:type="dxa"/>
            <w:tcBorders>
              <w:top w:val="nil"/>
              <w:left w:val="nil"/>
              <w:bottom w:val="single" w:sz="4" w:space="0" w:color="auto"/>
              <w:right w:val="nil"/>
            </w:tcBorders>
            <w:shd w:val="clear" w:color="000000" w:fill="FFFFFF"/>
            <w:vAlign w:val="center"/>
            <w:hideMark/>
          </w:tcPr>
          <w:p w14:paraId="21EA8358" w14:textId="60EFC959" w:rsidR="003A7FC9" w:rsidRPr="002F2D01" w:rsidRDefault="003A7FC9"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(ha)</w:t>
            </w:r>
          </w:p>
        </w:tc>
        <w:tc>
          <w:tcPr>
            <w:tcW w:w="1202" w:type="dxa"/>
            <w:tcBorders>
              <w:top w:val="nil"/>
              <w:left w:val="nil"/>
              <w:bottom w:val="single" w:sz="4" w:space="0" w:color="auto"/>
              <w:right w:val="single" w:sz="4" w:space="0" w:color="auto"/>
            </w:tcBorders>
            <w:shd w:val="clear" w:color="000000" w:fill="FFFFFF"/>
            <w:vAlign w:val="center"/>
            <w:hideMark/>
          </w:tcPr>
          <w:p w14:paraId="3CBD7B0B" w14:textId="77777777" w:rsidR="003A7FC9" w:rsidRPr="002F2D01" w:rsidRDefault="003A7FC9"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26380D" w14:textId="77777777" w:rsidR="003A7FC9" w:rsidRPr="002F2D01" w:rsidRDefault="003A7FC9" w:rsidP="00CB0E93">
            <w:pPr>
              <w:spacing w:before="0" w:after="0"/>
              <w:ind w:left="57" w:right="57"/>
              <w:rPr>
                <w:rFonts w:asciiTheme="majorHAnsi" w:hAnsiTheme="majorHAnsi"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1412981" w14:textId="77777777" w:rsidR="003A7FC9" w:rsidRPr="002F2D01" w:rsidRDefault="003A7FC9" w:rsidP="00CB0E93">
            <w:pPr>
              <w:spacing w:before="0" w:after="0"/>
              <w:ind w:left="57" w:right="57"/>
              <w:rPr>
                <w:rFonts w:asciiTheme="majorHAnsi" w:hAnsiTheme="majorHAnsi" w:cs="Arial"/>
                <w:b/>
                <w:bCs/>
                <w:sz w:val="16"/>
                <w:szCs w:val="16"/>
              </w:rPr>
            </w:pPr>
          </w:p>
        </w:tc>
        <w:tc>
          <w:tcPr>
            <w:tcW w:w="1271" w:type="dxa"/>
            <w:tcBorders>
              <w:top w:val="nil"/>
              <w:left w:val="nil"/>
              <w:bottom w:val="single" w:sz="4" w:space="0" w:color="auto"/>
              <w:right w:val="nil"/>
            </w:tcBorders>
            <w:shd w:val="clear" w:color="000000" w:fill="FFFFFF"/>
            <w:vAlign w:val="center"/>
            <w:hideMark/>
          </w:tcPr>
          <w:p w14:paraId="6BE23172" w14:textId="045F8EA4" w:rsidR="003A7FC9" w:rsidRPr="002F2D01" w:rsidRDefault="003A7FC9"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(ha)</w:t>
            </w:r>
          </w:p>
        </w:tc>
        <w:tc>
          <w:tcPr>
            <w:tcW w:w="1229" w:type="dxa"/>
            <w:tcBorders>
              <w:top w:val="nil"/>
              <w:left w:val="nil"/>
              <w:bottom w:val="single" w:sz="4" w:space="0" w:color="auto"/>
            </w:tcBorders>
            <w:shd w:val="clear" w:color="000000" w:fill="FFFFFF"/>
            <w:vAlign w:val="center"/>
            <w:hideMark/>
          </w:tcPr>
          <w:p w14:paraId="5F8FDEB8" w14:textId="77777777" w:rsidR="003A7FC9" w:rsidRPr="002F2D01" w:rsidRDefault="003A7FC9"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w:t>
            </w:r>
          </w:p>
        </w:tc>
      </w:tr>
      <w:tr w:rsidR="003A7FC9" w14:paraId="55FCA1B3" w14:textId="77777777" w:rsidTr="004C0DDC">
        <w:trPr>
          <w:trHeight w:val="450"/>
        </w:trPr>
        <w:tc>
          <w:tcPr>
            <w:tcW w:w="1726" w:type="dxa"/>
            <w:tcBorders>
              <w:top w:val="nil"/>
              <w:bottom w:val="nil"/>
              <w:right w:val="single" w:sz="4" w:space="0" w:color="auto"/>
            </w:tcBorders>
            <w:shd w:val="clear" w:color="000000" w:fill="FFFFFF"/>
            <w:vAlign w:val="bottom"/>
            <w:hideMark/>
          </w:tcPr>
          <w:p w14:paraId="5BB37E7C" w14:textId="7E064AFA" w:rsidR="003A7FC9" w:rsidRPr="002F2D01" w:rsidRDefault="003A7FC9"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Column code</w:t>
            </w:r>
            <w:r w:rsidR="00FF7062">
              <w:rPr>
                <w:rFonts w:asciiTheme="majorHAnsi" w:hAnsiTheme="majorHAnsi" w:cs="Arial"/>
                <w:b/>
                <w:bCs/>
                <w:sz w:val="16"/>
                <w:szCs w:val="16"/>
              </w:rPr>
              <w:t>,</w:t>
            </w:r>
            <w:r w:rsidR="00C2285A" w:rsidRPr="002F2D01">
              <w:rPr>
                <w:rFonts w:asciiTheme="majorHAnsi" w:hAnsiTheme="majorHAnsi" w:cs="Arial"/>
                <w:bCs/>
                <w:sz w:val="16"/>
                <w:szCs w:val="16"/>
              </w:rPr>
              <w:t xml:space="preserve"> </w:t>
            </w:r>
            <w:r w:rsidR="00C2285A" w:rsidRPr="002F2D01">
              <w:rPr>
                <w:rFonts w:asciiTheme="majorHAnsi" w:hAnsiTheme="majorHAnsi" w:cs="Arial"/>
                <w:b/>
                <w:bCs/>
                <w:sz w:val="16"/>
                <w:szCs w:val="16"/>
              </w:rPr>
              <w:t>from Tables 1 and 3</w:t>
            </w:r>
            <w:r w:rsidRPr="002F2D01">
              <w:rPr>
                <w:rFonts w:asciiTheme="majorHAnsi" w:hAnsiTheme="majorHAnsi" w:cs="Arial"/>
                <w:b/>
                <w:bCs/>
                <w:sz w:val="16"/>
                <w:szCs w:val="16"/>
              </w:rPr>
              <w:br/>
            </w:r>
            <w:r w:rsidRPr="002F2D01">
              <w:rPr>
                <w:rFonts w:asciiTheme="majorHAnsi" w:hAnsiTheme="majorHAnsi" w:cs="Arial"/>
                <w:sz w:val="16"/>
                <w:szCs w:val="16"/>
              </w:rPr>
              <w:t>Derivation of figures</w:t>
            </w:r>
          </w:p>
        </w:tc>
        <w:tc>
          <w:tcPr>
            <w:tcW w:w="1141" w:type="dxa"/>
            <w:tcBorders>
              <w:top w:val="nil"/>
              <w:left w:val="nil"/>
              <w:bottom w:val="nil"/>
              <w:right w:val="single" w:sz="4" w:space="0" w:color="auto"/>
            </w:tcBorders>
            <w:shd w:val="clear" w:color="000000" w:fill="FFFFFF"/>
            <w:vAlign w:val="bottom"/>
            <w:hideMark/>
          </w:tcPr>
          <w:p w14:paraId="10083809" w14:textId="77777777" w:rsidR="003A7FC9" w:rsidRPr="002F2D01" w:rsidRDefault="003A7FC9"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 </w:t>
            </w:r>
          </w:p>
        </w:tc>
        <w:tc>
          <w:tcPr>
            <w:tcW w:w="1469" w:type="dxa"/>
            <w:tcBorders>
              <w:top w:val="nil"/>
              <w:left w:val="nil"/>
              <w:bottom w:val="nil"/>
              <w:right w:val="single" w:sz="4" w:space="0" w:color="auto"/>
            </w:tcBorders>
            <w:shd w:val="clear" w:color="000000" w:fill="FFFFFF"/>
            <w:hideMark/>
          </w:tcPr>
          <w:p w14:paraId="377A7CD8" w14:textId="77777777" w:rsidR="003A7FC9" w:rsidRPr="002F2D01" w:rsidRDefault="003A7FC9"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F</w:t>
            </w:r>
          </w:p>
          <w:p w14:paraId="265A74B5" w14:textId="77777777" w:rsidR="003A7FC9" w:rsidRPr="002F2D01" w:rsidRDefault="003A7FC9" w:rsidP="00CB0E93">
            <w:pPr>
              <w:spacing w:before="0" w:after="0"/>
              <w:ind w:left="57" w:right="57"/>
              <w:jc w:val="center"/>
              <w:rPr>
                <w:rFonts w:asciiTheme="majorHAnsi" w:hAnsiTheme="majorHAnsi" w:cs="Arial"/>
                <w:b/>
                <w:bCs/>
                <w:sz w:val="16"/>
                <w:szCs w:val="16"/>
              </w:rPr>
            </w:pPr>
          </w:p>
        </w:tc>
        <w:tc>
          <w:tcPr>
            <w:tcW w:w="1410" w:type="dxa"/>
            <w:tcBorders>
              <w:top w:val="nil"/>
              <w:left w:val="nil"/>
              <w:bottom w:val="nil"/>
              <w:right w:val="single" w:sz="4" w:space="0" w:color="auto"/>
            </w:tcBorders>
            <w:shd w:val="clear" w:color="000000" w:fill="FFFFFF"/>
            <w:hideMark/>
          </w:tcPr>
          <w:p w14:paraId="725500A8" w14:textId="77777777" w:rsidR="003A7FC9" w:rsidRPr="002F2D01" w:rsidRDefault="003A7FC9"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N</w:t>
            </w:r>
          </w:p>
          <w:p w14:paraId="773C0982" w14:textId="77777777" w:rsidR="003A7FC9" w:rsidRPr="002F2D01" w:rsidRDefault="003A7FC9" w:rsidP="00CB0E93">
            <w:pPr>
              <w:spacing w:before="0" w:after="0"/>
              <w:ind w:left="57" w:right="57"/>
              <w:jc w:val="center"/>
              <w:rPr>
                <w:rFonts w:asciiTheme="majorHAnsi" w:hAnsiTheme="majorHAnsi" w:cs="Arial"/>
                <w:b/>
                <w:bCs/>
                <w:sz w:val="16"/>
                <w:szCs w:val="16"/>
              </w:rPr>
            </w:pPr>
          </w:p>
        </w:tc>
        <w:tc>
          <w:tcPr>
            <w:tcW w:w="1429" w:type="dxa"/>
            <w:tcBorders>
              <w:top w:val="nil"/>
              <w:left w:val="nil"/>
              <w:bottom w:val="nil"/>
              <w:right w:val="nil"/>
            </w:tcBorders>
            <w:shd w:val="clear" w:color="000000" w:fill="FFFFFF"/>
            <w:hideMark/>
          </w:tcPr>
          <w:p w14:paraId="0844EC92" w14:textId="77777777" w:rsidR="00A1568A" w:rsidRDefault="00A1568A" w:rsidP="00CB0E93">
            <w:pPr>
              <w:spacing w:before="0" w:after="0"/>
              <w:ind w:left="57" w:right="57"/>
              <w:jc w:val="right"/>
              <w:rPr>
                <w:rFonts w:asciiTheme="majorHAnsi" w:hAnsiTheme="majorHAnsi" w:cs="Arial"/>
                <w:sz w:val="16"/>
                <w:szCs w:val="16"/>
              </w:rPr>
            </w:pPr>
          </w:p>
          <w:p w14:paraId="5545C48D" w14:textId="35B22898"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=N-F</w:t>
            </w:r>
          </w:p>
        </w:tc>
        <w:tc>
          <w:tcPr>
            <w:tcW w:w="1202" w:type="dxa"/>
            <w:tcBorders>
              <w:top w:val="nil"/>
              <w:left w:val="nil"/>
              <w:bottom w:val="nil"/>
              <w:right w:val="single" w:sz="4" w:space="0" w:color="auto"/>
            </w:tcBorders>
            <w:shd w:val="clear" w:color="000000" w:fill="FFFFFF"/>
            <w:hideMark/>
          </w:tcPr>
          <w:p w14:paraId="57344606" w14:textId="77777777" w:rsidR="00A1568A" w:rsidRDefault="00A1568A" w:rsidP="00CB0E93">
            <w:pPr>
              <w:spacing w:before="0" w:after="0"/>
              <w:ind w:left="57" w:right="57"/>
              <w:jc w:val="right"/>
              <w:rPr>
                <w:rFonts w:asciiTheme="majorHAnsi" w:hAnsiTheme="majorHAnsi" w:cs="Arial"/>
                <w:sz w:val="16"/>
                <w:szCs w:val="16"/>
              </w:rPr>
            </w:pPr>
          </w:p>
          <w:p w14:paraId="709226AB" w14:textId="0ECC1761"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=(N-F)/F</w:t>
            </w:r>
          </w:p>
        </w:tc>
        <w:tc>
          <w:tcPr>
            <w:tcW w:w="1491" w:type="dxa"/>
            <w:tcBorders>
              <w:top w:val="nil"/>
              <w:left w:val="nil"/>
              <w:bottom w:val="nil"/>
              <w:right w:val="single" w:sz="4" w:space="0" w:color="auto"/>
            </w:tcBorders>
            <w:shd w:val="clear" w:color="000000" w:fill="FFFFFF"/>
            <w:hideMark/>
          </w:tcPr>
          <w:p w14:paraId="17138010" w14:textId="77777777" w:rsidR="003A7FC9" w:rsidRPr="002F2D01" w:rsidRDefault="003A7FC9"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O</w:t>
            </w:r>
          </w:p>
          <w:p w14:paraId="31E258F8" w14:textId="77777777" w:rsidR="003A7FC9" w:rsidRPr="002F2D01" w:rsidRDefault="003A7FC9" w:rsidP="00CB0E93">
            <w:pPr>
              <w:spacing w:before="0" w:after="0"/>
              <w:ind w:left="57" w:right="57"/>
              <w:jc w:val="center"/>
              <w:rPr>
                <w:rFonts w:asciiTheme="majorHAnsi" w:hAnsiTheme="majorHAnsi" w:cs="Arial"/>
                <w:b/>
                <w:bCs/>
                <w:sz w:val="16"/>
                <w:szCs w:val="16"/>
              </w:rPr>
            </w:pPr>
          </w:p>
        </w:tc>
        <w:tc>
          <w:tcPr>
            <w:tcW w:w="1430" w:type="dxa"/>
            <w:tcBorders>
              <w:top w:val="nil"/>
              <w:left w:val="nil"/>
              <w:bottom w:val="nil"/>
              <w:right w:val="single" w:sz="4" w:space="0" w:color="auto"/>
            </w:tcBorders>
            <w:shd w:val="clear" w:color="000000" w:fill="FFFFFF"/>
            <w:hideMark/>
          </w:tcPr>
          <w:p w14:paraId="537BFCD5" w14:textId="513C8A3B" w:rsidR="003A7FC9" w:rsidRPr="002F2D01" w:rsidRDefault="003A7FC9"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P</w:t>
            </w:r>
            <w:r w:rsidRPr="002F2D01">
              <w:rPr>
                <w:rFonts w:asciiTheme="majorHAnsi" w:hAnsiTheme="majorHAnsi" w:cs="Arial"/>
                <w:b/>
                <w:bCs/>
                <w:sz w:val="16"/>
                <w:szCs w:val="16"/>
              </w:rPr>
              <w:br/>
            </w:r>
            <w:r w:rsidR="00AC17B7" w:rsidRPr="002F2D01">
              <w:rPr>
                <w:rFonts w:asciiTheme="majorHAnsi" w:hAnsiTheme="majorHAnsi" w:cs="Arial"/>
                <w:sz w:val="16"/>
                <w:szCs w:val="16"/>
              </w:rPr>
              <w:t>=N+</w:t>
            </w:r>
            <w:r w:rsidRPr="002F2D01">
              <w:rPr>
                <w:rFonts w:asciiTheme="majorHAnsi" w:hAnsiTheme="majorHAnsi" w:cs="Arial"/>
                <w:sz w:val="16"/>
                <w:szCs w:val="16"/>
              </w:rPr>
              <w:t>O</w:t>
            </w:r>
          </w:p>
        </w:tc>
        <w:tc>
          <w:tcPr>
            <w:tcW w:w="1271" w:type="dxa"/>
            <w:tcBorders>
              <w:top w:val="nil"/>
              <w:left w:val="nil"/>
              <w:bottom w:val="nil"/>
              <w:right w:val="nil"/>
            </w:tcBorders>
            <w:shd w:val="clear" w:color="000000" w:fill="FFFFFF"/>
            <w:hideMark/>
          </w:tcPr>
          <w:p w14:paraId="0B6F3BBC" w14:textId="77777777" w:rsidR="00A1568A" w:rsidRDefault="00A1568A" w:rsidP="00CB0E93">
            <w:pPr>
              <w:spacing w:before="0" w:after="0"/>
              <w:ind w:left="57" w:right="57"/>
              <w:jc w:val="right"/>
              <w:rPr>
                <w:rFonts w:asciiTheme="majorHAnsi" w:hAnsiTheme="majorHAnsi" w:cs="Arial"/>
                <w:sz w:val="16"/>
                <w:szCs w:val="16"/>
              </w:rPr>
            </w:pPr>
          </w:p>
          <w:p w14:paraId="569F4FF1" w14:textId="3C7C778F"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=P-F</w:t>
            </w:r>
          </w:p>
        </w:tc>
        <w:tc>
          <w:tcPr>
            <w:tcW w:w="1229" w:type="dxa"/>
            <w:tcBorders>
              <w:top w:val="nil"/>
              <w:left w:val="nil"/>
              <w:bottom w:val="nil"/>
            </w:tcBorders>
            <w:shd w:val="clear" w:color="000000" w:fill="FFFFFF"/>
            <w:hideMark/>
          </w:tcPr>
          <w:p w14:paraId="45534FD2" w14:textId="77777777" w:rsidR="00A1568A" w:rsidRDefault="00A1568A" w:rsidP="00CB0E93">
            <w:pPr>
              <w:spacing w:before="0" w:after="0"/>
              <w:ind w:left="57" w:right="57"/>
              <w:jc w:val="right"/>
              <w:rPr>
                <w:rFonts w:asciiTheme="majorHAnsi" w:hAnsiTheme="majorHAnsi" w:cs="Arial"/>
                <w:sz w:val="16"/>
                <w:szCs w:val="16"/>
              </w:rPr>
            </w:pPr>
          </w:p>
          <w:p w14:paraId="38CAC537" w14:textId="0E037528"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=(P-F)/F)</w:t>
            </w:r>
          </w:p>
        </w:tc>
      </w:tr>
      <w:tr w:rsidR="003A7FC9" w14:paraId="7AC4C28F" w14:textId="77777777" w:rsidTr="004C0DDC">
        <w:trPr>
          <w:trHeight w:val="255"/>
        </w:trPr>
        <w:tc>
          <w:tcPr>
            <w:tcW w:w="1726" w:type="dxa"/>
            <w:vMerge w:val="restart"/>
            <w:tcBorders>
              <w:top w:val="single" w:sz="4" w:space="0" w:color="auto"/>
              <w:bottom w:val="single" w:sz="4" w:space="0" w:color="000000"/>
              <w:right w:val="single" w:sz="4" w:space="0" w:color="auto"/>
            </w:tcBorders>
            <w:shd w:val="clear" w:color="000000" w:fill="FFFFFF"/>
            <w:noWrap/>
            <w:vAlign w:val="center"/>
            <w:hideMark/>
          </w:tcPr>
          <w:p w14:paraId="57D43E3F" w14:textId="77777777" w:rsidR="003A7FC9" w:rsidRPr="00CD538E" w:rsidRDefault="003A7FC9"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 xml:space="preserve">New South Wales </w:t>
            </w:r>
          </w:p>
        </w:tc>
        <w:tc>
          <w:tcPr>
            <w:tcW w:w="1141" w:type="dxa"/>
            <w:tcBorders>
              <w:top w:val="single" w:sz="4" w:space="0" w:color="auto"/>
              <w:left w:val="nil"/>
              <w:bottom w:val="nil"/>
              <w:right w:val="single" w:sz="4" w:space="0" w:color="auto"/>
            </w:tcBorders>
            <w:shd w:val="clear" w:color="000000" w:fill="FFFFFF"/>
            <w:noWrap/>
            <w:vAlign w:val="center"/>
            <w:hideMark/>
          </w:tcPr>
          <w:p w14:paraId="0464D826" w14:textId="77777777" w:rsidR="003A7FC9" w:rsidRPr="00CD538E" w:rsidRDefault="003A7FC9"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Forests</w:t>
            </w:r>
          </w:p>
        </w:tc>
        <w:tc>
          <w:tcPr>
            <w:tcW w:w="0" w:type="auto"/>
            <w:tcBorders>
              <w:top w:val="single" w:sz="4" w:space="0" w:color="auto"/>
              <w:left w:val="nil"/>
              <w:bottom w:val="nil"/>
              <w:right w:val="single" w:sz="4" w:space="0" w:color="auto"/>
            </w:tcBorders>
            <w:shd w:val="clear" w:color="auto" w:fill="FFFFFF" w:themeFill="background1"/>
            <w:noWrap/>
            <w:vAlign w:val="center"/>
            <w:hideMark/>
          </w:tcPr>
          <w:p w14:paraId="2BC4D471"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2,009,215</w:t>
            </w:r>
          </w:p>
        </w:tc>
        <w:tc>
          <w:tcPr>
            <w:tcW w:w="0" w:type="auto"/>
            <w:tcBorders>
              <w:top w:val="single" w:sz="4" w:space="0" w:color="auto"/>
              <w:left w:val="nil"/>
              <w:bottom w:val="nil"/>
              <w:right w:val="single" w:sz="4" w:space="0" w:color="auto"/>
            </w:tcBorders>
            <w:shd w:val="clear" w:color="auto" w:fill="FFFFFF" w:themeFill="background1"/>
            <w:noWrap/>
            <w:vAlign w:val="center"/>
            <w:hideMark/>
          </w:tcPr>
          <w:p w14:paraId="3916B417"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3,837,182</w:t>
            </w:r>
          </w:p>
        </w:tc>
        <w:tc>
          <w:tcPr>
            <w:tcW w:w="0" w:type="auto"/>
            <w:tcBorders>
              <w:top w:val="single" w:sz="4" w:space="0" w:color="auto"/>
              <w:left w:val="nil"/>
              <w:bottom w:val="nil"/>
              <w:right w:val="nil"/>
            </w:tcBorders>
            <w:shd w:val="clear" w:color="auto" w:fill="FFFFFF" w:themeFill="background1"/>
            <w:noWrap/>
            <w:vAlign w:val="center"/>
            <w:hideMark/>
          </w:tcPr>
          <w:p w14:paraId="3707A34F"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1,827,967</w:t>
            </w:r>
          </w:p>
        </w:tc>
        <w:tc>
          <w:tcPr>
            <w:tcW w:w="1202" w:type="dxa"/>
            <w:tcBorders>
              <w:top w:val="single" w:sz="4" w:space="0" w:color="auto"/>
              <w:left w:val="nil"/>
              <w:bottom w:val="nil"/>
              <w:right w:val="single" w:sz="4" w:space="0" w:color="auto"/>
            </w:tcBorders>
            <w:shd w:val="clear" w:color="auto" w:fill="FFFFFF" w:themeFill="background1"/>
            <w:noWrap/>
            <w:vAlign w:val="center"/>
            <w:hideMark/>
          </w:tcPr>
          <w:p w14:paraId="3B10D615"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91</w:t>
            </w:r>
          </w:p>
        </w:tc>
        <w:tc>
          <w:tcPr>
            <w:tcW w:w="0" w:type="auto"/>
            <w:tcBorders>
              <w:top w:val="single" w:sz="4" w:space="0" w:color="auto"/>
              <w:left w:val="nil"/>
              <w:bottom w:val="nil"/>
              <w:right w:val="single" w:sz="4" w:space="0" w:color="auto"/>
            </w:tcBorders>
            <w:shd w:val="clear" w:color="auto" w:fill="FFFFFF" w:themeFill="background1"/>
            <w:noWrap/>
            <w:vAlign w:val="center"/>
            <w:hideMark/>
          </w:tcPr>
          <w:p w14:paraId="0FF1A8F1"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86,868</w:t>
            </w:r>
          </w:p>
        </w:tc>
        <w:tc>
          <w:tcPr>
            <w:tcW w:w="0" w:type="auto"/>
            <w:tcBorders>
              <w:top w:val="single" w:sz="4" w:space="0" w:color="auto"/>
              <w:left w:val="nil"/>
              <w:bottom w:val="nil"/>
              <w:right w:val="single" w:sz="4" w:space="0" w:color="auto"/>
            </w:tcBorders>
            <w:shd w:val="clear" w:color="auto" w:fill="FFFFFF" w:themeFill="background1"/>
            <w:noWrap/>
            <w:vAlign w:val="center"/>
            <w:hideMark/>
          </w:tcPr>
          <w:p w14:paraId="44EAD9B3"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3,924,050</w:t>
            </w:r>
          </w:p>
        </w:tc>
        <w:tc>
          <w:tcPr>
            <w:tcW w:w="0" w:type="auto"/>
            <w:tcBorders>
              <w:top w:val="single" w:sz="4" w:space="0" w:color="auto"/>
              <w:left w:val="nil"/>
              <w:bottom w:val="nil"/>
              <w:right w:val="nil"/>
            </w:tcBorders>
            <w:shd w:val="clear" w:color="auto" w:fill="FFFFFF" w:themeFill="background1"/>
            <w:noWrap/>
            <w:vAlign w:val="center"/>
            <w:hideMark/>
          </w:tcPr>
          <w:p w14:paraId="00AE920E"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1,914,835</w:t>
            </w:r>
          </w:p>
        </w:tc>
        <w:tc>
          <w:tcPr>
            <w:tcW w:w="0" w:type="auto"/>
            <w:tcBorders>
              <w:top w:val="single" w:sz="4" w:space="0" w:color="auto"/>
              <w:left w:val="nil"/>
              <w:bottom w:val="nil"/>
            </w:tcBorders>
            <w:shd w:val="clear" w:color="auto" w:fill="FFFFFF" w:themeFill="background1"/>
            <w:noWrap/>
            <w:vAlign w:val="center"/>
            <w:hideMark/>
          </w:tcPr>
          <w:p w14:paraId="4425D763"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95</w:t>
            </w:r>
          </w:p>
        </w:tc>
      </w:tr>
      <w:tr w:rsidR="003A7FC9" w14:paraId="4DE031A4" w14:textId="77777777" w:rsidTr="004C0DDC">
        <w:trPr>
          <w:trHeight w:val="255"/>
        </w:trPr>
        <w:tc>
          <w:tcPr>
            <w:tcW w:w="1726" w:type="dxa"/>
            <w:vMerge/>
            <w:tcBorders>
              <w:top w:val="single" w:sz="4" w:space="0" w:color="auto"/>
              <w:bottom w:val="single" w:sz="4" w:space="0" w:color="000000"/>
              <w:right w:val="single" w:sz="4" w:space="0" w:color="auto"/>
            </w:tcBorders>
            <w:vAlign w:val="center"/>
            <w:hideMark/>
          </w:tcPr>
          <w:p w14:paraId="6968EC32" w14:textId="77777777" w:rsidR="003A7FC9" w:rsidRPr="00CD538E" w:rsidRDefault="003A7FC9" w:rsidP="00CB0E93">
            <w:pPr>
              <w:spacing w:before="0" w:after="0"/>
              <w:ind w:left="57" w:right="57"/>
              <w:rPr>
                <w:rFonts w:asciiTheme="majorHAnsi" w:hAnsiTheme="majorHAnsi" w:cs="Arial"/>
                <w:bCs/>
                <w:sz w:val="16"/>
                <w:szCs w:val="16"/>
              </w:rPr>
            </w:pPr>
          </w:p>
        </w:tc>
        <w:tc>
          <w:tcPr>
            <w:tcW w:w="1141" w:type="dxa"/>
            <w:tcBorders>
              <w:top w:val="nil"/>
              <w:left w:val="nil"/>
              <w:bottom w:val="nil"/>
              <w:right w:val="single" w:sz="4" w:space="0" w:color="auto"/>
            </w:tcBorders>
            <w:shd w:val="clear" w:color="000000" w:fill="FFFFFF"/>
            <w:noWrap/>
            <w:vAlign w:val="center"/>
            <w:hideMark/>
          </w:tcPr>
          <w:p w14:paraId="793A2AEE" w14:textId="77777777" w:rsidR="003A7FC9" w:rsidRPr="00CD538E" w:rsidRDefault="003A7FC9"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Non-forests</w:t>
            </w:r>
          </w:p>
        </w:tc>
        <w:tc>
          <w:tcPr>
            <w:tcW w:w="0" w:type="auto"/>
            <w:tcBorders>
              <w:top w:val="nil"/>
              <w:left w:val="nil"/>
              <w:bottom w:val="nil"/>
              <w:right w:val="single" w:sz="4" w:space="0" w:color="auto"/>
            </w:tcBorders>
            <w:shd w:val="clear" w:color="auto" w:fill="FFFFFF" w:themeFill="background1"/>
            <w:noWrap/>
            <w:vAlign w:val="center"/>
            <w:hideMark/>
          </w:tcPr>
          <w:p w14:paraId="478DD476"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145,014</w:t>
            </w:r>
          </w:p>
        </w:tc>
        <w:tc>
          <w:tcPr>
            <w:tcW w:w="0" w:type="auto"/>
            <w:tcBorders>
              <w:top w:val="nil"/>
              <w:left w:val="nil"/>
              <w:bottom w:val="nil"/>
              <w:right w:val="single" w:sz="4" w:space="0" w:color="auto"/>
            </w:tcBorders>
            <w:shd w:val="clear" w:color="auto" w:fill="FFFFFF" w:themeFill="background1"/>
            <w:noWrap/>
            <w:vAlign w:val="center"/>
            <w:hideMark/>
          </w:tcPr>
          <w:p w14:paraId="271C9134"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181,953</w:t>
            </w:r>
          </w:p>
        </w:tc>
        <w:tc>
          <w:tcPr>
            <w:tcW w:w="0" w:type="auto"/>
            <w:tcBorders>
              <w:top w:val="nil"/>
              <w:left w:val="nil"/>
              <w:bottom w:val="nil"/>
              <w:right w:val="nil"/>
            </w:tcBorders>
            <w:shd w:val="clear" w:color="auto" w:fill="FFFFFF" w:themeFill="background1"/>
            <w:noWrap/>
            <w:vAlign w:val="center"/>
            <w:hideMark/>
          </w:tcPr>
          <w:p w14:paraId="0DFB45AB"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36,939</w:t>
            </w:r>
          </w:p>
        </w:tc>
        <w:tc>
          <w:tcPr>
            <w:tcW w:w="1202" w:type="dxa"/>
            <w:tcBorders>
              <w:top w:val="nil"/>
              <w:left w:val="nil"/>
              <w:bottom w:val="nil"/>
              <w:right w:val="single" w:sz="4" w:space="0" w:color="auto"/>
            </w:tcBorders>
            <w:shd w:val="clear" w:color="auto" w:fill="FFFFFF" w:themeFill="background1"/>
            <w:noWrap/>
            <w:vAlign w:val="center"/>
            <w:hideMark/>
          </w:tcPr>
          <w:p w14:paraId="7BAC796C"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25</w:t>
            </w:r>
          </w:p>
        </w:tc>
        <w:tc>
          <w:tcPr>
            <w:tcW w:w="0" w:type="auto"/>
            <w:tcBorders>
              <w:top w:val="nil"/>
              <w:left w:val="nil"/>
              <w:bottom w:val="nil"/>
              <w:right w:val="single" w:sz="4" w:space="0" w:color="auto"/>
            </w:tcBorders>
            <w:shd w:val="clear" w:color="auto" w:fill="FFFFFF" w:themeFill="background1"/>
            <w:noWrap/>
            <w:vAlign w:val="center"/>
            <w:hideMark/>
          </w:tcPr>
          <w:p w14:paraId="22BB2F4E"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646</w:t>
            </w:r>
          </w:p>
        </w:tc>
        <w:tc>
          <w:tcPr>
            <w:tcW w:w="0" w:type="auto"/>
            <w:tcBorders>
              <w:top w:val="nil"/>
              <w:left w:val="nil"/>
              <w:bottom w:val="nil"/>
              <w:right w:val="single" w:sz="4" w:space="0" w:color="auto"/>
            </w:tcBorders>
            <w:shd w:val="clear" w:color="auto" w:fill="FFFFFF" w:themeFill="background1"/>
            <w:noWrap/>
            <w:vAlign w:val="center"/>
            <w:hideMark/>
          </w:tcPr>
          <w:p w14:paraId="02127B9C"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182,599</w:t>
            </w:r>
          </w:p>
        </w:tc>
        <w:tc>
          <w:tcPr>
            <w:tcW w:w="0" w:type="auto"/>
            <w:tcBorders>
              <w:top w:val="nil"/>
              <w:left w:val="nil"/>
              <w:bottom w:val="nil"/>
              <w:right w:val="nil"/>
            </w:tcBorders>
            <w:shd w:val="clear" w:color="auto" w:fill="FFFFFF" w:themeFill="background1"/>
            <w:noWrap/>
            <w:vAlign w:val="center"/>
            <w:hideMark/>
          </w:tcPr>
          <w:p w14:paraId="1A1CD2F6"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37,585</w:t>
            </w:r>
          </w:p>
        </w:tc>
        <w:tc>
          <w:tcPr>
            <w:tcW w:w="0" w:type="auto"/>
            <w:tcBorders>
              <w:top w:val="nil"/>
              <w:left w:val="nil"/>
              <w:bottom w:val="nil"/>
            </w:tcBorders>
            <w:shd w:val="clear" w:color="auto" w:fill="FFFFFF" w:themeFill="background1"/>
            <w:noWrap/>
            <w:vAlign w:val="center"/>
            <w:hideMark/>
          </w:tcPr>
          <w:p w14:paraId="5ED5DF31"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26</w:t>
            </w:r>
          </w:p>
        </w:tc>
      </w:tr>
      <w:tr w:rsidR="003A7FC9" w14:paraId="50EF662E" w14:textId="77777777" w:rsidTr="004C0DDC">
        <w:trPr>
          <w:trHeight w:val="255"/>
        </w:trPr>
        <w:tc>
          <w:tcPr>
            <w:tcW w:w="1726" w:type="dxa"/>
            <w:vMerge/>
            <w:tcBorders>
              <w:top w:val="single" w:sz="4" w:space="0" w:color="auto"/>
              <w:bottom w:val="single" w:sz="4" w:space="0" w:color="000000"/>
              <w:right w:val="single" w:sz="4" w:space="0" w:color="auto"/>
            </w:tcBorders>
            <w:vAlign w:val="center"/>
            <w:hideMark/>
          </w:tcPr>
          <w:p w14:paraId="2CDD4E6D" w14:textId="77777777" w:rsidR="003A7FC9" w:rsidRPr="00CD538E" w:rsidRDefault="003A7FC9" w:rsidP="00CB0E93">
            <w:pPr>
              <w:spacing w:before="0" w:after="0"/>
              <w:ind w:left="57" w:right="57"/>
              <w:rPr>
                <w:rFonts w:asciiTheme="majorHAnsi" w:hAnsiTheme="majorHAnsi" w:cs="Arial"/>
                <w:bCs/>
                <w:sz w:val="16"/>
                <w:szCs w:val="16"/>
              </w:rPr>
            </w:pPr>
          </w:p>
        </w:tc>
        <w:tc>
          <w:tcPr>
            <w:tcW w:w="1141" w:type="dxa"/>
            <w:tcBorders>
              <w:top w:val="nil"/>
              <w:left w:val="nil"/>
              <w:bottom w:val="single" w:sz="4" w:space="0" w:color="auto"/>
              <w:right w:val="single" w:sz="4" w:space="0" w:color="auto"/>
            </w:tcBorders>
            <w:shd w:val="clear" w:color="000000" w:fill="FFFFFF"/>
            <w:noWrap/>
            <w:vAlign w:val="center"/>
            <w:hideMark/>
          </w:tcPr>
          <w:p w14:paraId="41166A03" w14:textId="77777777" w:rsidR="003A7FC9" w:rsidRPr="00CD538E" w:rsidRDefault="003A7FC9"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Total</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3EDDAB2"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2,154,229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6EB9DD5"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4,019,135</w:t>
            </w:r>
          </w:p>
        </w:tc>
        <w:tc>
          <w:tcPr>
            <w:tcW w:w="0" w:type="auto"/>
            <w:tcBorders>
              <w:top w:val="nil"/>
              <w:left w:val="nil"/>
              <w:bottom w:val="single" w:sz="4" w:space="0" w:color="auto"/>
              <w:right w:val="nil"/>
            </w:tcBorders>
            <w:shd w:val="clear" w:color="auto" w:fill="FFFFFF" w:themeFill="background1"/>
            <w:noWrap/>
            <w:vAlign w:val="center"/>
            <w:hideMark/>
          </w:tcPr>
          <w:p w14:paraId="3812AC93"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1,864,906</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F736615"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92015EF"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87,514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EF657A6"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4,106,649</w:t>
            </w:r>
          </w:p>
        </w:tc>
        <w:tc>
          <w:tcPr>
            <w:tcW w:w="0" w:type="auto"/>
            <w:tcBorders>
              <w:top w:val="nil"/>
              <w:left w:val="nil"/>
              <w:bottom w:val="single" w:sz="4" w:space="0" w:color="auto"/>
              <w:right w:val="nil"/>
            </w:tcBorders>
            <w:shd w:val="clear" w:color="auto" w:fill="FFFFFF" w:themeFill="background1"/>
            <w:noWrap/>
            <w:vAlign w:val="center"/>
            <w:hideMark/>
          </w:tcPr>
          <w:p w14:paraId="7B8D75BC"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1,952,420</w:t>
            </w:r>
          </w:p>
        </w:tc>
        <w:tc>
          <w:tcPr>
            <w:tcW w:w="0" w:type="auto"/>
            <w:tcBorders>
              <w:top w:val="nil"/>
              <w:left w:val="nil"/>
              <w:bottom w:val="single" w:sz="4" w:space="0" w:color="auto"/>
            </w:tcBorders>
            <w:shd w:val="clear" w:color="auto" w:fill="FFFFFF" w:themeFill="background1"/>
            <w:noWrap/>
            <w:vAlign w:val="center"/>
            <w:hideMark/>
          </w:tcPr>
          <w:p w14:paraId="7CEAA601" w14:textId="77777777" w:rsidR="003A7FC9" w:rsidRPr="002F2D01" w:rsidRDefault="003A7FC9"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91</w:t>
            </w:r>
          </w:p>
        </w:tc>
      </w:tr>
      <w:tr w:rsidR="00DF19C2" w14:paraId="544F9B45" w14:textId="77777777" w:rsidTr="004C0DDC">
        <w:trPr>
          <w:trHeight w:val="255"/>
        </w:trPr>
        <w:tc>
          <w:tcPr>
            <w:tcW w:w="1726" w:type="dxa"/>
            <w:vMerge w:val="restart"/>
            <w:tcBorders>
              <w:top w:val="nil"/>
              <w:bottom w:val="single" w:sz="4" w:space="0" w:color="000000"/>
              <w:right w:val="single" w:sz="4" w:space="0" w:color="auto"/>
            </w:tcBorders>
            <w:shd w:val="clear" w:color="000000" w:fill="FFFFFF"/>
            <w:noWrap/>
            <w:vAlign w:val="center"/>
            <w:hideMark/>
          </w:tcPr>
          <w:p w14:paraId="0B2FC942"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Victoria</w:t>
            </w:r>
          </w:p>
        </w:tc>
        <w:tc>
          <w:tcPr>
            <w:tcW w:w="1141" w:type="dxa"/>
            <w:tcBorders>
              <w:top w:val="nil"/>
              <w:left w:val="nil"/>
              <w:bottom w:val="nil"/>
              <w:right w:val="single" w:sz="4" w:space="0" w:color="auto"/>
            </w:tcBorders>
            <w:shd w:val="clear" w:color="000000" w:fill="FFFFFF"/>
            <w:noWrap/>
            <w:vAlign w:val="center"/>
            <w:hideMark/>
          </w:tcPr>
          <w:p w14:paraId="43489496"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Forests</w:t>
            </w:r>
          </w:p>
        </w:tc>
        <w:tc>
          <w:tcPr>
            <w:tcW w:w="0" w:type="auto"/>
            <w:tcBorders>
              <w:top w:val="nil"/>
              <w:left w:val="nil"/>
              <w:bottom w:val="nil"/>
              <w:right w:val="single" w:sz="4" w:space="0" w:color="auto"/>
            </w:tcBorders>
            <w:shd w:val="clear" w:color="auto" w:fill="FFFFFF" w:themeFill="background1"/>
            <w:noWrap/>
            <w:vAlign w:val="center"/>
            <w:hideMark/>
          </w:tcPr>
          <w:p w14:paraId="52790D64"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1,810,565</w:t>
            </w:r>
          </w:p>
        </w:tc>
        <w:tc>
          <w:tcPr>
            <w:tcW w:w="0" w:type="auto"/>
            <w:tcBorders>
              <w:top w:val="nil"/>
              <w:left w:val="nil"/>
              <w:bottom w:val="nil"/>
              <w:right w:val="single" w:sz="4" w:space="0" w:color="auto"/>
            </w:tcBorders>
            <w:shd w:val="clear" w:color="auto" w:fill="FFFFFF" w:themeFill="background1"/>
            <w:noWrap/>
            <w:vAlign w:val="center"/>
            <w:hideMark/>
          </w:tcPr>
          <w:p w14:paraId="09039970" w14:textId="46A91AA3"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2,650,500</w:t>
            </w:r>
          </w:p>
        </w:tc>
        <w:tc>
          <w:tcPr>
            <w:tcW w:w="0" w:type="auto"/>
            <w:tcBorders>
              <w:top w:val="nil"/>
              <w:left w:val="nil"/>
              <w:bottom w:val="nil"/>
              <w:right w:val="nil"/>
            </w:tcBorders>
            <w:shd w:val="clear" w:color="auto" w:fill="FFFFFF" w:themeFill="background1"/>
            <w:noWrap/>
            <w:vAlign w:val="center"/>
            <w:hideMark/>
          </w:tcPr>
          <w:p w14:paraId="6A220493" w14:textId="3701A368"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839,935</w:t>
            </w:r>
          </w:p>
        </w:tc>
        <w:tc>
          <w:tcPr>
            <w:tcW w:w="1202" w:type="dxa"/>
            <w:tcBorders>
              <w:top w:val="nil"/>
              <w:left w:val="nil"/>
              <w:bottom w:val="nil"/>
              <w:right w:val="single" w:sz="4" w:space="0" w:color="auto"/>
            </w:tcBorders>
            <w:shd w:val="clear" w:color="auto" w:fill="FFFFFF" w:themeFill="background1"/>
            <w:noWrap/>
            <w:vAlign w:val="center"/>
            <w:hideMark/>
          </w:tcPr>
          <w:p w14:paraId="36165FA8" w14:textId="2ECF7C3B"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46</w:t>
            </w:r>
          </w:p>
        </w:tc>
        <w:tc>
          <w:tcPr>
            <w:tcW w:w="0" w:type="auto"/>
            <w:tcBorders>
              <w:top w:val="nil"/>
              <w:left w:val="nil"/>
              <w:bottom w:val="nil"/>
              <w:right w:val="single" w:sz="4" w:space="0" w:color="auto"/>
            </w:tcBorders>
            <w:shd w:val="clear" w:color="auto" w:fill="FFFFFF" w:themeFill="background1"/>
            <w:noWrap/>
            <w:vAlign w:val="center"/>
            <w:hideMark/>
          </w:tcPr>
          <w:p w14:paraId="13608B39" w14:textId="19A266EC"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623,000</w:t>
            </w:r>
          </w:p>
        </w:tc>
        <w:tc>
          <w:tcPr>
            <w:tcW w:w="0" w:type="auto"/>
            <w:tcBorders>
              <w:top w:val="nil"/>
              <w:left w:val="nil"/>
              <w:bottom w:val="nil"/>
              <w:right w:val="single" w:sz="4" w:space="0" w:color="auto"/>
            </w:tcBorders>
            <w:shd w:val="clear" w:color="auto" w:fill="FFFFFF" w:themeFill="background1"/>
            <w:noWrap/>
            <w:vAlign w:val="center"/>
            <w:hideMark/>
          </w:tcPr>
          <w:p w14:paraId="79C9BF5A" w14:textId="3D293491"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3,298,400</w:t>
            </w:r>
          </w:p>
        </w:tc>
        <w:tc>
          <w:tcPr>
            <w:tcW w:w="0" w:type="auto"/>
            <w:tcBorders>
              <w:top w:val="nil"/>
              <w:left w:val="nil"/>
              <w:bottom w:val="nil"/>
              <w:right w:val="nil"/>
            </w:tcBorders>
            <w:shd w:val="clear" w:color="auto" w:fill="FFFFFF" w:themeFill="background1"/>
            <w:noWrap/>
            <w:vAlign w:val="center"/>
            <w:hideMark/>
          </w:tcPr>
          <w:p w14:paraId="4BBEE1FF" w14:textId="549CFAAD"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1,487,835</w:t>
            </w:r>
          </w:p>
        </w:tc>
        <w:tc>
          <w:tcPr>
            <w:tcW w:w="0" w:type="auto"/>
            <w:tcBorders>
              <w:top w:val="nil"/>
              <w:left w:val="nil"/>
              <w:bottom w:val="nil"/>
            </w:tcBorders>
            <w:shd w:val="clear" w:color="auto" w:fill="FFFFFF" w:themeFill="background1"/>
            <w:noWrap/>
            <w:vAlign w:val="center"/>
            <w:hideMark/>
          </w:tcPr>
          <w:p w14:paraId="74F0C8AD" w14:textId="165EC7FD"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82</w:t>
            </w:r>
          </w:p>
        </w:tc>
      </w:tr>
      <w:tr w:rsidR="00DF19C2" w14:paraId="2AB1E455" w14:textId="77777777" w:rsidTr="004C0DDC">
        <w:trPr>
          <w:trHeight w:val="255"/>
        </w:trPr>
        <w:tc>
          <w:tcPr>
            <w:tcW w:w="1726" w:type="dxa"/>
            <w:vMerge/>
            <w:tcBorders>
              <w:top w:val="nil"/>
              <w:bottom w:val="single" w:sz="4" w:space="0" w:color="000000"/>
              <w:right w:val="single" w:sz="4" w:space="0" w:color="auto"/>
            </w:tcBorders>
            <w:vAlign w:val="center"/>
            <w:hideMark/>
          </w:tcPr>
          <w:p w14:paraId="0D047AD0" w14:textId="77777777" w:rsidR="00DF19C2" w:rsidRPr="00CD538E" w:rsidRDefault="00DF19C2" w:rsidP="00CB0E93">
            <w:pPr>
              <w:spacing w:before="0" w:after="0"/>
              <w:ind w:left="57" w:right="57"/>
              <w:rPr>
                <w:rFonts w:asciiTheme="majorHAnsi" w:hAnsiTheme="majorHAnsi" w:cs="Arial"/>
                <w:bCs/>
                <w:sz w:val="16"/>
                <w:szCs w:val="16"/>
              </w:rPr>
            </w:pPr>
          </w:p>
        </w:tc>
        <w:tc>
          <w:tcPr>
            <w:tcW w:w="1141" w:type="dxa"/>
            <w:tcBorders>
              <w:top w:val="nil"/>
              <w:left w:val="nil"/>
              <w:bottom w:val="nil"/>
              <w:right w:val="single" w:sz="4" w:space="0" w:color="auto"/>
            </w:tcBorders>
            <w:shd w:val="clear" w:color="000000" w:fill="FFFFFF"/>
            <w:noWrap/>
            <w:vAlign w:val="center"/>
            <w:hideMark/>
          </w:tcPr>
          <w:p w14:paraId="7FE841BE"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Non-forests</w:t>
            </w:r>
          </w:p>
        </w:tc>
        <w:tc>
          <w:tcPr>
            <w:tcW w:w="0" w:type="auto"/>
            <w:tcBorders>
              <w:top w:val="nil"/>
              <w:left w:val="nil"/>
              <w:bottom w:val="nil"/>
              <w:right w:val="single" w:sz="4" w:space="0" w:color="auto"/>
            </w:tcBorders>
            <w:shd w:val="clear" w:color="auto" w:fill="FFFFFF" w:themeFill="background1"/>
            <w:noWrap/>
            <w:vAlign w:val="center"/>
            <w:hideMark/>
          </w:tcPr>
          <w:p w14:paraId="0C2F2178"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211,455</w:t>
            </w:r>
          </w:p>
        </w:tc>
        <w:tc>
          <w:tcPr>
            <w:tcW w:w="0" w:type="auto"/>
            <w:tcBorders>
              <w:top w:val="nil"/>
              <w:left w:val="nil"/>
              <w:bottom w:val="nil"/>
              <w:right w:val="single" w:sz="4" w:space="0" w:color="auto"/>
            </w:tcBorders>
            <w:shd w:val="clear" w:color="auto" w:fill="FFFFFF" w:themeFill="background1"/>
            <w:noWrap/>
            <w:vAlign w:val="center"/>
            <w:hideMark/>
          </w:tcPr>
          <w:p w14:paraId="0723AD6C" w14:textId="02782BC3"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278,400</w:t>
            </w:r>
          </w:p>
        </w:tc>
        <w:tc>
          <w:tcPr>
            <w:tcW w:w="0" w:type="auto"/>
            <w:tcBorders>
              <w:top w:val="nil"/>
              <w:left w:val="nil"/>
              <w:bottom w:val="nil"/>
              <w:right w:val="nil"/>
            </w:tcBorders>
            <w:shd w:val="clear" w:color="auto" w:fill="FFFFFF" w:themeFill="background1"/>
            <w:noWrap/>
            <w:vAlign w:val="center"/>
            <w:hideMark/>
          </w:tcPr>
          <w:p w14:paraId="7EC0BDE1" w14:textId="6E1B839E"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66,945</w:t>
            </w:r>
          </w:p>
        </w:tc>
        <w:tc>
          <w:tcPr>
            <w:tcW w:w="1202" w:type="dxa"/>
            <w:tcBorders>
              <w:top w:val="nil"/>
              <w:left w:val="nil"/>
              <w:bottom w:val="nil"/>
              <w:right w:val="single" w:sz="4" w:space="0" w:color="auto"/>
            </w:tcBorders>
            <w:shd w:val="clear" w:color="auto" w:fill="FFFFFF" w:themeFill="background1"/>
            <w:noWrap/>
            <w:vAlign w:val="center"/>
            <w:hideMark/>
          </w:tcPr>
          <w:p w14:paraId="4341630A" w14:textId="66761C25"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32</w:t>
            </w:r>
          </w:p>
        </w:tc>
        <w:tc>
          <w:tcPr>
            <w:tcW w:w="0" w:type="auto"/>
            <w:tcBorders>
              <w:top w:val="nil"/>
              <w:left w:val="nil"/>
              <w:bottom w:val="nil"/>
              <w:right w:val="single" w:sz="4" w:space="0" w:color="auto"/>
            </w:tcBorders>
            <w:shd w:val="clear" w:color="auto" w:fill="FFFFFF" w:themeFill="background1"/>
            <w:noWrap/>
            <w:vAlign w:val="center"/>
            <w:hideMark/>
          </w:tcPr>
          <w:p w14:paraId="3E814BAD" w14:textId="39063C78"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5,800</w:t>
            </w:r>
          </w:p>
        </w:tc>
        <w:tc>
          <w:tcPr>
            <w:tcW w:w="0" w:type="auto"/>
            <w:tcBorders>
              <w:top w:val="nil"/>
              <w:left w:val="nil"/>
              <w:bottom w:val="nil"/>
              <w:right w:val="single" w:sz="4" w:space="0" w:color="auto"/>
            </w:tcBorders>
            <w:shd w:val="clear" w:color="auto" w:fill="FFFFFF" w:themeFill="background1"/>
            <w:noWrap/>
            <w:vAlign w:val="center"/>
            <w:hideMark/>
          </w:tcPr>
          <w:p w14:paraId="01410BE9" w14:textId="2DF1C78F"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287,900</w:t>
            </w:r>
          </w:p>
        </w:tc>
        <w:tc>
          <w:tcPr>
            <w:tcW w:w="0" w:type="auto"/>
            <w:tcBorders>
              <w:top w:val="nil"/>
              <w:left w:val="nil"/>
              <w:bottom w:val="nil"/>
              <w:right w:val="nil"/>
            </w:tcBorders>
            <w:shd w:val="clear" w:color="auto" w:fill="FFFFFF" w:themeFill="background1"/>
            <w:noWrap/>
            <w:vAlign w:val="center"/>
            <w:hideMark/>
          </w:tcPr>
          <w:p w14:paraId="377297E0" w14:textId="1400F993"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76,445</w:t>
            </w:r>
          </w:p>
        </w:tc>
        <w:tc>
          <w:tcPr>
            <w:tcW w:w="0" w:type="auto"/>
            <w:tcBorders>
              <w:top w:val="nil"/>
              <w:left w:val="nil"/>
              <w:bottom w:val="nil"/>
            </w:tcBorders>
            <w:shd w:val="clear" w:color="auto" w:fill="FFFFFF" w:themeFill="background1"/>
            <w:noWrap/>
            <w:vAlign w:val="center"/>
            <w:hideMark/>
          </w:tcPr>
          <w:p w14:paraId="423948FD" w14:textId="519C00F0"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36</w:t>
            </w:r>
          </w:p>
        </w:tc>
      </w:tr>
      <w:tr w:rsidR="00DF19C2" w14:paraId="42C5F3D7" w14:textId="77777777" w:rsidTr="004C0DDC">
        <w:trPr>
          <w:trHeight w:val="255"/>
        </w:trPr>
        <w:tc>
          <w:tcPr>
            <w:tcW w:w="1726" w:type="dxa"/>
            <w:vMerge/>
            <w:tcBorders>
              <w:top w:val="nil"/>
              <w:bottom w:val="single" w:sz="4" w:space="0" w:color="000000"/>
              <w:right w:val="single" w:sz="4" w:space="0" w:color="auto"/>
            </w:tcBorders>
            <w:vAlign w:val="center"/>
            <w:hideMark/>
          </w:tcPr>
          <w:p w14:paraId="0591633B" w14:textId="77777777" w:rsidR="00DF19C2" w:rsidRPr="00CD538E" w:rsidRDefault="00DF19C2" w:rsidP="00CB0E93">
            <w:pPr>
              <w:spacing w:before="0" w:after="0"/>
              <w:ind w:left="57" w:right="57"/>
              <w:rPr>
                <w:rFonts w:asciiTheme="majorHAnsi" w:hAnsiTheme="majorHAnsi" w:cs="Arial"/>
                <w:bCs/>
                <w:sz w:val="16"/>
                <w:szCs w:val="16"/>
              </w:rPr>
            </w:pPr>
          </w:p>
        </w:tc>
        <w:tc>
          <w:tcPr>
            <w:tcW w:w="1141" w:type="dxa"/>
            <w:tcBorders>
              <w:top w:val="nil"/>
              <w:left w:val="nil"/>
              <w:bottom w:val="single" w:sz="4" w:space="0" w:color="auto"/>
              <w:right w:val="single" w:sz="4" w:space="0" w:color="auto"/>
            </w:tcBorders>
            <w:shd w:val="clear" w:color="000000" w:fill="FFFFFF"/>
            <w:noWrap/>
            <w:vAlign w:val="center"/>
            <w:hideMark/>
          </w:tcPr>
          <w:p w14:paraId="35987373"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Total</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491D247"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2,022,020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93CBCEB" w14:textId="78D8FBE5"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2,928,900</w:t>
            </w:r>
          </w:p>
        </w:tc>
        <w:tc>
          <w:tcPr>
            <w:tcW w:w="0" w:type="auto"/>
            <w:tcBorders>
              <w:top w:val="nil"/>
              <w:left w:val="nil"/>
              <w:bottom w:val="single" w:sz="4" w:space="0" w:color="auto"/>
              <w:right w:val="nil"/>
            </w:tcBorders>
            <w:shd w:val="clear" w:color="auto" w:fill="FFFFFF" w:themeFill="background1"/>
            <w:noWrap/>
            <w:vAlign w:val="center"/>
            <w:hideMark/>
          </w:tcPr>
          <w:p w14:paraId="0A285605" w14:textId="591B5E94"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906,880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878BEB4" w14:textId="7984E58D"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B38E4C4" w14:textId="682858E6"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628,800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0AD2A31" w14:textId="3BDA63A3"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3,586,300</w:t>
            </w:r>
          </w:p>
        </w:tc>
        <w:tc>
          <w:tcPr>
            <w:tcW w:w="0" w:type="auto"/>
            <w:tcBorders>
              <w:top w:val="nil"/>
              <w:left w:val="nil"/>
              <w:bottom w:val="single" w:sz="4" w:space="0" w:color="auto"/>
              <w:right w:val="nil"/>
            </w:tcBorders>
            <w:shd w:val="clear" w:color="auto" w:fill="FFFFFF" w:themeFill="background1"/>
            <w:noWrap/>
            <w:vAlign w:val="center"/>
            <w:hideMark/>
          </w:tcPr>
          <w:p w14:paraId="7E385E5B" w14:textId="1661F462"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1,564,280</w:t>
            </w:r>
          </w:p>
        </w:tc>
        <w:tc>
          <w:tcPr>
            <w:tcW w:w="0" w:type="auto"/>
            <w:tcBorders>
              <w:top w:val="nil"/>
              <w:left w:val="nil"/>
              <w:bottom w:val="single" w:sz="4" w:space="0" w:color="auto"/>
            </w:tcBorders>
            <w:shd w:val="clear" w:color="auto" w:fill="FFFFFF" w:themeFill="background1"/>
            <w:noWrap/>
            <w:vAlign w:val="center"/>
            <w:hideMark/>
          </w:tcPr>
          <w:p w14:paraId="5388D0FA" w14:textId="74BB9C31"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77</w:t>
            </w:r>
          </w:p>
        </w:tc>
      </w:tr>
      <w:tr w:rsidR="00DF19C2" w14:paraId="5CB1D739" w14:textId="77777777" w:rsidTr="004C0DDC">
        <w:trPr>
          <w:trHeight w:val="255"/>
        </w:trPr>
        <w:tc>
          <w:tcPr>
            <w:tcW w:w="1726" w:type="dxa"/>
            <w:vMerge w:val="restart"/>
            <w:tcBorders>
              <w:top w:val="nil"/>
              <w:bottom w:val="single" w:sz="4" w:space="0" w:color="000000"/>
              <w:right w:val="single" w:sz="4" w:space="0" w:color="auto"/>
            </w:tcBorders>
            <w:shd w:val="clear" w:color="000000" w:fill="FFFFFF"/>
            <w:noWrap/>
            <w:vAlign w:val="center"/>
            <w:hideMark/>
          </w:tcPr>
          <w:p w14:paraId="3F2863F6"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Tasmania</w:t>
            </w:r>
          </w:p>
        </w:tc>
        <w:tc>
          <w:tcPr>
            <w:tcW w:w="1141" w:type="dxa"/>
            <w:tcBorders>
              <w:top w:val="nil"/>
              <w:left w:val="nil"/>
              <w:bottom w:val="nil"/>
              <w:right w:val="single" w:sz="4" w:space="0" w:color="auto"/>
            </w:tcBorders>
            <w:shd w:val="clear" w:color="000000" w:fill="FFFFFF"/>
            <w:noWrap/>
            <w:vAlign w:val="center"/>
            <w:hideMark/>
          </w:tcPr>
          <w:p w14:paraId="0B8F9A94"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Forests</w:t>
            </w:r>
          </w:p>
        </w:tc>
        <w:tc>
          <w:tcPr>
            <w:tcW w:w="0" w:type="auto"/>
            <w:tcBorders>
              <w:top w:val="nil"/>
              <w:left w:val="nil"/>
              <w:bottom w:val="nil"/>
              <w:right w:val="single" w:sz="4" w:space="0" w:color="auto"/>
            </w:tcBorders>
            <w:shd w:val="clear" w:color="auto" w:fill="FFFFFF" w:themeFill="background1"/>
            <w:noWrap/>
            <w:vAlign w:val="center"/>
            <w:hideMark/>
          </w:tcPr>
          <w:p w14:paraId="1F29DAD0"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977,860</w:t>
            </w:r>
          </w:p>
        </w:tc>
        <w:tc>
          <w:tcPr>
            <w:tcW w:w="0" w:type="auto"/>
            <w:tcBorders>
              <w:top w:val="nil"/>
              <w:left w:val="nil"/>
              <w:bottom w:val="nil"/>
              <w:right w:val="single" w:sz="4" w:space="0" w:color="auto"/>
            </w:tcBorders>
            <w:shd w:val="clear" w:color="auto" w:fill="FFFFFF" w:themeFill="background1"/>
            <w:noWrap/>
            <w:vAlign w:val="center"/>
            <w:hideMark/>
          </w:tcPr>
          <w:p w14:paraId="23BC1623"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1,682,000</w:t>
            </w:r>
          </w:p>
        </w:tc>
        <w:tc>
          <w:tcPr>
            <w:tcW w:w="0" w:type="auto"/>
            <w:tcBorders>
              <w:top w:val="nil"/>
              <w:left w:val="nil"/>
              <w:bottom w:val="nil"/>
              <w:right w:val="nil"/>
            </w:tcBorders>
            <w:shd w:val="clear" w:color="auto" w:fill="FFFFFF" w:themeFill="background1"/>
            <w:noWrap/>
            <w:vAlign w:val="center"/>
            <w:hideMark/>
          </w:tcPr>
          <w:p w14:paraId="01A9F584"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704,140</w:t>
            </w:r>
          </w:p>
        </w:tc>
        <w:tc>
          <w:tcPr>
            <w:tcW w:w="1202" w:type="dxa"/>
            <w:tcBorders>
              <w:top w:val="nil"/>
              <w:left w:val="nil"/>
              <w:bottom w:val="nil"/>
              <w:right w:val="single" w:sz="4" w:space="0" w:color="auto"/>
            </w:tcBorders>
            <w:shd w:val="clear" w:color="auto" w:fill="FFFFFF" w:themeFill="background1"/>
            <w:noWrap/>
            <w:vAlign w:val="center"/>
            <w:hideMark/>
          </w:tcPr>
          <w:p w14:paraId="703C704A"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72</w:t>
            </w:r>
          </w:p>
        </w:tc>
        <w:tc>
          <w:tcPr>
            <w:tcW w:w="0" w:type="auto"/>
            <w:tcBorders>
              <w:top w:val="nil"/>
              <w:left w:val="nil"/>
              <w:bottom w:val="nil"/>
              <w:right w:val="single" w:sz="4" w:space="0" w:color="auto"/>
            </w:tcBorders>
            <w:shd w:val="clear" w:color="auto" w:fill="FFFFFF" w:themeFill="background1"/>
            <w:noWrap/>
            <w:vAlign w:val="center"/>
            <w:hideMark/>
          </w:tcPr>
          <w:p w14:paraId="59ACAE95" w14:textId="66443679" w:rsidR="00DF19C2" w:rsidRPr="002F2D01" w:rsidRDefault="000C4F22" w:rsidP="000C4F22">
            <w:pPr>
              <w:spacing w:before="0" w:after="0"/>
              <w:ind w:left="57" w:right="57"/>
              <w:jc w:val="right"/>
              <w:rPr>
                <w:rFonts w:asciiTheme="majorHAnsi" w:hAnsiTheme="majorHAnsi" w:cs="Arial"/>
                <w:sz w:val="16"/>
                <w:szCs w:val="16"/>
              </w:rPr>
            </w:pPr>
            <w:r>
              <w:rPr>
                <w:rFonts w:asciiTheme="majorHAnsi" w:hAnsiTheme="majorHAnsi" w:cs="Arial"/>
                <w:sz w:val="16"/>
                <w:szCs w:val="16"/>
              </w:rPr>
              <w:t>na</w:t>
            </w:r>
          </w:p>
        </w:tc>
        <w:tc>
          <w:tcPr>
            <w:tcW w:w="0" w:type="auto"/>
            <w:tcBorders>
              <w:top w:val="nil"/>
              <w:left w:val="nil"/>
              <w:bottom w:val="nil"/>
              <w:right w:val="single" w:sz="4" w:space="0" w:color="auto"/>
            </w:tcBorders>
            <w:shd w:val="clear" w:color="auto" w:fill="FFFFFF" w:themeFill="background1"/>
            <w:noWrap/>
            <w:vAlign w:val="center"/>
            <w:hideMark/>
          </w:tcPr>
          <w:p w14:paraId="50B27E7E"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1,778,000</w:t>
            </w:r>
          </w:p>
        </w:tc>
        <w:tc>
          <w:tcPr>
            <w:tcW w:w="0" w:type="auto"/>
            <w:tcBorders>
              <w:top w:val="nil"/>
              <w:left w:val="nil"/>
              <w:bottom w:val="nil"/>
              <w:right w:val="nil"/>
            </w:tcBorders>
            <w:shd w:val="clear" w:color="auto" w:fill="FFFFFF" w:themeFill="background1"/>
            <w:noWrap/>
            <w:vAlign w:val="center"/>
            <w:hideMark/>
          </w:tcPr>
          <w:p w14:paraId="6AAB84FB"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800,140</w:t>
            </w:r>
          </w:p>
        </w:tc>
        <w:tc>
          <w:tcPr>
            <w:tcW w:w="0" w:type="auto"/>
            <w:tcBorders>
              <w:top w:val="nil"/>
              <w:left w:val="nil"/>
              <w:bottom w:val="nil"/>
            </w:tcBorders>
            <w:shd w:val="clear" w:color="auto" w:fill="FFFFFF" w:themeFill="background1"/>
            <w:noWrap/>
            <w:vAlign w:val="center"/>
            <w:hideMark/>
          </w:tcPr>
          <w:p w14:paraId="51198FE3"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82</w:t>
            </w:r>
          </w:p>
        </w:tc>
      </w:tr>
      <w:tr w:rsidR="00DF19C2" w14:paraId="3F40B5A2" w14:textId="77777777" w:rsidTr="004C0DDC">
        <w:trPr>
          <w:trHeight w:val="255"/>
        </w:trPr>
        <w:tc>
          <w:tcPr>
            <w:tcW w:w="1726" w:type="dxa"/>
            <w:vMerge/>
            <w:tcBorders>
              <w:top w:val="nil"/>
              <w:bottom w:val="single" w:sz="4" w:space="0" w:color="000000"/>
              <w:right w:val="single" w:sz="4" w:space="0" w:color="auto"/>
            </w:tcBorders>
            <w:vAlign w:val="center"/>
            <w:hideMark/>
          </w:tcPr>
          <w:p w14:paraId="2D9A84CB" w14:textId="77777777" w:rsidR="00DF19C2" w:rsidRPr="00CD538E" w:rsidRDefault="00DF19C2" w:rsidP="00CB0E93">
            <w:pPr>
              <w:spacing w:before="0" w:after="0"/>
              <w:ind w:left="57" w:right="57"/>
              <w:rPr>
                <w:rFonts w:asciiTheme="majorHAnsi" w:hAnsiTheme="majorHAnsi" w:cs="Arial"/>
                <w:bCs/>
                <w:sz w:val="16"/>
                <w:szCs w:val="16"/>
              </w:rPr>
            </w:pPr>
          </w:p>
        </w:tc>
        <w:tc>
          <w:tcPr>
            <w:tcW w:w="1141" w:type="dxa"/>
            <w:tcBorders>
              <w:top w:val="nil"/>
              <w:left w:val="nil"/>
              <w:bottom w:val="nil"/>
              <w:right w:val="single" w:sz="4" w:space="0" w:color="auto"/>
            </w:tcBorders>
            <w:shd w:val="clear" w:color="000000" w:fill="FFFFFF"/>
            <w:noWrap/>
            <w:vAlign w:val="center"/>
            <w:hideMark/>
          </w:tcPr>
          <w:p w14:paraId="1BE5267B"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Non-forests</w:t>
            </w:r>
          </w:p>
        </w:tc>
        <w:tc>
          <w:tcPr>
            <w:tcW w:w="0" w:type="auto"/>
            <w:tcBorders>
              <w:top w:val="nil"/>
              <w:left w:val="nil"/>
              <w:bottom w:val="nil"/>
              <w:right w:val="single" w:sz="4" w:space="0" w:color="auto"/>
            </w:tcBorders>
            <w:shd w:val="clear" w:color="auto" w:fill="FFFFFF" w:themeFill="background1"/>
            <w:noWrap/>
            <w:vAlign w:val="center"/>
            <w:hideMark/>
          </w:tcPr>
          <w:p w14:paraId="41020224"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1,326,740</w:t>
            </w:r>
          </w:p>
        </w:tc>
        <w:tc>
          <w:tcPr>
            <w:tcW w:w="0" w:type="auto"/>
            <w:tcBorders>
              <w:top w:val="nil"/>
              <w:left w:val="nil"/>
              <w:bottom w:val="nil"/>
              <w:right w:val="single" w:sz="4" w:space="0" w:color="auto"/>
            </w:tcBorders>
            <w:shd w:val="clear" w:color="auto" w:fill="FFFFFF" w:themeFill="background1"/>
            <w:noWrap/>
            <w:vAlign w:val="center"/>
            <w:hideMark/>
          </w:tcPr>
          <w:p w14:paraId="05190788"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1,476,700</w:t>
            </w:r>
          </w:p>
        </w:tc>
        <w:tc>
          <w:tcPr>
            <w:tcW w:w="0" w:type="auto"/>
            <w:tcBorders>
              <w:top w:val="nil"/>
              <w:left w:val="nil"/>
              <w:bottom w:val="nil"/>
              <w:right w:val="nil"/>
            </w:tcBorders>
            <w:shd w:val="clear" w:color="auto" w:fill="FFFFFF" w:themeFill="background1"/>
            <w:noWrap/>
            <w:vAlign w:val="center"/>
            <w:hideMark/>
          </w:tcPr>
          <w:p w14:paraId="2C42A7D3"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149,960</w:t>
            </w:r>
          </w:p>
        </w:tc>
        <w:tc>
          <w:tcPr>
            <w:tcW w:w="1202" w:type="dxa"/>
            <w:tcBorders>
              <w:top w:val="nil"/>
              <w:left w:val="nil"/>
              <w:bottom w:val="nil"/>
              <w:right w:val="single" w:sz="4" w:space="0" w:color="auto"/>
            </w:tcBorders>
            <w:shd w:val="clear" w:color="auto" w:fill="FFFFFF" w:themeFill="background1"/>
            <w:noWrap/>
            <w:vAlign w:val="center"/>
            <w:hideMark/>
          </w:tcPr>
          <w:p w14:paraId="142D2511"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11</w:t>
            </w:r>
          </w:p>
        </w:tc>
        <w:tc>
          <w:tcPr>
            <w:tcW w:w="0" w:type="auto"/>
            <w:tcBorders>
              <w:top w:val="nil"/>
              <w:left w:val="nil"/>
              <w:bottom w:val="nil"/>
              <w:right w:val="single" w:sz="4" w:space="0" w:color="auto"/>
            </w:tcBorders>
            <w:shd w:val="clear" w:color="auto" w:fill="FFFFFF" w:themeFill="background1"/>
            <w:noWrap/>
            <w:vAlign w:val="center"/>
            <w:hideMark/>
          </w:tcPr>
          <w:p w14:paraId="22F3C7BB" w14:textId="229B46B4" w:rsidR="00DF19C2" w:rsidRPr="002F2D01" w:rsidRDefault="000C4F22" w:rsidP="000C4F22">
            <w:pPr>
              <w:spacing w:before="0" w:after="0"/>
              <w:ind w:left="57" w:right="57"/>
              <w:jc w:val="right"/>
              <w:rPr>
                <w:rFonts w:asciiTheme="majorHAnsi" w:hAnsiTheme="majorHAnsi" w:cs="Arial"/>
                <w:sz w:val="16"/>
                <w:szCs w:val="16"/>
              </w:rPr>
            </w:pPr>
            <w:r>
              <w:rPr>
                <w:rFonts w:asciiTheme="majorHAnsi" w:hAnsiTheme="majorHAnsi" w:cs="Arial"/>
                <w:sz w:val="16"/>
                <w:szCs w:val="16"/>
              </w:rPr>
              <w:t>n</w:t>
            </w:r>
            <w:r w:rsidR="00DF19C2" w:rsidRPr="002F2D01">
              <w:rPr>
                <w:rFonts w:asciiTheme="majorHAnsi" w:hAnsiTheme="majorHAnsi" w:cs="Arial"/>
                <w:sz w:val="16"/>
                <w:szCs w:val="16"/>
              </w:rPr>
              <w:t>a</w:t>
            </w:r>
          </w:p>
        </w:tc>
        <w:tc>
          <w:tcPr>
            <w:tcW w:w="0" w:type="auto"/>
            <w:tcBorders>
              <w:top w:val="nil"/>
              <w:left w:val="nil"/>
              <w:bottom w:val="nil"/>
              <w:right w:val="single" w:sz="4" w:space="0" w:color="auto"/>
            </w:tcBorders>
            <w:shd w:val="clear" w:color="auto" w:fill="FFFFFF" w:themeFill="background1"/>
            <w:noWrap/>
            <w:vAlign w:val="center"/>
            <w:hideMark/>
          </w:tcPr>
          <w:p w14:paraId="7D422081"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1,482,500</w:t>
            </w:r>
          </w:p>
        </w:tc>
        <w:tc>
          <w:tcPr>
            <w:tcW w:w="0" w:type="auto"/>
            <w:tcBorders>
              <w:top w:val="nil"/>
              <w:left w:val="nil"/>
              <w:bottom w:val="nil"/>
              <w:right w:val="nil"/>
            </w:tcBorders>
            <w:shd w:val="clear" w:color="auto" w:fill="FFFFFF" w:themeFill="background1"/>
            <w:noWrap/>
            <w:vAlign w:val="center"/>
            <w:hideMark/>
          </w:tcPr>
          <w:p w14:paraId="6CE5F151"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155,760</w:t>
            </w:r>
          </w:p>
        </w:tc>
        <w:tc>
          <w:tcPr>
            <w:tcW w:w="0" w:type="auto"/>
            <w:tcBorders>
              <w:top w:val="nil"/>
              <w:left w:val="nil"/>
              <w:bottom w:val="nil"/>
            </w:tcBorders>
            <w:shd w:val="clear" w:color="auto" w:fill="FFFFFF" w:themeFill="background1"/>
            <w:noWrap/>
            <w:vAlign w:val="center"/>
            <w:hideMark/>
          </w:tcPr>
          <w:p w14:paraId="4C67A563"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w:t>
            </w:r>
          </w:p>
        </w:tc>
      </w:tr>
      <w:tr w:rsidR="00DF19C2" w14:paraId="37ABA32C" w14:textId="77777777" w:rsidTr="004C0DDC">
        <w:trPr>
          <w:trHeight w:val="255"/>
        </w:trPr>
        <w:tc>
          <w:tcPr>
            <w:tcW w:w="1726" w:type="dxa"/>
            <w:vMerge/>
            <w:tcBorders>
              <w:top w:val="nil"/>
              <w:bottom w:val="single" w:sz="4" w:space="0" w:color="000000"/>
              <w:right w:val="single" w:sz="4" w:space="0" w:color="auto"/>
            </w:tcBorders>
            <w:vAlign w:val="center"/>
            <w:hideMark/>
          </w:tcPr>
          <w:p w14:paraId="3084EC8E" w14:textId="77777777" w:rsidR="00DF19C2" w:rsidRPr="00CD538E" w:rsidRDefault="00DF19C2" w:rsidP="00CB0E93">
            <w:pPr>
              <w:spacing w:before="0" w:after="0"/>
              <w:ind w:left="57" w:right="57"/>
              <w:rPr>
                <w:rFonts w:asciiTheme="majorHAnsi" w:hAnsiTheme="majorHAnsi" w:cs="Arial"/>
                <w:bCs/>
                <w:sz w:val="16"/>
                <w:szCs w:val="16"/>
              </w:rPr>
            </w:pPr>
          </w:p>
        </w:tc>
        <w:tc>
          <w:tcPr>
            <w:tcW w:w="1141" w:type="dxa"/>
            <w:tcBorders>
              <w:top w:val="nil"/>
              <w:left w:val="nil"/>
              <w:bottom w:val="single" w:sz="4" w:space="0" w:color="auto"/>
              <w:right w:val="single" w:sz="4" w:space="0" w:color="auto"/>
            </w:tcBorders>
            <w:shd w:val="clear" w:color="000000" w:fill="FFFFFF"/>
            <w:noWrap/>
            <w:vAlign w:val="center"/>
            <w:hideMark/>
          </w:tcPr>
          <w:p w14:paraId="7673E238"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Total</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6BA67FE"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2,304,600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834599C"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3,158,700</w:t>
            </w:r>
          </w:p>
        </w:tc>
        <w:tc>
          <w:tcPr>
            <w:tcW w:w="0" w:type="auto"/>
            <w:tcBorders>
              <w:top w:val="nil"/>
              <w:left w:val="nil"/>
              <w:bottom w:val="single" w:sz="4" w:space="0" w:color="auto"/>
              <w:right w:val="nil"/>
            </w:tcBorders>
            <w:shd w:val="clear" w:color="auto" w:fill="FFFFFF" w:themeFill="background1"/>
            <w:noWrap/>
            <w:vAlign w:val="center"/>
            <w:hideMark/>
          </w:tcPr>
          <w:p w14:paraId="1B5E8373"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854,100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3E59B16"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A7B5955" w14:textId="010C6DEC" w:rsidR="00DF19C2" w:rsidRPr="002F2D01" w:rsidRDefault="000C4F22" w:rsidP="000C4F22">
            <w:pPr>
              <w:spacing w:before="0" w:after="0"/>
              <w:ind w:left="57" w:right="57"/>
              <w:jc w:val="right"/>
              <w:rPr>
                <w:rFonts w:asciiTheme="majorHAnsi" w:hAnsiTheme="majorHAnsi" w:cs="Arial"/>
                <w:sz w:val="16"/>
                <w:szCs w:val="16"/>
              </w:rPr>
            </w:pPr>
            <w:r>
              <w:rPr>
                <w:rFonts w:asciiTheme="majorHAnsi" w:hAnsiTheme="majorHAnsi" w:cs="Arial"/>
                <w:sz w:val="16"/>
                <w:szCs w:val="16"/>
              </w:rPr>
              <w:t>n</w:t>
            </w:r>
            <w:r w:rsidR="00DF19C2" w:rsidRPr="002F2D01">
              <w:rPr>
                <w:rFonts w:asciiTheme="majorHAnsi" w:hAnsiTheme="majorHAnsi" w:cs="Arial"/>
                <w:sz w:val="16"/>
                <w:szCs w:val="16"/>
              </w:rPr>
              <w:t>a</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91EF084"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3,260,500</w:t>
            </w:r>
          </w:p>
        </w:tc>
        <w:tc>
          <w:tcPr>
            <w:tcW w:w="0" w:type="auto"/>
            <w:tcBorders>
              <w:top w:val="nil"/>
              <w:left w:val="nil"/>
              <w:bottom w:val="single" w:sz="4" w:space="0" w:color="auto"/>
              <w:right w:val="nil"/>
            </w:tcBorders>
            <w:shd w:val="clear" w:color="auto" w:fill="FFFFFF" w:themeFill="background1"/>
            <w:noWrap/>
            <w:vAlign w:val="center"/>
            <w:hideMark/>
          </w:tcPr>
          <w:p w14:paraId="52FDBB3D"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955,900</w:t>
            </w:r>
          </w:p>
        </w:tc>
        <w:tc>
          <w:tcPr>
            <w:tcW w:w="0" w:type="auto"/>
            <w:tcBorders>
              <w:top w:val="nil"/>
              <w:left w:val="nil"/>
              <w:bottom w:val="single" w:sz="4" w:space="0" w:color="auto"/>
            </w:tcBorders>
            <w:shd w:val="clear" w:color="auto" w:fill="FFFFFF" w:themeFill="background1"/>
            <w:noWrap/>
            <w:vAlign w:val="center"/>
            <w:hideMark/>
          </w:tcPr>
          <w:p w14:paraId="6B04F158"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41</w:t>
            </w:r>
          </w:p>
        </w:tc>
      </w:tr>
      <w:tr w:rsidR="00DF19C2" w14:paraId="3ECB957D" w14:textId="77777777" w:rsidTr="004C0DDC">
        <w:trPr>
          <w:trHeight w:val="255"/>
        </w:trPr>
        <w:tc>
          <w:tcPr>
            <w:tcW w:w="1726" w:type="dxa"/>
            <w:vMerge w:val="restart"/>
            <w:tcBorders>
              <w:top w:val="nil"/>
              <w:bottom w:val="single" w:sz="4" w:space="0" w:color="000000"/>
              <w:right w:val="single" w:sz="4" w:space="0" w:color="auto"/>
            </w:tcBorders>
            <w:shd w:val="clear" w:color="000000" w:fill="FFFFFF"/>
            <w:noWrap/>
            <w:vAlign w:val="center"/>
            <w:hideMark/>
          </w:tcPr>
          <w:p w14:paraId="4E9F9F88"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Western Australia</w:t>
            </w:r>
          </w:p>
        </w:tc>
        <w:tc>
          <w:tcPr>
            <w:tcW w:w="1141" w:type="dxa"/>
            <w:tcBorders>
              <w:top w:val="nil"/>
              <w:left w:val="nil"/>
              <w:bottom w:val="nil"/>
              <w:right w:val="single" w:sz="4" w:space="0" w:color="auto"/>
            </w:tcBorders>
            <w:shd w:val="clear" w:color="000000" w:fill="FFFFFF"/>
            <w:noWrap/>
            <w:vAlign w:val="center"/>
            <w:hideMark/>
          </w:tcPr>
          <w:p w14:paraId="5CB8085C"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Forests</w:t>
            </w:r>
          </w:p>
        </w:tc>
        <w:tc>
          <w:tcPr>
            <w:tcW w:w="0" w:type="auto"/>
            <w:tcBorders>
              <w:top w:val="nil"/>
              <w:left w:val="nil"/>
              <w:bottom w:val="nil"/>
              <w:right w:val="single" w:sz="4" w:space="0" w:color="auto"/>
            </w:tcBorders>
            <w:shd w:val="clear" w:color="auto" w:fill="FFFFFF" w:themeFill="background1"/>
            <w:noWrap/>
            <w:vAlign w:val="center"/>
            <w:hideMark/>
          </w:tcPr>
          <w:p w14:paraId="1B25971A"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602,627</w:t>
            </w:r>
          </w:p>
        </w:tc>
        <w:tc>
          <w:tcPr>
            <w:tcW w:w="0" w:type="auto"/>
            <w:tcBorders>
              <w:top w:val="nil"/>
              <w:left w:val="nil"/>
              <w:bottom w:val="nil"/>
              <w:right w:val="single" w:sz="4" w:space="0" w:color="auto"/>
            </w:tcBorders>
            <w:shd w:val="clear" w:color="auto" w:fill="FFFFFF" w:themeFill="background1"/>
            <w:noWrap/>
            <w:vAlign w:val="center"/>
            <w:hideMark/>
          </w:tcPr>
          <w:p w14:paraId="0C228695"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924,559</w:t>
            </w:r>
          </w:p>
        </w:tc>
        <w:tc>
          <w:tcPr>
            <w:tcW w:w="0" w:type="auto"/>
            <w:tcBorders>
              <w:top w:val="nil"/>
              <w:left w:val="nil"/>
              <w:bottom w:val="nil"/>
              <w:right w:val="nil"/>
            </w:tcBorders>
            <w:shd w:val="clear" w:color="auto" w:fill="FFFFFF" w:themeFill="background1"/>
            <w:noWrap/>
            <w:vAlign w:val="center"/>
            <w:hideMark/>
          </w:tcPr>
          <w:p w14:paraId="2391B635"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321,932</w:t>
            </w:r>
          </w:p>
        </w:tc>
        <w:tc>
          <w:tcPr>
            <w:tcW w:w="1202" w:type="dxa"/>
            <w:tcBorders>
              <w:top w:val="nil"/>
              <w:left w:val="nil"/>
              <w:bottom w:val="nil"/>
              <w:right w:val="single" w:sz="4" w:space="0" w:color="auto"/>
            </w:tcBorders>
            <w:shd w:val="clear" w:color="auto" w:fill="FFFFFF" w:themeFill="background1"/>
            <w:noWrap/>
            <w:vAlign w:val="center"/>
            <w:hideMark/>
          </w:tcPr>
          <w:p w14:paraId="2807CBF3"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53</w:t>
            </w:r>
          </w:p>
        </w:tc>
        <w:tc>
          <w:tcPr>
            <w:tcW w:w="0" w:type="auto"/>
            <w:tcBorders>
              <w:top w:val="nil"/>
              <w:left w:val="nil"/>
              <w:bottom w:val="nil"/>
              <w:right w:val="single" w:sz="4" w:space="0" w:color="auto"/>
            </w:tcBorders>
            <w:shd w:val="clear" w:color="auto" w:fill="FFFFFF" w:themeFill="background1"/>
            <w:noWrap/>
            <w:vAlign w:val="center"/>
            <w:hideMark/>
          </w:tcPr>
          <w:p w14:paraId="4E27E1B3"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95,875</w:t>
            </w:r>
          </w:p>
        </w:tc>
        <w:tc>
          <w:tcPr>
            <w:tcW w:w="0" w:type="auto"/>
            <w:tcBorders>
              <w:top w:val="nil"/>
              <w:left w:val="nil"/>
              <w:bottom w:val="nil"/>
              <w:right w:val="single" w:sz="4" w:space="0" w:color="auto"/>
            </w:tcBorders>
            <w:shd w:val="clear" w:color="auto" w:fill="FFFFFF" w:themeFill="background1"/>
            <w:noWrap/>
            <w:vAlign w:val="center"/>
            <w:hideMark/>
          </w:tcPr>
          <w:p w14:paraId="6B0A613F"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1,020,434</w:t>
            </w:r>
          </w:p>
        </w:tc>
        <w:tc>
          <w:tcPr>
            <w:tcW w:w="0" w:type="auto"/>
            <w:tcBorders>
              <w:top w:val="nil"/>
              <w:left w:val="nil"/>
              <w:bottom w:val="nil"/>
              <w:right w:val="nil"/>
            </w:tcBorders>
            <w:shd w:val="clear" w:color="auto" w:fill="FFFFFF" w:themeFill="background1"/>
            <w:noWrap/>
            <w:vAlign w:val="center"/>
            <w:hideMark/>
          </w:tcPr>
          <w:p w14:paraId="0841AA32"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417,807</w:t>
            </w:r>
          </w:p>
        </w:tc>
        <w:tc>
          <w:tcPr>
            <w:tcW w:w="0" w:type="auto"/>
            <w:tcBorders>
              <w:top w:val="nil"/>
              <w:left w:val="nil"/>
              <w:bottom w:val="nil"/>
            </w:tcBorders>
            <w:shd w:val="clear" w:color="auto" w:fill="FFFFFF" w:themeFill="background1"/>
            <w:noWrap/>
            <w:vAlign w:val="center"/>
            <w:hideMark/>
          </w:tcPr>
          <w:p w14:paraId="5A2B00D3"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69</w:t>
            </w:r>
          </w:p>
        </w:tc>
      </w:tr>
      <w:tr w:rsidR="00DF19C2" w14:paraId="1EEB1245" w14:textId="77777777" w:rsidTr="004C0DDC">
        <w:trPr>
          <w:trHeight w:val="255"/>
        </w:trPr>
        <w:tc>
          <w:tcPr>
            <w:tcW w:w="1726" w:type="dxa"/>
            <w:vMerge/>
            <w:tcBorders>
              <w:top w:val="nil"/>
              <w:bottom w:val="single" w:sz="4" w:space="0" w:color="000000"/>
              <w:right w:val="single" w:sz="4" w:space="0" w:color="auto"/>
            </w:tcBorders>
            <w:vAlign w:val="center"/>
            <w:hideMark/>
          </w:tcPr>
          <w:p w14:paraId="2332B966" w14:textId="77777777" w:rsidR="00DF19C2" w:rsidRPr="002F2D01" w:rsidRDefault="00DF19C2" w:rsidP="00CB0E93">
            <w:pPr>
              <w:spacing w:before="0" w:after="0"/>
              <w:ind w:left="57" w:right="57"/>
              <w:rPr>
                <w:rFonts w:asciiTheme="majorHAnsi" w:hAnsiTheme="majorHAnsi" w:cs="Arial"/>
                <w:b/>
                <w:bCs/>
                <w:sz w:val="16"/>
                <w:szCs w:val="16"/>
              </w:rPr>
            </w:pPr>
          </w:p>
        </w:tc>
        <w:tc>
          <w:tcPr>
            <w:tcW w:w="1141" w:type="dxa"/>
            <w:tcBorders>
              <w:top w:val="nil"/>
              <w:left w:val="nil"/>
              <w:bottom w:val="nil"/>
              <w:right w:val="single" w:sz="4" w:space="0" w:color="auto"/>
            </w:tcBorders>
            <w:shd w:val="clear" w:color="000000" w:fill="FFFFFF"/>
            <w:noWrap/>
            <w:vAlign w:val="center"/>
            <w:hideMark/>
          </w:tcPr>
          <w:p w14:paraId="6BFF417D"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Non-forests</w:t>
            </w:r>
          </w:p>
        </w:tc>
        <w:tc>
          <w:tcPr>
            <w:tcW w:w="0" w:type="auto"/>
            <w:tcBorders>
              <w:top w:val="nil"/>
              <w:left w:val="nil"/>
              <w:bottom w:val="nil"/>
              <w:right w:val="single" w:sz="4" w:space="0" w:color="auto"/>
            </w:tcBorders>
            <w:shd w:val="clear" w:color="auto" w:fill="FFFFFF" w:themeFill="background1"/>
            <w:noWrap/>
            <w:vAlign w:val="center"/>
            <w:hideMark/>
          </w:tcPr>
          <w:p w14:paraId="3A804488"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310,267</w:t>
            </w:r>
          </w:p>
        </w:tc>
        <w:tc>
          <w:tcPr>
            <w:tcW w:w="0" w:type="auto"/>
            <w:tcBorders>
              <w:top w:val="nil"/>
              <w:left w:val="nil"/>
              <w:bottom w:val="nil"/>
              <w:right w:val="single" w:sz="4" w:space="0" w:color="auto"/>
            </w:tcBorders>
            <w:shd w:val="clear" w:color="auto" w:fill="FFFFFF" w:themeFill="background1"/>
            <w:noWrap/>
            <w:vAlign w:val="center"/>
            <w:hideMark/>
          </w:tcPr>
          <w:p w14:paraId="65D1F370"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363,981</w:t>
            </w:r>
          </w:p>
        </w:tc>
        <w:tc>
          <w:tcPr>
            <w:tcW w:w="0" w:type="auto"/>
            <w:tcBorders>
              <w:top w:val="nil"/>
              <w:left w:val="nil"/>
              <w:bottom w:val="nil"/>
              <w:right w:val="nil"/>
            </w:tcBorders>
            <w:shd w:val="clear" w:color="auto" w:fill="FFFFFF" w:themeFill="background1"/>
            <w:noWrap/>
            <w:vAlign w:val="center"/>
            <w:hideMark/>
          </w:tcPr>
          <w:p w14:paraId="42750E51"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53,714</w:t>
            </w:r>
          </w:p>
        </w:tc>
        <w:tc>
          <w:tcPr>
            <w:tcW w:w="1202" w:type="dxa"/>
            <w:tcBorders>
              <w:top w:val="nil"/>
              <w:left w:val="nil"/>
              <w:bottom w:val="nil"/>
              <w:right w:val="single" w:sz="4" w:space="0" w:color="auto"/>
            </w:tcBorders>
            <w:shd w:val="clear" w:color="auto" w:fill="FFFFFF" w:themeFill="background1"/>
            <w:noWrap/>
            <w:vAlign w:val="center"/>
            <w:hideMark/>
          </w:tcPr>
          <w:p w14:paraId="1FB31238"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17</w:t>
            </w:r>
          </w:p>
        </w:tc>
        <w:tc>
          <w:tcPr>
            <w:tcW w:w="0" w:type="auto"/>
            <w:tcBorders>
              <w:top w:val="nil"/>
              <w:left w:val="nil"/>
              <w:bottom w:val="nil"/>
              <w:right w:val="single" w:sz="4" w:space="0" w:color="auto"/>
            </w:tcBorders>
            <w:shd w:val="clear" w:color="auto" w:fill="FFFFFF" w:themeFill="background1"/>
            <w:noWrap/>
            <w:vAlign w:val="center"/>
            <w:hideMark/>
          </w:tcPr>
          <w:p w14:paraId="33CEAB30"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15,704</w:t>
            </w:r>
          </w:p>
        </w:tc>
        <w:tc>
          <w:tcPr>
            <w:tcW w:w="0" w:type="auto"/>
            <w:tcBorders>
              <w:top w:val="nil"/>
              <w:left w:val="nil"/>
              <w:bottom w:val="nil"/>
              <w:right w:val="single" w:sz="4" w:space="0" w:color="auto"/>
            </w:tcBorders>
            <w:shd w:val="clear" w:color="auto" w:fill="FFFFFF" w:themeFill="background1"/>
            <w:noWrap/>
            <w:vAlign w:val="center"/>
            <w:hideMark/>
          </w:tcPr>
          <w:p w14:paraId="1A8A16CC"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379,685</w:t>
            </w:r>
          </w:p>
        </w:tc>
        <w:tc>
          <w:tcPr>
            <w:tcW w:w="0" w:type="auto"/>
            <w:tcBorders>
              <w:top w:val="nil"/>
              <w:left w:val="nil"/>
              <w:bottom w:val="nil"/>
              <w:right w:val="nil"/>
            </w:tcBorders>
            <w:shd w:val="clear" w:color="auto" w:fill="FFFFFF" w:themeFill="background1"/>
            <w:noWrap/>
            <w:vAlign w:val="center"/>
            <w:hideMark/>
          </w:tcPr>
          <w:p w14:paraId="3E995917"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69,418</w:t>
            </w:r>
          </w:p>
        </w:tc>
        <w:tc>
          <w:tcPr>
            <w:tcW w:w="0" w:type="auto"/>
            <w:tcBorders>
              <w:top w:val="nil"/>
              <w:left w:val="nil"/>
              <w:bottom w:val="nil"/>
            </w:tcBorders>
            <w:shd w:val="clear" w:color="auto" w:fill="FFFFFF" w:themeFill="background1"/>
            <w:noWrap/>
            <w:vAlign w:val="center"/>
            <w:hideMark/>
          </w:tcPr>
          <w:p w14:paraId="1BFB9E0D"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22</w:t>
            </w:r>
          </w:p>
        </w:tc>
      </w:tr>
      <w:tr w:rsidR="00DF19C2" w14:paraId="1ED5D738" w14:textId="77777777" w:rsidTr="004C0DDC">
        <w:trPr>
          <w:trHeight w:val="255"/>
        </w:trPr>
        <w:tc>
          <w:tcPr>
            <w:tcW w:w="1726" w:type="dxa"/>
            <w:vMerge/>
            <w:tcBorders>
              <w:top w:val="nil"/>
              <w:bottom w:val="single" w:sz="4" w:space="0" w:color="000000"/>
              <w:right w:val="single" w:sz="4" w:space="0" w:color="auto"/>
            </w:tcBorders>
            <w:vAlign w:val="center"/>
            <w:hideMark/>
          </w:tcPr>
          <w:p w14:paraId="3B28A7B9" w14:textId="77777777" w:rsidR="00DF19C2" w:rsidRPr="002F2D01" w:rsidRDefault="00DF19C2" w:rsidP="00CB0E93">
            <w:pPr>
              <w:spacing w:before="0" w:after="0"/>
              <w:ind w:left="57" w:right="57"/>
              <w:rPr>
                <w:rFonts w:asciiTheme="majorHAnsi" w:hAnsiTheme="majorHAnsi" w:cs="Arial"/>
                <w:b/>
                <w:bCs/>
                <w:sz w:val="16"/>
                <w:szCs w:val="16"/>
              </w:rPr>
            </w:pPr>
          </w:p>
        </w:tc>
        <w:tc>
          <w:tcPr>
            <w:tcW w:w="1141" w:type="dxa"/>
            <w:tcBorders>
              <w:top w:val="nil"/>
              <w:left w:val="nil"/>
              <w:bottom w:val="single" w:sz="4" w:space="0" w:color="auto"/>
              <w:right w:val="single" w:sz="4" w:space="0" w:color="auto"/>
            </w:tcBorders>
            <w:shd w:val="clear" w:color="000000" w:fill="FFFFFF"/>
            <w:noWrap/>
            <w:vAlign w:val="center"/>
            <w:hideMark/>
          </w:tcPr>
          <w:p w14:paraId="21B74910"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Total</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F7AB106"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912,894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0E5EE38"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1,288,540</w:t>
            </w:r>
          </w:p>
        </w:tc>
        <w:tc>
          <w:tcPr>
            <w:tcW w:w="0" w:type="auto"/>
            <w:tcBorders>
              <w:top w:val="nil"/>
              <w:left w:val="nil"/>
              <w:bottom w:val="single" w:sz="4" w:space="0" w:color="auto"/>
              <w:right w:val="nil"/>
            </w:tcBorders>
            <w:shd w:val="clear" w:color="auto" w:fill="FFFFFF" w:themeFill="background1"/>
            <w:noWrap/>
            <w:vAlign w:val="center"/>
            <w:hideMark/>
          </w:tcPr>
          <w:p w14:paraId="3FF0DFA4"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375,646</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6C075D1"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074813B"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111,579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08E9803"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1,400,119</w:t>
            </w:r>
          </w:p>
        </w:tc>
        <w:tc>
          <w:tcPr>
            <w:tcW w:w="0" w:type="auto"/>
            <w:tcBorders>
              <w:top w:val="nil"/>
              <w:left w:val="nil"/>
              <w:bottom w:val="single" w:sz="4" w:space="0" w:color="auto"/>
              <w:right w:val="nil"/>
            </w:tcBorders>
            <w:shd w:val="clear" w:color="auto" w:fill="FFFFFF" w:themeFill="background1"/>
            <w:noWrap/>
            <w:vAlign w:val="center"/>
            <w:hideMark/>
          </w:tcPr>
          <w:p w14:paraId="396A945D"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487,225</w:t>
            </w:r>
          </w:p>
        </w:tc>
        <w:tc>
          <w:tcPr>
            <w:tcW w:w="0" w:type="auto"/>
            <w:tcBorders>
              <w:top w:val="nil"/>
              <w:left w:val="nil"/>
              <w:bottom w:val="single" w:sz="4" w:space="0" w:color="auto"/>
            </w:tcBorders>
            <w:shd w:val="clear" w:color="auto" w:fill="FFFFFF" w:themeFill="background1"/>
            <w:noWrap/>
            <w:vAlign w:val="center"/>
            <w:hideMark/>
          </w:tcPr>
          <w:p w14:paraId="48CA957E"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53</w:t>
            </w:r>
          </w:p>
        </w:tc>
      </w:tr>
      <w:tr w:rsidR="00DF19C2" w14:paraId="4AD2AE33" w14:textId="77777777" w:rsidTr="004C0DDC">
        <w:trPr>
          <w:trHeight w:val="255"/>
        </w:trPr>
        <w:tc>
          <w:tcPr>
            <w:tcW w:w="1726" w:type="dxa"/>
            <w:vMerge w:val="restart"/>
            <w:tcBorders>
              <w:top w:val="nil"/>
              <w:bottom w:val="single" w:sz="4" w:space="0" w:color="000000"/>
              <w:right w:val="single" w:sz="4" w:space="0" w:color="auto"/>
            </w:tcBorders>
            <w:shd w:val="clear" w:color="000000" w:fill="FFFFFF"/>
            <w:noWrap/>
            <w:vAlign w:val="center"/>
            <w:hideMark/>
          </w:tcPr>
          <w:p w14:paraId="0CAE4E06" w14:textId="77777777" w:rsidR="00DF19C2" w:rsidRPr="002F2D01" w:rsidRDefault="00DF19C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 all RFA regions</w:t>
            </w:r>
          </w:p>
        </w:tc>
        <w:tc>
          <w:tcPr>
            <w:tcW w:w="1141" w:type="dxa"/>
            <w:tcBorders>
              <w:top w:val="nil"/>
              <w:left w:val="nil"/>
              <w:bottom w:val="nil"/>
              <w:right w:val="single" w:sz="4" w:space="0" w:color="auto"/>
            </w:tcBorders>
            <w:shd w:val="clear" w:color="000000" w:fill="FFFFFF"/>
            <w:noWrap/>
            <w:vAlign w:val="center"/>
            <w:hideMark/>
          </w:tcPr>
          <w:p w14:paraId="15F3E505"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Forests</w:t>
            </w:r>
          </w:p>
        </w:tc>
        <w:tc>
          <w:tcPr>
            <w:tcW w:w="0" w:type="auto"/>
            <w:tcBorders>
              <w:top w:val="nil"/>
              <w:left w:val="nil"/>
              <w:bottom w:val="nil"/>
              <w:right w:val="single" w:sz="4" w:space="0" w:color="auto"/>
            </w:tcBorders>
            <w:shd w:val="clear" w:color="auto" w:fill="FFFFFF" w:themeFill="background1"/>
            <w:noWrap/>
            <w:vAlign w:val="center"/>
            <w:hideMark/>
          </w:tcPr>
          <w:p w14:paraId="48A5A411"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5,400,267</w:t>
            </w:r>
          </w:p>
        </w:tc>
        <w:tc>
          <w:tcPr>
            <w:tcW w:w="0" w:type="auto"/>
            <w:tcBorders>
              <w:top w:val="nil"/>
              <w:left w:val="nil"/>
              <w:bottom w:val="nil"/>
              <w:right w:val="single" w:sz="4" w:space="0" w:color="auto"/>
            </w:tcBorders>
            <w:shd w:val="clear" w:color="auto" w:fill="FFFFFF" w:themeFill="background1"/>
            <w:noWrap/>
            <w:vAlign w:val="center"/>
            <w:hideMark/>
          </w:tcPr>
          <w:p w14:paraId="1594034F" w14:textId="2EA64FAE"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9,094,241</w:t>
            </w:r>
          </w:p>
        </w:tc>
        <w:tc>
          <w:tcPr>
            <w:tcW w:w="0" w:type="auto"/>
            <w:tcBorders>
              <w:top w:val="nil"/>
              <w:left w:val="nil"/>
              <w:bottom w:val="nil"/>
              <w:right w:val="nil"/>
            </w:tcBorders>
            <w:shd w:val="clear" w:color="auto" w:fill="FFFFFF" w:themeFill="background1"/>
            <w:noWrap/>
            <w:vAlign w:val="center"/>
            <w:hideMark/>
          </w:tcPr>
          <w:p w14:paraId="6A4FAD16" w14:textId="1687A415"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3,693,974</w:t>
            </w:r>
          </w:p>
        </w:tc>
        <w:tc>
          <w:tcPr>
            <w:tcW w:w="1202" w:type="dxa"/>
            <w:tcBorders>
              <w:top w:val="nil"/>
              <w:left w:val="nil"/>
              <w:bottom w:val="nil"/>
              <w:right w:val="single" w:sz="4" w:space="0" w:color="auto"/>
            </w:tcBorders>
            <w:shd w:val="clear" w:color="auto" w:fill="FFFFFF" w:themeFill="background1"/>
            <w:noWrap/>
            <w:vAlign w:val="center"/>
            <w:hideMark/>
          </w:tcPr>
          <w:p w14:paraId="0DB01876" w14:textId="7C5FC22C"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68</w:t>
            </w:r>
          </w:p>
        </w:tc>
        <w:tc>
          <w:tcPr>
            <w:tcW w:w="0" w:type="auto"/>
            <w:tcBorders>
              <w:top w:val="nil"/>
              <w:left w:val="nil"/>
              <w:bottom w:val="nil"/>
              <w:right w:val="single" w:sz="4" w:space="0" w:color="auto"/>
            </w:tcBorders>
            <w:shd w:val="clear" w:color="auto" w:fill="FFFFFF" w:themeFill="background1"/>
            <w:noWrap/>
            <w:vAlign w:val="center"/>
            <w:hideMark/>
          </w:tcPr>
          <w:p w14:paraId="37A716D2" w14:textId="71E384E8"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805,743</w:t>
            </w:r>
          </w:p>
        </w:tc>
        <w:tc>
          <w:tcPr>
            <w:tcW w:w="0" w:type="auto"/>
            <w:tcBorders>
              <w:top w:val="nil"/>
              <w:left w:val="nil"/>
              <w:bottom w:val="nil"/>
              <w:right w:val="single" w:sz="4" w:space="0" w:color="auto"/>
            </w:tcBorders>
            <w:shd w:val="clear" w:color="auto" w:fill="FFFFFF" w:themeFill="background1"/>
            <w:noWrap/>
            <w:vAlign w:val="center"/>
            <w:hideMark/>
          </w:tcPr>
          <w:p w14:paraId="202359B9" w14:textId="6E9A98F1"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10,020,884</w:t>
            </w:r>
          </w:p>
        </w:tc>
        <w:tc>
          <w:tcPr>
            <w:tcW w:w="0" w:type="auto"/>
            <w:tcBorders>
              <w:top w:val="nil"/>
              <w:left w:val="nil"/>
              <w:bottom w:val="nil"/>
              <w:right w:val="nil"/>
            </w:tcBorders>
            <w:shd w:val="clear" w:color="auto" w:fill="FFFFFF" w:themeFill="background1"/>
            <w:noWrap/>
            <w:vAlign w:val="center"/>
            <w:hideMark/>
          </w:tcPr>
          <w:p w14:paraId="0735C31C" w14:textId="266A5023"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4,620,617</w:t>
            </w:r>
          </w:p>
        </w:tc>
        <w:tc>
          <w:tcPr>
            <w:tcW w:w="0" w:type="auto"/>
            <w:tcBorders>
              <w:top w:val="nil"/>
              <w:left w:val="nil"/>
              <w:bottom w:val="nil"/>
            </w:tcBorders>
            <w:shd w:val="clear" w:color="auto" w:fill="FFFFFF" w:themeFill="background1"/>
            <w:noWrap/>
            <w:vAlign w:val="center"/>
            <w:hideMark/>
          </w:tcPr>
          <w:p w14:paraId="348AC5CA" w14:textId="74B9D92E"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86</w:t>
            </w:r>
          </w:p>
        </w:tc>
      </w:tr>
      <w:tr w:rsidR="00DF19C2" w14:paraId="478451C3" w14:textId="77777777" w:rsidTr="004C0DDC">
        <w:trPr>
          <w:trHeight w:val="255"/>
        </w:trPr>
        <w:tc>
          <w:tcPr>
            <w:tcW w:w="1726" w:type="dxa"/>
            <w:vMerge/>
            <w:tcBorders>
              <w:top w:val="nil"/>
              <w:bottom w:val="single" w:sz="4" w:space="0" w:color="000000"/>
              <w:right w:val="single" w:sz="4" w:space="0" w:color="auto"/>
            </w:tcBorders>
            <w:vAlign w:val="center"/>
            <w:hideMark/>
          </w:tcPr>
          <w:p w14:paraId="0F71AFE0" w14:textId="77777777" w:rsidR="00DF19C2" w:rsidRPr="002F2D01" w:rsidRDefault="00DF19C2" w:rsidP="00CB0E93">
            <w:pPr>
              <w:spacing w:before="0" w:after="0"/>
              <w:ind w:left="57" w:right="57"/>
              <w:rPr>
                <w:rFonts w:asciiTheme="majorHAnsi" w:hAnsiTheme="majorHAnsi" w:cs="Arial"/>
                <w:b/>
                <w:bCs/>
                <w:sz w:val="16"/>
                <w:szCs w:val="16"/>
              </w:rPr>
            </w:pPr>
          </w:p>
        </w:tc>
        <w:tc>
          <w:tcPr>
            <w:tcW w:w="1141" w:type="dxa"/>
            <w:tcBorders>
              <w:top w:val="nil"/>
              <w:left w:val="nil"/>
              <w:bottom w:val="nil"/>
              <w:right w:val="single" w:sz="4" w:space="0" w:color="auto"/>
            </w:tcBorders>
            <w:shd w:val="clear" w:color="000000" w:fill="FFFFFF"/>
            <w:noWrap/>
            <w:vAlign w:val="center"/>
            <w:hideMark/>
          </w:tcPr>
          <w:p w14:paraId="1774D395"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Non-forests</w:t>
            </w:r>
          </w:p>
        </w:tc>
        <w:tc>
          <w:tcPr>
            <w:tcW w:w="0" w:type="auto"/>
            <w:tcBorders>
              <w:top w:val="nil"/>
              <w:left w:val="nil"/>
              <w:bottom w:val="nil"/>
              <w:right w:val="single" w:sz="4" w:space="0" w:color="auto"/>
            </w:tcBorders>
            <w:shd w:val="clear" w:color="auto" w:fill="FFFFFF" w:themeFill="background1"/>
            <w:noWrap/>
            <w:vAlign w:val="center"/>
            <w:hideMark/>
          </w:tcPr>
          <w:p w14:paraId="77E5BF3C"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1,993,476</w:t>
            </w:r>
          </w:p>
        </w:tc>
        <w:tc>
          <w:tcPr>
            <w:tcW w:w="0" w:type="auto"/>
            <w:tcBorders>
              <w:top w:val="nil"/>
              <w:left w:val="nil"/>
              <w:bottom w:val="nil"/>
              <w:right w:val="single" w:sz="4" w:space="0" w:color="auto"/>
            </w:tcBorders>
            <w:shd w:val="clear" w:color="auto" w:fill="FFFFFF" w:themeFill="background1"/>
            <w:noWrap/>
            <w:vAlign w:val="center"/>
            <w:hideMark/>
          </w:tcPr>
          <w:p w14:paraId="43E66545" w14:textId="269600DD"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2,301,034</w:t>
            </w:r>
          </w:p>
        </w:tc>
        <w:tc>
          <w:tcPr>
            <w:tcW w:w="0" w:type="auto"/>
            <w:tcBorders>
              <w:top w:val="nil"/>
              <w:left w:val="nil"/>
              <w:bottom w:val="nil"/>
              <w:right w:val="nil"/>
            </w:tcBorders>
            <w:shd w:val="clear" w:color="auto" w:fill="FFFFFF" w:themeFill="background1"/>
            <w:noWrap/>
            <w:vAlign w:val="center"/>
            <w:hideMark/>
          </w:tcPr>
          <w:p w14:paraId="78C7E74C" w14:textId="55246EC6"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307,558</w:t>
            </w:r>
          </w:p>
        </w:tc>
        <w:tc>
          <w:tcPr>
            <w:tcW w:w="1202" w:type="dxa"/>
            <w:tcBorders>
              <w:top w:val="nil"/>
              <w:left w:val="nil"/>
              <w:bottom w:val="nil"/>
              <w:right w:val="single" w:sz="4" w:space="0" w:color="auto"/>
            </w:tcBorders>
            <w:shd w:val="clear" w:color="auto" w:fill="FFFFFF" w:themeFill="background1"/>
            <w:noWrap/>
            <w:vAlign w:val="center"/>
            <w:hideMark/>
          </w:tcPr>
          <w:p w14:paraId="280149A5" w14:textId="1B085C48"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w:t>
            </w:r>
          </w:p>
        </w:tc>
        <w:tc>
          <w:tcPr>
            <w:tcW w:w="0" w:type="auto"/>
            <w:tcBorders>
              <w:top w:val="nil"/>
              <w:left w:val="nil"/>
              <w:bottom w:val="nil"/>
              <w:right w:val="single" w:sz="4" w:space="0" w:color="auto"/>
            </w:tcBorders>
            <w:shd w:val="clear" w:color="auto" w:fill="FFFFFF" w:themeFill="background1"/>
            <w:noWrap/>
            <w:vAlign w:val="center"/>
            <w:hideMark/>
          </w:tcPr>
          <w:p w14:paraId="5472FC4F" w14:textId="7CD98DEE"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22,150</w:t>
            </w:r>
          </w:p>
        </w:tc>
        <w:tc>
          <w:tcPr>
            <w:tcW w:w="0" w:type="auto"/>
            <w:tcBorders>
              <w:top w:val="nil"/>
              <w:left w:val="nil"/>
              <w:bottom w:val="nil"/>
              <w:right w:val="single" w:sz="4" w:space="0" w:color="auto"/>
            </w:tcBorders>
            <w:shd w:val="clear" w:color="auto" w:fill="FFFFFF" w:themeFill="background1"/>
            <w:noWrap/>
            <w:vAlign w:val="center"/>
            <w:hideMark/>
          </w:tcPr>
          <w:p w14:paraId="5A463378" w14:textId="08D9A676"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2,332,684</w:t>
            </w:r>
          </w:p>
        </w:tc>
        <w:tc>
          <w:tcPr>
            <w:tcW w:w="0" w:type="auto"/>
            <w:tcBorders>
              <w:top w:val="nil"/>
              <w:left w:val="nil"/>
              <w:bottom w:val="nil"/>
              <w:right w:val="nil"/>
            </w:tcBorders>
            <w:shd w:val="clear" w:color="auto" w:fill="FFFFFF" w:themeFill="background1"/>
            <w:noWrap/>
            <w:vAlign w:val="center"/>
            <w:hideMark/>
          </w:tcPr>
          <w:p w14:paraId="52317B74" w14:textId="7451CF70"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339,208</w:t>
            </w:r>
          </w:p>
        </w:tc>
        <w:tc>
          <w:tcPr>
            <w:tcW w:w="0" w:type="auto"/>
            <w:tcBorders>
              <w:top w:val="nil"/>
              <w:left w:val="nil"/>
              <w:bottom w:val="nil"/>
            </w:tcBorders>
            <w:shd w:val="clear" w:color="auto" w:fill="FFFFFF" w:themeFill="background1"/>
            <w:noWrap/>
            <w:vAlign w:val="center"/>
            <w:hideMark/>
          </w:tcPr>
          <w:p w14:paraId="4F59EA74" w14:textId="0CADC0EB"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17</w:t>
            </w:r>
          </w:p>
        </w:tc>
      </w:tr>
      <w:tr w:rsidR="00DF19C2" w14:paraId="41559563" w14:textId="77777777" w:rsidTr="004C0DDC">
        <w:trPr>
          <w:trHeight w:val="255"/>
        </w:trPr>
        <w:tc>
          <w:tcPr>
            <w:tcW w:w="1726" w:type="dxa"/>
            <w:vMerge/>
            <w:tcBorders>
              <w:top w:val="nil"/>
              <w:bottom w:val="single" w:sz="4" w:space="0" w:color="000000"/>
              <w:right w:val="single" w:sz="4" w:space="0" w:color="auto"/>
            </w:tcBorders>
            <w:vAlign w:val="center"/>
            <w:hideMark/>
          </w:tcPr>
          <w:p w14:paraId="3A4175B7" w14:textId="77777777" w:rsidR="00DF19C2" w:rsidRPr="002F2D01" w:rsidRDefault="00DF19C2" w:rsidP="00CB0E93">
            <w:pPr>
              <w:spacing w:before="0" w:after="0"/>
              <w:ind w:left="57" w:right="57"/>
              <w:rPr>
                <w:rFonts w:asciiTheme="majorHAnsi" w:hAnsiTheme="majorHAnsi" w:cs="Arial"/>
                <w:b/>
                <w:bCs/>
                <w:sz w:val="16"/>
                <w:szCs w:val="16"/>
              </w:rPr>
            </w:pPr>
          </w:p>
        </w:tc>
        <w:tc>
          <w:tcPr>
            <w:tcW w:w="1141" w:type="dxa"/>
            <w:tcBorders>
              <w:top w:val="nil"/>
              <w:left w:val="nil"/>
              <w:bottom w:val="single" w:sz="4" w:space="0" w:color="auto"/>
              <w:right w:val="single" w:sz="4" w:space="0" w:color="auto"/>
            </w:tcBorders>
            <w:shd w:val="clear" w:color="000000" w:fill="FFFFFF"/>
            <w:noWrap/>
            <w:vAlign w:val="center"/>
            <w:hideMark/>
          </w:tcPr>
          <w:p w14:paraId="7C4DB914" w14:textId="77777777" w:rsidR="00DF19C2" w:rsidRPr="00CD538E" w:rsidRDefault="00DF19C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Total</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CC23F08" w14:textId="77777777"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7,393,743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2F8FF08" w14:textId="15FE272B"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11,395,275</w:t>
            </w:r>
          </w:p>
        </w:tc>
        <w:tc>
          <w:tcPr>
            <w:tcW w:w="0" w:type="auto"/>
            <w:tcBorders>
              <w:top w:val="nil"/>
              <w:left w:val="nil"/>
              <w:bottom w:val="single" w:sz="4" w:space="0" w:color="auto"/>
              <w:right w:val="nil"/>
            </w:tcBorders>
            <w:shd w:val="clear" w:color="auto" w:fill="FFFFFF" w:themeFill="background1"/>
            <w:noWrap/>
            <w:vAlign w:val="center"/>
            <w:hideMark/>
          </w:tcPr>
          <w:p w14:paraId="355CA9AD" w14:textId="4B3D80C6"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4,001,532</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EE62E89" w14:textId="44636565"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F940BB2" w14:textId="082724EA"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827,893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D9181E9" w14:textId="38A7B853"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12,353,568</w:t>
            </w:r>
          </w:p>
        </w:tc>
        <w:tc>
          <w:tcPr>
            <w:tcW w:w="0" w:type="auto"/>
            <w:tcBorders>
              <w:top w:val="nil"/>
              <w:left w:val="nil"/>
              <w:bottom w:val="single" w:sz="4" w:space="0" w:color="auto"/>
              <w:right w:val="nil"/>
            </w:tcBorders>
            <w:shd w:val="clear" w:color="auto" w:fill="FFFFFF" w:themeFill="background1"/>
            <w:noWrap/>
            <w:vAlign w:val="center"/>
            <w:hideMark/>
          </w:tcPr>
          <w:p w14:paraId="22317DBF" w14:textId="4C3B4DE0"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4,959,825</w:t>
            </w:r>
          </w:p>
        </w:tc>
        <w:tc>
          <w:tcPr>
            <w:tcW w:w="0" w:type="auto"/>
            <w:tcBorders>
              <w:top w:val="nil"/>
              <w:left w:val="nil"/>
              <w:bottom w:val="single" w:sz="4" w:space="0" w:color="auto"/>
            </w:tcBorders>
            <w:shd w:val="clear" w:color="auto" w:fill="FFFFFF" w:themeFill="background1"/>
            <w:noWrap/>
            <w:vAlign w:val="center"/>
            <w:hideMark/>
          </w:tcPr>
          <w:p w14:paraId="5FB1C168" w14:textId="7322B053" w:rsidR="00DF19C2" w:rsidRPr="002F2D01" w:rsidRDefault="00DF19C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67</w:t>
            </w:r>
          </w:p>
        </w:tc>
      </w:tr>
      <w:tr w:rsidR="00DF19C2" w14:paraId="36A0BDEC" w14:textId="77777777" w:rsidTr="004C0DDC">
        <w:trPr>
          <w:trHeight w:val="1185"/>
        </w:trPr>
        <w:tc>
          <w:tcPr>
            <w:tcW w:w="13798" w:type="dxa"/>
            <w:gridSpan w:val="10"/>
            <w:tcBorders>
              <w:top w:val="single" w:sz="4" w:space="0" w:color="auto"/>
              <w:left w:val="nil"/>
              <w:bottom w:val="nil"/>
              <w:right w:val="nil"/>
            </w:tcBorders>
            <w:shd w:val="clear" w:color="auto" w:fill="auto"/>
            <w:hideMark/>
          </w:tcPr>
          <w:p w14:paraId="5D95C946" w14:textId="05C8A9DC" w:rsidR="00FA2432" w:rsidRDefault="00DF19C2" w:rsidP="00CB0E93">
            <w:pPr>
              <w:spacing w:before="0" w:after="0"/>
              <w:rPr>
                <w:rFonts w:ascii="Calibri" w:hAnsi="Calibri" w:cs="Arial"/>
                <w:sz w:val="16"/>
                <w:szCs w:val="16"/>
              </w:rPr>
            </w:pPr>
            <w:r>
              <w:rPr>
                <w:rFonts w:ascii="Calibri" w:hAnsi="Calibri" w:cs="Arial"/>
                <w:sz w:val="16"/>
                <w:szCs w:val="16"/>
              </w:rPr>
              <w:t>Source: Figures are derived from areas shown in Tables 1 and 3. Column codes from Tables 1 and 3 indicate calculations undertaken. See notes to Tables 1 and 3.</w:t>
            </w:r>
            <w:r>
              <w:rPr>
                <w:rFonts w:ascii="Calibri" w:hAnsi="Calibri" w:cs="Arial"/>
                <w:sz w:val="16"/>
                <w:szCs w:val="16"/>
              </w:rPr>
              <w:br/>
              <w:t>Date of most recent data is: New South Wales, 2016; Tasmania, 2015 for forest ecosystems and 1998 for non-forest ecosystems; Victoria, 2019; and Western Australia, 2018.</w:t>
            </w:r>
            <w:r w:rsidR="00CD0907">
              <w:rPr>
                <w:rFonts w:ascii="Calibri" w:hAnsi="Calibri" w:cs="Arial"/>
                <w:sz w:val="16"/>
                <w:szCs w:val="16"/>
              </w:rPr>
              <w:t xml:space="preserve"> Data for </w:t>
            </w:r>
            <w:r w:rsidR="00CD0907" w:rsidRPr="005C5680">
              <w:rPr>
                <w:rFonts w:ascii="Calibri" w:hAnsi="Calibri" w:cs="Arial"/>
                <w:sz w:val="16"/>
                <w:szCs w:val="16"/>
                <w:lang w:eastAsia="en-AU"/>
              </w:rPr>
              <w:t xml:space="preserve">Victorian </w:t>
            </w:r>
            <w:r w:rsidR="00CD0907">
              <w:rPr>
                <w:rFonts w:ascii="Calibri" w:hAnsi="Calibri" w:cs="Arial"/>
                <w:sz w:val="16"/>
                <w:szCs w:val="16"/>
                <w:lang w:eastAsia="en-AU"/>
              </w:rPr>
              <w:t xml:space="preserve">RFA regions </w:t>
            </w:r>
            <w:r w:rsidR="00CD0907" w:rsidRPr="005C5680">
              <w:rPr>
                <w:rFonts w:ascii="Calibri" w:hAnsi="Calibri" w:cs="Arial"/>
                <w:sz w:val="16"/>
                <w:szCs w:val="16"/>
                <w:lang w:eastAsia="en-AU"/>
              </w:rPr>
              <w:t xml:space="preserve">presented </w:t>
            </w:r>
            <w:r w:rsidR="00CD0907">
              <w:rPr>
                <w:rFonts w:ascii="Calibri" w:hAnsi="Calibri" w:cs="Arial"/>
                <w:sz w:val="16"/>
                <w:szCs w:val="16"/>
                <w:lang w:eastAsia="en-AU"/>
              </w:rPr>
              <w:t xml:space="preserve">in this table </w:t>
            </w:r>
            <w:r w:rsidR="0044624F">
              <w:rPr>
                <w:rFonts w:ascii="Calibri" w:hAnsi="Calibri" w:cs="Arial"/>
                <w:sz w:val="16"/>
                <w:szCs w:val="16"/>
                <w:lang w:eastAsia="en-AU"/>
              </w:rPr>
              <w:t>are</w:t>
            </w:r>
            <w:r w:rsidR="00CD0907" w:rsidRPr="005C5680">
              <w:rPr>
                <w:rFonts w:ascii="Calibri" w:hAnsi="Calibri" w:cs="Arial"/>
                <w:sz w:val="16"/>
                <w:szCs w:val="16"/>
                <w:lang w:eastAsia="en-AU"/>
              </w:rPr>
              <w:t xml:space="preserve"> based on </w:t>
            </w:r>
            <w:r w:rsidR="00CD0907">
              <w:rPr>
                <w:rFonts w:ascii="Calibri" w:hAnsi="Calibri" w:cs="Arial"/>
                <w:sz w:val="16"/>
                <w:szCs w:val="16"/>
                <w:lang w:eastAsia="en-AU"/>
              </w:rPr>
              <w:t>a reconciliation of the EVC classification at the date of signing RFAs with the updated</w:t>
            </w:r>
            <w:r w:rsidR="00CD0907" w:rsidRPr="005C5680">
              <w:rPr>
                <w:rFonts w:ascii="Calibri" w:hAnsi="Calibri" w:cs="Arial"/>
                <w:sz w:val="16"/>
                <w:szCs w:val="16"/>
                <w:lang w:eastAsia="en-AU"/>
              </w:rPr>
              <w:t xml:space="preserve"> EVC</w:t>
            </w:r>
            <w:r w:rsidR="00CD0907">
              <w:rPr>
                <w:rFonts w:ascii="Calibri" w:hAnsi="Calibri" w:cs="Arial"/>
                <w:sz w:val="16"/>
                <w:szCs w:val="16"/>
                <w:lang w:eastAsia="en-AU"/>
              </w:rPr>
              <w:t xml:space="preserve"> classification as at 2019.</w:t>
            </w:r>
            <w:r>
              <w:rPr>
                <w:rFonts w:ascii="Calibri" w:hAnsi="Calibri" w:cs="Arial"/>
                <w:sz w:val="16"/>
                <w:szCs w:val="16"/>
              </w:rPr>
              <w:br/>
              <w:t>The CAR reserve system includes formal and informal public reserves and areas of public land managed by prescription.</w:t>
            </w:r>
            <w:r>
              <w:rPr>
                <w:rFonts w:ascii="Calibri" w:hAnsi="Calibri" w:cs="Arial"/>
                <w:sz w:val="16"/>
                <w:szCs w:val="16"/>
              </w:rPr>
              <w:br/>
              <w:t xml:space="preserve">Total area in the CAR reserve system in most recent data includes </w:t>
            </w:r>
            <w:r w:rsidR="00FD1ABB">
              <w:rPr>
                <w:rFonts w:ascii="Calibri" w:hAnsi="Calibri" w:cs="Arial"/>
                <w:sz w:val="16"/>
                <w:szCs w:val="16"/>
              </w:rPr>
              <w:t>96,000 hectares of forest on Private CAR reserves in Tasmanian and 26,000 hectares of forest on private land covenants in</w:t>
            </w:r>
            <w:r w:rsidR="00060822">
              <w:rPr>
                <w:rFonts w:ascii="Calibri" w:hAnsi="Calibri" w:cs="Arial"/>
                <w:sz w:val="16"/>
                <w:szCs w:val="16"/>
              </w:rPr>
              <w:t xml:space="preserve"> Victoria </w:t>
            </w:r>
            <w:r>
              <w:rPr>
                <w:rFonts w:ascii="Calibri" w:hAnsi="Calibri" w:cs="Arial"/>
                <w:sz w:val="16"/>
                <w:szCs w:val="16"/>
              </w:rPr>
              <w:t>not separately shown in this table.</w:t>
            </w:r>
          </w:p>
          <w:p w14:paraId="6EA002B5" w14:textId="77777777" w:rsidR="00DF19C2" w:rsidRDefault="00FA2432" w:rsidP="000C4F22">
            <w:pPr>
              <w:spacing w:before="0" w:after="0"/>
              <w:rPr>
                <w:rFonts w:ascii="Calibri" w:hAnsi="Calibri" w:cs="Arial"/>
                <w:sz w:val="16"/>
                <w:szCs w:val="16"/>
              </w:rPr>
            </w:pPr>
            <w:r w:rsidRPr="000C4F22">
              <w:rPr>
                <w:rFonts w:ascii="Calibri" w:hAnsi="Calibri" w:cs="Arial"/>
                <w:b/>
                <w:sz w:val="16"/>
                <w:szCs w:val="16"/>
              </w:rPr>
              <w:t>na</w:t>
            </w:r>
            <w:r>
              <w:rPr>
                <w:rFonts w:ascii="Calibri" w:hAnsi="Calibri" w:cs="Arial"/>
                <w:sz w:val="16"/>
                <w:szCs w:val="16"/>
              </w:rPr>
              <w:t>, not available.</w:t>
            </w:r>
            <w:r w:rsidR="00DF19C2">
              <w:rPr>
                <w:rFonts w:ascii="Calibri" w:hAnsi="Calibri" w:cs="Arial"/>
                <w:sz w:val="16"/>
                <w:szCs w:val="16"/>
              </w:rPr>
              <w:br/>
              <w:t>Totals may not tally due to rounding.</w:t>
            </w:r>
          </w:p>
          <w:p w14:paraId="0B50D24E" w14:textId="088D9D29" w:rsidR="00674019" w:rsidRDefault="00674019" w:rsidP="00DB0CD3">
            <w:pPr>
              <w:spacing w:before="0" w:after="0"/>
              <w:rPr>
                <w:rFonts w:ascii="Calibri" w:hAnsi="Calibri" w:cs="Arial"/>
                <w:sz w:val="16"/>
                <w:szCs w:val="16"/>
              </w:rPr>
            </w:pPr>
            <w:r>
              <w:rPr>
                <w:rFonts w:asciiTheme="minorHAnsi" w:hAnsiTheme="minorHAnsi"/>
                <w:noProof/>
                <w:sz w:val="16"/>
              </w:rPr>
              <w:t>This table</w:t>
            </w:r>
            <w:r w:rsidRPr="00831C40">
              <w:rPr>
                <w:rFonts w:asciiTheme="minorHAnsi" w:hAnsiTheme="minorHAnsi"/>
                <w:noProof/>
                <w:sz w:val="16"/>
              </w:rPr>
              <w:t xml:space="preserve">, together with other data in this report, is available in Microsoft Excel </w:t>
            </w:r>
            <w:r w:rsidR="00DB0CD3">
              <w:rPr>
                <w:rFonts w:asciiTheme="minorHAnsi" w:hAnsiTheme="minorHAnsi"/>
                <w:noProof/>
                <w:sz w:val="16"/>
              </w:rPr>
              <w:t>at</w:t>
            </w:r>
            <w:r w:rsidRPr="00831C40">
              <w:rPr>
                <w:rFonts w:asciiTheme="minorHAnsi" w:hAnsiTheme="minorHAnsi"/>
                <w:noProof/>
                <w:sz w:val="16"/>
              </w:rPr>
              <w:t xml:space="preserve"> </w:t>
            </w:r>
            <w:hyperlink r:id="rId46" w:history="1">
              <w:r w:rsidR="00DD59DD" w:rsidRPr="0090070F">
                <w:rPr>
                  <w:rStyle w:val="Hyperlink"/>
                  <w:rFonts w:asciiTheme="minorHAnsi" w:hAnsiTheme="minorHAnsi"/>
                  <w:noProof/>
                  <w:color w:val="0070C0"/>
                  <w:sz w:val="16"/>
                </w:rPr>
                <w:t>doi.org/10.25814/pczx-xk66</w:t>
              </w:r>
            </w:hyperlink>
            <w:r w:rsidR="00DD59DD">
              <w:rPr>
                <w:rFonts w:asciiTheme="minorHAnsi" w:hAnsiTheme="minorHAnsi"/>
                <w:noProof/>
                <w:sz w:val="16"/>
              </w:rPr>
              <w:t>.</w:t>
            </w:r>
          </w:p>
        </w:tc>
      </w:tr>
    </w:tbl>
    <w:p w14:paraId="0A4B22B8" w14:textId="4FA2DA6E" w:rsidR="004816E1" w:rsidRDefault="003A7FC9" w:rsidP="00CB0E93">
      <w:pPr>
        <w:spacing w:before="0" w:after="0" w:line="276" w:lineRule="auto"/>
        <w:rPr>
          <w:b/>
        </w:rPr>
      </w:pPr>
      <w:r>
        <w:rPr>
          <w:b/>
        </w:rPr>
        <w:t xml:space="preserve"> </w:t>
      </w:r>
      <w:r w:rsidR="004816E1">
        <w:rPr>
          <w:b/>
        </w:rPr>
        <w:br w:type="page"/>
      </w:r>
    </w:p>
    <w:p w14:paraId="5A194EB9" w14:textId="17424A51" w:rsidR="004340B2" w:rsidRDefault="004340B2" w:rsidP="004C0DDC">
      <w:pPr>
        <w:pStyle w:val="Caption"/>
      </w:pPr>
      <w:bookmarkStart w:id="46" w:name="_Ref55396307"/>
      <w:bookmarkStart w:id="47" w:name="_Toc58234969"/>
      <w:r>
        <w:lastRenderedPageBreak/>
        <w:t xml:space="preserve">Table </w:t>
      </w:r>
      <w:r w:rsidR="00D15AE0">
        <w:t>A</w:t>
      </w:r>
      <w:r w:rsidR="00DD454E">
        <w:rPr>
          <w:noProof/>
        </w:rPr>
        <w:fldChar w:fldCharType="begin"/>
      </w:r>
      <w:r w:rsidR="00DD454E">
        <w:rPr>
          <w:noProof/>
        </w:rPr>
        <w:instrText xml:space="preserve"> SEQ Table \* ARABIC </w:instrText>
      </w:r>
      <w:r w:rsidR="00DD454E">
        <w:rPr>
          <w:noProof/>
        </w:rPr>
        <w:fldChar w:fldCharType="separate"/>
      </w:r>
      <w:r w:rsidR="00CC3B42">
        <w:rPr>
          <w:noProof/>
        </w:rPr>
        <w:t>6</w:t>
      </w:r>
      <w:r w:rsidR="00DD454E">
        <w:rPr>
          <w:noProof/>
        </w:rPr>
        <w:fldChar w:fldCharType="end"/>
      </w:r>
      <w:bookmarkEnd w:id="46"/>
      <w:r>
        <w:t xml:space="preserve"> Areas of old-growth forest reserved before and </w:t>
      </w:r>
      <w:r w:rsidR="00EF4716">
        <w:t xml:space="preserve">immediately </w:t>
      </w:r>
      <w:r>
        <w:t>after RFAs</w:t>
      </w:r>
      <w:r w:rsidR="00361D8F">
        <w:t xml:space="preserve"> were signed</w:t>
      </w:r>
      <w:bookmarkEnd w:id="47"/>
    </w:p>
    <w:tbl>
      <w:tblPr>
        <w:tblW w:w="14176" w:type="dxa"/>
        <w:tblInd w:w="-426" w:type="dxa"/>
        <w:tblCellMar>
          <w:left w:w="0" w:type="dxa"/>
          <w:right w:w="0" w:type="dxa"/>
        </w:tblCellMar>
        <w:tblLook w:val="04A0" w:firstRow="1" w:lastRow="0" w:firstColumn="1" w:lastColumn="0" w:noHBand="0" w:noVBand="1"/>
      </w:tblPr>
      <w:tblGrid>
        <w:gridCol w:w="2867"/>
        <w:gridCol w:w="1073"/>
        <w:gridCol w:w="1056"/>
        <w:gridCol w:w="1121"/>
        <w:gridCol w:w="1262"/>
        <w:gridCol w:w="1403"/>
        <w:gridCol w:w="1156"/>
        <w:gridCol w:w="1283"/>
        <w:gridCol w:w="985"/>
        <w:gridCol w:w="968"/>
        <w:gridCol w:w="1090"/>
      </w:tblGrid>
      <w:tr w:rsidR="00674019" w14:paraId="55C4265D" w14:textId="77777777" w:rsidTr="004C0DDC">
        <w:trPr>
          <w:trHeight w:val="675"/>
        </w:trPr>
        <w:tc>
          <w:tcPr>
            <w:tcW w:w="2859" w:type="dxa"/>
            <w:vMerge w:val="restart"/>
            <w:tcBorders>
              <w:top w:val="single" w:sz="4" w:space="0" w:color="auto"/>
              <w:bottom w:val="single" w:sz="4" w:space="0" w:color="000000"/>
              <w:right w:val="single" w:sz="4" w:space="0" w:color="auto"/>
            </w:tcBorders>
            <w:shd w:val="clear" w:color="000000" w:fill="FFFFFF"/>
            <w:vAlign w:val="bottom"/>
            <w:hideMark/>
          </w:tcPr>
          <w:p w14:paraId="61BBCC8F" w14:textId="77777777" w:rsidR="00643332" w:rsidRPr="002F2D01" w:rsidRDefault="0064333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State and RFA region</w:t>
            </w:r>
          </w:p>
        </w:tc>
        <w:tc>
          <w:tcPr>
            <w:tcW w:w="1065"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7CA36EF3" w14:textId="77777777"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Land area (ha)</w:t>
            </w:r>
          </w:p>
        </w:tc>
        <w:tc>
          <w:tcPr>
            <w:tcW w:w="1048"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24E45AC9" w14:textId="77777777"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 xml:space="preserve">Total forest area </w:t>
            </w:r>
            <w:r w:rsidRPr="002F2D01">
              <w:rPr>
                <w:rFonts w:asciiTheme="majorHAnsi" w:hAnsiTheme="majorHAnsi" w:cs="Arial"/>
                <w:b/>
                <w:bCs/>
                <w:sz w:val="16"/>
                <w:szCs w:val="16"/>
              </w:rPr>
              <w:br/>
              <w:t>pre-RFA (ha)</w:t>
            </w:r>
          </w:p>
        </w:tc>
        <w:tc>
          <w:tcPr>
            <w:tcW w:w="1113" w:type="dxa"/>
            <w:vMerge w:val="restart"/>
            <w:tcBorders>
              <w:top w:val="single" w:sz="4" w:space="0" w:color="auto"/>
              <w:left w:val="single" w:sz="4" w:space="0" w:color="auto"/>
              <w:bottom w:val="single" w:sz="4" w:space="0" w:color="000000"/>
              <w:right w:val="nil"/>
            </w:tcBorders>
            <w:shd w:val="clear" w:color="000000" w:fill="FFFFFF"/>
            <w:vAlign w:val="bottom"/>
            <w:hideMark/>
          </w:tcPr>
          <w:p w14:paraId="677BAA42" w14:textId="77777777"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Area of old-growth forest pre-RFA (ha)</w:t>
            </w:r>
          </w:p>
        </w:tc>
        <w:tc>
          <w:tcPr>
            <w:tcW w:w="1254" w:type="dxa"/>
            <w:vMerge w:val="restart"/>
            <w:tcBorders>
              <w:top w:val="single" w:sz="4" w:space="0" w:color="auto"/>
              <w:left w:val="nil"/>
              <w:bottom w:val="single" w:sz="4" w:space="0" w:color="000000"/>
              <w:right w:val="nil"/>
            </w:tcBorders>
            <w:shd w:val="clear" w:color="000000" w:fill="FFFFFF"/>
            <w:vAlign w:val="bottom"/>
            <w:hideMark/>
          </w:tcPr>
          <w:p w14:paraId="0E3F8CA2" w14:textId="27F3C875"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Area of old-growth forest in</w:t>
            </w:r>
            <w:r w:rsidR="00F8777C" w:rsidRPr="002F2D01">
              <w:rPr>
                <w:rFonts w:asciiTheme="majorHAnsi" w:hAnsiTheme="majorHAnsi" w:cs="Arial"/>
                <w:b/>
                <w:bCs/>
                <w:sz w:val="16"/>
                <w:szCs w:val="16"/>
              </w:rPr>
              <w:t xml:space="preserve"> formal and informal</w:t>
            </w:r>
            <w:r w:rsidRPr="002F2D01">
              <w:rPr>
                <w:rFonts w:asciiTheme="majorHAnsi" w:hAnsiTheme="majorHAnsi" w:cs="Arial"/>
                <w:b/>
                <w:bCs/>
                <w:sz w:val="16"/>
                <w:szCs w:val="16"/>
              </w:rPr>
              <w:t xml:space="preserve"> reserves pre-RFA (ha)</w:t>
            </w:r>
          </w:p>
        </w:tc>
        <w:tc>
          <w:tcPr>
            <w:tcW w:w="1395" w:type="dxa"/>
            <w:vMerge w:val="restart"/>
            <w:tcBorders>
              <w:top w:val="single" w:sz="4" w:space="0" w:color="auto"/>
              <w:left w:val="nil"/>
              <w:bottom w:val="single" w:sz="4" w:space="0" w:color="000000"/>
              <w:right w:val="single" w:sz="4" w:space="0" w:color="auto"/>
            </w:tcBorders>
            <w:shd w:val="clear" w:color="000000" w:fill="FFFFFF"/>
            <w:vAlign w:val="bottom"/>
            <w:hideMark/>
          </w:tcPr>
          <w:p w14:paraId="3702D07C" w14:textId="77777777"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Proportion of old-growth forest in reserves pre-RFA (%)</w:t>
            </w:r>
          </w:p>
        </w:tc>
        <w:tc>
          <w:tcPr>
            <w:tcW w:w="1148" w:type="dxa"/>
            <w:vMerge w:val="restart"/>
            <w:tcBorders>
              <w:top w:val="single" w:sz="4" w:space="0" w:color="auto"/>
              <w:left w:val="single" w:sz="4" w:space="0" w:color="auto"/>
              <w:bottom w:val="single" w:sz="4" w:space="0" w:color="000000"/>
              <w:right w:val="nil"/>
            </w:tcBorders>
            <w:shd w:val="clear" w:color="000000" w:fill="FFFFFF"/>
            <w:vAlign w:val="bottom"/>
            <w:hideMark/>
          </w:tcPr>
          <w:p w14:paraId="0204F047" w14:textId="3C42FF9D"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 xml:space="preserve">Area of old-growth forest in reserves post-RFA (ha) </w:t>
            </w:r>
          </w:p>
        </w:tc>
        <w:tc>
          <w:tcPr>
            <w:tcW w:w="1275" w:type="dxa"/>
            <w:vMerge w:val="restart"/>
            <w:tcBorders>
              <w:top w:val="single" w:sz="4" w:space="0" w:color="auto"/>
              <w:left w:val="nil"/>
              <w:bottom w:val="single" w:sz="4" w:space="0" w:color="000000"/>
              <w:right w:val="single" w:sz="4" w:space="0" w:color="auto"/>
            </w:tcBorders>
            <w:shd w:val="clear" w:color="000000" w:fill="FFFFFF"/>
            <w:vAlign w:val="bottom"/>
            <w:hideMark/>
          </w:tcPr>
          <w:p w14:paraId="1282955C" w14:textId="71550991"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Proportion of old-growth forest in reserves post-RFA (%)</w:t>
            </w:r>
          </w:p>
        </w:tc>
        <w:tc>
          <w:tcPr>
            <w:tcW w:w="1937" w:type="dxa"/>
            <w:gridSpan w:val="2"/>
            <w:tcBorders>
              <w:top w:val="single" w:sz="4" w:space="0" w:color="auto"/>
              <w:left w:val="nil"/>
              <w:bottom w:val="single" w:sz="4" w:space="0" w:color="auto"/>
              <w:right w:val="single" w:sz="4" w:space="0" w:color="000000"/>
            </w:tcBorders>
            <w:shd w:val="clear" w:color="000000" w:fill="FFFFFF"/>
            <w:vAlign w:val="bottom"/>
            <w:hideMark/>
          </w:tcPr>
          <w:p w14:paraId="36A89B6E" w14:textId="77777777" w:rsidR="00643332" w:rsidRPr="002F2D01" w:rsidRDefault="00643332"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Change in area of old-growth forest in reserves at RFA</w:t>
            </w:r>
          </w:p>
        </w:tc>
        <w:tc>
          <w:tcPr>
            <w:tcW w:w="1082" w:type="dxa"/>
            <w:vMerge w:val="restart"/>
            <w:tcBorders>
              <w:top w:val="single" w:sz="4" w:space="0" w:color="auto"/>
              <w:left w:val="single" w:sz="4" w:space="0" w:color="auto"/>
              <w:bottom w:val="single" w:sz="4" w:space="0" w:color="000000"/>
            </w:tcBorders>
            <w:shd w:val="clear" w:color="000000" w:fill="FFFFFF"/>
            <w:vAlign w:val="bottom"/>
            <w:hideMark/>
          </w:tcPr>
          <w:p w14:paraId="7D5F8D7E" w14:textId="77777777"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Count of old-growth forest types pre-RFA</w:t>
            </w:r>
          </w:p>
        </w:tc>
      </w:tr>
      <w:tr w:rsidR="00674019" w14:paraId="4FD0A033" w14:textId="77777777" w:rsidTr="004C0DDC">
        <w:trPr>
          <w:trHeight w:val="225"/>
        </w:trPr>
        <w:tc>
          <w:tcPr>
            <w:tcW w:w="2859" w:type="dxa"/>
            <w:vMerge/>
            <w:tcBorders>
              <w:top w:val="single" w:sz="4" w:space="0" w:color="auto"/>
              <w:bottom w:val="single" w:sz="4" w:space="0" w:color="000000"/>
              <w:right w:val="single" w:sz="4" w:space="0" w:color="auto"/>
            </w:tcBorders>
            <w:vAlign w:val="center"/>
            <w:hideMark/>
          </w:tcPr>
          <w:p w14:paraId="6100A6E8" w14:textId="77777777" w:rsidR="00643332" w:rsidRPr="002F2D01" w:rsidRDefault="00643332" w:rsidP="00CB0E93">
            <w:pPr>
              <w:spacing w:before="0" w:after="0"/>
              <w:ind w:left="57" w:right="57"/>
              <w:rPr>
                <w:rFonts w:asciiTheme="majorHAnsi" w:hAnsiTheme="majorHAnsi" w:cs="Arial"/>
                <w:b/>
                <w:bCs/>
                <w:sz w:val="16"/>
                <w:szCs w:val="16"/>
              </w:rPr>
            </w:pPr>
          </w:p>
        </w:tc>
        <w:tc>
          <w:tcPr>
            <w:tcW w:w="1065" w:type="dxa"/>
            <w:vMerge/>
            <w:tcBorders>
              <w:top w:val="single" w:sz="4" w:space="0" w:color="auto"/>
              <w:left w:val="single" w:sz="4" w:space="0" w:color="auto"/>
              <w:bottom w:val="single" w:sz="4" w:space="0" w:color="000000"/>
              <w:right w:val="single" w:sz="4" w:space="0" w:color="auto"/>
            </w:tcBorders>
            <w:vAlign w:val="center"/>
            <w:hideMark/>
          </w:tcPr>
          <w:p w14:paraId="71100C69" w14:textId="77777777" w:rsidR="00643332" w:rsidRPr="002F2D01" w:rsidRDefault="00643332" w:rsidP="00CB0E93">
            <w:pPr>
              <w:spacing w:before="0" w:after="0"/>
              <w:ind w:left="57" w:right="57"/>
              <w:rPr>
                <w:rFonts w:asciiTheme="majorHAnsi" w:hAnsiTheme="majorHAnsi" w:cs="Arial"/>
                <w:b/>
                <w:bCs/>
                <w:sz w:val="16"/>
                <w:szCs w:val="16"/>
              </w:rPr>
            </w:pPr>
          </w:p>
        </w:tc>
        <w:tc>
          <w:tcPr>
            <w:tcW w:w="1048" w:type="dxa"/>
            <w:vMerge/>
            <w:tcBorders>
              <w:top w:val="single" w:sz="4" w:space="0" w:color="auto"/>
              <w:left w:val="single" w:sz="4" w:space="0" w:color="auto"/>
              <w:bottom w:val="single" w:sz="4" w:space="0" w:color="000000"/>
              <w:right w:val="single" w:sz="4" w:space="0" w:color="auto"/>
            </w:tcBorders>
            <w:vAlign w:val="center"/>
            <w:hideMark/>
          </w:tcPr>
          <w:p w14:paraId="0FB91B33" w14:textId="77777777" w:rsidR="00643332" w:rsidRPr="002F2D01" w:rsidRDefault="00643332" w:rsidP="00CB0E93">
            <w:pPr>
              <w:spacing w:before="0" w:after="0"/>
              <w:ind w:left="57" w:right="57"/>
              <w:rPr>
                <w:rFonts w:asciiTheme="majorHAnsi" w:hAnsiTheme="majorHAnsi" w:cs="Arial"/>
                <w:b/>
                <w:bCs/>
                <w:sz w:val="16"/>
                <w:szCs w:val="16"/>
              </w:rPr>
            </w:pPr>
          </w:p>
        </w:tc>
        <w:tc>
          <w:tcPr>
            <w:tcW w:w="1113" w:type="dxa"/>
            <w:vMerge/>
            <w:tcBorders>
              <w:top w:val="single" w:sz="4" w:space="0" w:color="auto"/>
              <w:left w:val="single" w:sz="4" w:space="0" w:color="auto"/>
              <w:bottom w:val="single" w:sz="4" w:space="0" w:color="000000"/>
              <w:right w:val="nil"/>
            </w:tcBorders>
            <w:vAlign w:val="center"/>
            <w:hideMark/>
          </w:tcPr>
          <w:p w14:paraId="4B551B2A" w14:textId="77777777" w:rsidR="00643332" w:rsidRPr="002F2D01" w:rsidRDefault="00643332" w:rsidP="00CB0E93">
            <w:pPr>
              <w:spacing w:before="0" w:after="0"/>
              <w:ind w:left="57" w:right="57"/>
              <w:rPr>
                <w:rFonts w:asciiTheme="majorHAnsi" w:hAnsiTheme="majorHAnsi" w:cs="Arial"/>
                <w:b/>
                <w:bCs/>
                <w:sz w:val="16"/>
                <w:szCs w:val="16"/>
              </w:rPr>
            </w:pPr>
          </w:p>
        </w:tc>
        <w:tc>
          <w:tcPr>
            <w:tcW w:w="1254" w:type="dxa"/>
            <w:vMerge/>
            <w:tcBorders>
              <w:top w:val="single" w:sz="4" w:space="0" w:color="auto"/>
              <w:left w:val="nil"/>
              <w:bottom w:val="single" w:sz="4" w:space="0" w:color="000000"/>
              <w:right w:val="nil"/>
            </w:tcBorders>
            <w:vAlign w:val="center"/>
            <w:hideMark/>
          </w:tcPr>
          <w:p w14:paraId="1AFFF779" w14:textId="77777777" w:rsidR="00643332" w:rsidRPr="002F2D01" w:rsidRDefault="00643332" w:rsidP="00CB0E93">
            <w:pPr>
              <w:spacing w:before="0" w:after="0"/>
              <w:ind w:left="57" w:right="57"/>
              <w:rPr>
                <w:rFonts w:asciiTheme="majorHAnsi" w:hAnsiTheme="majorHAnsi" w:cs="Arial"/>
                <w:b/>
                <w:bCs/>
                <w:sz w:val="16"/>
                <w:szCs w:val="16"/>
              </w:rPr>
            </w:pPr>
          </w:p>
        </w:tc>
        <w:tc>
          <w:tcPr>
            <w:tcW w:w="1395" w:type="dxa"/>
            <w:vMerge/>
            <w:tcBorders>
              <w:top w:val="single" w:sz="4" w:space="0" w:color="auto"/>
              <w:left w:val="nil"/>
              <w:bottom w:val="single" w:sz="4" w:space="0" w:color="000000"/>
              <w:right w:val="single" w:sz="4" w:space="0" w:color="auto"/>
            </w:tcBorders>
            <w:vAlign w:val="center"/>
            <w:hideMark/>
          </w:tcPr>
          <w:p w14:paraId="68C58EEF" w14:textId="77777777" w:rsidR="00643332" w:rsidRPr="002F2D01" w:rsidRDefault="00643332" w:rsidP="00CB0E93">
            <w:pPr>
              <w:spacing w:before="0" w:after="0"/>
              <w:ind w:left="57" w:right="57"/>
              <w:rPr>
                <w:rFonts w:asciiTheme="majorHAnsi" w:hAnsiTheme="majorHAnsi" w:cs="Arial"/>
                <w:b/>
                <w:bCs/>
                <w:sz w:val="16"/>
                <w:szCs w:val="16"/>
              </w:rPr>
            </w:pPr>
          </w:p>
        </w:tc>
        <w:tc>
          <w:tcPr>
            <w:tcW w:w="1148" w:type="dxa"/>
            <w:vMerge/>
            <w:tcBorders>
              <w:top w:val="single" w:sz="4" w:space="0" w:color="auto"/>
              <w:left w:val="single" w:sz="4" w:space="0" w:color="auto"/>
              <w:bottom w:val="single" w:sz="4" w:space="0" w:color="000000"/>
              <w:right w:val="nil"/>
            </w:tcBorders>
            <w:vAlign w:val="center"/>
            <w:hideMark/>
          </w:tcPr>
          <w:p w14:paraId="7E094694" w14:textId="77777777" w:rsidR="00643332" w:rsidRPr="002F2D01" w:rsidRDefault="00643332" w:rsidP="00CB0E93">
            <w:pPr>
              <w:spacing w:before="0" w:after="0"/>
              <w:ind w:left="57" w:right="57"/>
              <w:rPr>
                <w:rFonts w:asciiTheme="majorHAnsi" w:hAnsiTheme="majorHAnsi" w:cs="Arial"/>
                <w:b/>
                <w:bCs/>
                <w:sz w:val="16"/>
                <w:szCs w:val="16"/>
              </w:rPr>
            </w:pPr>
          </w:p>
        </w:tc>
        <w:tc>
          <w:tcPr>
            <w:tcW w:w="1275" w:type="dxa"/>
            <w:vMerge/>
            <w:tcBorders>
              <w:top w:val="single" w:sz="4" w:space="0" w:color="auto"/>
              <w:left w:val="nil"/>
              <w:bottom w:val="single" w:sz="4" w:space="0" w:color="000000"/>
              <w:right w:val="single" w:sz="4" w:space="0" w:color="auto"/>
            </w:tcBorders>
            <w:vAlign w:val="center"/>
            <w:hideMark/>
          </w:tcPr>
          <w:p w14:paraId="44E5A137" w14:textId="77777777" w:rsidR="00643332" w:rsidRPr="002F2D01" w:rsidRDefault="00643332" w:rsidP="00CB0E93">
            <w:pPr>
              <w:spacing w:before="0" w:after="0"/>
              <w:ind w:left="57" w:right="57"/>
              <w:rPr>
                <w:rFonts w:asciiTheme="majorHAnsi" w:hAnsiTheme="majorHAnsi" w:cs="Arial"/>
                <w:b/>
                <w:bCs/>
                <w:sz w:val="16"/>
                <w:szCs w:val="16"/>
              </w:rPr>
            </w:pPr>
          </w:p>
        </w:tc>
        <w:tc>
          <w:tcPr>
            <w:tcW w:w="977" w:type="dxa"/>
            <w:tcBorders>
              <w:top w:val="nil"/>
              <w:left w:val="nil"/>
              <w:bottom w:val="single" w:sz="4" w:space="0" w:color="auto"/>
              <w:right w:val="nil"/>
            </w:tcBorders>
            <w:shd w:val="clear" w:color="000000" w:fill="FFFFFF"/>
            <w:vAlign w:val="bottom"/>
            <w:hideMark/>
          </w:tcPr>
          <w:p w14:paraId="386681CA" w14:textId="77777777"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(ha)</w:t>
            </w:r>
          </w:p>
        </w:tc>
        <w:tc>
          <w:tcPr>
            <w:tcW w:w="960" w:type="dxa"/>
            <w:tcBorders>
              <w:top w:val="nil"/>
              <w:left w:val="nil"/>
              <w:bottom w:val="single" w:sz="4" w:space="0" w:color="auto"/>
              <w:right w:val="single" w:sz="4" w:space="0" w:color="auto"/>
            </w:tcBorders>
            <w:shd w:val="clear" w:color="000000" w:fill="FFFFFF"/>
            <w:vAlign w:val="bottom"/>
            <w:hideMark/>
          </w:tcPr>
          <w:p w14:paraId="4F8DEECF" w14:textId="77777777" w:rsidR="00643332" w:rsidRPr="002F2D01" w:rsidRDefault="00643332"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w:t>
            </w:r>
          </w:p>
        </w:tc>
        <w:tc>
          <w:tcPr>
            <w:tcW w:w="1082" w:type="dxa"/>
            <w:vMerge/>
            <w:tcBorders>
              <w:top w:val="single" w:sz="4" w:space="0" w:color="auto"/>
              <w:left w:val="single" w:sz="4" w:space="0" w:color="auto"/>
              <w:bottom w:val="single" w:sz="4" w:space="0" w:color="000000"/>
            </w:tcBorders>
            <w:vAlign w:val="center"/>
            <w:hideMark/>
          </w:tcPr>
          <w:p w14:paraId="130F5F88" w14:textId="77777777" w:rsidR="00643332" w:rsidRPr="002F2D01" w:rsidRDefault="00643332" w:rsidP="00CB0E93">
            <w:pPr>
              <w:spacing w:before="0" w:after="0"/>
              <w:ind w:left="57" w:right="57"/>
              <w:rPr>
                <w:rFonts w:asciiTheme="majorHAnsi" w:hAnsiTheme="majorHAnsi" w:cs="Arial"/>
                <w:b/>
                <w:bCs/>
                <w:sz w:val="16"/>
                <w:szCs w:val="16"/>
              </w:rPr>
            </w:pPr>
          </w:p>
        </w:tc>
      </w:tr>
      <w:tr w:rsidR="00674019" w14:paraId="10B6AF19" w14:textId="77777777" w:rsidTr="004C0DDC">
        <w:trPr>
          <w:trHeight w:val="20"/>
        </w:trPr>
        <w:tc>
          <w:tcPr>
            <w:tcW w:w="2859" w:type="dxa"/>
            <w:tcBorders>
              <w:top w:val="nil"/>
              <w:bottom w:val="single" w:sz="4" w:space="0" w:color="auto"/>
              <w:right w:val="nil"/>
            </w:tcBorders>
            <w:shd w:val="clear" w:color="000000" w:fill="FFFFFF"/>
            <w:vAlign w:val="bottom"/>
            <w:hideMark/>
          </w:tcPr>
          <w:p w14:paraId="119E9C6C" w14:textId="7D479AB7" w:rsidR="00643332" w:rsidRPr="002F2D01" w:rsidRDefault="00643332" w:rsidP="00A1568A">
            <w:pPr>
              <w:spacing w:before="0" w:after="0"/>
              <w:ind w:left="57" w:right="57"/>
              <w:rPr>
                <w:rFonts w:asciiTheme="majorHAnsi" w:hAnsiTheme="majorHAnsi" w:cs="Arial"/>
                <w:b/>
                <w:bCs/>
                <w:sz w:val="16"/>
                <w:szCs w:val="16"/>
              </w:rPr>
            </w:pPr>
            <w:r w:rsidRPr="000C4F22">
              <w:rPr>
                <w:rFonts w:asciiTheme="majorHAnsi" w:hAnsiTheme="majorHAnsi" w:cs="Arial"/>
                <w:b/>
                <w:bCs/>
                <w:spacing w:val="-2"/>
                <w:sz w:val="16"/>
                <w:szCs w:val="16"/>
              </w:rPr>
              <w:t xml:space="preserve">Column </w:t>
            </w:r>
            <w:r w:rsidR="00FF7062" w:rsidRPr="000C4F22">
              <w:rPr>
                <w:rFonts w:asciiTheme="majorHAnsi" w:hAnsiTheme="majorHAnsi" w:cs="Arial"/>
                <w:b/>
                <w:bCs/>
                <w:spacing w:val="-2"/>
                <w:sz w:val="16"/>
                <w:szCs w:val="16"/>
              </w:rPr>
              <w:t>code</w:t>
            </w:r>
            <w:r w:rsidR="00FF7062">
              <w:rPr>
                <w:rFonts w:asciiTheme="majorHAnsi" w:hAnsiTheme="majorHAnsi" w:cs="Arial"/>
                <w:b/>
                <w:bCs/>
                <w:spacing w:val="-2"/>
                <w:sz w:val="16"/>
                <w:szCs w:val="16"/>
              </w:rPr>
              <w:t>,</w:t>
            </w:r>
            <w:r w:rsidR="00FF7062" w:rsidRPr="000C4F22">
              <w:rPr>
                <w:rFonts w:asciiTheme="majorHAnsi" w:hAnsiTheme="majorHAnsi" w:cs="Arial"/>
                <w:b/>
                <w:bCs/>
                <w:spacing w:val="-2"/>
                <w:sz w:val="16"/>
                <w:szCs w:val="16"/>
              </w:rPr>
              <w:t xml:space="preserve"> contin</w:t>
            </w:r>
            <w:r w:rsidR="00803CE1">
              <w:rPr>
                <w:rFonts w:asciiTheme="majorHAnsi" w:hAnsiTheme="majorHAnsi" w:cs="Arial"/>
                <w:b/>
                <w:bCs/>
                <w:spacing w:val="-2"/>
                <w:sz w:val="16"/>
                <w:szCs w:val="16"/>
              </w:rPr>
              <w:t>u</w:t>
            </w:r>
            <w:r w:rsidR="00FF7062">
              <w:rPr>
                <w:rFonts w:asciiTheme="majorHAnsi" w:hAnsiTheme="majorHAnsi" w:cs="Arial"/>
                <w:b/>
                <w:bCs/>
                <w:spacing w:val="-2"/>
                <w:sz w:val="16"/>
                <w:szCs w:val="16"/>
              </w:rPr>
              <w:t>ing</w:t>
            </w:r>
            <w:r w:rsidR="00FF7062" w:rsidRPr="000C4F22">
              <w:rPr>
                <w:rFonts w:asciiTheme="majorHAnsi" w:hAnsiTheme="majorHAnsi" w:cs="Arial"/>
                <w:b/>
                <w:bCs/>
                <w:spacing w:val="-2"/>
                <w:sz w:val="16"/>
                <w:szCs w:val="16"/>
              </w:rPr>
              <w:t xml:space="preserve"> </w:t>
            </w:r>
            <w:r w:rsidR="00430B52" w:rsidRPr="000C4F22">
              <w:rPr>
                <w:rFonts w:asciiTheme="majorHAnsi" w:hAnsiTheme="majorHAnsi" w:cs="Arial"/>
                <w:b/>
                <w:bCs/>
                <w:spacing w:val="-2"/>
                <w:sz w:val="16"/>
                <w:szCs w:val="16"/>
              </w:rPr>
              <w:t xml:space="preserve">from </w:t>
            </w:r>
            <w:r w:rsidR="00803CE1">
              <w:rPr>
                <w:rFonts w:asciiTheme="majorHAnsi" w:hAnsiTheme="majorHAnsi" w:cs="Arial"/>
                <w:b/>
                <w:bCs/>
                <w:spacing w:val="-2"/>
                <w:sz w:val="16"/>
                <w:szCs w:val="16"/>
              </w:rPr>
              <w:t>previous tables</w:t>
            </w:r>
            <w:r w:rsidR="000C4F22" w:rsidRPr="000C4F22">
              <w:rPr>
                <w:rFonts w:asciiTheme="majorHAnsi" w:hAnsiTheme="majorHAnsi" w:cs="Arial"/>
                <w:b/>
                <w:bCs/>
                <w:spacing w:val="-2"/>
                <w:sz w:val="16"/>
                <w:szCs w:val="16"/>
              </w:rPr>
              <w:t xml:space="preserve"> </w:t>
            </w:r>
            <w:r w:rsidR="00430B52" w:rsidRPr="000C4F22">
              <w:rPr>
                <w:rFonts w:asciiTheme="majorHAnsi" w:hAnsiTheme="majorHAnsi" w:cs="Arial"/>
                <w:b/>
                <w:bCs/>
                <w:position w:val="4"/>
                <w:sz w:val="16"/>
                <w:szCs w:val="16"/>
              </w:rPr>
              <w:t>a</w:t>
            </w:r>
            <w:r w:rsidRPr="002F2D01">
              <w:rPr>
                <w:rFonts w:asciiTheme="majorHAnsi" w:hAnsiTheme="majorHAnsi" w:cs="Arial"/>
                <w:b/>
                <w:bCs/>
                <w:sz w:val="16"/>
                <w:szCs w:val="16"/>
              </w:rPr>
              <w:br/>
            </w:r>
            <w:r w:rsidRPr="002F2D01">
              <w:rPr>
                <w:rFonts w:asciiTheme="majorHAnsi" w:hAnsiTheme="majorHAnsi" w:cs="Arial"/>
                <w:sz w:val="16"/>
                <w:szCs w:val="16"/>
              </w:rPr>
              <w:t>Derivation of figures</w:t>
            </w:r>
          </w:p>
        </w:tc>
        <w:tc>
          <w:tcPr>
            <w:tcW w:w="1065" w:type="dxa"/>
            <w:tcBorders>
              <w:top w:val="nil"/>
              <w:left w:val="single" w:sz="4" w:space="0" w:color="auto"/>
              <w:bottom w:val="single" w:sz="4" w:space="0" w:color="auto"/>
              <w:right w:val="single" w:sz="4" w:space="0" w:color="auto"/>
            </w:tcBorders>
            <w:shd w:val="clear" w:color="000000" w:fill="FFFFFF"/>
            <w:hideMark/>
          </w:tcPr>
          <w:p w14:paraId="0CE39130" w14:textId="77777777" w:rsidR="00643332" w:rsidRPr="002F2D01" w:rsidRDefault="00643332"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A</w:t>
            </w:r>
          </w:p>
        </w:tc>
        <w:tc>
          <w:tcPr>
            <w:tcW w:w="1048" w:type="dxa"/>
            <w:tcBorders>
              <w:top w:val="nil"/>
              <w:left w:val="nil"/>
              <w:bottom w:val="single" w:sz="4" w:space="0" w:color="auto"/>
              <w:right w:val="single" w:sz="4" w:space="0" w:color="auto"/>
            </w:tcBorders>
            <w:shd w:val="clear" w:color="000000" w:fill="FFFFFF"/>
            <w:hideMark/>
          </w:tcPr>
          <w:p w14:paraId="11458986" w14:textId="77777777" w:rsidR="00643332" w:rsidRPr="002F2D01" w:rsidRDefault="00643332"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E</w:t>
            </w:r>
          </w:p>
        </w:tc>
        <w:tc>
          <w:tcPr>
            <w:tcW w:w="1113" w:type="dxa"/>
            <w:tcBorders>
              <w:top w:val="nil"/>
              <w:left w:val="nil"/>
              <w:bottom w:val="single" w:sz="4" w:space="0" w:color="auto"/>
              <w:right w:val="nil"/>
            </w:tcBorders>
            <w:shd w:val="clear" w:color="000000" w:fill="FFFFFF"/>
            <w:hideMark/>
          </w:tcPr>
          <w:p w14:paraId="33B99E2A" w14:textId="77777777" w:rsidR="00643332" w:rsidRPr="002F2D01" w:rsidRDefault="00643332"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Q</w:t>
            </w:r>
          </w:p>
        </w:tc>
        <w:tc>
          <w:tcPr>
            <w:tcW w:w="1254" w:type="dxa"/>
            <w:tcBorders>
              <w:top w:val="nil"/>
              <w:left w:val="nil"/>
              <w:bottom w:val="single" w:sz="4" w:space="0" w:color="auto"/>
              <w:right w:val="nil"/>
            </w:tcBorders>
            <w:shd w:val="clear" w:color="000000" w:fill="FFFFFF"/>
            <w:hideMark/>
          </w:tcPr>
          <w:p w14:paraId="72F58BD8" w14:textId="77777777" w:rsidR="00643332" w:rsidRPr="002F2D01" w:rsidRDefault="00643332"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R</w:t>
            </w:r>
          </w:p>
        </w:tc>
        <w:tc>
          <w:tcPr>
            <w:tcW w:w="1395" w:type="dxa"/>
            <w:tcBorders>
              <w:top w:val="nil"/>
              <w:left w:val="nil"/>
              <w:bottom w:val="single" w:sz="4" w:space="0" w:color="auto"/>
              <w:right w:val="single" w:sz="4" w:space="0" w:color="auto"/>
            </w:tcBorders>
            <w:shd w:val="clear" w:color="000000" w:fill="FFFFFF"/>
            <w:hideMark/>
          </w:tcPr>
          <w:p w14:paraId="5102CE76" w14:textId="042B9885" w:rsidR="00643332" w:rsidRPr="002F2D01" w:rsidRDefault="00643332" w:rsidP="00A1568A">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S</w:t>
            </w:r>
            <w:r w:rsidRPr="002F2D01">
              <w:rPr>
                <w:rFonts w:asciiTheme="majorHAnsi" w:hAnsiTheme="majorHAnsi" w:cs="Arial"/>
                <w:b/>
                <w:bCs/>
                <w:sz w:val="16"/>
                <w:szCs w:val="16"/>
              </w:rPr>
              <w:br/>
            </w:r>
            <w:r w:rsidR="00A1568A">
              <w:rPr>
                <w:rFonts w:asciiTheme="majorHAnsi" w:hAnsiTheme="majorHAnsi" w:cs="Arial"/>
                <w:sz w:val="16"/>
                <w:szCs w:val="16"/>
              </w:rPr>
              <w:t>=R/Q</w:t>
            </w:r>
          </w:p>
        </w:tc>
        <w:tc>
          <w:tcPr>
            <w:tcW w:w="1148" w:type="dxa"/>
            <w:tcBorders>
              <w:top w:val="nil"/>
              <w:left w:val="nil"/>
              <w:bottom w:val="single" w:sz="4" w:space="0" w:color="auto"/>
              <w:right w:val="nil"/>
            </w:tcBorders>
            <w:shd w:val="clear" w:color="000000" w:fill="FFFFFF"/>
            <w:hideMark/>
          </w:tcPr>
          <w:p w14:paraId="73B75B68" w14:textId="77777777" w:rsidR="00643332" w:rsidRPr="002F2D01" w:rsidRDefault="00643332"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T</w:t>
            </w:r>
          </w:p>
        </w:tc>
        <w:tc>
          <w:tcPr>
            <w:tcW w:w="1275" w:type="dxa"/>
            <w:tcBorders>
              <w:top w:val="nil"/>
              <w:left w:val="nil"/>
              <w:bottom w:val="single" w:sz="4" w:space="0" w:color="auto"/>
              <w:right w:val="nil"/>
            </w:tcBorders>
            <w:shd w:val="clear" w:color="000000" w:fill="FFFFFF"/>
            <w:hideMark/>
          </w:tcPr>
          <w:p w14:paraId="5C3A9D1D" w14:textId="338E4262" w:rsidR="00643332" w:rsidRPr="002F2D01" w:rsidRDefault="00643332" w:rsidP="00A1568A">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U</w:t>
            </w:r>
            <w:r w:rsidRPr="002F2D01">
              <w:rPr>
                <w:rFonts w:asciiTheme="majorHAnsi" w:hAnsiTheme="majorHAnsi" w:cs="Arial"/>
                <w:b/>
                <w:bCs/>
                <w:sz w:val="16"/>
                <w:szCs w:val="16"/>
              </w:rPr>
              <w:br/>
            </w:r>
            <w:r w:rsidR="00A1568A">
              <w:rPr>
                <w:rFonts w:asciiTheme="majorHAnsi" w:hAnsiTheme="majorHAnsi" w:cs="Arial"/>
                <w:sz w:val="16"/>
                <w:szCs w:val="16"/>
              </w:rPr>
              <w:t>=T/Q</w:t>
            </w:r>
          </w:p>
        </w:tc>
        <w:tc>
          <w:tcPr>
            <w:tcW w:w="977" w:type="dxa"/>
            <w:tcBorders>
              <w:top w:val="nil"/>
              <w:left w:val="single" w:sz="4" w:space="0" w:color="auto"/>
              <w:bottom w:val="single" w:sz="4" w:space="0" w:color="auto"/>
              <w:right w:val="nil"/>
            </w:tcBorders>
            <w:shd w:val="clear" w:color="000000" w:fill="FFFFFF"/>
            <w:hideMark/>
          </w:tcPr>
          <w:p w14:paraId="4FAA56F2" w14:textId="69C00740" w:rsidR="00643332" w:rsidRPr="002F2D01" w:rsidRDefault="00643332" w:rsidP="00A1568A">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V</w:t>
            </w:r>
            <w:r w:rsidRPr="002F2D01">
              <w:rPr>
                <w:rFonts w:asciiTheme="majorHAnsi" w:hAnsiTheme="majorHAnsi" w:cs="Arial"/>
                <w:b/>
                <w:bCs/>
                <w:sz w:val="16"/>
                <w:szCs w:val="16"/>
              </w:rPr>
              <w:br/>
            </w:r>
            <w:r w:rsidR="00A1568A">
              <w:rPr>
                <w:rFonts w:asciiTheme="majorHAnsi" w:hAnsiTheme="majorHAnsi" w:cs="Arial"/>
                <w:sz w:val="16"/>
                <w:szCs w:val="16"/>
              </w:rPr>
              <w:t>=T-R</w:t>
            </w:r>
          </w:p>
        </w:tc>
        <w:tc>
          <w:tcPr>
            <w:tcW w:w="960" w:type="dxa"/>
            <w:tcBorders>
              <w:top w:val="nil"/>
              <w:left w:val="nil"/>
              <w:bottom w:val="single" w:sz="4" w:space="0" w:color="auto"/>
              <w:right w:val="single" w:sz="4" w:space="0" w:color="auto"/>
            </w:tcBorders>
            <w:shd w:val="clear" w:color="000000" w:fill="FFFFFF"/>
            <w:hideMark/>
          </w:tcPr>
          <w:p w14:paraId="54D673F4" w14:textId="4ADDBE43" w:rsidR="00643332" w:rsidRPr="002F2D01" w:rsidRDefault="00643332" w:rsidP="00A1568A">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W</w:t>
            </w:r>
            <w:r w:rsidRPr="002F2D01">
              <w:rPr>
                <w:rFonts w:asciiTheme="majorHAnsi" w:hAnsiTheme="majorHAnsi" w:cs="Arial"/>
                <w:b/>
                <w:bCs/>
                <w:sz w:val="16"/>
                <w:szCs w:val="16"/>
              </w:rPr>
              <w:br/>
            </w:r>
            <w:r w:rsidR="00A1568A">
              <w:rPr>
                <w:rFonts w:asciiTheme="majorHAnsi" w:hAnsiTheme="majorHAnsi" w:cs="Arial"/>
                <w:sz w:val="16"/>
                <w:szCs w:val="16"/>
              </w:rPr>
              <w:t>=V/R</w:t>
            </w:r>
          </w:p>
        </w:tc>
        <w:tc>
          <w:tcPr>
            <w:tcW w:w="1082" w:type="dxa"/>
            <w:tcBorders>
              <w:top w:val="nil"/>
              <w:left w:val="nil"/>
              <w:bottom w:val="single" w:sz="4" w:space="0" w:color="auto"/>
            </w:tcBorders>
            <w:shd w:val="clear" w:color="000000" w:fill="FFFFFF"/>
            <w:hideMark/>
          </w:tcPr>
          <w:p w14:paraId="422B4303" w14:textId="77777777" w:rsidR="00643332" w:rsidRPr="002F2D01" w:rsidRDefault="00643332"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 </w:t>
            </w:r>
          </w:p>
        </w:tc>
      </w:tr>
      <w:tr w:rsidR="00643332" w14:paraId="6FCF9A72" w14:textId="77777777" w:rsidTr="004C0DDC">
        <w:trPr>
          <w:trHeight w:val="227"/>
        </w:trPr>
        <w:tc>
          <w:tcPr>
            <w:tcW w:w="14176" w:type="dxa"/>
            <w:gridSpan w:val="11"/>
            <w:tcBorders>
              <w:top w:val="single" w:sz="4" w:space="0" w:color="auto"/>
              <w:bottom w:val="single" w:sz="4" w:space="0" w:color="auto"/>
            </w:tcBorders>
            <w:shd w:val="clear" w:color="auto" w:fill="auto"/>
            <w:vAlign w:val="center"/>
            <w:hideMark/>
          </w:tcPr>
          <w:p w14:paraId="4B67FFDD" w14:textId="77777777" w:rsidR="00643332" w:rsidRPr="002F2D01" w:rsidRDefault="0064333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New South Wales</w:t>
            </w:r>
          </w:p>
        </w:tc>
      </w:tr>
      <w:tr w:rsidR="00674019" w14:paraId="2CCD13DD" w14:textId="77777777" w:rsidTr="004C0DDC">
        <w:trPr>
          <w:trHeight w:val="227"/>
        </w:trPr>
        <w:tc>
          <w:tcPr>
            <w:tcW w:w="2859" w:type="dxa"/>
            <w:tcBorders>
              <w:top w:val="nil"/>
              <w:bottom w:val="nil"/>
              <w:right w:val="single" w:sz="4" w:space="0" w:color="auto"/>
            </w:tcBorders>
            <w:shd w:val="clear" w:color="000000" w:fill="FFFFFF"/>
            <w:noWrap/>
            <w:vAlign w:val="center"/>
            <w:hideMark/>
          </w:tcPr>
          <w:p w14:paraId="0A650D77"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Eden</w:t>
            </w:r>
          </w:p>
        </w:tc>
        <w:tc>
          <w:tcPr>
            <w:tcW w:w="1065" w:type="dxa"/>
            <w:tcBorders>
              <w:top w:val="nil"/>
              <w:left w:val="nil"/>
              <w:bottom w:val="nil"/>
              <w:right w:val="single" w:sz="4" w:space="0" w:color="auto"/>
            </w:tcBorders>
            <w:shd w:val="clear" w:color="auto" w:fill="FFFFFF" w:themeFill="background1"/>
            <w:noWrap/>
            <w:vAlign w:val="center"/>
            <w:hideMark/>
          </w:tcPr>
          <w:p w14:paraId="61C2400E"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814,000</w:t>
            </w:r>
          </w:p>
        </w:tc>
        <w:tc>
          <w:tcPr>
            <w:tcW w:w="1048" w:type="dxa"/>
            <w:tcBorders>
              <w:top w:val="nil"/>
              <w:left w:val="nil"/>
              <w:bottom w:val="nil"/>
              <w:right w:val="single" w:sz="4" w:space="0" w:color="auto"/>
            </w:tcBorders>
            <w:shd w:val="clear" w:color="auto" w:fill="FFFFFF" w:themeFill="background1"/>
            <w:noWrap/>
            <w:vAlign w:val="center"/>
            <w:hideMark/>
          </w:tcPr>
          <w:p w14:paraId="74205145"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533,412</w:t>
            </w:r>
          </w:p>
        </w:tc>
        <w:tc>
          <w:tcPr>
            <w:tcW w:w="1113" w:type="dxa"/>
            <w:tcBorders>
              <w:top w:val="nil"/>
              <w:left w:val="nil"/>
              <w:bottom w:val="nil"/>
              <w:right w:val="nil"/>
            </w:tcBorders>
            <w:shd w:val="clear" w:color="auto" w:fill="FFFFFF" w:themeFill="background1"/>
            <w:noWrap/>
            <w:vAlign w:val="center"/>
            <w:hideMark/>
          </w:tcPr>
          <w:p w14:paraId="16DAAB65"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98,326</w:t>
            </w:r>
          </w:p>
        </w:tc>
        <w:tc>
          <w:tcPr>
            <w:tcW w:w="1254" w:type="dxa"/>
            <w:tcBorders>
              <w:top w:val="nil"/>
              <w:left w:val="nil"/>
              <w:bottom w:val="nil"/>
              <w:right w:val="nil"/>
            </w:tcBorders>
            <w:shd w:val="clear" w:color="auto" w:fill="FFFFFF" w:themeFill="background1"/>
            <w:noWrap/>
            <w:vAlign w:val="center"/>
            <w:hideMark/>
          </w:tcPr>
          <w:p w14:paraId="5DEE07BF"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47,032</w:t>
            </w:r>
          </w:p>
        </w:tc>
        <w:tc>
          <w:tcPr>
            <w:tcW w:w="139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FAC2439"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48</w:t>
            </w:r>
          </w:p>
        </w:tc>
        <w:tc>
          <w:tcPr>
            <w:tcW w:w="1148" w:type="dxa"/>
            <w:tcBorders>
              <w:top w:val="nil"/>
              <w:left w:val="nil"/>
              <w:bottom w:val="nil"/>
              <w:right w:val="nil"/>
            </w:tcBorders>
            <w:shd w:val="clear" w:color="auto" w:fill="FFFFFF" w:themeFill="background1"/>
            <w:noWrap/>
            <w:vAlign w:val="center"/>
            <w:hideMark/>
          </w:tcPr>
          <w:p w14:paraId="59F65F85"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69,596</w:t>
            </w:r>
          </w:p>
        </w:tc>
        <w:tc>
          <w:tcPr>
            <w:tcW w:w="127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5BBB4FBA"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71</w:t>
            </w:r>
          </w:p>
        </w:tc>
        <w:tc>
          <w:tcPr>
            <w:tcW w:w="977" w:type="dxa"/>
            <w:tcBorders>
              <w:top w:val="nil"/>
              <w:left w:val="nil"/>
              <w:bottom w:val="nil"/>
              <w:right w:val="nil"/>
            </w:tcBorders>
            <w:shd w:val="clear" w:color="auto" w:fill="FFFFFF" w:themeFill="background1"/>
            <w:noWrap/>
            <w:vAlign w:val="center"/>
            <w:hideMark/>
          </w:tcPr>
          <w:p w14:paraId="3BEE6751"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22,564</w:t>
            </w:r>
          </w:p>
        </w:tc>
        <w:tc>
          <w:tcPr>
            <w:tcW w:w="96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3FE529C"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48</w:t>
            </w:r>
          </w:p>
        </w:tc>
        <w:tc>
          <w:tcPr>
            <w:tcW w:w="1082"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0EB40FC1"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47</w:t>
            </w:r>
          </w:p>
        </w:tc>
      </w:tr>
      <w:tr w:rsidR="00674019" w14:paraId="1383DED4" w14:textId="77777777" w:rsidTr="004C0DDC">
        <w:trPr>
          <w:trHeight w:val="227"/>
        </w:trPr>
        <w:tc>
          <w:tcPr>
            <w:tcW w:w="2859" w:type="dxa"/>
            <w:tcBorders>
              <w:top w:val="nil"/>
              <w:bottom w:val="nil"/>
              <w:right w:val="single" w:sz="4" w:space="0" w:color="auto"/>
            </w:tcBorders>
            <w:shd w:val="clear" w:color="000000" w:fill="FFFFFF"/>
            <w:noWrap/>
            <w:vAlign w:val="center"/>
            <w:hideMark/>
          </w:tcPr>
          <w:p w14:paraId="527FDA54"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Upper North East</w:t>
            </w:r>
          </w:p>
        </w:tc>
        <w:tc>
          <w:tcPr>
            <w:tcW w:w="1065" w:type="dxa"/>
            <w:tcBorders>
              <w:top w:val="nil"/>
              <w:left w:val="nil"/>
              <w:bottom w:val="nil"/>
              <w:right w:val="single" w:sz="4" w:space="0" w:color="auto"/>
            </w:tcBorders>
            <w:shd w:val="clear" w:color="auto" w:fill="FFFFFF" w:themeFill="background1"/>
            <w:noWrap/>
            <w:vAlign w:val="center"/>
            <w:hideMark/>
          </w:tcPr>
          <w:p w14:paraId="0DE7A894"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3,907,000</w:t>
            </w:r>
          </w:p>
        </w:tc>
        <w:tc>
          <w:tcPr>
            <w:tcW w:w="1048" w:type="dxa"/>
            <w:tcBorders>
              <w:top w:val="nil"/>
              <w:left w:val="nil"/>
              <w:bottom w:val="nil"/>
              <w:right w:val="single" w:sz="4" w:space="0" w:color="auto"/>
            </w:tcBorders>
            <w:shd w:val="clear" w:color="auto" w:fill="FFFFFF" w:themeFill="background1"/>
            <w:noWrap/>
            <w:vAlign w:val="center"/>
            <w:hideMark/>
          </w:tcPr>
          <w:p w14:paraId="0B3AE400"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2,166,601</w:t>
            </w:r>
          </w:p>
        </w:tc>
        <w:tc>
          <w:tcPr>
            <w:tcW w:w="1113" w:type="dxa"/>
            <w:tcBorders>
              <w:top w:val="nil"/>
              <w:left w:val="nil"/>
              <w:bottom w:val="nil"/>
              <w:right w:val="nil"/>
            </w:tcBorders>
            <w:shd w:val="clear" w:color="auto" w:fill="FFFFFF" w:themeFill="background1"/>
            <w:noWrap/>
            <w:vAlign w:val="center"/>
            <w:hideMark/>
          </w:tcPr>
          <w:p w14:paraId="6D498A3F"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654,599</w:t>
            </w:r>
          </w:p>
        </w:tc>
        <w:tc>
          <w:tcPr>
            <w:tcW w:w="1254" w:type="dxa"/>
            <w:tcBorders>
              <w:top w:val="nil"/>
              <w:left w:val="nil"/>
              <w:bottom w:val="nil"/>
              <w:right w:val="nil"/>
            </w:tcBorders>
            <w:shd w:val="clear" w:color="auto" w:fill="FFFFFF" w:themeFill="background1"/>
            <w:noWrap/>
            <w:vAlign w:val="center"/>
            <w:hideMark/>
          </w:tcPr>
          <w:p w14:paraId="39498035"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127,010</w:t>
            </w:r>
          </w:p>
        </w:tc>
        <w:tc>
          <w:tcPr>
            <w:tcW w:w="139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53C84BB1"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19</w:t>
            </w:r>
          </w:p>
        </w:tc>
        <w:tc>
          <w:tcPr>
            <w:tcW w:w="1148" w:type="dxa"/>
            <w:tcBorders>
              <w:top w:val="nil"/>
              <w:left w:val="nil"/>
              <w:bottom w:val="nil"/>
              <w:right w:val="nil"/>
            </w:tcBorders>
            <w:shd w:val="clear" w:color="auto" w:fill="FFFFFF" w:themeFill="background1"/>
            <w:noWrap/>
            <w:vAlign w:val="center"/>
            <w:hideMark/>
          </w:tcPr>
          <w:p w14:paraId="460CA85B"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371,125</w:t>
            </w:r>
          </w:p>
        </w:tc>
        <w:tc>
          <w:tcPr>
            <w:tcW w:w="127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EA389D7"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977" w:type="dxa"/>
            <w:tcBorders>
              <w:top w:val="nil"/>
              <w:left w:val="nil"/>
              <w:bottom w:val="nil"/>
              <w:right w:val="nil"/>
            </w:tcBorders>
            <w:shd w:val="clear" w:color="auto" w:fill="FFFFFF" w:themeFill="background1"/>
            <w:noWrap/>
            <w:vAlign w:val="center"/>
            <w:hideMark/>
          </w:tcPr>
          <w:p w14:paraId="12EBF4B2"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244,115</w:t>
            </w:r>
          </w:p>
        </w:tc>
        <w:tc>
          <w:tcPr>
            <w:tcW w:w="96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117003F"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192</w:t>
            </w:r>
          </w:p>
        </w:tc>
        <w:tc>
          <w:tcPr>
            <w:tcW w:w="1082"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6A713179"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144</w:t>
            </w:r>
          </w:p>
        </w:tc>
      </w:tr>
      <w:tr w:rsidR="00674019" w14:paraId="401DF8BA" w14:textId="77777777" w:rsidTr="004C0DDC">
        <w:trPr>
          <w:trHeight w:val="227"/>
        </w:trPr>
        <w:tc>
          <w:tcPr>
            <w:tcW w:w="2859" w:type="dxa"/>
            <w:tcBorders>
              <w:top w:val="nil"/>
              <w:bottom w:val="nil"/>
              <w:right w:val="single" w:sz="4" w:space="0" w:color="auto"/>
            </w:tcBorders>
            <w:shd w:val="clear" w:color="000000" w:fill="FFFFFF"/>
            <w:noWrap/>
            <w:vAlign w:val="center"/>
            <w:hideMark/>
          </w:tcPr>
          <w:p w14:paraId="45083139"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Lower North East</w:t>
            </w:r>
          </w:p>
        </w:tc>
        <w:tc>
          <w:tcPr>
            <w:tcW w:w="1065" w:type="dxa"/>
            <w:tcBorders>
              <w:top w:val="nil"/>
              <w:left w:val="nil"/>
              <w:bottom w:val="nil"/>
              <w:right w:val="single" w:sz="4" w:space="0" w:color="auto"/>
            </w:tcBorders>
            <w:shd w:val="clear" w:color="auto" w:fill="FFFFFF" w:themeFill="background1"/>
            <w:noWrap/>
            <w:vAlign w:val="center"/>
            <w:hideMark/>
          </w:tcPr>
          <w:p w14:paraId="6655391D"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5,790,000</w:t>
            </w:r>
          </w:p>
        </w:tc>
        <w:tc>
          <w:tcPr>
            <w:tcW w:w="1048" w:type="dxa"/>
            <w:tcBorders>
              <w:top w:val="nil"/>
              <w:left w:val="nil"/>
              <w:bottom w:val="nil"/>
              <w:right w:val="single" w:sz="4" w:space="0" w:color="auto"/>
            </w:tcBorders>
            <w:shd w:val="clear" w:color="auto" w:fill="FFFFFF" w:themeFill="background1"/>
            <w:noWrap/>
            <w:vAlign w:val="center"/>
            <w:hideMark/>
          </w:tcPr>
          <w:p w14:paraId="6E7CEC77"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3,174,598</w:t>
            </w:r>
          </w:p>
        </w:tc>
        <w:tc>
          <w:tcPr>
            <w:tcW w:w="1113" w:type="dxa"/>
            <w:tcBorders>
              <w:top w:val="nil"/>
              <w:left w:val="nil"/>
              <w:bottom w:val="nil"/>
              <w:right w:val="nil"/>
            </w:tcBorders>
            <w:shd w:val="clear" w:color="auto" w:fill="FFFFFF" w:themeFill="background1"/>
            <w:noWrap/>
            <w:vAlign w:val="center"/>
            <w:hideMark/>
          </w:tcPr>
          <w:p w14:paraId="498896C1"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1,030,023</w:t>
            </w:r>
          </w:p>
        </w:tc>
        <w:tc>
          <w:tcPr>
            <w:tcW w:w="1254" w:type="dxa"/>
            <w:tcBorders>
              <w:top w:val="nil"/>
              <w:left w:val="nil"/>
              <w:bottom w:val="nil"/>
              <w:right w:val="nil"/>
            </w:tcBorders>
            <w:shd w:val="clear" w:color="auto" w:fill="FFFFFF" w:themeFill="background1"/>
            <w:noWrap/>
            <w:vAlign w:val="center"/>
            <w:hideMark/>
          </w:tcPr>
          <w:p w14:paraId="180C37F7"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532,859</w:t>
            </w:r>
          </w:p>
        </w:tc>
        <w:tc>
          <w:tcPr>
            <w:tcW w:w="139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27CBCE02"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52</w:t>
            </w:r>
          </w:p>
        </w:tc>
        <w:tc>
          <w:tcPr>
            <w:tcW w:w="1148" w:type="dxa"/>
            <w:tcBorders>
              <w:top w:val="nil"/>
              <w:left w:val="nil"/>
              <w:bottom w:val="nil"/>
              <w:right w:val="nil"/>
            </w:tcBorders>
            <w:shd w:val="clear" w:color="auto" w:fill="FFFFFF" w:themeFill="background1"/>
            <w:noWrap/>
            <w:vAlign w:val="center"/>
            <w:hideMark/>
          </w:tcPr>
          <w:p w14:paraId="50AADCF2"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738,989</w:t>
            </w:r>
          </w:p>
        </w:tc>
        <w:tc>
          <w:tcPr>
            <w:tcW w:w="127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5EB0EEC"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72</w:t>
            </w:r>
          </w:p>
        </w:tc>
        <w:tc>
          <w:tcPr>
            <w:tcW w:w="977" w:type="dxa"/>
            <w:tcBorders>
              <w:top w:val="nil"/>
              <w:left w:val="nil"/>
              <w:bottom w:val="nil"/>
              <w:right w:val="nil"/>
            </w:tcBorders>
            <w:shd w:val="clear" w:color="auto" w:fill="FFFFFF" w:themeFill="background1"/>
            <w:noWrap/>
            <w:vAlign w:val="center"/>
            <w:hideMark/>
          </w:tcPr>
          <w:p w14:paraId="65A859DC"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206,130</w:t>
            </w:r>
          </w:p>
        </w:tc>
        <w:tc>
          <w:tcPr>
            <w:tcW w:w="96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68C3CDE"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39</w:t>
            </w:r>
          </w:p>
        </w:tc>
        <w:tc>
          <w:tcPr>
            <w:tcW w:w="1082"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4D07D25C"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179</w:t>
            </w:r>
          </w:p>
        </w:tc>
      </w:tr>
      <w:tr w:rsidR="00674019" w14:paraId="2BB87E71" w14:textId="77777777" w:rsidTr="004C0DDC">
        <w:trPr>
          <w:trHeight w:val="227"/>
        </w:trPr>
        <w:tc>
          <w:tcPr>
            <w:tcW w:w="2859" w:type="dxa"/>
            <w:tcBorders>
              <w:top w:val="nil"/>
              <w:bottom w:val="nil"/>
              <w:right w:val="single" w:sz="4" w:space="0" w:color="auto"/>
            </w:tcBorders>
            <w:shd w:val="clear" w:color="000000" w:fill="FFFFFF"/>
            <w:noWrap/>
            <w:vAlign w:val="center"/>
            <w:hideMark/>
          </w:tcPr>
          <w:p w14:paraId="58DBC139"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Southern NSW</w:t>
            </w:r>
          </w:p>
        </w:tc>
        <w:tc>
          <w:tcPr>
            <w:tcW w:w="1065" w:type="dxa"/>
            <w:tcBorders>
              <w:top w:val="nil"/>
              <w:left w:val="nil"/>
              <w:bottom w:val="nil"/>
              <w:right w:val="single" w:sz="4" w:space="0" w:color="auto"/>
            </w:tcBorders>
            <w:shd w:val="clear" w:color="auto" w:fill="FFFFFF" w:themeFill="background1"/>
            <w:noWrap/>
            <w:vAlign w:val="center"/>
            <w:hideMark/>
          </w:tcPr>
          <w:p w14:paraId="019096C1"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4,512,000</w:t>
            </w:r>
          </w:p>
        </w:tc>
        <w:tc>
          <w:tcPr>
            <w:tcW w:w="1048" w:type="dxa"/>
            <w:tcBorders>
              <w:top w:val="nil"/>
              <w:left w:val="nil"/>
              <w:bottom w:val="nil"/>
              <w:right w:val="single" w:sz="4" w:space="0" w:color="auto"/>
            </w:tcBorders>
            <w:shd w:val="clear" w:color="auto" w:fill="FFFFFF" w:themeFill="background1"/>
            <w:noWrap/>
            <w:vAlign w:val="center"/>
            <w:hideMark/>
          </w:tcPr>
          <w:p w14:paraId="22F424EF"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2,445,600</w:t>
            </w:r>
          </w:p>
        </w:tc>
        <w:tc>
          <w:tcPr>
            <w:tcW w:w="1113" w:type="dxa"/>
            <w:tcBorders>
              <w:top w:val="nil"/>
              <w:left w:val="nil"/>
              <w:bottom w:val="nil"/>
              <w:right w:val="nil"/>
            </w:tcBorders>
            <w:shd w:val="clear" w:color="auto" w:fill="FFFFFF" w:themeFill="background1"/>
            <w:noWrap/>
            <w:vAlign w:val="center"/>
            <w:hideMark/>
          </w:tcPr>
          <w:p w14:paraId="0B39AEDC"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753,412</w:t>
            </w:r>
          </w:p>
        </w:tc>
        <w:tc>
          <w:tcPr>
            <w:tcW w:w="1254" w:type="dxa"/>
            <w:tcBorders>
              <w:top w:val="nil"/>
              <w:left w:val="nil"/>
              <w:bottom w:val="nil"/>
              <w:right w:val="nil"/>
            </w:tcBorders>
            <w:shd w:val="clear" w:color="auto" w:fill="FFFFFF" w:themeFill="background1"/>
            <w:noWrap/>
            <w:vAlign w:val="center"/>
            <w:hideMark/>
          </w:tcPr>
          <w:p w14:paraId="3EF5D838"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407,029</w:t>
            </w:r>
          </w:p>
        </w:tc>
        <w:tc>
          <w:tcPr>
            <w:tcW w:w="139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7874B791"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54</w:t>
            </w:r>
          </w:p>
        </w:tc>
        <w:tc>
          <w:tcPr>
            <w:tcW w:w="1148" w:type="dxa"/>
            <w:tcBorders>
              <w:top w:val="nil"/>
              <w:left w:val="nil"/>
              <w:bottom w:val="nil"/>
              <w:right w:val="nil"/>
            </w:tcBorders>
            <w:shd w:val="clear" w:color="auto" w:fill="FFFFFF" w:themeFill="background1"/>
            <w:noWrap/>
            <w:vAlign w:val="center"/>
            <w:hideMark/>
          </w:tcPr>
          <w:p w14:paraId="30B32851"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562,627</w:t>
            </w:r>
          </w:p>
        </w:tc>
        <w:tc>
          <w:tcPr>
            <w:tcW w:w="127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41E81F7"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75</w:t>
            </w:r>
          </w:p>
        </w:tc>
        <w:tc>
          <w:tcPr>
            <w:tcW w:w="977" w:type="dxa"/>
            <w:tcBorders>
              <w:top w:val="nil"/>
              <w:left w:val="nil"/>
              <w:bottom w:val="nil"/>
              <w:right w:val="nil"/>
            </w:tcBorders>
            <w:shd w:val="clear" w:color="auto" w:fill="FFFFFF" w:themeFill="background1"/>
            <w:noWrap/>
            <w:vAlign w:val="center"/>
            <w:hideMark/>
          </w:tcPr>
          <w:p w14:paraId="016CD912"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155,598</w:t>
            </w:r>
          </w:p>
        </w:tc>
        <w:tc>
          <w:tcPr>
            <w:tcW w:w="96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7D03013"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38</w:t>
            </w:r>
          </w:p>
        </w:tc>
        <w:tc>
          <w:tcPr>
            <w:tcW w:w="1082"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18D12D03"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108</w:t>
            </w:r>
          </w:p>
        </w:tc>
      </w:tr>
      <w:tr w:rsidR="00674019" w14:paraId="4A328675" w14:textId="77777777" w:rsidTr="004C0DDC">
        <w:trPr>
          <w:trHeight w:val="227"/>
        </w:trPr>
        <w:tc>
          <w:tcPr>
            <w:tcW w:w="2859" w:type="dxa"/>
            <w:tcBorders>
              <w:top w:val="nil"/>
              <w:bottom w:val="single" w:sz="4" w:space="0" w:color="auto"/>
              <w:right w:val="single" w:sz="4" w:space="0" w:color="auto"/>
            </w:tcBorders>
            <w:shd w:val="clear" w:color="000000" w:fill="FFFFFF"/>
            <w:noWrap/>
            <w:vAlign w:val="center"/>
            <w:hideMark/>
          </w:tcPr>
          <w:p w14:paraId="5FD79149" w14:textId="77777777" w:rsidR="00643332" w:rsidRPr="002F2D01" w:rsidRDefault="0064333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 New South Wales RFA regions</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14:paraId="6BED8E5C"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15,023,000</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137B4E65"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8,320,211</w:t>
            </w:r>
          </w:p>
        </w:tc>
        <w:tc>
          <w:tcPr>
            <w:tcW w:w="1113" w:type="dxa"/>
            <w:tcBorders>
              <w:top w:val="nil"/>
              <w:left w:val="nil"/>
              <w:bottom w:val="single" w:sz="4" w:space="0" w:color="auto"/>
              <w:right w:val="nil"/>
            </w:tcBorders>
            <w:shd w:val="clear" w:color="auto" w:fill="FFFFFF" w:themeFill="background1"/>
            <w:noWrap/>
            <w:vAlign w:val="center"/>
            <w:hideMark/>
          </w:tcPr>
          <w:p w14:paraId="7C7B2C9D"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2,536,360</w:t>
            </w:r>
          </w:p>
        </w:tc>
        <w:tc>
          <w:tcPr>
            <w:tcW w:w="1254" w:type="dxa"/>
            <w:tcBorders>
              <w:top w:val="nil"/>
              <w:left w:val="nil"/>
              <w:bottom w:val="single" w:sz="4" w:space="0" w:color="auto"/>
              <w:right w:val="nil"/>
            </w:tcBorders>
            <w:shd w:val="clear" w:color="auto" w:fill="FFFFFF" w:themeFill="background1"/>
            <w:noWrap/>
            <w:vAlign w:val="center"/>
            <w:hideMark/>
          </w:tcPr>
          <w:p w14:paraId="1C6B7E85"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1,113,930</w:t>
            </w:r>
          </w:p>
        </w:tc>
        <w:tc>
          <w:tcPr>
            <w:tcW w:w="139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62E174FA"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44</w:t>
            </w:r>
          </w:p>
        </w:tc>
        <w:tc>
          <w:tcPr>
            <w:tcW w:w="1148" w:type="dxa"/>
            <w:tcBorders>
              <w:top w:val="nil"/>
              <w:left w:val="nil"/>
              <w:bottom w:val="single" w:sz="4" w:space="0" w:color="auto"/>
              <w:right w:val="nil"/>
            </w:tcBorders>
            <w:shd w:val="clear" w:color="auto" w:fill="FFFFFF" w:themeFill="background1"/>
            <w:noWrap/>
            <w:vAlign w:val="center"/>
            <w:hideMark/>
          </w:tcPr>
          <w:p w14:paraId="7E5191A7"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1,742,337</w:t>
            </w:r>
          </w:p>
        </w:tc>
        <w:tc>
          <w:tcPr>
            <w:tcW w:w="127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1A4DB705"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69</w:t>
            </w:r>
          </w:p>
        </w:tc>
        <w:tc>
          <w:tcPr>
            <w:tcW w:w="977" w:type="dxa"/>
            <w:tcBorders>
              <w:top w:val="nil"/>
              <w:left w:val="nil"/>
              <w:bottom w:val="single" w:sz="4" w:space="0" w:color="auto"/>
              <w:right w:val="nil"/>
            </w:tcBorders>
            <w:shd w:val="clear" w:color="auto" w:fill="FFFFFF" w:themeFill="background1"/>
            <w:noWrap/>
            <w:vAlign w:val="center"/>
            <w:hideMark/>
          </w:tcPr>
          <w:p w14:paraId="3272FE54"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628,407</w:t>
            </w:r>
          </w:p>
        </w:tc>
        <w:tc>
          <w:tcPr>
            <w:tcW w:w="960"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0093A93F"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c>
          <w:tcPr>
            <w:tcW w:w="1082" w:type="dxa"/>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3BD0895D"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364</w:t>
            </w:r>
          </w:p>
        </w:tc>
      </w:tr>
      <w:tr w:rsidR="00643332" w14:paraId="01EF5EA2" w14:textId="77777777" w:rsidTr="004C0DDC">
        <w:trPr>
          <w:trHeight w:val="227"/>
        </w:trPr>
        <w:tc>
          <w:tcPr>
            <w:tcW w:w="14176" w:type="dxa"/>
            <w:gridSpan w:val="11"/>
            <w:tcBorders>
              <w:top w:val="single" w:sz="4" w:space="0" w:color="auto"/>
              <w:bottom w:val="single" w:sz="4" w:space="0" w:color="auto"/>
            </w:tcBorders>
            <w:shd w:val="clear" w:color="auto" w:fill="auto"/>
            <w:vAlign w:val="center"/>
            <w:hideMark/>
          </w:tcPr>
          <w:p w14:paraId="0F5D1B5C" w14:textId="77777777" w:rsidR="00643332" w:rsidRPr="002F2D01" w:rsidRDefault="0064333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Tasmania</w:t>
            </w:r>
          </w:p>
        </w:tc>
      </w:tr>
      <w:tr w:rsidR="00674019" w14:paraId="5063C6A4" w14:textId="77777777" w:rsidTr="004C0DDC">
        <w:trPr>
          <w:trHeight w:val="227"/>
        </w:trPr>
        <w:tc>
          <w:tcPr>
            <w:tcW w:w="2859" w:type="dxa"/>
            <w:tcBorders>
              <w:top w:val="nil"/>
              <w:bottom w:val="single" w:sz="4" w:space="0" w:color="auto"/>
              <w:right w:val="single" w:sz="4" w:space="0" w:color="auto"/>
            </w:tcBorders>
            <w:shd w:val="clear" w:color="000000" w:fill="FFFFFF"/>
            <w:noWrap/>
            <w:vAlign w:val="center"/>
            <w:hideMark/>
          </w:tcPr>
          <w:p w14:paraId="570E27E5"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Tasmanian</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14:paraId="551D5B20"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6,796,000</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623DD0C9"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3,204,700</w:t>
            </w:r>
          </w:p>
        </w:tc>
        <w:tc>
          <w:tcPr>
            <w:tcW w:w="1113" w:type="dxa"/>
            <w:tcBorders>
              <w:top w:val="nil"/>
              <w:left w:val="nil"/>
              <w:bottom w:val="single" w:sz="4" w:space="0" w:color="auto"/>
              <w:right w:val="nil"/>
            </w:tcBorders>
            <w:shd w:val="clear" w:color="auto" w:fill="FFFFFF" w:themeFill="background1"/>
            <w:noWrap/>
            <w:vAlign w:val="center"/>
            <w:hideMark/>
          </w:tcPr>
          <w:p w14:paraId="787F9A04"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1,246,400</w:t>
            </w:r>
          </w:p>
        </w:tc>
        <w:tc>
          <w:tcPr>
            <w:tcW w:w="1254" w:type="dxa"/>
            <w:tcBorders>
              <w:top w:val="nil"/>
              <w:left w:val="nil"/>
              <w:bottom w:val="single" w:sz="4" w:space="0" w:color="auto"/>
              <w:right w:val="nil"/>
            </w:tcBorders>
            <w:shd w:val="clear" w:color="auto" w:fill="FFFFFF" w:themeFill="background1"/>
            <w:noWrap/>
            <w:vAlign w:val="center"/>
            <w:hideMark/>
          </w:tcPr>
          <w:p w14:paraId="524473FA"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682,000</w:t>
            </w:r>
          </w:p>
        </w:tc>
        <w:tc>
          <w:tcPr>
            <w:tcW w:w="139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272226A6"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148" w:type="dxa"/>
            <w:tcBorders>
              <w:top w:val="nil"/>
              <w:left w:val="nil"/>
              <w:bottom w:val="single" w:sz="4" w:space="0" w:color="auto"/>
              <w:right w:val="nil"/>
            </w:tcBorders>
            <w:shd w:val="clear" w:color="auto" w:fill="FFFFFF" w:themeFill="background1"/>
            <w:noWrap/>
            <w:vAlign w:val="center"/>
            <w:hideMark/>
          </w:tcPr>
          <w:p w14:paraId="64316633"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848,700</w:t>
            </w:r>
          </w:p>
        </w:tc>
        <w:tc>
          <w:tcPr>
            <w:tcW w:w="127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562A9FB2"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68</w:t>
            </w:r>
          </w:p>
        </w:tc>
        <w:tc>
          <w:tcPr>
            <w:tcW w:w="977" w:type="dxa"/>
            <w:tcBorders>
              <w:top w:val="nil"/>
              <w:left w:val="nil"/>
              <w:bottom w:val="single" w:sz="4" w:space="0" w:color="auto"/>
              <w:right w:val="nil"/>
            </w:tcBorders>
            <w:shd w:val="clear" w:color="auto" w:fill="FFFFFF" w:themeFill="background1"/>
            <w:noWrap/>
            <w:vAlign w:val="center"/>
            <w:hideMark/>
          </w:tcPr>
          <w:p w14:paraId="3C3D6274"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166,700</w:t>
            </w:r>
          </w:p>
        </w:tc>
        <w:tc>
          <w:tcPr>
            <w:tcW w:w="960"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19F6E079"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24</w:t>
            </w:r>
          </w:p>
        </w:tc>
        <w:tc>
          <w:tcPr>
            <w:tcW w:w="1082" w:type="dxa"/>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2F0E3DC0"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43</w:t>
            </w:r>
          </w:p>
        </w:tc>
      </w:tr>
      <w:tr w:rsidR="00643332" w14:paraId="07C6C547" w14:textId="77777777" w:rsidTr="004C0DDC">
        <w:trPr>
          <w:trHeight w:val="227"/>
        </w:trPr>
        <w:tc>
          <w:tcPr>
            <w:tcW w:w="14176" w:type="dxa"/>
            <w:gridSpan w:val="11"/>
            <w:tcBorders>
              <w:top w:val="single" w:sz="4" w:space="0" w:color="auto"/>
              <w:bottom w:val="single" w:sz="4" w:space="0" w:color="auto"/>
            </w:tcBorders>
            <w:shd w:val="clear" w:color="auto" w:fill="auto"/>
            <w:vAlign w:val="center"/>
            <w:hideMark/>
          </w:tcPr>
          <w:p w14:paraId="1EC85DE4" w14:textId="77777777" w:rsidR="00643332" w:rsidRPr="002F2D01" w:rsidRDefault="0064333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Victoria</w:t>
            </w:r>
          </w:p>
        </w:tc>
      </w:tr>
      <w:tr w:rsidR="00674019" w14:paraId="399A9B90" w14:textId="77777777" w:rsidTr="004C0DDC">
        <w:trPr>
          <w:trHeight w:val="227"/>
        </w:trPr>
        <w:tc>
          <w:tcPr>
            <w:tcW w:w="2859" w:type="dxa"/>
            <w:tcBorders>
              <w:top w:val="nil"/>
              <w:bottom w:val="nil"/>
              <w:right w:val="single" w:sz="4" w:space="0" w:color="auto"/>
            </w:tcBorders>
            <w:shd w:val="clear" w:color="000000" w:fill="FFFFFF"/>
            <w:noWrap/>
            <w:vAlign w:val="center"/>
            <w:hideMark/>
          </w:tcPr>
          <w:p w14:paraId="6F8AF946"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East Gippsland</w:t>
            </w:r>
          </w:p>
        </w:tc>
        <w:tc>
          <w:tcPr>
            <w:tcW w:w="1065" w:type="dxa"/>
            <w:tcBorders>
              <w:top w:val="nil"/>
              <w:left w:val="nil"/>
              <w:bottom w:val="nil"/>
              <w:right w:val="single" w:sz="4" w:space="0" w:color="auto"/>
            </w:tcBorders>
            <w:shd w:val="clear" w:color="auto" w:fill="FFFFFF" w:themeFill="background1"/>
            <w:noWrap/>
            <w:vAlign w:val="center"/>
            <w:hideMark/>
          </w:tcPr>
          <w:p w14:paraId="4189F362"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1,225,000</w:t>
            </w:r>
          </w:p>
        </w:tc>
        <w:tc>
          <w:tcPr>
            <w:tcW w:w="1048" w:type="dxa"/>
            <w:tcBorders>
              <w:top w:val="nil"/>
              <w:left w:val="nil"/>
              <w:bottom w:val="nil"/>
              <w:right w:val="single" w:sz="4" w:space="0" w:color="auto"/>
            </w:tcBorders>
            <w:shd w:val="clear" w:color="auto" w:fill="FFFFFF" w:themeFill="background1"/>
            <w:noWrap/>
            <w:vAlign w:val="center"/>
            <w:hideMark/>
          </w:tcPr>
          <w:p w14:paraId="644AC14E"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1,078,057</w:t>
            </w:r>
          </w:p>
        </w:tc>
        <w:tc>
          <w:tcPr>
            <w:tcW w:w="1113" w:type="dxa"/>
            <w:tcBorders>
              <w:top w:val="nil"/>
              <w:left w:val="nil"/>
              <w:bottom w:val="nil"/>
              <w:right w:val="nil"/>
            </w:tcBorders>
            <w:shd w:val="clear" w:color="auto" w:fill="FFFFFF" w:themeFill="background1"/>
            <w:noWrap/>
            <w:vAlign w:val="center"/>
            <w:hideMark/>
          </w:tcPr>
          <w:p w14:paraId="22E6AAD9"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224,675</w:t>
            </w:r>
          </w:p>
        </w:tc>
        <w:tc>
          <w:tcPr>
            <w:tcW w:w="1254" w:type="dxa"/>
            <w:tcBorders>
              <w:top w:val="nil"/>
              <w:left w:val="nil"/>
              <w:bottom w:val="nil"/>
              <w:right w:val="nil"/>
            </w:tcBorders>
            <w:shd w:val="clear" w:color="auto" w:fill="FFFFFF" w:themeFill="background1"/>
            <w:noWrap/>
            <w:vAlign w:val="center"/>
            <w:hideMark/>
          </w:tcPr>
          <w:p w14:paraId="063514B0"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149,952</w:t>
            </w:r>
          </w:p>
        </w:tc>
        <w:tc>
          <w:tcPr>
            <w:tcW w:w="139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3D674CD9"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67</w:t>
            </w:r>
          </w:p>
        </w:tc>
        <w:tc>
          <w:tcPr>
            <w:tcW w:w="1148" w:type="dxa"/>
            <w:tcBorders>
              <w:top w:val="nil"/>
              <w:left w:val="nil"/>
              <w:bottom w:val="nil"/>
              <w:right w:val="nil"/>
            </w:tcBorders>
            <w:shd w:val="clear" w:color="auto" w:fill="FFFFFF" w:themeFill="background1"/>
            <w:noWrap/>
            <w:vAlign w:val="center"/>
            <w:hideMark/>
          </w:tcPr>
          <w:p w14:paraId="3EFC016A"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152,803</w:t>
            </w:r>
          </w:p>
        </w:tc>
        <w:tc>
          <w:tcPr>
            <w:tcW w:w="127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4CF1E84"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68</w:t>
            </w:r>
          </w:p>
        </w:tc>
        <w:tc>
          <w:tcPr>
            <w:tcW w:w="977" w:type="dxa"/>
            <w:tcBorders>
              <w:top w:val="nil"/>
              <w:left w:val="nil"/>
              <w:bottom w:val="nil"/>
              <w:right w:val="nil"/>
            </w:tcBorders>
            <w:shd w:val="clear" w:color="auto" w:fill="FFFFFF" w:themeFill="background1"/>
            <w:noWrap/>
            <w:vAlign w:val="center"/>
            <w:hideMark/>
          </w:tcPr>
          <w:p w14:paraId="78D29414"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2,851</w:t>
            </w:r>
          </w:p>
        </w:tc>
        <w:tc>
          <w:tcPr>
            <w:tcW w:w="96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187B335"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2</w:t>
            </w:r>
          </w:p>
        </w:tc>
        <w:tc>
          <w:tcPr>
            <w:tcW w:w="1082"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0DF2E07C"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26</w:t>
            </w:r>
          </w:p>
        </w:tc>
      </w:tr>
      <w:tr w:rsidR="00674019" w14:paraId="0D3278BB" w14:textId="77777777" w:rsidTr="004C0DDC">
        <w:trPr>
          <w:trHeight w:val="227"/>
        </w:trPr>
        <w:tc>
          <w:tcPr>
            <w:tcW w:w="2859" w:type="dxa"/>
            <w:tcBorders>
              <w:top w:val="nil"/>
              <w:bottom w:val="nil"/>
              <w:right w:val="single" w:sz="4" w:space="0" w:color="auto"/>
            </w:tcBorders>
            <w:shd w:val="clear" w:color="000000" w:fill="FFFFFF"/>
            <w:noWrap/>
            <w:vAlign w:val="center"/>
            <w:hideMark/>
          </w:tcPr>
          <w:p w14:paraId="7B4EA4B9"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Central Highlands</w:t>
            </w:r>
          </w:p>
        </w:tc>
        <w:tc>
          <w:tcPr>
            <w:tcW w:w="1065" w:type="dxa"/>
            <w:tcBorders>
              <w:top w:val="nil"/>
              <w:left w:val="nil"/>
              <w:bottom w:val="nil"/>
              <w:right w:val="single" w:sz="4" w:space="0" w:color="auto"/>
            </w:tcBorders>
            <w:shd w:val="clear" w:color="auto" w:fill="FFFFFF" w:themeFill="background1"/>
            <w:noWrap/>
            <w:vAlign w:val="center"/>
            <w:hideMark/>
          </w:tcPr>
          <w:p w14:paraId="13123D01"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1,130,000</w:t>
            </w:r>
          </w:p>
        </w:tc>
        <w:tc>
          <w:tcPr>
            <w:tcW w:w="1048" w:type="dxa"/>
            <w:tcBorders>
              <w:top w:val="nil"/>
              <w:left w:val="nil"/>
              <w:bottom w:val="nil"/>
              <w:right w:val="single" w:sz="4" w:space="0" w:color="auto"/>
            </w:tcBorders>
            <w:shd w:val="clear" w:color="auto" w:fill="FFFFFF" w:themeFill="background1"/>
            <w:noWrap/>
            <w:vAlign w:val="center"/>
            <w:hideMark/>
          </w:tcPr>
          <w:p w14:paraId="3DBB0324"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691,721</w:t>
            </w:r>
          </w:p>
        </w:tc>
        <w:tc>
          <w:tcPr>
            <w:tcW w:w="1113" w:type="dxa"/>
            <w:tcBorders>
              <w:top w:val="nil"/>
              <w:left w:val="nil"/>
              <w:bottom w:val="nil"/>
              <w:right w:val="nil"/>
            </w:tcBorders>
            <w:shd w:val="clear" w:color="auto" w:fill="FFFFFF" w:themeFill="background1"/>
            <w:noWrap/>
            <w:vAlign w:val="center"/>
            <w:hideMark/>
          </w:tcPr>
          <w:p w14:paraId="4A744342"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25,951</w:t>
            </w:r>
          </w:p>
        </w:tc>
        <w:tc>
          <w:tcPr>
            <w:tcW w:w="1254" w:type="dxa"/>
            <w:tcBorders>
              <w:top w:val="nil"/>
              <w:left w:val="nil"/>
              <w:bottom w:val="nil"/>
              <w:right w:val="nil"/>
            </w:tcBorders>
            <w:shd w:val="clear" w:color="auto" w:fill="FFFFFF" w:themeFill="background1"/>
            <w:noWrap/>
            <w:vAlign w:val="center"/>
            <w:hideMark/>
          </w:tcPr>
          <w:p w14:paraId="69452A3E"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14,077</w:t>
            </w:r>
          </w:p>
        </w:tc>
        <w:tc>
          <w:tcPr>
            <w:tcW w:w="139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D72829D"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54</w:t>
            </w:r>
          </w:p>
        </w:tc>
        <w:tc>
          <w:tcPr>
            <w:tcW w:w="1148" w:type="dxa"/>
            <w:tcBorders>
              <w:top w:val="nil"/>
              <w:left w:val="nil"/>
              <w:bottom w:val="nil"/>
              <w:right w:val="nil"/>
            </w:tcBorders>
            <w:shd w:val="clear" w:color="auto" w:fill="FFFFFF" w:themeFill="background1"/>
            <w:noWrap/>
            <w:vAlign w:val="center"/>
            <w:hideMark/>
          </w:tcPr>
          <w:p w14:paraId="4D097EB3"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22,000</w:t>
            </w:r>
          </w:p>
        </w:tc>
        <w:tc>
          <w:tcPr>
            <w:tcW w:w="127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04E85AD"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85</w:t>
            </w:r>
          </w:p>
        </w:tc>
        <w:tc>
          <w:tcPr>
            <w:tcW w:w="977" w:type="dxa"/>
            <w:tcBorders>
              <w:top w:val="nil"/>
              <w:left w:val="nil"/>
              <w:bottom w:val="nil"/>
              <w:right w:val="nil"/>
            </w:tcBorders>
            <w:shd w:val="clear" w:color="auto" w:fill="FFFFFF" w:themeFill="background1"/>
            <w:noWrap/>
            <w:vAlign w:val="center"/>
            <w:hideMark/>
          </w:tcPr>
          <w:p w14:paraId="5F6AFFDC"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7,923</w:t>
            </w:r>
          </w:p>
        </w:tc>
        <w:tc>
          <w:tcPr>
            <w:tcW w:w="96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26E675BD"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c>
          <w:tcPr>
            <w:tcW w:w="1082"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723F9B37"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16</w:t>
            </w:r>
          </w:p>
        </w:tc>
      </w:tr>
      <w:tr w:rsidR="00674019" w14:paraId="6368E8E1" w14:textId="77777777" w:rsidTr="004C0DDC">
        <w:trPr>
          <w:trHeight w:val="227"/>
        </w:trPr>
        <w:tc>
          <w:tcPr>
            <w:tcW w:w="2859" w:type="dxa"/>
            <w:tcBorders>
              <w:top w:val="nil"/>
              <w:bottom w:val="nil"/>
              <w:right w:val="single" w:sz="4" w:space="0" w:color="auto"/>
            </w:tcBorders>
            <w:shd w:val="clear" w:color="000000" w:fill="FFFFFF"/>
            <w:noWrap/>
            <w:vAlign w:val="center"/>
            <w:hideMark/>
          </w:tcPr>
          <w:p w14:paraId="644E5933"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North East</w:t>
            </w:r>
          </w:p>
        </w:tc>
        <w:tc>
          <w:tcPr>
            <w:tcW w:w="1065" w:type="dxa"/>
            <w:tcBorders>
              <w:top w:val="nil"/>
              <w:left w:val="nil"/>
              <w:bottom w:val="nil"/>
              <w:right w:val="single" w:sz="4" w:space="0" w:color="auto"/>
            </w:tcBorders>
            <w:shd w:val="clear" w:color="auto" w:fill="FFFFFF" w:themeFill="background1"/>
            <w:noWrap/>
            <w:vAlign w:val="center"/>
            <w:hideMark/>
          </w:tcPr>
          <w:p w14:paraId="2CC0ED5E"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2,318,000</w:t>
            </w:r>
          </w:p>
        </w:tc>
        <w:tc>
          <w:tcPr>
            <w:tcW w:w="1048" w:type="dxa"/>
            <w:tcBorders>
              <w:top w:val="nil"/>
              <w:left w:val="nil"/>
              <w:bottom w:val="nil"/>
              <w:right w:val="single" w:sz="4" w:space="0" w:color="auto"/>
            </w:tcBorders>
            <w:shd w:val="clear" w:color="auto" w:fill="FFFFFF" w:themeFill="background1"/>
            <w:noWrap/>
            <w:vAlign w:val="center"/>
            <w:hideMark/>
          </w:tcPr>
          <w:p w14:paraId="005F01F3"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1,251,511</w:t>
            </w:r>
          </w:p>
        </w:tc>
        <w:tc>
          <w:tcPr>
            <w:tcW w:w="1113" w:type="dxa"/>
            <w:tcBorders>
              <w:top w:val="nil"/>
              <w:left w:val="nil"/>
              <w:bottom w:val="nil"/>
              <w:right w:val="nil"/>
            </w:tcBorders>
            <w:shd w:val="clear" w:color="auto" w:fill="FFFFFF" w:themeFill="background1"/>
            <w:noWrap/>
            <w:vAlign w:val="center"/>
            <w:hideMark/>
          </w:tcPr>
          <w:p w14:paraId="57DA6FBD"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259,465</w:t>
            </w:r>
          </w:p>
        </w:tc>
        <w:tc>
          <w:tcPr>
            <w:tcW w:w="1254" w:type="dxa"/>
            <w:tcBorders>
              <w:top w:val="nil"/>
              <w:left w:val="nil"/>
              <w:bottom w:val="nil"/>
              <w:right w:val="nil"/>
            </w:tcBorders>
            <w:shd w:val="clear" w:color="auto" w:fill="FFFFFF" w:themeFill="background1"/>
            <w:noWrap/>
            <w:vAlign w:val="center"/>
            <w:hideMark/>
          </w:tcPr>
          <w:p w14:paraId="71FD82CB"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98,038</w:t>
            </w:r>
          </w:p>
        </w:tc>
        <w:tc>
          <w:tcPr>
            <w:tcW w:w="139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258FABDF"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38</w:t>
            </w:r>
          </w:p>
        </w:tc>
        <w:tc>
          <w:tcPr>
            <w:tcW w:w="1148" w:type="dxa"/>
            <w:tcBorders>
              <w:top w:val="nil"/>
              <w:left w:val="nil"/>
              <w:bottom w:val="nil"/>
              <w:right w:val="nil"/>
            </w:tcBorders>
            <w:shd w:val="clear" w:color="auto" w:fill="FFFFFF" w:themeFill="background1"/>
            <w:noWrap/>
            <w:vAlign w:val="center"/>
            <w:hideMark/>
          </w:tcPr>
          <w:p w14:paraId="13C142E3"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147,530</w:t>
            </w:r>
          </w:p>
        </w:tc>
        <w:tc>
          <w:tcPr>
            <w:tcW w:w="127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782FACC4"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977" w:type="dxa"/>
            <w:tcBorders>
              <w:top w:val="nil"/>
              <w:left w:val="nil"/>
              <w:bottom w:val="nil"/>
              <w:right w:val="nil"/>
            </w:tcBorders>
            <w:shd w:val="clear" w:color="auto" w:fill="FFFFFF" w:themeFill="background1"/>
            <w:noWrap/>
            <w:vAlign w:val="center"/>
            <w:hideMark/>
          </w:tcPr>
          <w:p w14:paraId="5803E525"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49,492</w:t>
            </w:r>
          </w:p>
        </w:tc>
        <w:tc>
          <w:tcPr>
            <w:tcW w:w="96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287AA5B8"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50</w:t>
            </w:r>
          </w:p>
        </w:tc>
        <w:tc>
          <w:tcPr>
            <w:tcW w:w="1082"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04343F31"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15</w:t>
            </w:r>
          </w:p>
        </w:tc>
      </w:tr>
      <w:tr w:rsidR="00674019" w14:paraId="7079DF87" w14:textId="77777777" w:rsidTr="004C0DDC">
        <w:trPr>
          <w:trHeight w:val="227"/>
        </w:trPr>
        <w:tc>
          <w:tcPr>
            <w:tcW w:w="2859" w:type="dxa"/>
            <w:tcBorders>
              <w:top w:val="nil"/>
              <w:bottom w:val="nil"/>
              <w:right w:val="single" w:sz="4" w:space="0" w:color="auto"/>
            </w:tcBorders>
            <w:shd w:val="clear" w:color="000000" w:fill="FFFFFF"/>
            <w:noWrap/>
            <w:vAlign w:val="center"/>
            <w:hideMark/>
          </w:tcPr>
          <w:p w14:paraId="4ABAF4C7"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Gippsland</w:t>
            </w:r>
          </w:p>
        </w:tc>
        <w:tc>
          <w:tcPr>
            <w:tcW w:w="1065" w:type="dxa"/>
            <w:tcBorders>
              <w:top w:val="nil"/>
              <w:left w:val="nil"/>
              <w:bottom w:val="nil"/>
              <w:right w:val="single" w:sz="4" w:space="0" w:color="auto"/>
            </w:tcBorders>
            <w:shd w:val="clear" w:color="auto" w:fill="FFFFFF" w:themeFill="background1"/>
            <w:noWrap/>
            <w:vAlign w:val="center"/>
            <w:hideMark/>
          </w:tcPr>
          <w:p w14:paraId="014D457F"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2,662,000</w:t>
            </w:r>
          </w:p>
        </w:tc>
        <w:tc>
          <w:tcPr>
            <w:tcW w:w="1048" w:type="dxa"/>
            <w:tcBorders>
              <w:top w:val="nil"/>
              <w:left w:val="nil"/>
              <w:bottom w:val="nil"/>
              <w:right w:val="single" w:sz="4" w:space="0" w:color="auto"/>
            </w:tcBorders>
            <w:shd w:val="clear" w:color="auto" w:fill="FFFFFF" w:themeFill="background1"/>
            <w:noWrap/>
            <w:vAlign w:val="center"/>
            <w:hideMark/>
          </w:tcPr>
          <w:p w14:paraId="0C6FCC64"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1,425,660</w:t>
            </w:r>
          </w:p>
        </w:tc>
        <w:tc>
          <w:tcPr>
            <w:tcW w:w="1113" w:type="dxa"/>
            <w:tcBorders>
              <w:top w:val="nil"/>
              <w:left w:val="nil"/>
              <w:bottom w:val="nil"/>
              <w:right w:val="nil"/>
            </w:tcBorders>
            <w:shd w:val="clear" w:color="auto" w:fill="FFFFFF" w:themeFill="background1"/>
            <w:noWrap/>
            <w:vAlign w:val="center"/>
            <w:hideMark/>
          </w:tcPr>
          <w:p w14:paraId="3800D519"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208,260</w:t>
            </w:r>
          </w:p>
        </w:tc>
        <w:tc>
          <w:tcPr>
            <w:tcW w:w="1254" w:type="dxa"/>
            <w:tcBorders>
              <w:top w:val="nil"/>
              <w:left w:val="nil"/>
              <w:bottom w:val="nil"/>
              <w:right w:val="nil"/>
            </w:tcBorders>
            <w:shd w:val="clear" w:color="auto" w:fill="FFFFFF" w:themeFill="background1"/>
            <w:noWrap/>
            <w:vAlign w:val="center"/>
            <w:hideMark/>
          </w:tcPr>
          <w:p w14:paraId="12FBEAFA"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87,575</w:t>
            </w:r>
          </w:p>
        </w:tc>
        <w:tc>
          <w:tcPr>
            <w:tcW w:w="139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5722E2B"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42</w:t>
            </w:r>
          </w:p>
        </w:tc>
        <w:tc>
          <w:tcPr>
            <w:tcW w:w="1148" w:type="dxa"/>
            <w:tcBorders>
              <w:top w:val="nil"/>
              <w:left w:val="nil"/>
              <w:bottom w:val="nil"/>
              <w:right w:val="nil"/>
            </w:tcBorders>
            <w:shd w:val="clear" w:color="auto" w:fill="FFFFFF" w:themeFill="background1"/>
            <w:noWrap/>
            <w:vAlign w:val="center"/>
            <w:hideMark/>
          </w:tcPr>
          <w:p w14:paraId="68620E0C"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139,013</w:t>
            </w:r>
          </w:p>
        </w:tc>
        <w:tc>
          <w:tcPr>
            <w:tcW w:w="127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4C1C7D1"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67</w:t>
            </w:r>
          </w:p>
        </w:tc>
        <w:tc>
          <w:tcPr>
            <w:tcW w:w="977" w:type="dxa"/>
            <w:tcBorders>
              <w:top w:val="nil"/>
              <w:left w:val="nil"/>
              <w:bottom w:val="nil"/>
              <w:right w:val="nil"/>
            </w:tcBorders>
            <w:shd w:val="clear" w:color="auto" w:fill="FFFFFF" w:themeFill="background1"/>
            <w:noWrap/>
            <w:vAlign w:val="center"/>
            <w:hideMark/>
          </w:tcPr>
          <w:p w14:paraId="691B4E27"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51,438</w:t>
            </w:r>
          </w:p>
        </w:tc>
        <w:tc>
          <w:tcPr>
            <w:tcW w:w="96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579214F8"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59</w:t>
            </w:r>
          </w:p>
        </w:tc>
        <w:tc>
          <w:tcPr>
            <w:tcW w:w="1082"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1A3B5007"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39</w:t>
            </w:r>
          </w:p>
        </w:tc>
      </w:tr>
      <w:tr w:rsidR="00674019" w14:paraId="406CFB1E" w14:textId="77777777" w:rsidTr="004C0DDC">
        <w:trPr>
          <w:trHeight w:val="227"/>
        </w:trPr>
        <w:tc>
          <w:tcPr>
            <w:tcW w:w="2859" w:type="dxa"/>
            <w:tcBorders>
              <w:top w:val="nil"/>
              <w:bottom w:val="nil"/>
              <w:right w:val="single" w:sz="4" w:space="0" w:color="auto"/>
            </w:tcBorders>
            <w:shd w:val="clear" w:color="000000" w:fill="FFFFFF"/>
            <w:noWrap/>
            <w:vAlign w:val="center"/>
            <w:hideMark/>
          </w:tcPr>
          <w:p w14:paraId="0E8126B9"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West Victoria</w:t>
            </w:r>
          </w:p>
        </w:tc>
        <w:tc>
          <w:tcPr>
            <w:tcW w:w="1065" w:type="dxa"/>
            <w:tcBorders>
              <w:top w:val="nil"/>
              <w:left w:val="nil"/>
              <w:bottom w:val="nil"/>
              <w:right w:val="single" w:sz="4" w:space="0" w:color="auto"/>
            </w:tcBorders>
            <w:shd w:val="clear" w:color="auto" w:fill="FFFFFF" w:themeFill="background1"/>
            <w:noWrap/>
            <w:vAlign w:val="center"/>
            <w:hideMark/>
          </w:tcPr>
          <w:p w14:paraId="0BB7313F"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5,779,000</w:t>
            </w:r>
          </w:p>
        </w:tc>
        <w:tc>
          <w:tcPr>
            <w:tcW w:w="1048" w:type="dxa"/>
            <w:tcBorders>
              <w:top w:val="nil"/>
              <w:left w:val="nil"/>
              <w:bottom w:val="nil"/>
              <w:right w:val="single" w:sz="4" w:space="0" w:color="auto"/>
            </w:tcBorders>
            <w:shd w:val="clear" w:color="auto" w:fill="FFFFFF" w:themeFill="background1"/>
            <w:noWrap/>
            <w:vAlign w:val="center"/>
            <w:hideMark/>
          </w:tcPr>
          <w:p w14:paraId="0DE8ED8B"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968,002</w:t>
            </w:r>
          </w:p>
        </w:tc>
        <w:tc>
          <w:tcPr>
            <w:tcW w:w="1113" w:type="dxa"/>
            <w:tcBorders>
              <w:top w:val="nil"/>
              <w:left w:val="nil"/>
              <w:bottom w:val="nil"/>
              <w:right w:val="nil"/>
            </w:tcBorders>
            <w:shd w:val="clear" w:color="auto" w:fill="FFFFFF" w:themeFill="background1"/>
            <w:noWrap/>
            <w:vAlign w:val="center"/>
            <w:hideMark/>
          </w:tcPr>
          <w:p w14:paraId="3BEDB50E"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123,462</w:t>
            </w:r>
          </w:p>
        </w:tc>
        <w:tc>
          <w:tcPr>
            <w:tcW w:w="1254" w:type="dxa"/>
            <w:tcBorders>
              <w:top w:val="nil"/>
              <w:left w:val="nil"/>
              <w:bottom w:val="nil"/>
              <w:right w:val="nil"/>
            </w:tcBorders>
            <w:shd w:val="clear" w:color="auto" w:fill="FFFFFF" w:themeFill="background1"/>
            <w:noWrap/>
            <w:vAlign w:val="center"/>
            <w:hideMark/>
          </w:tcPr>
          <w:p w14:paraId="29479F79"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69,309</w:t>
            </w:r>
          </w:p>
        </w:tc>
        <w:tc>
          <w:tcPr>
            <w:tcW w:w="139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3BBDA013"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56</w:t>
            </w:r>
          </w:p>
        </w:tc>
        <w:tc>
          <w:tcPr>
            <w:tcW w:w="1148" w:type="dxa"/>
            <w:tcBorders>
              <w:top w:val="nil"/>
              <w:left w:val="nil"/>
              <w:bottom w:val="nil"/>
              <w:right w:val="nil"/>
            </w:tcBorders>
            <w:shd w:val="clear" w:color="auto" w:fill="FFFFFF" w:themeFill="background1"/>
            <w:noWrap/>
            <w:vAlign w:val="center"/>
            <w:hideMark/>
          </w:tcPr>
          <w:p w14:paraId="74B2DECD"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110,355</w:t>
            </w:r>
          </w:p>
        </w:tc>
        <w:tc>
          <w:tcPr>
            <w:tcW w:w="1275"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D1A5FE1"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89</w:t>
            </w:r>
          </w:p>
        </w:tc>
        <w:tc>
          <w:tcPr>
            <w:tcW w:w="977" w:type="dxa"/>
            <w:tcBorders>
              <w:top w:val="nil"/>
              <w:left w:val="nil"/>
              <w:bottom w:val="nil"/>
              <w:right w:val="nil"/>
            </w:tcBorders>
            <w:shd w:val="clear" w:color="auto" w:fill="FFFFFF" w:themeFill="background1"/>
            <w:noWrap/>
            <w:vAlign w:val="center"/>
            <w:hideMark/>
          </w:tcPr>
          <w:p w14:paraId="47DCE286"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41,046</w:t>
            </w:r>
          </w:p>
        </w:tc>
        <w:tc>
          <w:tcPr>
            <w:tcW w:w="96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7FEB19D3"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59</w:t>
            </w:r>
          </w:p>
        </w:tc>
        <w:tc>
          <w:tcPr>
            <w:tcW w:w="1082"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794AAA1C"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r>
      <w:tr w:rsidR="00674019" w14:paraId="315CB0F2" w14:textId="77777777" w:rsidTr="004C0DDC">
        <w:trPr>
          <w:trHeight w:val="227"/>
        </w:trPr>
        <w:tc>
          <w:tcPr>
            <w:tcW w:w="2859" w:type="dxa"/>
            <w:tcBorders>
              <w:top w:val="nil"/>
              <w:bottom w:val="single" w:sz="4" w:space="0" w:color="auto"/>
              <w:right w:val="single" w:sz="4" w:space="0" w:color="auto"/>
            </w:tcBorders>
            <w:shd w:val="clear" w:color="000000" w:fill="FFFFFF"/>
            <w:noWrap/>
            <w:vAlign w:val="center"/>
            <w:hideMark/>
          </w:tcPr>
          <w:p w14:paraId="2FEA8CFC" w14:textId="77777777" w:rsidR="00643332" w:rsidRPr="002F2D01" w:rsidRDefault="0064333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 Victorian RFA regions</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14:paraId="542F6647"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13,114,000</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39739D9E"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5,414,951</w:t>
            </w:r>
          </w:p>
        </w:tc>
        <w:tc>
          <w:tcPr>
            <w:tcW w:w="1113" w:type="dxa"/>
            <w:tcBorders>
              <w:top w:val="nil"/>
              <w:left w:val="nil"/>
              <w:bottom w:val="single" w:sz="4" w:space="0" w:color="auto"/>
              <w:right w:val="nil"/>
            </w:tcBorders>
            <w:shd w:val="clear" w:color="auto" w:fill="FFFFFF" w:themeFill="background1"/>
            <w:noWrap/>
            <w:vAlign w:val="center"/>
            <w:hideMark/>
          </w:tcPr>
          <w:p w14:paraId="2372787D"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841,813</w:t>
            </w:r>
          </w:p>
        </w:tc>
        <w:tc>
          <w:tcPr>
            <w:tcW w:w="1254" w:type="dxa"/>
            <w:tcBorders>
              <w:top w:val="nil"/>
              <w:left w:val="nil"/>
              <w:bottom w:val="single" w:sz="4" w:space="0" w:color="auto"/>
              <w:right w:val="nil"/>
            </w:tcBorders>
            <w:shd w:val="clear" w:color="auto" w:fill="FFFFFF" w:themeFill="background1"/>
            <w:noWrap/>
            <w:vAlign w:val="center"/>
            <w:hideMark/>
          </w:tcPr>
          <w:p w14:paraId="79850ED3"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418,951</w:t>
            </w:r>
          </w:p>
        </w:tc>
        <w:tc>
          <w:tcPr>
            <w:tcW w:w="139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0096B66F"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50</w:t>
            </w:r>
          </w:p>
        </w:tc>
        <w:tc>
          <w:tcPr>
            <w:tcW w:w="1148" w:type="dxa"/>
            <w:tcBorders>
              <w:top w:val="nil"/>
              <w:left w:val="nil"/>
              <w:bottom w:val="single" w:sz="4" w:space="0" w:color="auto"/>
              <w:right w:val="nil"/>
            </w:tcBorders>
            <w:shd w:val="clear" w:color="auto" w:fill="FFFFFF" w:themeFill="background1"/>
            <w:noWrap/>
            <w:vAlign w:val="center"/>
            <w:hideMark/>
          </w:tcPr>
          <w:p w14:paraId="30E16484"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571,701</w:t>
            </w:r>
          </w:p>
        </w:tc>
        <w:tc>
          <w:tcPr>
            <w:tcW w:w="127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51D9EB87"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68</w:t>
            </w:r>
          </w:p>
        </w:tc>
        <w:tc>
          <w:tcPr>
            <w:tcW w:w="977" w:type="dxa"/>
            <w:tcBorders>
              <w:top w:val="nil"/>
              <w:left w:val="nil"/>
              <w:bottom w:val="single" w:sz="4" w:space="0" w:color="auto"/>
              <w:right w:val="nil"/>
            </w:tcBorders>
            <w:shd w:val="clear" w:color="auto" w:fill="FFFFFF" w:themeFill="background1"/>
            <w:noWrap/>
            <w:vAlign w:val="center"/>
            <w:hideMark/>
          </w:tcPr>
          <w:p w14:paraId="302D7BA3"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152,750</w:t>
            </w:r>
          </w:p>
        </w:tc>
        <w:tc>
          <w:tcPr>
            <w:tcW w:w="960"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5BECF96D"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36</w:t>
            </w:r>
          </w:p>
        </w:tc>
        <w:tc>
          <w:tcPr>
            <w:tcW w:w="1082" w:type="dxa"/>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2D29A2F1"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101</w:t>
            </w:r>
          </w:p>
        </w:tc>
      </w:tr>
      <w:tr w:rsidR="00643332" w14:paraId="46CEADBB" w14:textId="77777777" w:rsidTr="004C0DDC">
        <w:trPr>
          <w:trHeight w:val="227"/>
        </w:trPr>
        <w:tc>
          <w:tcPr>
            <w:tcW w:w="14176" w:type="dxa"/>
            <w:gridSpan w:val="11"/>
            <w:tcBorders>
              <w:top w:val="single" w:sz="4" w:space="0" w:color="auto"/>
              <w:bottom w:val="single" w:sz="4" w:space="0" w:color="auto"/>
            </w:tcBorders>
            <w:shd w:val="clear" w:color="auto" w:fill="auto"/>
            <w:vAlign w:val="center"/>
            <w:hideMark/>
          </w:tcPr>
          <w:p w14:paraId="4BFD12FF" w14:textId="77777777" w:rsidR="00643332" w:rsidRPr="002F2D01" w:rsidRDefault="0064333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Western Australia</w:t>
            </w:r>
          </w:p>
        </w:tc>
      </w:tr>
      <w:tr w:rsidR="00674019" w14:paraId="799816B5" w14:textId="77777777" w:rsidTr="004C0DDC">
        <w:trPr>
          <w:trHeight w:val="227"/>
        </w:trPr>
        <w:tc>
          <w:tcPr>
            <w:tcW w:w="2859" w:type="dxa"/>
            <w:tcBorders>
              <w:top w:val="nil"/>
              <w:bottom w:val="single" w:sz="4" w:space="0" w:color="auto"/>
              <w:right w:val="single" w:sz="4" w:space="0" w:color="auto"/>
            </w:tcBorders>
            <w:shd w:val="clear" w:color="000000" w:fill="FFFFFF"/>
            <w:noWrap/>
            <w:vAlign w:val="center"/>
            <w:hideMark/>
          </w:tcPr>
          <w:p w14:paraId="01EBCAC2" w14:textId="77777777" w:rsidR="00643332" w:rsidRPr="00CD538E" w:rsidRDefault="00643332" w:rsidP="00CB0E93">
            <w:pPr>
              <w:spacing w:before="0" w:after="0"/>
              <w:ind w:left="57" w:right="57"/>
              <w:rPr>
                <w:rFonts w:asciiTheme="majorHAnsi" w:hAnsiTheme="majorHAnsi" w:cs="Arial"/>
                <w:bCs/>
                <w:sz w:val="16"/>
                <w:szCs w:val="16"/>
              </w:rPr>
            </w:pPr>
            <w:r w:rsidRPr="00CD538E">
              <w:rPr>
                <w:rFonts w:asciiTheme="majorHAnsi" w:hAnsiTheme="majorHAnsi" w:cs="Arial"/>
                <w:bCs/>
                <w:sz w:val="16"/>
                <w:szCs w:val="16"/>
              </w:rPr>
              <w:t>South-West Forest Region of WA</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14:paraId="4DCE3690"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4,257,000</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7B101418"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2,234,875</w:t>
            </w:r>
          </w:p>
        </w:tc>
        <w:tc>
          <w:tcPr>
            <w:tcW w:w="1113" w:type="dxa"/>
            <w:tcBorders>
              <w:top w:val="nil"/>
              <w:left w:val="nil"/>
              <w:bottom w:val="single" w:sz="4" w:space="0" w:color="auto"/>
              <w:right w:val="nil"/>
            </w:tcBorders>
            <w:shd w:val="clear" w:color="auto" w:fill="FFFFFF" w:themeFill="background1"/>
            <w:noWrap/>
            <w:vAlign w:val="center"/>
            <w:hideMark/>
          </w:tcPr>
          <w:p w14:paraId="32DFCF23"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346,361</w:t>
            </w:r>
          </w:p>
        </w:tc>
        <w:tc>
          <w:tcPr>
            <w:tcW w:w="1254" w:type="dxa"/>
            <w:tcBorders>
              <w:top w:val="nil"/>
              <w:left w:val="nil"/>
              <w:bottom w:val="single" w:sz="4" w:space="0" w:color="auto"/>
              <w:right w:val="nil"/>
            </w:tcBorders>
            <w:shd w:val="clear" w:color="auto" w:fill="FFFFFF" w:themeFill="background1"/>
            <w:noWrap/>
            <w:vAlign w:val="center"/>
            <w:hideMark/>
          </w:tcPr>
          <w:p w14:paraId="4F1A3347"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184,971</w:t>
            </w:r>
          </w:p>
        </w:tc>
        <w:tc>
          <w:tcPr>
            <w:tcW w:w="139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3B2E0229"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53</w:t>
            </w:r>
          </w:p>
        </w:tc>
        <w:tc>
          <w:tcPr>
            <w:tcW w:w="1148" w:type="dxa"/>
            <w:tcBorders>
              <w:top w:val="nil"/>
              <w:left w:val="nil"/>
              <w:bottom w:val="single" w:sz="4" w:space="0" w:color="auto"/>
              <w:right w:val="nil"/>
            </w:tcBorders>
            <w:shd w:val="clear" w:color="auto" w:fill="FFFFFF" w:themeFill="background1"/>
            <w:noWrap/>
            <w:vAlign w:val="center"/>
            <w:hideMark/>
          </w:tcPr>
          <w:p w14:paraId="6F15B0CA"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232,825</w:t>
            </w:r>
          </w:p>
        </w:tc>
        <w:tc>
          <w:tcPr>
            <w:tcW w:w="127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2E2C23AE"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67</w:t>
            </w:r>
          </w:p>
        </w:tc>
        <w:tc>
          <w:tcPr>
            <w:tcW w:w="977" w:type="dxa"/>
            <w:tcBorders>
              <w:top w:val="nil"/>
              <w:left w:val="nil"/>
              <w:bottom w:val="single" w:sz="4" w:space="0" w:color="auto"/>
              <w:right w:val="nil"/>
            </w:tcBorders>
            <w:shd w:val="clear" w:color="auto" w:fill="FFFFFF" w:themeFill="background1"/>
            <w:noWrap/>
            <w:vAlign w:val="center"/>
            <w:hideMark/>
          </w:tcPr>
          <w:p w14:paraId="6E618C12"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47,854</w:t>
            </w:r>
          </w:p>
        </w:tc>
        <w:tc>
          <w:tcPr>
            <w:tcW w:w="960"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2F4781C8"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26</w:t>
            </w:r>
          </w:p>
        </w:tc>
        <w:tc>
          <w:tcPr>
            <w:tcW w:w="1082" w:type="dxa"/>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654A9737"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19</w:t>
            </w:r>
          </w:p>
        </w:tc>
      </w:tr>
      <w:tr w:rsidR="00643332" w14:paraId="16D55F76" w14:textId="77777777" w:rsidTr="004C0DDC">
        <w:trPr>
          <w:trHeight w:val="227"/>
        </w:trPr>
        <w:tc>
          <w:tcPr>
            <w:tcW w:w="14176" w:type="dxa"/>
            <w:gridSpan w:val="11"/>
            <w:tcBorders>
              <w:top w:val="single" w:sz="4" w:space="0" w:color="auto"/>
              <w:bottom w:val="single" w:sz="4" w:space="0" w:color="auto"/>
            </w:tcBorders>
            <w:shd w:val="clear" w:color="auto" w:fill="auto"/>
            <w:vAlign w:val="center"/>
            <w:hideMark/>
          </w:tcPr>
          <w:p w14:paraId="5AAC1603" w14:textId="77777777" w:rsidR="00643332" w:rsidRPr="002F2D01" w:rsidRDefault="0064333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w:t>
            </w:r>
          </w:p>
        </w:tc>
      </w:tr>
      <w:tr w:rsidR="00674019" w14:paraId="212CABCE" w14:textId="77777777" w:rsidTr="004C0DDC">
        <w:trPr>
          <w:trHeight w:val="283"/>
        </w:trPr>
        <w:tc>
          <w:tcPr>
            <w:tcW w:w="2859" w:type="dxa"/>
            <w:tcBorders>
              <w:top w:val="nil"/>
              <w:bottom w:val="single" w:sz="4" w:space="0" w:color="auto"/>
              <w:right w:val="single" w:sz="4" w:space="0" w:color="auto"/>
            </w:tcBorders>
            <w:shd w:val="clear" w:color="000000" w:fill="FFFFFF"/>
            <w:noWrap/>
            <w:vAlign w:val="center"/>
            <w:hideMark/>
          </w:tcPr>
          <w:p w14:paraId="12BBFAB3" w14:textId="77777777" w:rsidR="00643332" w:rsidRPr="002F2D01" w:rsidRDefault="00643332"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 all RFA regions</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14:paraId="508D6DC8"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39,190,000</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5CB979CE"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19,174,737</w:t>
            </w:r>
          </w:p>
        </w:tc>
        <w:tc>
          <w:tcPr>
            <w:tcW w:w="1113" w:type="dxa"/>
            <w:tcBorders>
              <w:top w:val="nil"/>
              <w:left w:val="nil"/>
              <w:bottom w:val="single" w:sz="4" w:space="0" w:color="auto"/>
              <w:right w:val="nil"/>
            </w:tcBorders>
            <w:shd w:val="clear" w:color="auto" w:fill="FFFFFF" w:themeFill="background1"/>
            <w:noWrap/>
            <w:vAlign w:val="center"/>
            <w:hideMark/>
          </w:tcPr>
          <w:p w14:paraId="5282C01B"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4,970,934</w:t>
            </w:r>
          </w:p>
        </w:tc>
        <w:tc>
          <w:tcPr>
            <w:tcW w:w="1254" w:type="dxa"/>
            <w:tcBorders>
              <w:top w:val="nil"/>
              <w:left w:val="nil"/>
              <w:bottom w:val="single" w:sz="4" w:space="0" w:color="auto"/>
              <w:right w:val="nil"/>
            </w:tcBorders>
            <w:shd w:val="clear" w:color="auto" w:fill="FFFFFF" w:themeFill="background1"/>
            <w:noWrap/>
            <w:vAlign w:val="center"/>
            <w:hideMark/>
          </w:tcPr>
          <w:p w14:paraId="7D10B7B4"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2,399,852</w:t>
            </w:r>
          </w:p>
        </w:tc>
        <w:tc>
          <w:tcPr>
            <w:tcW w:w="139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056463D0"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48</w:t>
            </w:r>
          </w:p>
        </w:tc>
        <w:tc>
          <w:tcPr>
            <w:tcW w:w="1148" w:type="dxa"/>
            <w:tcBorders>
              <w:top w:val="nil"/>
              <w:left w:val="nil"/>
              <w:bottom w:val="single" w:sz="4" w:space="0" w:color="auto"/>
              <w:right w:val="nil"/>
            </w:tcBorders>
            <w:shd w:val="clear" w:color="auto" w:fill="FFFFFF" w:themeFill="background1"/>
            <w:noWrap/>
            <w:vAlign w:val="center"/>
            <w:hideMark/>
          </w:tcPr>
          <w:p w14:paraId="7755D9EE"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3,395,563</w:t>
            </w:r>
          </w:p>
        </w:tc>
        <w:tc>
          <w:tcPr>
            <w:tcW w:w="1275"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33968895"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68</w:t>
            </w:r>
          </w:p>
        </w:tc>
        <w:tc>
          <w:tcPr>
            <w:tcW w:w="977" w:type="dxa"/>
            <w:tcBorders>
              <w:top w:val="nil"/>
              <w:left w:val="nil"/>
              <w:bottom w:val="single" w:sz="4" w:space="0" w:color="auto"/>
              <w:right w:val="nil"/>
            </w:tcBorders>
            <w:shd w:val="clear" w:color="auto" w:fill="FFFFFF" w:themeFill="background1"/>
            <w:noWrap/>
            <w:vAlign w:val="center"/>
            <w:hideMark/>
          </w:tcPr>
          <w:p w14:paraId="31027F31" w14:textId="77777777" w:rsidR="00643332" w:rsidRPr="002F2D01" w:rsidRDefault="00643332"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995,711</w:t>
            </w:r>
          </w:p>
        </w:tc>
        <w:tc>
          <w:tcPr>
            <w:tcW w:w="960"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47D64415"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41</w:t>
            </w:r>
          </w:p>
        </w:tc>
        <w:tc>
          <w:tcPr>
            <w:tcW w:w="1082" w:type="dxa"/>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01FEA5D6" w14:textId="77777777" w:rsidR="00643332" w:rsidRPr="002F2D01" w:rsidRDefault="00643332"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527</w:t>
            </w:r>
          </w:p>
        </w:tc>
      </w:tr>
      <w:tr w:rsidR="00643332" w14:paraId="10038F0C" w14:textId="77777777" w:rsidTr="004C0DDC">
        <w:trPr>
          <w:trHeight w:val="1474"/>
        </w:trPr>
        <w:tc>
          <w:tcPr>
            <w:tcW w:w="14176" w:type="dxa"/>
            <w:gridSpan w:val="11"/>
            <w:tcBorders>
              <w:top w:val="single" w:sz="4" w:space="0" w:color="auto"/>
              <w:left w:val="nil"/>
              <w:bottom w:val="nil"/>
              <w:right w:val="nil"/>
            </w:tcBorders>
            <w:shd w:val="clear" w:color="auto" w:fill="auto"/>
            <w:hideMark/>
          </w:tcPr>
          <w:p w14:paraId="18499E99" w14:textId="77777777" w:rsidR="00FA5434" w:rsidRDefault="00FA5434" w:rsidP="00CB0E93">
            <w:pPr>
              <w:spacing w:before="0" w:after="0"/>
              <w:rPr>
                <w:rFonts w:ascii="Calibri" w:hAnsi="Calibri" w:cs="Arial"/>
                <w:sz w:val="16"/>
                <w:szCs w:val="16"/>
                <w:lang w:eastAsia="en-AU"/>
              </w:rPr>
            </w:pPr>
            <w:r w:rsidRPr="009E58CE">
              <w:rPr>
                <w:rFonts w:ascii="Calibri" w:hAnsi="Calibri" w:cs="Arial"/>
                <w:sz w:val="16"/>
                <w:szCs w:val="16"/>
                <w:lang w:eastAsia="en-AU"/>
              </w:rPr>
              <w:t xml:space="preserve">Source: Regional forest agreements datasets held by the National Forest Inventory, ABARES, derived from </w:t>
            </w:r>
            <w:r>
              <w:rPr>
                <w:rFonts w:ascii="Calibri" w:hAnsi="Calibri" w:cs="Arial"/>
                <w:sz w:val="16"/>
                <w:szCs w:val="16"/>
                <w:lang w:eastAsia="en-AU"/>
              </w:rPr>
              <w:t>Australian</w:t>
            </w:r>
            <w:r w:rsidRPr="009E58CE">
              <w:rPr>
                <w:rFonts w:ascii="Calibri" w:hAnsi="Calibri" w:cs="Arial"/>
                <w:sz w:val="16"/>
                <w:szCs w:val="16"/>
                <w:lang w:eastAsia="en-AU"/>
              </w:rPr>
              <w:t xml:space="preserve"> and </w:t>
            </w:r>
            <w:r>
              <w:rPr>
                <w:rFonts w:ascii="Calibri" w:hAnsi="Calibri" w:cs="Arial"/>
                <w:sz w:val="16"/>
                <w:szCs w:val="16"/>
                <w:lang w:eastAsia="en-AU"/>
              </w:rPr>
              <w:t xml:space="preserve">State </w:t>
            </w:r>
            <w:r w:rsidRPr="009E58CE">
              <w:rPr>
                <w:rFonts w:ascii="Calibri" w:hAnsi="Calibri" w:cs="Arial"/>
                <w:sz w:val="16"/>
                <w:szCs w:val="16"/>
                <w:lang w:eastAsia="en-AU"/>
              </w:rPr>
              <w:t>Government data.</w:t>
            </w:r>
          </w:p>
          <w:p w14:paraId="734D626C" w14:textId="24B91567" w:rsidR="00430B52" w:rsidRDefault="00BF0F21" w:rsidP="00CB0E93">
            <w:pPr>
              <w:spacing w:before="0" w:after="0"/>
              <w:rPr>
                <w:rFonts w:ascii="Calibri" w:hAnsi="Calibri" w:cs="Arial"/>
                <w:sz w:val="16"/>
                <w:szCs w:val="16"/>
                <w:lang w:eastAsia="en-AU"/>
              </w:rPr>
            </w:pPr>
            <w:r w:rsidRPr="000C4F22">
              <w:rPr>
                <w:rFonts w:ascii="Calibri" w:hAnsi="Calibri" w:cs="Arial"/>
                <w:b/>
                <w:sz w:val="16"/>
                <w:szCs w:val="16"/>
              </w:rPr>
              <w:t>a</w:t>
            </w:r>
            <w:r>
              <w:rPr>
                <w:rFonts w:ascii="Calibri" w:hAnsi="Calibri" w:cs="Arial"/>
                <w:sz w:val="16"/>
                <w:szCs w:val="16"/>
              </w:rPr>
              <w:t xml:space="preserve"> Column codes A and E are from Table </w:t>
            </w:r>
            <w:r w:rsidR="000429F0">
              <w:rPr>
                <w:rFonts w:ascii="Calibri" w:hAnsi="Calibri" w:cs="Arial"/>
                <w:sz w:val="16"/>
                <w:szCs w:val="16"/>
              </w:rPr>
              <w:t>A</w:t>
            </w:r>
            <w:r>
              <w:rPr>
                <w:rFonts w:ascii="Calibri" w:hAnsi="Calibri" w:cs="Arial"/>
                <w:sz w:val="16"/>
                <w:szCs w:val="16"/>
              </w:rPr>
              <w:t>1.</w:t>
            </w:r>
            <w:r w:rsidR="00643332">
              <w:rPr>
                <w:rFonts w:ascii="Calibri" w:hAnsi="Calibri" w:cs="Arial"/>
                <w:sz w:val="16"/>
                <w:szCs w:val="16"/>
              </w:rPr>
              <w:br/>
            </w:r>
            <w:r w:rsidR="00FA5434" w:rsidRPr="009E58CE">
              <w:rPr>
                <w:rFonts w:ascii="Calibri" w:hAnsi="Calibri" w:cs="Arial"/>
                <w:sz w:val="16"/>
                <w:szCs w:val="16"/>
                <w:lang w:eastAsia="en-AU"/>
              </w:rPr>
              <w:t xml:space="preserve">The data used </w:t>
            </w:r>
            <w:r w:rsidR="00160F3D">
              <w:rPr>
                <w:rFonts w:ascii="Calibri" w:hAnsi="Calibri" w:cs="Arial"/>
                <w:sz w:val="16"/>
                <w:szCs w:val="16"/>
                <w:lang w:eastAsia="en-AU"/>
              </w:rPr>
              <w:t>are</w:t>
            </w:r>
            <w:r w:rsidR="00FA5434" w:rsidRPr="009E58CE">
              <w:rPr>
                <w:rFonts w:ascii="Calibri" w:hAnsi="Calibri" w:cs="Arial"/>
                <w:sz w:val="16"/>
                <w:szCs w:val="16"/>
                <w:lang w:eastAsia="en-AU"/>
              </w:rPr>
              <w:t xml:space="preserve"> validated </w:t>
            </w:r>
            <w:r w:rsidR="00FA5434">
              <w:rPr>
                <w:rFonts w:ascii="Calibri" w:hAnsi="Calibri" w:cs="Arial"/>
                <w:sz w:val="16"/>
                <w:szCs w:val="16"/>
                <w:lang w:eastAsia="en-AU"/>
              </w:rPr>
              <w:t>RFA</w:t>
            </w:r>
            <w:r w:rsidR="00FA5434" w:rsidRPr="009E58CE">
              <w:rPr>
                <w:rFonts w:ascii="Calibri" w:hAnsi="Calibri" w:cs="Arial"/>
                <w:sz w:val="16"/>
                <w:szCs w:val="16"/>
                <w:lang w:eastAsia="en-AU"/>
              </w:rPr>
              <w:t xml:space="preserve"> data, usually finalised at or within six months after signing agreements</w:t>
            </w:r>
            <w:r w:rsidR="00FA5434">
              <w:rPr>
                <w:rFonts w:ascii="Calibri" w:hAnsi="Calibri" w:cs="Arial"/>
                <w:sz w:val="16"/>
                <w:szCs w:val="16"/>
                <w:lang w:eastAsia="en-AU"/>
              </w:rPr>
              <w:t xml:space="preserve"> or subsequent amendments or reviews</w:t>
            </w:r>
            <w:r w:rsidR="00FA5434" w:rsidRPr="009E58CE">
              <w:rPr>
                <w:rFonts w:ascii="Calibri" w:hAnsi="Calibri" w:cs="Arial"/>
                <w:sz w:val="16"/>
                <w:szCs w:val="16"/>
                <w:lang w:eastAsia="en-AU"/>
              </w:rPr>
              <w:t xml:space="preserve">. ‘Pre-RFA’ refers to </w:t>
            </w:r>
            <w:r w:rsidR="00E441F9">
              <w:rPr>
                <w:rFonts w:ascii="Calibri" w:hAnsi="Calibri" w:cs="Arial"/>
                <w:sz w:val="16"/>
                <w:szCs w:val="16"/>
                <w:lang w:eastAsia="en-AU"/>
              </w:rPr>
              <w:t>immediately prior to the</w:t>
            </w:r>
            <w:r w:rsidR="00FA5434" w:rsidRPr="009E58CE">
              <w:rPr>
                <w:rFonts w:ascii="Calibri" w:hAnsi="Calibri" w:cs="Arial"/>
                <w:sz w:val="16"/>
                <w:szCs w:val="16"/>
                <w:lang w:eastAsia="en-AU"/>
              </w:rPr>
              <w:t xml:space="preserve"> signing of the relevant RFA. At RFA’ refers to changes on signing of the relevant </w:t>
            </w:r>
            <w:r w:rsidR="00FA5434">
              <w:rPr>
                <w:rFonts w:ascii="Calibri" w:hAnsi="Calibri" w:cs="Arial"/>
                <w:sz w:val="16"/>
                <w:szCs w:val="16"/>
                <w:lang w:eastAsia="en-AU"/>
              </w:rPr>
              <w:t>RFA</w:t>
            </w:r>
            <w:r w:rsidR="00FA5434" w:rsidRPr="009E58CE">
              <w:rPr>
                <w:rFonts w:ascii="Calibri" w:hAnsi="Calibri" w:cs="Arial"/>
                <w:sz w:val="16"/>
                <w:szCs w:val="16"/>
                <w:lang w:eastAsia="en-AU"/>
              </w:rPr>
              <w:t xml:space="preserve">. ‘Post-RFA’ refers to </w:t>
            </w:r>
            <w:r w:rsidR="00FA5434">
              <w:rPr>
                <w:rFonts w:ascii="Calibri" w:hAnsi="Calibri" w:cs="Arial"/>
                <w:sz w:val="16"/>
                <w:szCs w:val="16"/>
                <w:lang w:eastAsia="en-AU"/>
              </w:rPr>
              <w:t xml:space="preserve">immediately </w:t>
            </w:r>
            <w:r w:rsidR="00FA5434" w:rsidRPr="009E58CE">
              <w:rPr>
                <w:rFonts w:ascii="Calibri" w:hAnsi="Calibri" w:cs="Arial"/>
                <w:sz w:val="16"/>
                <w:szCs w:val="16"/>
                <w:lang w:eastAsia="en-AU"/>
              </w:rPr>
              <w:t xml:space="preserve">after the date of signing of the relevant </w:t>
            </w:r>
            <w:r w:rsidR="00FA5434">
              <w:rPr>
                <w:rFonts w:ascii="Calibri" w:hAnsi="Calibri" w:cs="Arial"/>
                <w:sz w:val="16"/>
                <w:szCs w:val="16"/>
                <w:lang w:eastAsia="en-AU"/>
              </w:rPr>
              <w:t>RFA</w:t>
            </w:r>
            <w:r w:rsidR="00FA5434" w:rsidRPr="009E58CE">
              <w:rPr>
                <w:rFonts w:ascii="Calibri" w:hAnsi="Calibri" w:cs="Arial"/>
                <w:sz w:val="16"/>
                <w:szCs w:val="16"/>
                <w:lang w:eastAsia="en-AU"/>
              </w:rPr>
              <w:t>.</w:t>
            </w:r>
            <w:r w:rsidR="00FA5434">
              <w:rPr>
                <w:rFonts w:ascii="Calibri" w:hAnsi="Calibri" w:cs="Arial"/>
                <w:sz w:val="16"/>
                <w:szCs w:val="16"/>
                <w:lang w:eastAsia="en-AU"/>
              </w:rPr>
              <w:t xml:space="preserve"> </w:t>
            </w:r>
            <w:r w:rsidR="00FA5434" w:rsidRPr="009E58CE">
              <w:rPr>
                <w:rFonts w:ascii="Calibri" w:hAnsi="Calibri" w:cs="Arial"/>
                <w:sz w:val="16"/>
                <w:szCs w:val="16"/>
                <w:lang w:eastAsia="en-AU"/>
              </w:rPr>
              <w:t>Signing dates are: East Gippsland, 3 February 1997; Tasmanian, 8 November 19</w:t>
            </w:r>
            <w:r w:rsidR="00FA5434">
              <w:rPr>
                <w:rFonts w:ascii="Calibri" w:hAnsi="Calibri" w:cs="Arial"/>
                <w:sz w:val="16"/>
                <w:szCs w:val="16"/>
                <w:lang w:eastAsia="en-AU"/>
              </w:rPr>
              <w:t xml:space="preserve">97; </w:t>
            </w:r>
            <w:r w:rsidR="00FA5434" w:rsidRPr="009E58CE">
              <w:rPr>
                <w:rFonts w:ascii="Calibri" w:hAnsi="Calibri" w:cs="Arial"/>
                <w:sz w:val="16"/>
                <w:szCs w:val="16"/>
                <w:lang w:eastAsia="en-AU"/>
              </w:rPr>
              <w:t>Central Highlands, 27 March 1998; South-West Forest Region of Western Australia, 4 May 1999</w:t>
            </w:r>
            <w:r w:rsidR="00FA5434">
              <w:rPr>
                <w:rFonts w:ascii="Calibri" w:hAnsi="Calibri" w:cs="Arial"/>
                <w:sz w:val="16"/>
                <w:szCs w:val="16"/>
                <w:lang w:eastAsia="en-AU"/>
              </w:rPr>
              <w:t xml:space="preserve">; </w:t>
            </w:r>
            <w:r w:rsidR="00FA5434" w:rsidRPr="009E58CE">
              <w:rPr>
                <w:rFonts w:ascii="Calibri" w:hAnsi="Calibri" w:cs="Arial"/>
                <w:sz w:val="16"/>
                <w:szCs w:val="16"/>
                <w:lang w:eastAsia="en-AU"/>
              </w:rPr>
              <w:t>North East (Vic.), 9 August 1999; Eden, 26 August 1999; Gippsland, 31 March 2000; West Victoria, 31 March 2000; Upper and Lower North East (NSW), 31 March 20</w:t>
            </w:r>
            <w:r w:rsidR="00FA5434">
              <w:rPr>
                <w:rFonts w:ascii="Calibri" w:hAnsi="Calibri" w:cs="Arial"/>
                <w:sz w:val="16"/>
                <w:szCs w:val="16"/>
                <w:lang w:eastAsia="en-AU"/>
              </w:rPr>
              <w:t>00; Southern NSW, 24 April 2001.</w:t>
            </w:r>
          </w:p>
          <w:p w14:paraId="1AC05235" w14:textId="5F1E8CA0" w:rsidR="00FA5434" w:rsidRDefault="00FA5434" w:rsidP="00CB0E93">
            <w:pPr>
              <w:spacing w:before="0" w:after="0"/>
              <w:rPr>
                <w:rFonts w:ascii="Calibri" w:hAnsi="Calibri" w:cs="Arial"/>
                <w:sz w:val="16"/>
                <w:szCs w:val="16"/>
                <w:lang w:eastAsia="en-AU"/>
              </w:rPr>
            </w:pPr>
            <w:r w:rsidRPr="009E58CE">
              <w:rPr>
                <w:rFonts w:ascii="Calibri" w:hAnsi="Calibri" w:cs="Arial"/>
                <w:sz w:val="16"/>
                <w:szCs w:val="16"/>
                <w:lang w:eastAsia="en-AU"/>
              </w:rPr>
              <w:t>Count of ecosystem types post-RFA totals for a state may be less than the sum of individual region count of types as some types occur across multiple regions.</w:t>
            </w:r>
          </w:p>
          <w:p w14:paraId="749907D1" w14:textId="5DC7C2A4" w:rsidR="005C5680" w:rsidRDefault="005C5680" w:rsidP="00CB0E93">
            <w:pPr>
              <w:spacing w:before="0" w:after="0"/>
              <w:rPr>
                <w:rFonts w:ascii="Calibri" w:hAnsi="Calibri" w:cs="Arial"/>
                <w:sz w:val="16"/>
                <w:szCs w:val="16"/>
              </w:rPr>
            </w:pPr>
            <w:r w:rsidRPr="005C5680">
              <w:rPr>
                <w:rFonts w:ascii="Calibri" w:hAnsi="Calibri" w:cs="Arial"/>
                <w:sz w:val="16"/>
                <w:szCs w:val="16"/>
                <w:lang w:eastAsia="en-AU"/>
              </w:rPr>
              <w:t xml:space="preserve">Victorian data presented </w:t>
            </w:r>
            <w:r>
              <w:rPr>
                <w:rFonts w:ascii="Calibri" w:hAnsi="Calibri" w:cs="Arial"/>
                <w:sz w:val="16"/>
                <w:szCs w:val="16"/>
                <w:lang w:eastAsia="en-AU"/>
              </w:rPr>
              <w:t xml:space="preserve">in this table </w:t>
            </w:r>
            <w:r w:rsidR="0044624F">
              <w:rPr>
                <w:rFonts w:ascii="Calibri" w:hAnsi="Calibri" w:cs="Arial"/>
                <w:sz w:val="16"/>
                <w:szCs w:val="16"/>
                <w:lang w:eastAsia="en-AU"/>
              </w:rPr>
              <w:t>are</w:t>
            </w:r>
            <w:r w:rsidRPr="005C5680">
              <w:rPr>
                <w:rFonts w:ascii="Calibri" w:hAnsi="Calibri" w:cs="Arial"/>
                <w:sz w:val="16"/>
                <w:szCs w:val="16"/>
                <w:lang w:eastAsia="en-AU"/>
              </w:rPr>
              <w:t xml:space="preserve"> based on the EVCs used at the time of signing RFAs</w:t>
            </w:r>
            <w:r>
              <w:rPr>
                <w:rFonts w:ascii="Calibri" w:hAnsi="Calibri" w:cs="Arial"/>
                <w:sz w:val="16"/>
                <w:szCs w:val="16"/>
                <w:lang w:eastAsia="en-AU"/>
              </w:rPr>
              <w:t>.</w:t>
            </w:r>
          </w:p>
          <w:p w14:paraId="518BC62F" w14:textId="77777777" w:rsidR="00643332" w:rsidRDefault="00643332" w:rsidP="00CB0E93">
            <w:pPr>
              <w:spacing w:before="0" w:after="0"/>
              <w:rPr>
                <w:rFonts w:ascii="Calibri" w:hAnsi="Calibri" w:cs="Arial"/>
                <w:sz w:val="16"/>
                <w:szCs w:val="16"/>
              </w:rPr>
            </w:pPr>
            <w:r>
              <w:rPr>
                <w:rFonts w:ascii="Calibri" w:hAnsi="Calibri" w:cs="Arial"/>
                <w:sz w:val="16"/>
                <w:szCs w:val="16"/>
              </w:rPr>
              <w:t>Totals may not tally due to rounding.</w:t>
            </w:r>
          </w:p>
          <w:p w14:paraId="49C7C5FE" w14:textId="481B88A5" w:rsidR="00674019" w:rsidRPr="00674019" w:rsidRDefault="00674019" w:rsidP="00DB0CD3">
            <w:pPr>
              <w:pStyle w:val="FootnoteText"/>
              <w:spacing w:before="0" w:after="0"/>
              <w:rPr>
                <w:rFonts w:asciiTheme="minorHAnsi" w:eastAsiaTheme="minorEastAsia" w:hAnsiTheme="minorHAnsi"/>
                <w:sz w:val="16"/>
              </w:rPr>
            </w:pPr>
            <w:r>
              <w:rPr>
                <w:rFonts w:asciiTheme="minorHAnsi" w:hAnsiTheme="minorHAnsi"/>
                <w:noProof/>
                <w:sz w:val="16"/>
              </w:rPr>
              <w:t>This table</w:t>
            </w:r>
            <w:r w:rsidRPr="00831C40">
              <w:rPr>
                <w:rFonts w:asciiTheme="minorHAnsi" w:hAnsiTheme="minorHAnsi"/>
                <w:noProof/>
                <w:sz w:val="16"/>
              </w:rPr>
              <w:t xml:space="preserve">, together with other data in this report, is available in Microsoft Excel </w:t>
            </w:r>
            <w:r w:rsidR="00DB0CD3">
              <w:rPr>
                <w:rFonts w:asciiTheme="minorHAnsi" w:hAnsiTheme="minorHAnsi"/>
                <w:noProof/>
                <w:sz w:val="16"/>
              </w:rPr>
              <w:t>at</w:t>
            </w:r>
            <w:r w:rsidRPr="00831C40">
              <w:rPr>
                <w:rFonts w:asciiTheme="minorHAnsi" w:hAnsiTheme="minorHAnsi"/>
                <w:noProof/>
                <w:sz w:val="16"/>
              </w:rPr>
              <w:t xml:space="preserve"> </w:t>
            </w:r>
            <w:hyperlink r:id="rId47" w:history="1">
              <w:r w:rsidR="00DD59DD" w:rsidRPr="0090070F">
                <w:rPr>
                  <w:rStyle w:val="Hyperlink"/>
                  <w:rFonts w:asciiTheme="minorHAnsi" w:hAnsiTheme="minorHAnsi"/>
                  <w:noProof/>
                  <w:color w:val="0070C0"/>
                  <w:sz w:val="16"/>
                </w:rPr>
                <w:t>doi.org/10.25814/pczx-xk66</w:t>
              </w:r>
            </w:hyperlink>
            <w:r w:rsidR="00DD59DD">
              <w:rPr>
                <w:rFonts w:asciiTheme="minorHAnsi" w:hAnsiTheme="minorHAnsi"/>
                <w:noProof/>
                <w:sz w:val="16"/>
              </w:rPr>
              <w:t>.</w:t>
            </w:r>
          </w:p>
        </w:tc>
      </w:tr>
    </w:tbl>
    <w:p w14:paraId="094BD8BD" w14:textId="77777777" w:rsidR="00160F3D" w:rsidRDefault="00160F3D" w:rsidP="004C0DDC">
      <w:pPr>
        <w:pStyle w:val="Caption"/>
      </w:pPr>
      <w:r>
        <w:br w:type="page"/>
      </w:r>
    </w:p>
    <w:p w14:paraId="7F4199CD" w14:textId="6529C244" w:rsidR="004340B2" w:rsidRDefault="00643332" w:rsidP="004C0DDC">
      <w:pPr>
        <w:pStyle w:val="Caption"/>
      </w:pPr>
      <w:r w:rsidRPr="004C351F">
        <w:lastRenderedPageBreak/>
        <w:t xml:space="preserve"> </w:t>
      </w:r>
      <w:bookmarkStart w:id="48" w:name="_Ref55396370"/>
      <w:bookmarkStart w:id="49" w:name="_Toc58234970"/>
      <w:r w:rsidR="004340B2">
        <w:t xml:space="preserve">Table </w:t>
      </w:r>
      <w:r w:rsidR="00D15AE0">
        <w:t>A</w:t>
      </w:r>
      <w:r w:rsidR="00CC5A36">
        <w:rPr>
          <w:noProof/>
        </w:rPr>
        <w:fldChar w:fldCharType="begin"/>
      </w:r>
      <w:r w:rsidR="00CC5A36">
        <w:rPr>
          <w:noProof/>
        </w:rPr>
        <w:instrText xml:space="preserve"> SEQ Table \* ARABIC </w:instrText>
      </w:r>
      <w:r w:rsidR="00CC5A36">
        <w:rPr>
          <w:noProof/>
        </w:rPr>
        <w:fldChar w:fldCharType="separate"/>
      </w:r>
      <w:r w:rsidR="00CC3B42">
        <w:rPr>
          <w:noProof/>
        </w:rPr>
        <w:t>7</w:t>
      </w:r>
      <w:r w:rsidR="00CC5A36">
        <w:rPr>
          <w:noProof/>
        </w:rPr>
        <w:fldChar w:fldCharType="end"/>
      </w:r>
      <w:bookmarkEnd w:id="48"/>
      <w:r w:rsidR="004340B2">
        <w:t xml:space="preserve"> Areas of old-growth forest reserved subsequent to RFAs</w:t>
      </w:r>
      <w:r w:rsidR="00361D8F">
        <w:t xml:space="preserve"> being signed</w:t>
      </w:r>
      <w:bookmarkEnd w:id="49"/>
    </w:p>
    <w:tbl>
      <w:tblPr>
        <w:tblW w:w="14987" w:type="dxa"/>
        <w:tblInd w:w="-426" w:type="dxa"/>
        <w:tblLayout w:type="fixed"/>
        <w:tblCellMar>
          <w:left w:w="0" w:type="dxa"/>
          <w:right w:w="0" w:type="dxa"/>
        </w:tblCellMar>
        <w:tblLook w:val="04A0" w:firstRow="1" w:lastRow="0" w:firstColumn="1" w:lastColumn="0" w:noHBand="0" w:noVBand="1"/>
      </w:tblPr>
      <w:tblGrid>
        <w:gridCol w:w="2694"/>
        <w:gridCol w:w="850"/>
        <w:gridCol w:w="851"/>
        <w:gridCol w:w="992"/>
        <w:gridCol w:w="992"/>
        <w:gridCol w:w="992"/>
        <w:gridCol w:w="993"/>
        <w:gridCol w:w="1134"/>
        <w:gridCol w:w="1134"/>
        <w:gridCol w:w="1134"/>
        <w:gridCol w:w="1095"/>
        <w:gridCol w:w="1236"/>
        <w:gridCol w:w="890"/>
      </w:tblGrid>
      <w:tr w:rsidR="00761560" w14:paraId="665C313D" w14:textId="77777777" w:rsidTr="004C0DDC">
        <w:trPr>
          <w:trHeight w:val="1125"/>
        </w:trPr>
        <w:tc>
          <w:tcPr>
            <w:tcW w:w="2694" w:type="dxa"/>
            <w:tcBorders>
              <w:top w:val="single" w:sz="4" w:space="0" w:color="auto"/>
              <w:bottom w:val="single" w:sz="4" w:space="0" w:color="auto"/>
              <w:right w:val="single" w:sz="4" w:space="0" w:color="auto"/>
            </w:tcBorders>
            <w:shd w:val="clear" w:color="auto" w:fill="auto"/>
            <w:vAlign w:val="bottom"/>
            <w:hideMark/>
          </w:tcPr>
          <w:p w14:paraId="7138B3BA" w14:textId="77777777" w:rsidR="00761560" w:rsidRPr="00BB2D6B" w:rsidRDefault="00761560" w:rsidP="00CB0E93">
            <w:pPr>
              <w:spacing w:before="0" w:after="0"/>
              <w:ind w:left="57" w:right="57"/>
              <w:rPr>
                <w:rFonts w:asciiTheme="majorHAnsi" w:hAnsiTheme="majorHAnsi" w:cs="Arial"/>
                <w:b/>
                <w:bCs/>
                <w:sz w:val="16"/>
                <w:szCs w:val="16"/>
              </w:rPr>
            </w:pPr>
            <w:r w:rsidRPr="00BB2D6B">
              <w:rPr>
                <w:rFonts w:asciiTheme="majorHAnsi" w:hAnsiTheme="majorHAnsi" w:cs="Arial"/>
                <w:b/>
                <w:bCs/>
                <w:sz w:val="16"/>
                <w:szCs w:val="16"/>
              </w:rPr>
              <w:t>State and RFA region</w:t>
            </w:r>
          </w:p>
        </w:tc>
        <w:tc>
          <w:tcPr>
            <w:tcW w:w="850" w:type="dxa"/>
            <w:tcBorders>
              <w:top w:val="single" w:sz="4" w:space="0" w:color="auto"/>
              <w:left w:val="nil"/>
              <w:bottom w:val="single" w:sz="4" w:space="0" w:color="auto"/>
            </w:tcBorders>
            <w:shd w:val="clear" w:color="auto" w:fill="auto"/>
            <w:vAlign w:val="bottom"/>
            <w:hideMark/>
          </w:tcPr>
          <w:p w14:paraId="2511A33C" w14:textId="77777777" w:rsidR="00761560" w:rsidRPr="00BB2D6B" w:rsidRDefault="00761560" w:rsidP="00CB0E93">
            <w:pPr>
              <w:spacing w:before="0" w:after="0"/>
              <w:ind w:left="57" w:right="57"/>
              <w:jc w:val="right"/>
              <w:rPr>
                <w:rFonts w:asciiTheme="majorHAnsi" w:hAnsiTheme="majorHAnsi" w:cs="Arial"/>
                <w:b/>
                <w:bCs/>
                <w:sz w:val="16"/>
                <w:szCs w:val="16"/>
              </w:rPr>
            </w:pPr>
            <w:r w:rsidRPr="00BB2D6B">
              <w:rPr>
                <w:rFonts w:asciiTheme="majorHAnsi" w:hAnsiTheme="majorHAnsi" w:cs="Arial"/>
                <w:b/>
                <w:bCs/>
                <w:sz w:val="16"/>
                <w:szCs w:val="16"/>
              </w:rPr>
              <w:t xml:space="preserve">Area of </w:t>
            </w:r>
          </w:p>
          <w:p w14:paraId="2753E401" w14:textId="30B00067" w:rsidR="00761560" w:rsidRPr="00BB2D6B" w:rsidRDefault="00761560" w:rsidP="00CB0E93">
            <w:pPr>
              <w:spacing w:before="0" w:after="0"/>
              <w:ind w:left="57" w:right="57"/>
              <w:jc w:val="right"/>
              <w:rPr>
                <w:rFonts w:asciiTheme="majorHAnsi" w:hAnsiTheme="majorHAnsi" w:cs="Arial"/>
                <w:b/>
                <w:bCs/>
                <w:sz w:val="16"/>
                <w:szCs w:val="16"/>
              </w:rPr>
            </w:pPr>
            <w:r w:rsidRPr="00BB2D6B">
              <w:rPr>
                <w:rFonts w:asciiTheme="majorHAnsi" w:hAnsiTheme="majorHAnsi" w:cs="Arial"/>
                <w:b/>
                <w:bCs/>
                <w:sz w:val="16"/>
                <w:szCs w:val="16"/>
              </w:rPr>
              <w:t>old-growth forest pre-RFA (ha)</w:t>
            </w:r>
          </w:p>
        </w:tc>
        <w:tc>
          <w:tcPr>
            <w:tcW w:w="851" w:type="dxa"/>
            <w:tcBorders>
              <w:top w:val="single" w:sz="4" w:space="0" w:color="auto"/>
              <w:bottom w:val="single" w:sz="4" w:space="0" w:color="auto"/>
            </w:tcBorders>
            <w:shd w:val="clear" w:color="auto" w:fill="auto"/>
            <w:vAlign w:val="bottom"/>
            <w:hideMark/>
          </w:tcPr>
          <w:p w14:paraId="585EB089" w14:textId="41260E81" w:rsidR="00761560" w:rsidRPr="00BB2D6B" w:rsidRDefault="00077B7D" w:rsidP="00CB0E93">
            <w:pPr>
              <w:spacing w:before="0" w:after="0"/>
              <w:ind w:left="57" w:right="57"/>
              <w:jc w:val="right"/>
              <w:rPr>
                <w:rFonts w:asciiTheme="majorHAnsi" w:hAnsiTheme="majorHAnsi" w:cs="Arial"/>
                <w:b/>
                <w:bCs/>
                <w:sz w:val="16"/>
                <w:szCs w:val="16"/>
              </w:rPr>
            </w:pPr>
            <w:r>
              <w:rPr>
                <w:rFonts w:asciiTheme="majorHAnsi" w:hAnsiTheme="majorHAnsi" w:cs="Arial"/>
                <w:b/>
                <w:bCs/>
                <w:sz w:val="16"/>
                <w:szCs w:val="16"/>
              </w:rPr>
              <w:t>Area of o</w:t>
            </w:r>
            <w:r w:rsidR="00761560" w:rsidRPr="00BB2D6B">
              <w:rPr>
                <w:rFonts w:asciiTheme="majorHAnsi" w:hAnsiTheme="majorHAnsi" w:cs="Arial"/>
                <w:b/>
                <w:bCs/>
                <w:sz w:val="16"/>
                <w:szCs w:val="16"/>
              </w:rPr>
              <w:t xml:space="preserve">ld-growth in reserves post-RFA (ha) </w:t>
            </w:r>
          </w:p>
        </w:tc>
        <w:tc>
          <w:tcPr>
            <w:tcW w:w="992" w:type="dxa"/>
            <w:tcBorders>
              <w:top w:val="single" w:sz="4" w:space="0" w:color="auto"/>
              <w:bottom w:val="single" w:sz="4" w:space="0" w:color="auto"/>
              <w:right w:val="single" w:sz="4" w:space="0" w:color="auto"/>
            </w:tcBorders>
            <w:shd w:val="clear" w:color="auto" w:fill="auto"/>
            <w:vAlign w:val="bottom"/>
            <w:hideMark/>
          </w:tcPr>
          <w:p w14:paraId="43A75E1F" w14:textId="77777777" w:rsidR="00761560" w:rsidRPr="00BB2D6B" w:rsidRDefault="00761560" w:rsidP="00CB0E93">
            <w:pPr>
              <w:spacing w:before="0" w:after="0"/>
              <w:ind w:left="57" w:right="57"/>
              <w:jc w:val="right"/>
              <w:rPr>
                <w:rFonts w:asciiTheme="majorHAnsi" w:hAnsiTheme="majorHAnsi" w:cs="Arial"/>
                <w:b/>
                <w:bCs/>
                <w:sz w:val="16"/>
                <w:szCs w:val="16"/>
              </w:rPr>
            </w:pPr>
            <w:r w:rsidRPr="00BB2D6B">
              <w:rPr>
                <w:rFonts w:asciiTheme="majorHAnsi" w:hAnsiTheme="majorHAnsi" w:cs="Arial"/>
                <w:b/>
                <w:bCs/>
                <w:sz w:val="16"/>
                <w:szCs w:val="16"/>
              </w:rPr>
              <w:t>Proportion of old-growth reserved post-RFA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9AC6197" w14:textId="77777777" w:rsidR="009C7B27" w:rsidRDefault="00761560" w:rsidP="00CB0E93">
            <w:pPr>
              <w:spacing w:before="0" w:after="0"/>
              <w:ind w:left="57" w:right="57"/>
              <w:jc w:val="right"/>
              <w:rPr>
                <w:rFonts w:asciiTheme="majorHAnsi" w:hAnsiTheme="majorHAnsi" w:cs="Arial"/>
                <w:b/>
                <w:bCs/>
                <w:sz w:val="16"/>
                <w:szCs w:val="16"/>
              </w:rPr>
            </w:pPr>
            <w:r w:rsidRPr="00BB2D6B">
              <w:rPr>
                <w:rFonts w:asciiTheme="majorHAnsi" w:hAnsiTheme="majorHAnsi" w:cs="Arial"/>
                <w:b/>
                <w:bCs/>
                <w:sz w:val="16"/>
                <w:szCs w:val="16"/>
              </w:rPr>
              <w:t xml:space="preserve">Area of old-growth forest </w:t>
            </w:r>
          </w:p>
          <w:p w14:paraId="7E787BCD" w14:textId="6528E6BF" w:rsidR="009C7B27" w:rsidRDefault="00761560" w:rsidP="00CB0E93">
            <w:pPr>
              <w:spacing w:before="0" w:after="0"/>
              <w:ind w:left="57" w:right="57"/>
              <w:jc w:val="right"/>
              <w:rPr>
                <w:rFonts w:asciiTheme="majorHAnsi" w:hAnsiTheme="majorHAnsi" w:cs="Arial"/>
                <w:b/>
                <w:bCs/>
                <w:sz w:val="16"/>
                <w:szCs w:val="16"/>
              </w:rPr>
            </w:pPr>
            <w:r w:rsidRPr="00BB2D6B">
              <w:rPr>
                <w:rFonts w:asciiTheme="majorHAnsi" w:hAnsiTheme="majorHAnsi" w:cs="Arial"/>
                <w:b/>
                <w:bCs/>
                <w:sz w:val="16"/>
                <w:szCs w:val="16"/>
              </w:rPr>
              <w:t xml:space="preserve">in most recent </w:t>
            </w:r>
          </w:p>
          <w:p w14:paraId="06D2A9C0" w14:textId="695D3108" w:rsidR="00761560" w:rsidRPr="00BB2D6B" w:rsidRDefault="00761560" w:rsidP="00CB0E93">
            <w:pPr>
              <w:spacing w:before="0" w:after="0"/>
              <w:ind w:left="57" w:right="57"/>
              <w:jc w:val="right"/>
              <w:rPr>
                <w:rFonts w:asciiTheme="majorHAnsi" w:hAnsiTheme="majorHAnsi" w:cs="Arial"/>
                <w:b/>
                <w:bCs/>
                <w:sz w:val="16"/>
                <w:szCs w:val="16"/>
              </w:rPr>
            </w:pPr>
            <w:r w:rsidRPr="00BB2D6B">
              <w:rPr>
                <w:rFonts w:asciiTheme="majorHAnsi" w:hAnsiTheme="majorHAnsi" w:cs="Arial"/>
                <w:b/>
                <w:bCs/>
                <w:sz w:val="16"/>
                <w:szCs w:val="16"/>
              </w:rPr>
              <w:t>data</w:t>
            </w:r>
            <w:r w:rsidRPr="000B7359">
              <w:rPr>
                <w:rFonts w:asciiTheme="majorHAnsi" w:hAnsiTheme="majorHAnsi"/>
                <w:b/>
                <w:spacing w:val="-10"/>
                <w:sz w:val="16"/>
              </w:rPr>
              <w:t xml:space="preserve"> </w:t>
            </w:r>
            <w:r w:rsidR="009C7B27" w:rsidRPr="00BB2D6B">
              <w:rPr>
                <w:rFonts w:asciiTheme="majorHAnsi" w:hAnsiTheme="majorHAnsi" w:cs="Arial"/>
                <w:b/>
                <w:bCs/>
                <w:position w:val="4"/>
                <w:sz w:val="16"/>
                <w:szCs w:val="16"/>
              </w:rPr>
              <w:t>b</w:t>
            </w:r>
            <w:r w:rsidRPr="00BB2D6B">
              <w:rPr>
                <w:rFonts w:asciiTheme="majorHAnsi" w:hAnsiTheme="majorHAnsi" w:cs="Arial"/>
                <w:b/>
                <w:bCs/>
                <w:sz w:val="16"/>
                <w:szCs w:val="16"/>
              </w:rPr>
              <w:t xml:space="preserve"> (ha)</w:t>
            </w:r>
          </w:p>
        </w:tc>
        <w:tc>
          <w:tcPr>
            <w:tcW w:w="992" w:type="dxa"/>
            <w:tcBorders>
              <w:top w:val="single" w:sz="4" w:space="0" w:color="auto"/>
              <w:left w:val="nil"/>
              <w:bottom w:val="single" w:sz="4" w:space="0" w:color="auto"/>
            </w:tcBorders>
            <w:shd w:val="clear" w:color="auto" w:fill="auto"/>
            <w:vAlign w:val="bottom"/>
            <w:hideMark/>
          </w:tcPr>
          <w:p w14:paraId="5AC6E019" w14:textId="2A1114C6" w:rsidR="00761560" w:rsidRPr="00BB2D6B" w:rsidRDefault="00761560" w:rsidP="00CB0E93">
            <w:pPr>
              <w:spacing w:before="0" w:after="0"/>
              <w:ind w:left="57" w:right="57"/>
              <w:jc w:val="right"/>
              <w:rPr>
                <w:rFonts w:asciiTheme="majorHAnsi" w:hAnsiTheme="majorHAnsi" w:cs="Arial"/>
                <w:b/>
                <w:bCs/>
                <w:spacing w:val="-10"/>
                <w:sz w:val="16"/>
                <w:szCs w:val="16"/>
              </w:rPr>
            </w:pPr>
            <w:r w:rsidRPr="00BB2D6B">
              <w:rPr>
                <w:rFonts w:asciiTheme="majorHAnsi" w:hAnsiTheme="majorHAnsi" w:cs="Arial"/>
                <w:b/>
                <w:bCs/>
                <w:spacing w:val="-10"/>
                <w:sz w:val="16"/>
                <w:szCs w:val="16"/>
              </w:rPr>
              <w:t xml:space="preserve">Change in area of old-growth between pre-RFA and most recent data </w:t>
            </w:r>
            <w:r w:rsidR="009C7B27" w:rsidRPr="00BB2D6B">
              <w:rPr>
                <w:rFonts w:asciiTheme="majorHAnsi" w:hAnsiTheme="majorHAnsi" w:cs="Arial"/>
                <w:b/>
                <w:bCs/>
                <w:position w:val="4"/>
                <w:sz w:val="16"/>
                <w:szCs w:val="16"/>
              </w:rPr>
              <w:t>b</w:t>
            </w:r>
            <w:r w:rsidRPr="00BB2D6B">
              <w:rPr>
                <w:rFonts w:asciiTheme="majorHAnsi" w:hAnsiTheme="majorHAnsi" w:cs="Arial"/>
                <w:b/>
                <w:bCs/>
                <w:spacing w:val="-10"/>
                <w:sz w:val="16"/>
                <w:szCs w:val="16"/>
              </w:rPr>
              <w:t xml:space="preserve"> (ha)</w:t>
            </w:r>
          </w:p>
        </w:tc>
        <w:tc>
          <w:tcPr>
            <w:tcW w:w="993" w:type="dxa"/>
            <w:tcBorders>
              <w:top w:val="single" w:sz="4" w:space="0" w:color="auto"/>
              <w:bottom w:val="single" w:sz="4" w:space="0" w:color="auto"/>
              <w:right w:val="single" w:sz="4" w:space="0" w:color="auto"/>
            </w:tcBorders>
            <w:shd w:val="clear" w:color="auto" w:fill="auto"/>
            <w:vAlign w:val="bottom"/>
            <w:hideMark/>
          </w:tcPr>
          <w:p w14:paraId="1A900583" w14:textId="51470021" w:rsidR="00761560" w:rsidRPr="00BB2D6B" w:rsidRDefault="00761560" w:rsidP="00CB0E93">
            <w:pPr>
              <w:spacing w:before="0" w:after="0"/>
              <w:ind w:left="57" w:right="57"/>
              <w:jc w:val="right"/>
              <w:rPr>
                <w:rFonts w:asciiTheme="majorHAnsi" w:hAnsiTheme="majorHAnsi" w:cs="Arial"/>
                <w:b/>
                <w:bCs/>
                <w:spacing w:val="-10"/>
                <w:sz w:val="16"/>
                <w:szCs w:val="16"/>
              </w:rPr>
            </w:pPr>
            <w:r w:rsidRPr="00BB2D6B">
              <w:rPr>
                <w:rFonts w:asciiTheme="majorHAnsi" w:hAnsiTheme="majorHAnsi" w:cs="Arial"/>
                <w:b/>
                <w:bCs/>
                <w:spacing w:val="-10"/>
                <w:sz w:val="16"/>
                <w:szCs w:val="16"/>
              </w:rPr>
              <w:t xml:space="preserve">Change in area of old-growth between pre-RFA and most recent data </w:t>
            </w:r>
            <w:r w:rsidRPr="00BB2D6B">
              <w:rPr>
                <w:rFonts w:asciiTheme="majorHAnsi" w:hAnsiTheme="majorHAnsi" w:cs="Arial"/>
                <w:b/>
                <w:bCs/>
                <w:position w:val="4"/>
                <w:sz w:val="16"/>
                <w:szCs w:val="16"/>
              </w:rPr>
              <w:t>b</w:t>
            </w:r>
            <w:r w:rsidRPr="00BB2D6B">
              <w:rPr>
                <w:rFonts w:asciiTheme="majorHAnsi" w:hAnsiTheme="majorHAnsi" w:cs="Arial"/>
                <w:b/>
                <w:bCs/>
                <w:spacing w:val="-10"/>
                <w:sz w:val="16"/>
                <w:szCs w:val="16"/>
              </w:rPr>
              <w:t xml:space="preserve"> (%)</w:t>
            </w:r>
          </w:p>
        </w:tc>
        <w:tc>
          <w:tcPr>
            <w:tcW w:w="1134" w:type="dxa"/>
            <w:tcBorders>
              <w:top w:val="single" w:sz="4" w:space="0" w:color="auto"/>
              <w:left w:val="nil"/>
              <w:bottom w:val="single" w:sz="4" w:space="0" w:color="auto"/>
            </w:tcBorders>
            <w:shd w:val="clear" w:color="auto" w:fill="auto"/>
            <w:vAlign w:val="bottom"/>
            <w:hideMark/>
          </w:tcPr>
          <w:p w14:paraId="223031AE" w14:textId="5A2DC846" w:rsidR="00761560" w:rsidRPr="00BB2D6B" w:rsidRDefault="00761560" w:rsidP="00CB0E93">
            <w:pPr>
              <w:spacing w:before="0" w:after="0"/>
              <w:ind w:left="57" w:right="57"/>
              <w:jc w:val="right"/>
              <w:rPr>
                <w:rFonts w:asciiTheme="majorHAnsi" w:hAnsiTheme="majorHAnsi" w:cs="Arial"/>
                <w:b/>
                <w:bCs/>
                <w:spacing w:val="-10"/>
                <w:sz w:val="16"/>
                <w:szCs w:val="16"/>
              </w:rPr>
            </w:pPr>
            <w:r w:rsidRPr="00BB2D6B">
              <w:rPr>
                <w:rFonts w:asciiTheme="majorHAnsi" w:hAnsiTheme="majorHAnsi" w:cs="Arial"/>
                <w:b/>
                <w:bCs/>
                <w:spacing w:val="-10"/>
                <w:sz w:val="16"/>
                <w:szCs w:val="16"/>
              </w:rPr>
              <w:t>Area of old-growth forest in formal and informal reserves in most recent data</w:t>
            </w:r>
            <w:r w:rsidR="00803CE1">
              <w:rPr>
                <w:rFonts w:asciiTheme="majorHAnsi" w:hAnsiTheme="majorHAnsi" w:cs="Arial"/>
                <w:b/>
                <w:bCs/>
                <w:spacing w:val="-10"/>
                <w:sz w:val="16"/>
                <w:szCs w:val="16"/>
              </w:rPr>
              <w:t xml:space="preserve"> (ha)</w:t>
            </w:r>
          </w:p>
        </w:tc>
        <w:tc>
          <w:tcPr>
            <w:tcW w:w="1134" w:type="dxa"/>
            <w:tcBorders>
              <w:top w:val="single" w:sz="4" w:space="0" w:color="auto"/>
              <w:bottom w:val="single" w:sz="4" w:space="0" w:color="auto"/>
              <w:right w:val="single" w:sz="4" w:space="0" w:color="auto"/>
            </w:tcBorders>
            <w:shd w:val="clear" w:color="auto" w:fill="auto"/>
            <w:vAlign w:val="bottom"/>
            <w:hideMark/>
          </w:tcPr>
          <w:p w14:paraId="2DEEB7CE" w14:textId="77777777" w:rsidR="00761560" w:rsidRPr="00BB2D6B" w:rsidRDefault="00761560" w:rsidP="00CB0E93">
            <w:pPr>
              <w:spacing w:before="0" w:after="0"/>
              <w:ind w:left="57" w:right="57"/>
              <w:jc w:val="right"/>
              <w:rPr>
                <w:rFonts w:asciiTheme="majorHAnsi" w:hAnsiTheme="majorHAnsi" w:cs="Arial"/>
                <w:b/>
                <w:bCs/>
                <w:spacing w:val="-10"/>
                <w:sz w:val="16"/>
                <w:szCs w:val="16"/>
              </w:rPr>
            </w:pPr>
            <w:r w:rsidRPr="00BB2D6B">
              <w:rPr>
                <w:rFonts w:asciiTheme="majorHAnsi" w:hAnsiTheme="majorHAnsi" w:cs="Arial"/>
                <w:b/>
                <w:bCs/>
                <w:spacing w:val="-10"/>
                <w:sz w:val="16"/>
                <w:szCs w:val="16"/>
              </w:rPr>
              <w:t>Proportion of old-growth forest in formal and informal reserves in most recent data (%)</w:t>
            </w:r>
          </w:p>
        </w:tc>
        <w:tc>
          <w:tcPr>
            <w:tcW w:w="1134" w:type="dxa"/>
            <w:tcBorders>
              <w:top w:val="single" w:sz="4" w:space="0" w:color="auto"/>
              <w:bottom w:val="single" w:sz="4" w:space="0" w:color="auto"/>
              <w:right w:val="nil"/>
            </w:tcBorders>
            <w:vAlign w:val="bottom"/>
          </w:tcPr>
          <w:p w14:paraId="4BC0DF87" w14:textId="1698E18E" w:rsidR="00761560" w:rsidRPr="00BB2D6B" w:rsidRDefault="00761560" w:rsidP="00CB0E93">
            <w:pPr>
              <w:spacing w:before="0" w:after="0"/>
              <w:ind w:left="57" w:right="57"/>
              <w:jc w:val="right"/>
              <w:rPr>
                <w:rFonts w:asciiTheme="majorHAnsi" w:hAnsiTheme="majorHAnsi" w:cs="Arial"/>
                <w:b/>
                <w:bCs/>
                <w:sz w:val="16"/>
                <w:szCs w:val="16"/>
              </w:rPr>
            </w:pPr>
            <w:r w:rsidRPr="00BB2D6B">
              <w:rPr>
                <w:rFonts w:asciiTheme="majorHAnsi" w:hAnsiTheme="majorHAnsi" w:cs="Arial"/>
                <w:b/>
                <w:bCs/>
                <w:sz w:val="16"/>
                <w:szCs w:val="16"/>
              </w:rPr>
              <w:t>Area of old-growth forest in prescriptions in most recent data (ha)</w:t>
            </w:r>
          </w:p>
        </w:tc>
        <w:tc>
          <w:tcPr>
            <w:tcW w:w="1095" w:type="dxa"/>
            <w:tcBorders>
              <w:top w:val="single" w:sz="4" w:space="0" w:color="auto"/>
              <w:left w:val="nil"/>
              <w:bottom w:val="single" w:sz="4" w:space="0" w:color="auto"/>
            </w:tcBorders>
            <w:shd w:val="clear" w:color="auto" w:fill="auto"/>
            <w:vAlign w:val="bottom"/>
            <w:hideMark/>
          </w:tcPr>
          <w:p w14:paraId="3A0E1A46" w14:textId="2DD47CB4" w:rsidR="00761560" w:rsidRPr="00BB2D6B" w:rsidRDefault="00761560" w:rsidP="00CB0E93">
            <w:pPr>
              <w:spacing w:before="0" w:after="0"/>
              <w:ind w:left="57" w:right="57"/>
              <w:jc w:val="right"/>
              <w:rPr>
                <w:rFonts w:asciiTheme="majorHAnsi" w:hAnsiTheme="majorHAnsi" w:cs="Arial"/>
                <w:b/>
                <w:bCs/>
                <w:sz w:val="16"/>
                <w:szCs w:val="16"/>
              </w:rPr>
            </w:pPr>
            <w:r w:rsidRPr="00BB2D6B">
              <w:rPr>
                <w:rFonts w:asciiTheme="majorHAnsi" w:hAnsiTheme="majorHAnsi" w:cs="Arial"/>
                <w:b/>
                <w:bCs/>
                <w:sz w:val="16"/>
                <w:szCs w:val="16"/>
              </w:rPr>
              <w:t>Area of old-growth forest in CAR reserve system in most recent data (ha)</w:t>
            </w:r>
          </w:p>
        </w:tc>
        <w:tc>
          <w:tcPr>
            <w:tcW w:w="1236" w:type="dxa"/>
            <w:tcBorders>
              <w:top w:val="single" w:sz="4" w:space="0" w:color="auto"/>
              <w:bottom w:val="single" w:sz="4" w:space="0" w:color="auto"/>
              <w:right w:val="single" w:sz="4" w:space="0" w:color="auto"/>
            </w:tcBorders>
            <w:shd w:val="clear" w:color="auto" w:fill="auto"/>
            <w:vAlign w:val="bottom"/>
            <w:hideMark/>
          </w:tcPr>
          <w:p w14:paraId="4A12D15C" w14:textId="77777777" w:rsidR="00761560" w:rsidRPr="00BB2D6B" w:rsidRDefault="00761560" w:rsidP="00CB0E93">
            <w:pPr>
              <w:spacing w:before="0" w:after="0"/>
              <w:ind w:left="57" w:right="57"/>
              <w:jc w:val="right"/>
              <w:rPr>
                <w:rFonts w:asciiTheme="majorHAnsi" w:hAnsiTheme="majorHAnsi" w:cs="Arial"/>
                <w:b/>
                <w:bCs/>
                <w:sz w:val="16"/>
                <w:szCs w:val="16"/>
              </w:rPr>
            </w:pPr>
            <w:r w:rsidRPr="00BB2D6B">
              <w:rPr>
                <w:rFonts w:asciiTheme="majorHAnsi" w:hAnsiTheme="majorHAnsi" w:cs="Arial"/>
                <w:b/>
                <w:bCs/>
                <w:sz w:val="16"/>
                <w:szCs w:val="16"/>
              </w:rPr>
              <w:t>Proportion of old-growth forest in CAR reserve system in most recent data (%)</w:t>
            </w:r>
          </w:p>
        </w:tc>
        <w:tc>
          <w:tcPr>
            <w:tcW w:w="890" w:type="dxa"/>
            <w:tcBorders>
              <w:top w:val="single" w:sz="4" w:space="0" w:color="auto"/>
              <w:left w:val="nil"/>
              <w:bottom w:val="single" w:sz="4" w:space="0" w:color="auto"/>
            </w:tcBorders>
            <w:shd w:val="clear" w:color="auto" w:fill="auto"/>
            <w:vAlign w:val="bottom"/>
            <w:hideMark/>
          </w:tcPr>
          <w:p w14:paraId="4EF69FC5" w14:textId="77777777" w:rsidR="00761560" w:rsidRPr="00BB2D6B" w:rsidRDefault="00761560" w:rsidP="00CB0E93">
            <w:pPr>
              <w:spacing w:before="0" w:after="0"/>
              <w:ind w:left="57" w:right="57"/>
              <w:jc w:val="right"/>
              <w:rPr>
                <w:rFonts w:asciiTheme="majorHAnsi" w:hAnsiTheme="majorHAnsi" w:cs="Arial"/>
                <w:b/>
                <w:bCs/>
                <w:spacing w:val="-10"/>
                <w:sz w:val="16"/>
                <w:szCs w:val="16"/>
              </w:rPr>
            </w:pPr>
            <w:r w:rsidRPr="00BB2D6B">
              <w:rPr>
                <w:rFonts w:asciiTheme="majorHAnsi" w:hAnsiTheme="majorHAnsi" w:cs="Arial"/>
                <w:b/>
                <w:bCs/>
                <w:spacing w:val="-10"/>
                <w:sz w:val="16"/>
                <w:szCs w:val="16"/>
              </w:rPr>
              <w:t>Count of old-growth forest types in most recent data</w:t>
            </w:r>
          </w:p>
        </w:tc>
      </w:tr>
      <w:tr w:rsidR="00761560" w14:paraId="6954148C" w14:textId="77777777" w:rsidTr="004C0DDC">
        <w:trPr>
          <w:trHeight w:val="20"/>
        </w:trPr>
        <w:tc>
          <w:tcPr>
            <w:tcW w:w="2694" w:type="dxa"/>
            <w:tcBorders>
              <w:top w:val="nil"/>
              <w:bottom w:val="single" w:sz="4" w:space="0" w:color="auto"/>
              <w:right w:val="nil"/>
            </w:tcBorders>
            <w:shd w:val="clear" w:color="auto" w:fill="auto"/>
            <w:vAlign w:val="bottom"/>
            <w:hideMark/>
          </w:tcPr>
          <w:p w14:paraId="3FF3E35F" w14:textId="02A48F0B" w:rsidR="00A1568A" w:rsidRDefault="00761560" w:rsidP="00CB0E93">
            <w:pPr>
              <w:spacing w:before="0" w:after="0"/>
              <w:ind w:left="57" w:right="57"/>
              <w:rPr>
                <w:rFonts w:asciiTheme="majorHAnsi" w:hAnsiTheme="majorHAnsi" w:cs="Arial"/>
                <w:spacing w:val="-10"/>
                <w:sz w:val="16"/>
                <w:szCs w:val="16"/>
              </w:rPr>
            </w:pPr>
            <w:r w:rsidRPr="00BB2D6B">
              <w:rPr>
                <w:rFonts w:asciiTheme="majorHAnsi" w:hAnsiTheme="majorHAnsi" w:cs="Arial"/>
                <w:b/>
                <w:bCs/>
                <w:spacing w:val="-10"/>
                <w:sz w:val="16"/>
                <w:szCs w:val="16"/>
              </w:rPr>
              <w:t xml:space="preserve">Column </w:t>
            </w:r>
            <w:r w:rsidR="00803CE1" w:rsidRPr="00BB2D6B">
              <w:rPr>
                <w:rFonts w:asciiTheme="majorHAnsi" w:hAnsiTheme="majorHAnsi" w:cs="Arial"/>
                <w:b/>
                <w:bCs/>
                <w:spacing w:val="-10"/>
                <w:sz w:val="16"/>
                <w:szCs w:val="16"/>
              </w:rPr>
              <w:t>code</w:t>
            </w:r>
            <w:r w:rsidR="00803CE1">
              <w:rPr>
                <w:rFonts w:asciiTheme="majorHAnsi" w:hAnsiTheme="majorHAnsi" w:cs="Arial"/>
                <w:b/>
                <w:bCs/>
                <w:spacing w:val="-10"/>
                <w:sz w:val="16"/>
                <w:szCs w:val="16"/>
              </w:rPr>
              <w:t>,</w:t>
            </w:r>
            <w:r w:rsidR="00803CE1" w:rsidRPr="00BB2D6B">
              <w:rPr>
                <w:rFonts w:asciiTheme="majorHAnsi" w:hAnsiTheme="majorHAnsi" w:cs="Arial"/>
                <w:b/>
                <w:bCs/>
                <w:spacing w:val="-10"/>
                <w:sz w:val="16"/>
                <w:szCs w:val="16"/>
              </w:rPr>
              <w:t xml:space="preserve"> continu</w:t>
            </w:r>
            <w:r w:rsidR="00803CE1">
              <w:rPr>
                <w:rFonts w:asciiTheme="majorHAnsi" w:hAnsiTheme="majorHAnsi" w:cs="Arial"/>
                <w:b/>
                <w:bCs/>
                <w:spacing w:val="-10"/>
                <w:sz w:val="16"/>
                <w:szCs w:val="16"/>
              </w:rPr>
              <w:t>ing</w:t>
            </w:r>
            <w:r w:rsidR="00803CE1" w:rsidRPr="00BB2D6B">
              <w:rPr>
                <w:rFonts w:asciiTheme="majorHAnsi" w:hAnsiTheme="majorHAnsi" w:cs="Arial"/>
                <w:b/>
                <w:bCs/>
                <w:spacing w:val="-10"/>
                <w:sz w:val="16"/>
                <w:szCs w:val="16"/>
              </w:rPr>
              <w:t xml:space="preserve"> </w:t>
            </w:r>
            <w:r w:rsidRPr="00BB2D6B">
              <w:rPr>
                <w:rFonts w:asciiTheme="majorHAnsi" w:hAnsiTheme="majorHAnsi" w:cs="Arial"/>
                <w:b/>
                <w:bCs/>
                <w:spacing w:val="-10"/>
                <w:sz w:val="16"/>
                <w:szCs w:val="16"/>
              </w:rPr>
              <w:t>from previous tables</w:t>
            </w:r>
            <w:r w:rsidR="00BB2D6B">
              <w:rPr>
                <w:rFonts w:asciiTheme="majorHAnsi" w:hAnsiTheme="majorHAnsi" w:cs="Arial"/>
                <w:b/>
                <w:bCs/>
                <w:spacing w:val="-10"/>
                <w:sz w:val="16"/>
                <w:szCs w:val="16"/>
              </w:rPr>
              <w:t xml:space="preserve"> </w:t>
            </w:r>
            <w:r w:rsidRPr="00BB2D6B">
              <w:rPr>
                <w:rFonts w:asciiTheme="majorHAnsi" w:hAnsiTheme="majorHAnsi" w:cs="Arial"/>
                <w:b/>
                <w:bCs/>
                <w:position w:val="4"/>
                <w:sz w:val="16"/>
                <w:szCs w:val="16"/>
              </w:rPr>
              <w:t>a</w:t>
            </w:r>
            <w:r w:rsidR="00A1568A">
              <w:rPr>
                <w:rFonts w:asciiTheme="majorHAnsi" w:hAnsiTheme="majorHAnsi" w:cs="Arial"/>
                <w:spacing w:val="-10"/>
                <w:sz w:val="16"/>
                <w:szCs w:val="16"/>
              </w:rPr>
              <w:t xml:space="preserve"> </w:t>
            </w:r>
          </w:p>
          <w:p w14:paraId="79D9E7D8" w14:textId="0A669645" w:rsidR="00761560" w:rsidRPr="00BB2D6B" w:rsidRDefault="00A1568A" w:rsidP="00CB0E93">
            <w:pPr>
              <w:spacing w:before="0" w:after="0"/>
              <w:ind w:left="57" w:right="57"/>
              <w:rPr>
                <w:rFonts w:asciiTheme="majorHAnsi" w:hAnsiTheme="majorHAnsi" w:cs="Arial"/>
                <w:b/>
                <w:bCs/>
                <w:spacing w:val="-10"/>
                <w:sz w:val="16"/>
                <w:szCs w:val="16"/>
              </w:rPr>
            </w:pPr>
            <w:r>
              <w:rPr>
                <w:rFonts w:asciiTheme="majorHAnsi" w:hAnsiTheme="majorHAnsi" w:cs="Arial"/>
                <w:spacing w:val="-10"/>
                <w:sz w:val="16"/>
                <w:szCs w:val="16"/>
              </w:rPr>
              <w:t>Derivation of figures</w:t>
            </w:r>
          </w:p>
        </w:tc>
        <w:tc>
          <w:tcPr>
            <w:tcW w:w="850" w:type="dxa"/>
            <w:tcBorders>
              <w:top w:val="nil"/>
              <w:left w:val="single" w:sz="4" w:space="0" w:color="auto"/>
              <w:bottom w:val="single" w:sz="4" w:space="0" w:color="auto"/>
              <w:right w:val="nil"/>
            </w:tcBorders>
            <w:shd w:val="clear" w:color="000000" w:fill="FFFFFF"/>
            <w:hideMark/>
          </w:tcPr>
          <w:p w14:paraId="37A03EE2" w14:textId="77777777" w:rsidR="00761560" w:rsidRPr="00BB2D6B" w:rsidRDefault="00761560" w:rsidP="008556E1">
            <w:pPr>
              <w:spacing w:before="0" w:after="0"/>
              <w:ind w:left="57" w:right="57"/>
              <w:jc w:val="center"/>
              <w:rPr>
                <w:rFonts w:asciiTheme="majorHAnsi" w:hAnsiTheme="majorHAnsi" w:cs="Arial"/>
                <w:b/>
                <w:bCs/>
                <w:sz w:val="16"/>
                <w:szCs w:val="16"/>
              </w:rPr>
            </w:pPr>
            <w:r w:rsidRPr="00BB2D6B">
              <w:rPr>
                <w:rFonts w:asciiTheme="majorHAnsi" w:hAnsiTheme="majorHAnsi" w:cs="Arial"/>
                <w:b/>
                <w:bCs/>
                <w:sz w:val="16"/>
                <w:szCs w:val="16"/>
              </w:rPr>
              <w:t>Q</w:t>
            </w:r>
          </w:p>
        </w:tc>
        <w:tc>
          <w:tcPr>
            <w:tcW w:w="851" w:type="dxa"/>
            <w:tcBorders>
              <w:top w:val="nil"/>
              <w:left w:val="nil"/>
              <w:bottom w:val="single" w:sz="4" w:space="0" w:color="auto"/>
              <w:right w:val="nil"/>
            </w:tcBorders>
            <w:shd w:val="clear" w:color="000000" w:fill="FFFFFF"/>
            <w:hideMark/>
          </w:tcPr>
          <w:p w14:paraId="19992FDB" w14:textId="77777777" w:rsidR="00761560" w:rsidRPr="00BB2D6B" w:rsidRDefault="00761560" w:rsidP="008556E1">
            <w:pPr>
              <w:spacing w:before="0" w:after="0"/>
              <w:ind w:left="57" w:right="57"/>
              <w:jc w:val="center"/>
              <w:rPr>
                <w:rFonts w:asciiTheme="majorHAnsi" w:hAnsiTheme="majorHAnsi" w:cs="Arial"/>
                <w:b/>
                <w:bCs/>
                <w:sz w:val="16"/>
                <w:szCs w:val="16"/>
              </w:rPr>
            </w:pPr>
            <w:r w:rsidRPr="00BB2D6B">
              <w:rPr>
                <w:rFonts w:asciiTheme="majorHAnsi" w:hAnsiTheme="majorHAnsi" w:cs="Arial"/>
                <w:b/>
                <w:bCs/>
                <w:sz w:val="16"/>
                <w:szCs w:val="16"/>
              </w:rPr>
              <w:t>T</w:t>
            </w:r>
          </w:p>
        </w:tc>
        <w:tc>
          <w:tcPr>
            <w:tcW w:w="992" w:type="dxa"/>
            <w:tcBorders>
              <w:top w:val="nil"/>
              <w:left w:val="nil"/>
              <w:bottom w:val="single" w:sz="4" w:space="0" w:color="auto"/>
              <w:right w:val="single" w:sz="4" w:space="0" w:color="auto"/>
            </w:tcBorders>
            <w:shd w:val="clear" w:color="000000" w:fill="FFFFFF"/>
            <w:hideMark/>
          </w:tcPr>
          <w:p w14:paraId="24CDB08A" w14:textId="77777777" w:rsidR="00761560" w:rsidRPr="00BB2D6B" w:rsidRDefault="00761560" w:rsidP="008556E1">
            <w:pPr>
              <w:spacing w:before="0" w:after="0"/>
              <w:ind w:left="57" w:right="57"/>
              <w:jc w:val="center"/>
              <w:rPr>
                <w:rFonts w:asciiTheme="majorHAnsi" w:hAnsiTheme="majorHAnsi" w:cs="Arial"/>
                <w:b/>
                <w:bCs/>
                <w:sz w:val="16"/>
                <w:szCs w:val="16"/>
              </w:rPr>
            </w:pPr>
            <w:r w:rsidRPr="00BB2D6B">
              <w:rPr>
                <w:rFonts w:asciiTheme="majorHAnsi" w:hAnsiTheme="majorHAnsi" w:cs="Arial"/>
                <w:b/>
                <w:bCs/>
                <w:sz w:val="16"/>
                <w:szCs w:val="16"/>
              </w:rPr>
              <w:t>U</w:t>
            </w:r>
          </w:p>
        </w:tc>
        <w:tc>
          <w:tcPr>
            <w:tcW w:w="992" w:type="dxa"/>
            <w:tcBorders>
              <w:top w:val="nil"/>
              <w:left w:val="nil"/>
              <w:bottom w:val="single" w:sz="4" w:space="0" w:color="auto"/>
              <w:right w:val="single" w:sz="4" w:space="0" w:color="auto"/>
            </w:tcBorders>
            <w:shd w:val="clear" w:color="000000" w:fill="FFFFFF"/>
            <w:hideMark/>
          </w:tcPr>
          <w:p w14:paraId="01FA58A8" w14:textId="77777777" w:rsidR="00761560" w:rsidRPr="00BB2D6B" w:rsidRDefault="00761560" w:rsidP="008556E1">
            <w:pPr>
              <w:spacing w:before="0" w:after="0"/>
              <w:ind w:left="57" w:right="57"/>
              <w:jc w:val="center"/>
              <w:rPr>
                <w:rFonts w:asciiTheme="majorHAnsi" w:hAnsiTheme="majorHAnsi" w:cs="Arial"/>
                <w:b/>
                <w:bCs/>
                <w:sz w:val="16"/>
                <w:szCs w:val="16"/>
              </w:rPr>
            </w:pPr>
            <w:r w:rsidRPr="00BB2D6B">
              <w:rPr>
                <w:rFonts w:asciiTheme="majorHAnsi" w:hAnsiTheme="majorHAnsi" w:cs="Arial"/>
                <w:b/>
                <w:bCs/>
                <w:sz w:val="16"/>
                <w:szCs w:val="16"/>
              </w:rPr>
              <w:t>X</w:t>
            </w:r>
          </w:p>
        </w:tc>
        <w:tc>
          <w:tcPr>
            <w:tcW w:w="992" w:type="dxa"/>
            <w:tcBorders>
              <w:top w:val="nil"/>
              <w:left w:val="nil"/>
              <w:bottom w:val="single" w:sz="4" w:space="0" w:color="auto"/>
              <w:right w:val="nil"/>
            </w:tcBorders>
            <w:shd w:val="clear" w:color="000000" w:fill="FFFFFF"/>
            <w:hideMark/>
          </w:tcPr>
          <w:p w14:paraId="7C27D32F" w14:textId="6A43967C" w:rsidR="00761560" w:rsidRPr="00BB2D6B" w:rsidRDefault="00761560" w:rsidP="00A1568A">
            <w:pPr>
              <w:spacing w:before="0" w:after="0"/>
              <w:ind w:left="57" w:right="57"/>
              <w:jc w:val="center"/>
              <w:rPr>
                <w:rFonts w:asciiTheme="majorHAnsi" w:hAnsiTheme="majorHAnsi" w:cs="Arial"/>
                <w:sz w:val="16"/>
                <w:szCs w:val="16"/>
              </w:rPr>
            </w:pPr>
            <w:r w:rsidRPr="00BB2D6B">
              <w:rPr>
                <w:rFonts w:asciiTheme="majorHAnsi" w:hAnsiTheme="majorHAnsi" w:cs="Arial"/>
                <w:b/>
                <w:bCs/>
                <w:sz w:val="16"/>
                <w:szCs w:val="16"/>
              </w:rPr>
              <w:t>Y</w:t>
            </w:r>
            <w:r w:rsidRPr="00BB2D6B">
              <w:rPr>
                <w:rFonts w:asciiTheme="majorHAnsi" w:hAnsiTheme="majorHAnsi" w:cs="Arial"/>
                <w:sz w:val="16"/>
                <w:szCs w:val="16"/>
              </w:rPr>
              <w:br/>
            </w:r>
            <w:r w:rsidR="00A1568A">
              <w:rPr>
                <w:rFonts w:asciiTheme="majorHAnsi" w:hAnsiTheme="majorHAnsi" w:cs="Arial"/>
                <w:sz w:val="16"/>
                <w:szCs w:val="16"/>
              </w:rPr>
              <w:t>=X-Q</w:t>
            </w:r>
          </w:p>
        </w:tc>
        <w:tc>
          <w:tcPr>
            <w:tcW w:w="993" w:type="dxa"/>
            <w:tcBorders>
              <w:top w:val="nil"/>
              <w:left w:val="nil"/>
              <w:bottom w:val="single" w:sz="4" w:space="0" w:color="auto"/>
              <w:right w:val="single" w:sz="4" w:space="0" w:color="auto"/>
            </w:tcBorders>
            <w:shd w:val="clear" w:color="000000" w:fill="FFFFFF"/>
            <w:hideMark/>
          </w:tcPr>
          <w:p w14:paraId="1EDDAE16" w14:textId="6117486A" w:rsidR="00761560" w:rsidRPr="00BB2D6B" w:rsidRDefault="00761560" w:rsidP="00A1568A">
            <w:pPr>
              <w:spacing w:before="0" w:after="0"/>
              <w:ind w:left="57" w:right="57"/>
              <w:jc w:val="center"/>
              <w:rPr>
                <w:rFonts w:asciiTheme="majorHAnsi" w:hAnsiTheme="majorHAnsi" w:cs="Arial"/>
                <w:sz w:val="16"/>
                <w:szCs w:val="16"/>
              </w:rPr>
            </w:pPr>
            <w:r w:rsidRPr="00BB2D6B">
              <w:rPr>
                <w:rFonts w:asciiTheme="majorHAnsi" w:hAnsiTheme="majorHAnsi" w:cs="Arial"/>
                <w:b/>
                <w:sz w:val="16"/>
                <w:szCs w:val="16"/>
              </w:rPr>
              <w:t>Z</w:t>
            </w:r>
            <w:r w:rsidRPr="00BB2D6B">
              <w:rPr>
                <w:rFonts w:asciiTheme="majorHAnsi" w:hAnsiTheme="majorHAnsi" w:cs="Arial"/>
                <w:sz w:val="16"/>
                <w:szCs w:val="16"/>
              </w:rPr>
              <w:br/>
            </w:r>
            <w:r w:rsidR="00A1568A">
              <w:rPr>
                <w:rFonts w:asciiTheme="majorHAnsi" w:hAnsiTheme="majorHAnsi" w:cs="Arial"/>
                <w:sz w:val="16"/>
                <w:szCs w:val="16"/>
              </w:rPr>
              <w:t>=Y/Q</w:t>
            </w:r>
          </w:p>
        </w:tc>
        <w:tc>
          <w:tcPr>
            <w:tcW w:w="1134" w:type="dxa"/>
            <w:tcBorders>
              <w:top w:val="nil"/>
              <w:left w:val="nil"/>
              <w:bottom w:val="single" w:sz="4" w:space="0" w:color="auto"/>
              <w:right w:val="nil"/>
            </w:tcBorders>
            <w:shd w:val="clear" w:color="000000" w:fill="FFFFFF"/>
            <w:hideMark/>
          </w:tcPr>
          <w:p w14:paraId="396C3DB6" w14:textId="77777777" w:rsidR="00761560" w:rsidRPr="00BB2D6B" w:rsidRDefault="00761560" w:rsidP="008556E1">
            <w:pPr>
              <w:spacing w:before="0" w:after="0"/>
              <w:ind w:left="57" w:right="57"/>
              <w:jc w:val="center"/>
              <w:rPr>
                <w:rFonts w:asciiTheme="majorHAnsi" w:hAnsiTheme="majorHAnsi" w:cs="Arial"/>
                <w:b/>
                <w:bCs/>
                <w:sz w:val="16"/>
                <w:szCs w:val="16"/>
              </w:rPr>
            </w:pPr>
            <w:r w:rsidRPr="00BB2D6B">
              <w:rPr>
                <w:rFonts w:asciiTheme="majorHAnsi" w:hAnsiTheme="majorHAnsi" w:cs="Arial"/>
                <w:b/>
                <w:bCs/>
                <w:sz w:val="16"/>
                <w:szCs w:val="16"/>
              </w:rPr>
              <w:t>AA</w:t>
            </w:r>
          </w:p>
        </w:tc>
        <w:tc>
          <w:tcPr>
            <w:tcW w:w="1134" w:type="dxa"/>
            <w:tcBorders>
              <w:top w:val="nil"/>
              <w:left w:val="nil"/>
              <w:bottom w:val="single" w:sz="4" w:space="0" w:color="auto"/>
              <w:right w:val="single" w:sz="4" w:space="0" w:color="auto"/>
            </w:tcBorders>
            <w:shd w:val="clear" w:color="000000" w:fill="FFFFFF"/>
            <w:hideMark/>
          </w:tcPr>
          <w:p w14:paraId="0888400B" w14:textId="71A8D631" w:rsidR="00761560" w:rsidRPr="00BB2D6B" w:rsidRDefault="00761560" w:rsidP="00A1568A">
            <w:pPr>
              <w:spacing w:before="0" w:after="0"/>
              <w:ind w:left="57" w:right="57"/>
              <w:jc w:val="center"/>
              <w:rPr>
                <w:rFonts w:asciiTheme="majorHAnsi" w:hAnsiTheme="majorHAnsi" w:cs="Arial"/>
                <w:sz w:val="16"/>
                <w:szCs w:val="16"/>
              </w:rPr>
            </w:pPr>
            <w:r w:rsidRPr="00BB2D6B">
              <w:rPr>
                <w:rFonts w:asciiTheme="majorHAnsi" w:hAnsiTheme="majorHAnsi" w:cs="Arial"/>
                <w:b/>
                <w:bCs/>
                <w:sz w:val="16"/>
                <w:szCs w:val="16"/>
              </w:rPr>
              <w:t>AB</w:t>
            </w:r>
            <w:r w:rsidRPr="00BB2D6B">
              <w:rPr>
                <w:rFonts w:asciiTheme="majorHAnsi" w:hAnsiTheme="majorHAnsi" w:cs="Arial"/>
                <w:sz w:val="16"/>
                <w:szCs w:val="16"/>
              </w:rPr>
              <w:br/>
            </w:r>
            <w:r w:rsidR="00A1568A">
              <w:rPr>
                <w:rFonts w:asciiTheme="majorHAnsi" w:hAnsiTheme="majorHAnsi" w:cs="Arial"/>
                <w:sz w:val="16"/>
                <w:szCs w:val="16"/>
              </w:rPr>
              <w:t>=AA/X</w:t>
            </w:r>
          </w:p>
        </w:tc>
        <w:tc>
          <w:tcPr>
            <w:tcW w:w="1134" w:type="dxa"/>
            <w:tcBorders>
              <w:top w:val="nil"/>
              <w:left w:val="nil"/>
              <w:bottom w:val="single" w:sz="4" w:space="0" w:color="auto"/>
              <w:right w:val="nil"/>
            </w:tcBorders>
            <w:shd w:val="clear" w:color="000000" w:fill="FFFFFF"/>
          </w:tcPr>
          <w:p w14:paraId="223108C3" w14:textId="0211CC72" w:rsidR="00761560" w:rsidRPr="00BB2D6B" w:rsidRDefault="00761560" w:rsidP="008556E1">
            <w:pPr>
              <w:spacing w:before="0" w:after="0"/>
              <w:ind w:left="57" w:right="57"/>
              <w:jc w:val="center"/>
              <w:rPr>
                <w:rFonts w:asciiTheme="majorHAnsi" w:hAnsiTheme="majorHAnsi" w:cs="Arial"/>
                <w:b/>
                <w:bCs/>
                <w:sz w:val="16"/>
                <w:szCs w:val="16"/>
              </w:rPr>
            </w:pPr>
            <w:r w:rsidRPr="00BB2D6B">
              <w:rPr>
                <w:rFonts w:asciiTheme="majorHAnsi" w:hAnsiTheme="majorHAnsi" w:cs="Arial"/>
                <w:b/>
                <w:bCs/>
                <w:sz w:val="16"/>
                <w:szCs w:val="16"/>
              </w:rPr>
              <w:t>AC</w:t>
            </w:r>
          </w:p>
        </w:tc>
        <w:tc>
          <w:tcPr>
            <w:tcW w:w="1095" w:type="dxa"/>
            <w:tcBorders>
              <w:top w:val="nil"/>
              <w:left w:val="nil"/>
              <w:bottom w:val="single" w:sz="4" w:space="0" w:color="auto"/>
              <w:right w:val="nil"/>
            </w:tcBorders>
            <w:shd w:val="clear" w:color="000000" w:fill="FFFFFF"/>
            <w:hideMark/>
          </w:tcPr>
          <w:p w14:paraId="6E0DA010" w14:textId="357B80D6" w:rsidR="00761560" w:rsidRPr="00BB2D6B" w:rsidRDefault="00761560" w:rsidP="008556E1">
            <w:pPr>
              <w:spacing w:before="0" w:after="0"/>
              <w:ind w:left="57" w:right="57"/>
              <w:jc w:val="center"/>
              <w:rPr>
                <w:rFonts w:asciiTheme="majorHAnsi" w:hAnsiTheme="majorHAnsi" w:cs="Arial"/>
                <w:b/>
                <w:bCs/>
                <w:sz w:val="16"/>
                <w:szCs w:val="16"/>
              </w:rPr>
            </w:pPr>
            <w:r w:rsidRPr="00BB2D6B">
              <w:rPr>
                <w:rFonts w:asciiTheme="majorHAnsi" w:hAnsiTheme="majorHAnsi" w:cs="Arial"/>
                <w:b/>
                <w:bCs/>
                <w:sz w:val="16"/>
                <w:szCs w:val="16"/>
              </w:rPr>
              <w:t>AD</w:t>
            </w:r>
          </w:p>
        </w:tc>
        <w:tc>
          <w:tcPr>
            <w:tcW w:w="1236" w:type="dxa"/>
            <w:tcBorders>
              <w:top w:val="nil"/>
              <w:left w:val="nil"/>
              <w:bottom w:val="single" w:sz="4" w:space="0" w:color="auto"/>
              <w:right w:val="single" w:sz="4" w:space="0" w:color="auto"/>
            </w:tcBorders>
            <w:shd w:val="clear" w:color="000000" w:fill="FFFFFF"/>
            <w:hideMark/>
          </w:tcPr>
          <w:p w14:paraId="1BC27D40" w14:textId="0E141FE0" w:rsidR="00761560" w:rsidRPr="00BB2D6B" w:rsidRDefault="00761560" w:rsidP="00A1568A">
            <w:pPr>
              <w:spacing w:before="0" w:after="0"/>
              <w:ind w:left="57" w:right="57"/>
              <w:jc w:val="center"/>
              <w:rPr>
                <w:rFonts w:asciiTheme="majorHAnsi" w:hAnsiTheme="majorHAnsi" w:cs="Arial"/>
                <w:b/>
                <w:bCs/>
                <w:sz w:val="16"/>
                <w:szCs w:val="16"/>
              </w:rPr>
            </w:pPr>
            <w:r w:rsidRPr="00BB2D6B">
              <w:rPr>
                <w:rFonts w:asciiTheme="majorHAnsi" w:hAnsiTheme="majorHAnsi" w:cs="Arial"/>
                <w:b/>
                <w:bCs/>
                <w:sz w:val="16"/>
                <w:szCs w:val="16"/>
              </w:rPr>
              <w:t>AE</w:t>
            </w:r>
            <w:r w:rsidRPr="00BB2D6B">
              <w:rPr>
                <w:rFonts w:asciiTheme="majorHAnsi" w:hAnsiTheme="majorHAnsi" w:cs="Arial"/>
                <w:b/>
                <w:bCs/>
                <w:sz w:val="16"/>
                <w:szCs w:val="16"/>
              </w:rPr>
              <w:br/>
            </w:r>
            <w:r w:rsidR="00A1568A">
              <w:rPr>
                <w:rFonts w:asciiTheme="majorHAnsi" w:hAnsiTheme="majorHAnsi" w:cs="Arial"/>
                <w:sz w:val="16"/>
                <w:szCs w:val="16"/>
              </w:rPr>
              <w:t>=AD/X</w:t>
            </w:r>
          </w:p>
        </w:tc>
        <w:tc>
          <w:tcPr>
            <w:tcW w:w="890" w:type="dxa"/>
            <w:tcBorders>
              <w:top w:val="nil"/>
              <w:left w:val="nil"/>
              <w:bottom w:val="single" w:sz="4" w:space="0" w:color="auto"/>
            </w:tcBorders>
            <w:shd w:val="clear" w:color="000000" w:fill="FFFFFF"/>
            <w:hideMark/>
          </w:tcPr>
          <w:p w14:paraId="0F4BC869" w14:textId="1299323B" w:rsidR="00761560" w:rsidRPr="00BB2D6B" w:rsidRDefault="00761560" w:rsidP="008556E1">
            <w:pPr>
              <w:spacing w:before="0" w:after="0"/>
              <w:ind w:left="57" w:right="57"/>
              <w:jc w:val="center"/>
              <w:rPr>
                <w:rFonts w:asciiTheme="majorHAnsi" w:hAnsiTheme="majorHAnsi" w:cs="Arial"/>
                <w:b/>
                <w:bCs/>
                <w:sz w:val="16"/>
                <w:szCs w:val="16"/>
              </w:rPr>
            </w:pPr>
          </w:p>
        </w:tc>
      </w:tr>
      <w:tr w:rsidR="00761560" w14:paraId="2FA58633" w14:textId="77777777" w:rsidTr="004C0DDC">
        <w:trPr>
          <w:trHeight w:val="170"/>
        </w:trPr>
        <w:tc>
          <w:tcPr>
            <w:tcW w:w="14987" w:type="dxa"/>
            <w:gridSpan w:val="13"/>
            <w:tcBorders>
              <w:top w:val="single" w:sz="4" w:space="0" w:color="auto"/>
              <w:bottom w:val="single" w:sz="4" w:space="0" w:color="auto"/>
            </w:tcBorders>
            <w:shd w:val="clear" w:color="auto" w:fill="auto"/>
          </w:tcPr>
          <w:p w14:paraId="59A525BC" w14:textId="4E29F090" w:rsidR="00761560" w:rsidRPr="00BB2D6B" w:rsidRDefault="00761560" w:rsidP="00CB0E93">
            <w:pPr>
              <w:spacing w:before="0" w:after="0"/>
              <w:ind w:left="57" w:right="57"/>
              <w:rPr>
                <w:rFonts w:asciiTheme="majorHAnsi" w:hAnsiTheme="majorHAnsi" w:cs="Arial"/>
                <w:b/>
                <w:bCs/>
                <w:sz w:val="16"/>
                <w:szCs w:val="16"/>
              </w:rPr>
            </w:pPr>
            <w:r w:rsidRPr="00BB2D6B">
              <w:rPr>
                <w:rFonts w:asciiTheme="majorHAnsi" w:hAnsiTheme="majorHAnsi" w:cs="Arial"/>
                <w:b/>
                <w:bCs/>
                <w:sz w:val="16"/>
                <w:szCs w:val="16"/>
              </w:rPr>
              <w:t>New South Wales</w:t>
            </w:r>
          </w:p>
        </w:tc>
      </w:tr>
      <w:tr w:rsidR="00761560" w14:paraId="74FF8293" w14:textId="77777777" w:rsidTr="004C0DDC">
        <w:trPr>
          <w:trHeight w:val="20"/>
        </w:trPr>
        <w:tc>
          <w:tcPr>
            <w:tcW w:w="2694" w:type="dxa"/>
            <w:tcBorders>
              <w:top w:val="nil"/>
              <w:bottom w:val="nil"/>
              <w:right w:val="single" w:sz="4" w:space="0" w:color="auto"/>
            </w:tcBorders>
            <w:shd w:val="clear" w:color="auto" w:fill="FFFFFF" w:themeFill="background1"/>
            <w:noWrap/>
            <w:vAlign w:val="center"/>
            <w:hideMark/>
          </w:tcPr>
          <w:p w14:paraId="7C1A1164"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Eden</w:t>
            </w:r>
          </w:p>
        </w:tc>
        <w:tc>
          <w:tcPr>
            <w:tcW w:w="850" w:type="dxa"/>
            <w:tcBorders>
              <w:top w:val="nil"/>
              <w:left w:val="nil"/>
              <w:bottom w:val="nil"/>
              <w:right w:val="nil"/>
            </w:tcBorders>
            <w:shd w:val="clear" w:color="auto" w:fill="FFFFFF" w:themeFill="background1"/>
            <w:vAlign w:val="center"/>
            <w:hideMark/>
          </w:tcPr>
          <w:p w14:paraId="0F1A1262"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98,326</w:t>
            </w:r>
          </w:p>
        </w:tc>
        <w:tc>
          <w:tcPr>
            <w:tcW w:w="851" w:type="dxa"/>
            <w:tcBorders>
              <w:top w:val="nil"/>
              <w:left w:val="nil"/>
              <w:bottom w:val="nil"/>
              <w:right w:val="nil"/>
            </w:tcBorders>
            <w:shd w:val="clear" w:color="auto" w:fill="FFFFFF" w:themeFill="background1"/>
            <w:vAlign w:val="center"/>
            <w:hideMark/>
          </w:tcPr>
          <w:p w14:paraId="763FE030"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69,596</w:t>
            </w:r>
          </w:p>
        </w:tc>
        <w:tc>
          <w:tcPr>
            <w:tcW w:w="992"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0B88802F"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71</w:t>
            </w:r>
          </w:p>
        </w:tc>
        <w:tc>
          <w:tcPr>
            <w:tcW w:w="992" w:type="dxa"/>
            <w:tcBorders>
              <w:top w:val="nil"/>
              <w:left w:val="nil"/>
              <w:bottom w:val="nil"/>
              <w:right w:val="single" w:sz="4" w:space="0" w:color="auto"/>
            </w:tcBorders>
            <w:shd w:val="clear" w:color="auto" w:fill="FFFFFF" w:themeFill="background1"/>
            <w:vAlign w:val="center"/>
            <w:hideMark/>
          </w:tcPr>
          <w:p w14:paraId="0EAA5089"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98,326</w:t>
            </w:r>
          </w:p>
        </w:tc>
        <w:tc>
          <w:tcPr>
            <w:tcW w:w="992" w:type="dxa"/>
            <w:tcBorders>
              <w:top w:val="single" w:sz="4" w:space="0" w:color="auto"/>
              <w:left w:val="nil"/>
            </w:tcBorders>
            <w:shd w:val="clear" w:color="auto" w:fill="FFFFFF" w:themeFill="background1"/>
            <w:vAlign w:val="center"/>
            <w:hideMark/>
          </w:tcPr>
          <w:p w14:paraId="36E059DB" w14:textId="77777777"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0</w:t>
            </w:r>
          </w:p>
        </w:tc>
        <w:tc>
          <w:tcPr>
            <w:tcW w:w="993" w:type="dxa"/>
            <w:tcBorders>
              <w:top w:val="single" w:sz="4" w:space="0" w:color="auto"/>
              <w:right w:val="nil"/>
            </w:tcBorders>
            <w:shd w:val="clear" w:color="auto" w:fill="FFFFFF" w:themeFill="background1"/>
            <w:tcMar>
              <w:top w:w="0" w:type="dxa"/>
              <w:left w:w="0" w:type="dxa"/>
              <w:bottom w:w="0" w:type="dxa"/>
              <w:right w:w="180" w:type="dxa"/>
            </w:tcMar>
            <w:vAlign w:val="center"/>
            <w:hideMark/>
          </w:tcPr>
          <w:p w14:paraId="57E40857" w14:textId="1491B1FB"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0</w:t>
            </w:r>
          </w:p>
        </w:tc>
        <w:tc>
          <w:tcPr>
            <w:tcW w:w="1134" w:type="dxa"/>
            <w:tcBorders>
              <w:top w:val="nil"/>
              <w:left w:val="single" w:sz="4" w:space="0" w:color="auto"/>
              <w:bottom w:val="nil"/>
              <w:right w:val="nil"/>
            </w:tcBorders>
            <w:shd w:val="clear" w:color="auto" w:fill="FFFFFF" w:themeFill="background1"/>
            <w:vAlign w:val="center"/>
            <w:hideMark/>
          </w:tcPr>
          <w:p w14:paraId="6220CD04" w14:textId="77777777"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68,000</w:t>
            </w:r>
          </w:p>
        </w:tc>
        <w:tc>
          <w:tcPr>
            <w:tcW w:w="1134"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1F66035F" w14:textId="77777777"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69</w:t>
            </w:r>
          </w:p>
        </w:tc>
        <w:tc>
          <w:tcPr>
            <w:tcW w:w="1134" w:type="dxa"/>
            <w:tcBorders>
              <w:top w:val="nil"/>
              <w:left w:val="nil"/>
              <w:bottom w:val="nil"/>
              <w:right w:val="nil"/>
            </w:tcBorders>
            <w:shd w:val="clear" w:color="auto" w:fill="FFFFFF" w:themeFill="background1"/>
            <w:vAlign w:val="center"/>
          </w:tcPr>
          <w:p w14:paraId="3102C5A0" w14:textId="7FDCEC4E" w:rsidR="00761560" w:rsidRPr="00BB2D6B" w:rsidRDefault="00761560" w:rsidP="006B7637">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3,000</w:t>
            </w:r>
          </w:p>
        </w:tc>
        <w:tc>
          <w:tcPr>
            <w:tcW w:w="1095" w:type="dxa"/>
            <w:tcBorders>
              <w:top w:val="nil"/>
              <w:left w:val="nil"/>
              <w:bottom w:val="nil"/>
              <w:right w:val="nil"/>
            </w:tcBorders>
            <w:shd w:val="clear" w:color="auto" w:fill="FFFFFF" w:themeFill="background1"/>
            <w:vAlign w:val="center"/>
            <w:hideMark/>
          </w:tcPr>
          <w:p w14:paraId="279C2316" w14:textId="0595ED8B" w:rsidR="00761560" w:rsidRPr="00BB2D6B" w:rsidRDefault="00761560"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7</w:t>
            </w:r>
            <w:r w:rsidR="000142AA" w:rsidRPr="00BB2D6B">
              <w:rPr>
                <w:rFonts w:asciiTheme="majorHAnsi" w:hAnsiTheme="majorHAnsi" w:cs="Arial"/>
                <w:sz w:val="16"/>
                <w:szCs w:val="16"/>
              </w:rPr>
              <w:t>1</w:t>
            </w:r>
            <w:r w:rsidRPr="00BB2D6B">
              <w:rPr>
                <w:rFonts w:asciiTheme="majorHAnsi" w:hAnsiTheme="majorHAnsi" w:cs="Arial"/>
                <w:sz w:val="16"/>
                <w:szCs w:val="16"/>
              </w:rPr>
              <w:t>,000</w:t>
            </w:r>
          </w:p>
        </w:tc>
        <w:tc>
          <w:tcPr>
            <w:tcW w:w="1236"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2BFAD916"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73</w:t>
            </w:r>
          </w:p>
        </w:tc>
        <w:tc>
          <w:tcPr>
            <w:tcW w:w="890" w:type="dxa"/>
            <w:tcBorders>
              <w:top w:val="nil"/>
              <w:left w:val="nil"/>
              <w:bottom w:val="nil"/>
            </w:tcBorders>
            <w:shd w:val="clear" w:color="auto" w:fill="FFFFFF" w:themeFill="background1"/>
            <w:tcMar>
              <w:top w:w="0" w:type="dxa"/>
              <w:left w:w="0" w:type="dxa"/>
              <w:bottom w:w="0" w:type="dxa"/>
              <w:right w:w="180" w:type="dxa"/>
            </w:tcMar>
            <w:vAlign w:val="center"/>
            <w:hideMark/>
          </w:tcPr>
          <w:p w14:paraId="5166EF84"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47</w:t>
            </w:r>
          </w:p>
        </w:tc>
      </w:tr>
      <w:tr w:rsidR="00761560" w14:paraId="174DCA6A" w14:textId="77777777" w:rsidTr="004C0DDC">
        <w:trPr>
          <w:trHeight w:val="20"/>
        </w:trPr>
        <w:tc>
          <w:tcPr>
            <w:tcW w:w="2694" w:type="dxa"/>
            <w:tcBorders>
              <w:top w:val="nil"/>
              <w:bottom w:val="nil"/>
              <w:right w:val="single" w:sz="4" w:space="0" w:color="auto"/>
            </w:tcBorders>
            <w:shd w:val="clear" w:color="auto" w:fill="FFFFFF" w:themeFill="background1"/>
            <w:noWrap/>
            <w:vAlign w:val="center"/>
            <w:hideMark/>
          </w:tcPr>
          <w:p w14:paraId="094149A0"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Upper North East</w:t>
            </w:r>
          </w:p>
        </w:tc>
        <w:tc>
          <w:tcPr>
            <w:tcW w:w="850" w:type="dxa"/>
            <w:tcBorders>
              <w:top w:val="nil"/>
              <w:left w:val="nil"/>
              <w:bottom w:val="nil"/>
              <w:right w:val="nil"/>
            </w:tcBorders>
            <w:shd w:val="clear" w:color="auto" w:fill="FFFFFF" w:themeFill="background1"/>
            <w:vAlign w:val="center"/>
            <w:hideMark/>
          </w:tcPr>
          <w:p w14:paraId="28B23B4B"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654,599</w:t>
            </w:r>
          </w:p>
        </w:tc>
        <w:tc>
          <w:tcPr>
            <w:tcW w:w="851" w:type="dxa"/>
            <w:tcBorders>
              <w:top w:val="nil"/>
              <w:left w:val="nil"/>
              <w:bottom w:val="nil"/>
              <w:right w:val="nil"/>
            </w:tcBorders>
            <w:shd w:val="clear" w:color="auto" w:fill="FFFFFF" w:themeFill="background1"/>
            <w:vAlign w:val="center"/>
            <w:hideMark/>
          </w:tcPr>
          <w:p w14:paraId="5899809D"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371,125</w:t>
            </w:r>
          </w:p>
        </w:tc>
        <w:tc>
          <w:tcPr>
            <w:tcW w:w="992"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13E7F51C"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57</w:t>
            </w:r>
          </w:p>
        </w:tc>
        <w:tc>
          <w:tcPr>
            <w:tcW w:w="992" w:type="dxa"/>
            <w:tcBorders>
              <w:top w:val="nil"/>
              <w:left w:val="nil"/>
              <w:bottom w:val="nil"/>
              <w:right w:val="single" w:sz="4" w:space="0" w:color="auto"/>
            </w:tcBorders>
            <w:shd w:val="clear" w:color="auto" w:fill="FFFFFF" w:themeFill="background1"/>
            <w:vAlign w:val="center"/>
            <w:hideMark/>
          </w:tcPr>
          <w:p w14:paraId="44B2E021"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654,599</w:t>
            </w:r>
          </w:p>
        </w:tc>
        <w:tc>
          <w:tcPr>
            <w:tcW w:w="992" w:type="dxa"/>
            <w:tcBorders>
              <w:left w:val="nil"/>
            </w:tcBorders>
            <w:shd w:val="clear" w:color="auto" w:fill="FFFFFF" w:themeFill="background1"/>
            <w:vAlign w:val="center"/>
            <w:hideMark/>
          </w:tcPr>
          <w:p w14:paraId="1D4D2B3B" w14:textId="77777777"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0</w:t>
            </w:r>
          </w:p>
        </w:tc>
        <w:tc>
          <w:tcPr>
            <w:tcW w:w="993" w:type="dxa"/>
            <w:tcBorders>
              <w:right w:val="nil"/>
            </w:tcBorders>
            <w:shd w:val="clear" w:color="auto" w:fill="FFFFFF" w:themeFill="background1"/>
            <w:tcMar>
              <w:top w:w="0" w:type="dxa"/>
              <w:left w:w="0" w:type="dxa"/>
              <w:bottom w:w="0" w:type="dxa"/>
              <w:right w:w="180" w:type="dxa"/>
            </w:tcMar>
            <w:vAlign w:val="center"/>
            <w:hideMark/>
          </w:tcPr>
          <w:p w14:paraId="348036B9" w14:textId="35A3AEB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0</w:t>
            </w:r>
          </w:p>
        </w:tc>
        <w:tc>
          <w:tcPr>
            <w:tcW w:w="1134" w:type="dxa"/>
            <w:tcBorders>
              <w:top w:val="nil"/>
              <w:left w:val="single" w:sz="4" w:space="0" w:color="auto"/>
              <w:bottom w:val="nil"/>
              <w:right w:val="nil"/>
            </w:tcBorders>
            <w:shd w:val="clear" w:color="auto" w:fill="FFFFFF" w:themeFill="background1"/>
            <w:vAlign w:val="center"/>
            <w:hideMark/>
          </w:tcPr>
          <w:p w14:paraId="35C02B34" w14:textId="77777777"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371,000</w:t>
            </w:r>
          </w:p>
        </w:tc>
        <w:tc>
          <w:tcPr>
            <w:tcW w:w="1134"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2846351F" w14:textId="77777777"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57</w:t>
            </w:r>
          </w:p>
        </w:tc>
        <w:tc>
          <w:tcPr>
            <w:tcW w:w="1134" w:type="dxa"/>
            <w:tcBorders>
              <w:top w:val="nil"/>
              <w:left w:val="nil"/>
              <w:bottom w:val="nil"/>
              <w:right w:val="nil"/>
            </w:tcBorders>
            <w:shd w:val="clear" w:color="auto" w:fill="FFFFFF" w:themeFill="background1"/>
            <w:vAlign w:val="center"/>
          </w:tcPr>
          <w:p w14:paraId="70AA6797" w14:textId="596263B3" w:rsidR="00761560" w:rsidRPr="00BB2D6B" w:rsidRDefault="00761560" w:rsidP="006B7637">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76,000</w:t>
            </w:r>
          </w:p>
        </w:tc>
        <w:tc>
          <w:tcPr>
            <w:tcW w:w="1095" w:type="dxa"/>
            <w:tcBorders>
              <w:top w:val="nil"/>
              <w:left w:val="nil"/>
              <w:bottom w:val="nil"/>
              <w:right w:val="nil"/>
            </w:tcBorders>
            <w:shd w:val="clear" w:color="auto" w:fill="FFFFFF" w:themeFill="background1"/>
            <w:vAlign w:val="center"/>
            <w:hideMark/>
          </w:tcPr>
          <w:p w14:paraId="2870A7D3" w14:textId="52646603" w:rsidR="00761560" w:rsidRPr="00BB2D6B" w:rsidRDefault="00761560"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447,000</w:t>
            </w:r>
          </w:p>
        </w:tc>
        <w:tc>
          <w:tcPr>
            <w:tcW w:w="1236"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04E32106"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68</w:t>
            </w:r>
          </w:p>
        </w:tc>
        <w:tc>
          <w:tcPr>
            <w:tcW w:w="890" w:type="dxa"/>
            <w:tcBorders>
              <w:top w:val="nil"/>
              <w:left w:val="nil"/>
              <w:bottom w:val="nil"/>
            </w:tcBorders>
            <w:shd w:val="clear" w:color="auto" w:fill="FFFFFF" w:themeFill="background1"/>
            <w:tcMar>
              <w:top w:w="0" w:type="dxa"/>
              <w:left w:w="0" w:type="dxa"/>
              <w:bottom w:w="0" w:type="dxa"/>
              <w:right w:w="180" w:type="dxa"/>
            </w:tcMar>
            <w:vAlign w:val="center"/>
            <w:hideMark/>
          </w:tcPr>
          <w:p w14:paraId="18768EB7"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144</w:t>
            </w:r>
          </w:p>
        </w:tc>
      </w:tr>
      <w:tr w:rsidR="00761560" w14:paraId="20FEBCCC" w14:textId="77777777" w:rsidTr="004C0DDC">
        <w:trPr>
          <w:trHeight w:val="20"/>
        </w:trPr>
        <w:tc>
          <w:tcPr>
            <w:tcW w:w="2694" w:type="dxa"/>
            <w:tcBorders>
              <w:top w:val="nil"/>
              <w:bottom w:val="nil"/>
              <w:right w:val="single" w:sz="4" w:space="0" w:color="auto"/>
            </w:tcBorders>
            <w:shd w:val="clear" w:color="auto" w:fill="FFFFFF" w:themeFill="background1"/>
            <w:noWrap/>
            <w:vAlign w:val="center"/>
            <w:hideMark/>
          </w:tcPr>
          <w:p w14:paraId="1E5B065F"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Lower North East</w:t>
            </w:r>
          </w:p>
        </w:tc>
        <w:tc>
          <w:tcPr>
            <w:tcW w:w="850" w:type="dxa"/>
            <w:tcBorders>
              <w:top w:val="nil"/>
              <w:left w:val="nil"/>
              <w:bottom w:val="nil"/>
              <w:right w:val="nil"/>
            </w:tcBorders>
            <w:shd w:val="clear" w:color="auto" w:fill="FFFFFF" w:themeFill="background1"/>
            <w:vAlign w:val="center"/>
            <w:hideMark/>
          </w:tcPr>
          <w:p w14:paraId="25103764"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1,030,023</w:t>
            </w:r>
          </w:p>
        </w:tc>
        <w:tc>
          <w:tcPr>
            <w:tcW w:w="851" w:type="dxa"/>
            <w:tcBorders>
              <w:top w:val="nil"/>
              <w:left w:val="nil"/>
              <w:bottom w:val="nil"/>
              <w:right w:val="nil"/>
            </w:tcBorders>
            <w:shd w:val="clear" w:color="auto" w:fill="FFFFFF" w:themeFill="background1"/>
            <w:vAlign w:val="center"/>
            <w:hideMark/>
          </w:tcPr>
          <w:p w14:paraId="7A29B8BD"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738,989</w:t>
            </w:r>
          </w:p>
        </w:tc>
        <w:tc>
          <w:tcPr>
            <w:tcW w:w="992"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2DA11A74"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72</w:t>
            </w:r>
          </w:p>
        </w:tc>
        <w:tc>
          <w:tcPr>
            <w:tcW w:w="992" w:type="dxa"/>
            <w:tcBorders>
              <w:top w:val="nil"/>
              <w:left w:val="nil"/>
              <w:bottom w:val="nil"/>
              <w:right w:val="single" w:sz="4" w:space="0" w:color="auto"/>
            </w:tcBorders>
            <w:shd w:val="clear" w:color="auto" w:fill="FFFFFF" w:themeFill="background1"/>
            <w:vAlign w:val="center"/>
            <w:hideMark/>
          </w:tcPr>
          <w:p w14:paraId="1880AE48"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1,030,023</w:t>
            </w:r>
          </w:p>
        </w:tc>
        <w:tc>
          <w:tcPr>
            <w:tcW w:w="992" w:type="dxa"/>
            <w:tcBorders>
              <w:left w:val="nil"/>
            </w:tcBorders>
            <w:shd w:val="clear" w:color="auto" w:fill="FFFFFF" w:themeFill="background1"/>
            <w:vAlign w:val="center"/>
            <w:hideMark/>
          </w:tcPr>
          <w:p w14:paraId="1BAAC757" w14:textId="77777777"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0</w:t>
            </w:r>
          </w:p>
        </w:tc>
        <w:tc>
          <w:tcPr>
            <w:tcW w:w="993" w:type="dxa"/>
            <w:tcBorders>
              <w:right w:val="nil"/>
            </w:tcBorders>
            <w:shd w:val="clear" w:color="auto" w:fill="FFFFFF" w:themeFill="background1"/>
            <w:tcMar>
              <w:top w:w="0" w:type="dxa"/>
              <w:left w:w="0" w:type="dxa"/>
              <w:bottom w:w="0" w:type="dxa"/>
              <w:right w:w="180" w:type="dxa"/>
            </w:tcMar>
            <w:vAlign w:val="center"/>
            <w:hideMark/>
          </w:tcPr>
          <w:p w14:paraId="01AE1D84" w14:textId="63F6C14E"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0</w:t>
            </w:r>
          </w:p>
        </w:tc>
        <w:tc>
          <w:tcPr>
            <w:tcW w:w="1134" w:type="dxa"/>
            <w:tcBorders>
              <w:top w:val="nil"/>
              <w:left w:val="single" w:sz="4" w:space="0" w:color="auto"/>
              <w:bottom w:val="nil"/>
              <w:right w:val="nil"/>
            </w:tcBorders>
            <w:shd w:val="clear" w:color="auto" w:fill="FFFFFF" w:themeFill="background1"/>
            <w:vAlign w:val="center"/>
            <w:hideMark/>
          </w:tcPr>
          <w:p w14:paraId="0FAEFA51" w14:textId="57406F43"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767,000</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c</w:t>
            </w:r>
          </w:p>
        </w:tc>
        <w:tc>
          <w:tcPr>
            <w:tcW w:w="1134"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46C5B318" w14:textId="1A111DBB" w:rsidR="00761560" w:rsidRPr="00BB2D6B" w:rsidRDefault="00761560" w:rsidP="0096058D">
            <w:pPr>
              <w:spacing w:before="0" w:after="0"/>
              <w:ind w:left="57" w:right="-38" w:firstLineChars="100" w:firstLine="160"/>
              <w:jc w:val="right"/>
              <w:rPr>
                <w:rFonts w:asciiTheme="majorHAnsi" w:hAnsiTheme="majorHAnsi" w:cs="Arial"/>
                <w:sz w:val="16"/>
                <w:szCs w:val="16"/>
              </w:rPr>
            </w:pPr>
            <w:r w:rsidRPr="00BB2D6B">
              <w:rPr>
                <w:rFonts w:asciiTheme="majorHAnsi" w:hAnsiTheme="majorHAnsi" w:cs="Arial"/>
                <w:sz w:val="16"/>
                <w:szCs w:val="16"/>
              </w:rPr>
              <w:t>87</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d</w:t>
            </w:r>
          </w:p>
        </w:tc>
        <w:tc>
          <w:tcPr>
            <w:tcW w:w="1134" w:type="dxa"/>
            <w:tcBorders>
              <w:top w:val="nil"/>
              <w:left w:val="nil"/>
              <w:bottom w:val="nil"/>
              <w:right w:val="nil"/>
            </w:tcBorders>
            <w:shd w:val="clear" w:color="auto" w:fill="FFFFFF" w:themeFill="background1"/>
            <w:vAlign w:val="center"/>
          </w:tcPr>
          <w:p w14:paraId="5AC58F56" w14:textId="2E97A212" w:rsidR="00761560" w:rsidRPr="00BB2D6B" w:rsidRDefault="00761560" w:rsidP="006B7637">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22,000</w:t>
            </w:r>
          </w:p>
        </w:tc>
        <w:tc>
          <w:tcPr>
            <w:tcW w:w="1095" w:type="dxa"/>
            <w:tcBorders>
              <w:top w:val="nil"/>
              <w:left w:val="nil"/>
              <w:bottom w:val="nil"/>
              <w:right w:val="nil"/>
            </w:tcBorders>
            <w:shd w:val="clear" w:color="auto" w:fill="FFFFFF" w:themeFill="background1"/>
            <w:vAlign w:val="center"/>
            <w:hideMark/>
          </w:tcPr>
          <w:p w14:paraId="29747D02" w14:textId="55A78B5A"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788,000</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c</w:t>
            </w:r>
          </w:p>
        </w:tc>
        <w:tc>
          <w:tcPr>
            <w:tcW w:w="1236"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74EC6EAB" w14:textId="047C309E" w:rsidR="00761560" w:rsidRPr="00BB2D6B" w:rsidRDefault="00761560" w:rsidP="0096058D">
            <w:pPr>
              <w:spacing w:before="0" w:after="0"/>
              <w:ind w:left="57" w:right="-68" w:firstLineChars="100" w:firstLine="160"/>
              <w:jc w:val="right"/>
              <w:rPr>
                <w:rFonts w:asciiTheme="majorHAnsi" w:hAnsiTheme="majorHAnsi" w:cs="Arial"/>
                <w:sz w:val="16"/>
                <w:szCs w:val="16"/>
              </w:rPr>
            </w:pPr>
            <w:r w:rsidRPr="00BB2D6B">
              <w:rPr>
                <w:rFonts w:asciiTheme="majorHAnsi" w:hAnsiTheme="majorHAnsi" w:cs="Arial"/>
                <w:sz w:val="16"/>
                <w:szCs w:val="16"/>
              </w:rPr>
              <w:t>90</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d</w:t>
            </w:r>
          </w:p>
        </w:tc>
        <w:tc>
          <w:tcPr>
            <w:tcW w:w="890" w:type="dxa"/>
            <w:tcBorders>
              <w:top w:val="nil"/>
              <w:left w:val="nil"/>
              <w:bottom w:val="nil"/>
            </w:tcBorders>
            <w:shd w:val="clear" w:color="auto" w:fill="FFFFFF" w:themeFill="background1"/>
            <w:tcMar>
              <w:top w:w="0" w:type="dxa"/>
              <w:left w:w="0" w:type="dxa"/>
              <w:bottom w:w="0" w:type="dxa"/>
              <w:right w:w="180" w:type="dxa"/>
            </w:tcMar>
            <w:vAlign w:val="center"/>
            <w:hideMark/>
          </w:tcPr>
          <w:p w14:paraId="2D5E9820"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182</w:t>
            </w:r>
          </w:p>
        </w:tc>
      </w:tr>
      <w:tr w:rsidR="00761560" w14:paraId="7366DA9B" w14:textId="77777777" w:rsidTr="004C0DDC">
        <w:trPr>
          <w:trHeight w:val="20"/>
        </w:trPr>
        <w:tc>
          <w:tcPr>
            <w:tcW w:w="2694" w:type="dxa"/>
            <w:tcBorders>
              <w:top w:val="nil"/>
              <w:bottom w:val="nil"/>
              <w:right w:val="single" w:sz="4" w:space="0" w:color="auto"/>
            </w:tcBorders>
            <w:shd w:val="clear" w:color="auto" w:fill="FFFFFF" w:themeFill="background1"/>
            <w:noWrap/>
            <w:vAlign w:val="center"/>
            <w:hideMark/>
          </w:tcPr>
          <w:p w14:paraId="679DA849"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Southern NSW</w:t>
            </w:r>
          </w:p>
        </w:tc>
        <w:tc>
          <w:tcPr>
            <w:tcW w:w="850" w:type="dxa"/>
            <w:tcBorders>
              <w:top w:val="nil"/>
              <w:left w:val="nil"/>
              <w:bottom w:val="nil"/>
              <w:right w:val="nil"/>
            </w:tcBorders>
            <w:shd w:val="clear" w:color="auto" w:fill="FFFFFF" w:themeFill="background1"/>
            <w:vAlign w:val="center"/>
            <w:hideMark/>
          </w:tcPr>
          <w:p w14:paraId="264DF1FB"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753,412</w:t>
            </w:r>
          </w:p>
        </w:tc>
        <w:tc>
          <w:tcPr>
            <w:tcW w:w="851" w:type="dxa"/>
            <w:tcBorders>
              <w:top w:val="nil"/>
              <w:left w:val="nil"/>
              <w:bottom w:val="nil"/>
              <w:right w:val="nil"/>
            </w:tcBorders>
            <w:shd w:val="clear" w:color="auto" w:fill="FFFFFF" w:themeFill="background1"/>
            <w:vAlign w:val="center"/>
            <w:hideMark/>
          </w:tcPr>
          <w:p w14:paraId="1748EE85"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562,627</w:t>
            </w:r>
          </w:p>
        </w:tc>
        <w:tc>
          <w:tcPr>
            <w:tcW w:w="992"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63F330F7"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75</w:t>
            </w:r>
          </w:p>
        </w:tc>
        <w:tc>
          <w:tcPr>
            <w:tcW w:w="992" w:type="dxa"/>
            <w:tcBorders>
              <w:top w:val="nil"/>
              <w:left w:val="nil"/>
              <w:bottom w:val="nil"/>
              <w:right w:val="single" w:sz="4" w:space="0" w:color="auto"/>
            </w:tcBorders>
            <w:shd w:val="clear" w:color="auto" w:fill="FFFFFF" w:themeFill="background1"/>
            <w:vAlign w:val="center"/>
            <w:hideMark/>
          </w:tcPr>
          <w:p w14:paraId="03AA6CF8"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753,412</w:t>
            </w:r>
          </w:p>
        </w:tc>
        <w:tc>
          <w:tcPr>
            <w:tcW w:w="992" w:type="dxa"/>
            <w:tcBorders>
              <w:left w:val="nil"/>
            </w:tcBorders>
            <w:shd w:val="clear" w:color="auto" w:fill="FFFFFF" w:themeFill="background1"/>
            <w:vAlign w:val="center"/>
            <w:hideMark/>
          </w:tcPr>
          <w:p w14:paraId="3C231586" w14:textId="77777777"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0</w:t>
            </w:r>
          </w:p>
        </w:tc>
        <w:tc>
          <w:tcPr>
            <w:tcW w:w="993" w:type="dxa"/>
            <w:tcBorders>
              <w:right w:val="nil"/>
            </w:tcBorders>
            <w:shd w:val="clear" w:color="auto" w:fill="FFFFFF" w:themeFill="background1"/>
            <w:tcMar>
              <w:top w:w="0" w:type="dxa"/>
              <w:left w:w="0" w:type="dxa"/>
              <w:bottom w:w="0" w:type="dxa"/>
              <w:right w:w="180" w:type="dxa"/>
            </w:tcMar>
            <w:vAlign w:val="center"/>
            <w:hideMark/>
          </w:tcPr>
          <w:p w14:paraId="28FD8EB2" w14:textId="0C62B2A4"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0</w:t>
            </w:r>
          </w:p>
        </w:tc>
        <w:tc>
          <w:tcPr>
            <w:tcW w:w="1134" w:type="dxa"/>
            <w:tcBorders>
              <w:top w:val="nil"/>
              <w:left w:val="single" w:sz="4" w:space="0" w:color="auto"/>
              <w:bottom w:val="nil"/>
              <w:right w:val="nil"/>
            </w:tcBorders>
            <w:shd w:val="clear" w:color="auto" w:fill="FFFFFF" w:themeFill="background1"/>
            <w:vAlign w:val="center"/>
            <w:hideMark/>
          </w:tcPr>
          <w:p w14:paraId="2258146A" w14:textId="77777777"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560,000</w:t>
            </w:r>
          </w:p>
        </w:tc>
        <w:tc>
          <w:tcPr>
            <w:tcW w:w="1134"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2813E081" w14:textId="77777777"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74</w:t>
            </w:r>
          </w:p>
        </w:tc>
        <w:tc>
          <w:tcPr>
            <w:tcW w:w="1134" w:type="dxa"/>
            <w:tcBorders>
              <w:top w:val="nil"/>
              <w:left w:val="nil"/>
              <w:bottom w:val="nil"/>
              <w:right w:val="nil"/>
            </w:tcBorders>
            <w:shd w:val="clear" w:color="auto" w:fill="FFFFFF" w:themeFill="background1"/>
            <w:vAlign w:val="center"/>
          </w:tcPr>
          <w:p w14:paraId="1932E442" w14:textId="5FFB5A11" w:rsidR="00761560" w:rsidRPr="00BB2D6B" w:rsidRDefault="00761560" w:rsidP="006B7637">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9,000</w:t>
            </w:r>
          </w:p>
        </w:tc>
        <w:tc>
          <w:tcPr>
            <w:tcW w:w="1095" w:type="dxa"/>
            <w:tcBorders>
              <w:top w:val="nil"/>
              <w:left w:val="nil"/>
              <w:bottom w:val="nil"/>
              <w:right w:val="nil"/>
            </w:tcBorders>
            <w:shd w:val="clear" w:color="auto" w:fill="FFFFFF" w:themeFill="background1"/>
            <w:vAlign w:val="center"/>
            <w:hideMark/>
          </w:tcPr>
          <w:p w14:paraId="1D987EF8" w14:textId="547974E1" w:rsidR="00761560" w:rsidRPr="00BB2D6B" w:rsidRDefault="000142AA"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569</w:t>
            </w:r>
            <w:r w:rsidR="00761560" w:rsidRPr="00BB2D6B">
              <w:rPr>
                <w:rFonts w:asciiTheme="majorHAnsi" w:hAnsiTheme="majorHAnsi" w:cs="Arial"/>
                <w:sz w:val="16"/>
                <w:szCs w:val="16"/>
              </w:rPr>
              <w:t>,000</w:t>
            </w:r>
          </w:p>
        </w:tc>
        <w:tc>
          <w:tcPr>
            <w:tcW w:w="1236" w:type="dxa"/>
            <w:tcBorders>
              <w:top w:val="nil"/>
              <w:left w:val="nil"/>
              <w:bottom w:val="nil"/>
              <w:right w:val="single" w:sz="4" w:space="0" w:color="auto"/>
            </w:tcBorders>
            <w:shd w:val="clear" w:color="auto" w:fill="FFFFFF" w:themeFill="background1"/>
            <w:tcMar>
              <w:top w:w="0" w:type="dxa"/>
              <w:left w:w="0" w:type="dxa"/>
              <w:bottom w:w="0" w:type="dxa"/>
              <w:right w:w="180" w:type="dxa"/>
            </w:tcMar>
            <w:vAlign w:val="center"/>
            <w:hideMark/>
          </w:tcPr>
          <w:p w14:paraId="7E4BBC38"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76</w:t>
            </w:r>
          </w:p>
        </w:tc>
        <w:tc>
          <w:tcPr>
            <w:tcW w:w="890" w:type="dxa"/>
            <w:tcBorders>
              <w:top w:val="nil"/>
              <w:left w:val="nil"/>
              <w:bottom w:val="nil"/>
            </w:tcBorders>
            <w:shd w:val="clear" w:color="auto" w:fill="FFFFFF" w:themeFill="background1"/>
            <w:tcMar>
              <w:top w:w="0" w:type="dxa"/>
              <w:left w:w="0" w:type="dxa"/>
              <w:bottom w:w="0" w:type="dxa"/>
              <w:right w:w="180" w:type="dxa"/>
            </w:tcMar>
            <w:vAlign w:val="center"/>
            <w:hideMark/>
          </w:tcPr>
          <w:p w14:paraId="3A809F2A"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107</w:t>
            </w:r>
          </w:p>
        </w:tc>
      </w:tr>
      <w:tr w:rsidR="00761560" w14:paraId="73917569" w14:textId="77777777" w:rsidTr="004C0DDC">
        <w:trPr>
          <w:trHeight w:val="20"/>
        </w:trPr>
        <w:tc>
          <w:tcPr>
            <w:tcW w:w="2694" w:type="dxa"/>
            <w:tcBorders>
              <w:top w:val="nil"/>
              <w:bottom w:val="single" w:sz="4" w:space="0" w:color="auto"/>
              <w:right w:val="single" w:sz="4" w:space="0" w:color="auto"/>
            </w:tcBorders>
            <w:shd w:val="clear" w:color="auto" w:fill="FFFFFF" w:themeFill="background1"/>
            <w:noWrap/>
            <w:vAlign w:val="center"/>
            <w:hideMark/>
          </w:tcPr>
          <w:p w14:paraId="4BDD7008" w14:textId="77777777" w:rsidR="00761560" w:rsidRPr="00BB2D6B" w:rsidRDefault="00761560" w:rsidP="00CB0E93">
            <w:pPr>
              <w:spacing w:before="0" w:after="0"/>
              <w:ind w:left="57" w:right="57"/>
              <w:rPr>
                <w:rFonts w:asciiTheme="majorHAnsi" w:hAnsiTheme="majorHAnsi" w:cs="Arial"/>
                <w:b/>
                <w:bCs/>
                <w:spacing w:val="-4"/>
                <w:sz w:val="16"/>
                <w:szCs w:val="16"/>
              </w:rPr>
            </w:pPr>
            <w:r w:rsidRPr="00BB2D6B">
              <w:rPr>
                <w:rFonts w:asciiTheme="majorHAnsi" w:hAnsiTheme="majorHAnsi" w:cs="Arial"/>
                <w:b/>
                <w:bCs/>
                <w:spacing w:val="-4"/>
                <w:sz w:val="16"/>
                <w:szCs w:val="16"/>
              </w:rPr>
              <w:t>Total New South Wales RFA regions</w:t>
            </w:r>
          </w:p>
        </w:tc>
        <w:tc>
          <w:tcPr>
            <w:tcW w:w="850" w:type="dxa"/>
            <w:tcBorders>
              <w:top w:val="nil"/>
              <w:left w:val="nil"/>
              <w:bottom w:val="single" w:sz="4" w:space="0" w:color="auto"/>
              <w:right w:val="nil"/>
            </w:tcBorders>
            <w:shd w:val="clear" w:color="auto" w:fill="FFFFFF" w:themeFill="background1"/>
            <w:vAlign w:val="center"/>
            <w:hideMark/>
          </w:tcPr>
          <w:p w14:paraId="091FC956"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2,536,360</w:t>
            </w:r>
          </w:p>
        </w:tc>
        <w:tc>
          <w:tcPr>
            <w:tcW w:w="851" w:type="dxa"/>
            <w:tcBorders>
              <w:top w:val="nil"/>
              <w:left w:val="nil"/>
              <w:bottom w:val="single" w:sz="4" w:space="0" w:color="auto"/>
              <w:right w:val="nil"/>
            </w:tcBorders>
            <w:shd w:val="clear" w:color="auto" w:fill="FFFFFF" w:themeFill="background1"/>
            <w:vAlign w:val="center"/>
            <w:hideMark/>
          </w:tcPr>
          <w:p w14:paraId="237BA755"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1,742,337</w:t>
            </w:r>
          </w:p>
        </w:tc>
        <w:tc>
          <w:tcPr>
            <w:tcW w:w="992" w:type="dxa"/>
            <w:tcBorders>
              <w:top w:val="nil"/>
              <w:left w:val="nil"/>
              <w:bottom w:val="single" w:sz="4" w:space="0" w:color="auto"/>
              <w:right w:val="single" w:sz="4" w:space="0" w:color="auto"/>
            </w:tcBorders>
            <w:shd w:val="clear" w:color="auto" w:fill="FFFFFF" w:themeFill="background1"/>
            <w:tcMar>
              <w:top w:w="0" w:type="dxa"/>
              <w:left w:w="0" w:type="dxa"/>
              <w:bottom w:w="0" w:type="dxa"/>
              <w:right w:w="180" w:type="dxa"/>
            </w:tcMar>
            <w:vAlign w:val="center"/>
            <w:hideMark/>
          </w:tcPr>
          <w:p w14:paraId="59CF3F78"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69</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EC2C564"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2,536,360</w:t>
            </w:r>
          </w:p>
        </w:tc>
        <w:tc>
          <w:tcPr>
            <w:tcW w:w="992" w:type="dxa"/>
            <w:tcBorders>
              <w:left w:val="nil"/>
              <w:bottom w:val="single" w:sz="4" w:space="0" w:color="auto"/>
            </w:tcBorders>
            <w:shd w:val="clear" w:color="auto" w:fill="FFFFFF" w:themeFill="background1"/>
            <w:vAlign w:val="center"/>
            <w:hideMark/>
          </w:tcPr>
          <w:p w14:paraId="111B95A0" w14:textId="77777777"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0</w:t>
            </w:r>
          </w:p>
        </w:tc>
        <w:tc>
          <w:tcPr>
            <w:tcW w:w="993" w:type="dxa"/>
            <w:tcBorders>
              <w:bottom w:val="single" w:sz="4" w:space="0" w:color="auto"/>
              <w:right w:val="nil"/>
            </w:tcBorders>
            <w:shd w:val="clear" w:color="auto" w:fill="FFFFFF" w:themeFill="background1"/>
            <w:tcMar>
              <w:top w:w="0" w:type="dxa"/>
              <w:left w:w="0" w:type="dxa"/>
              <w:bottom w:w="0" w:type="dxa"/>
              <w:right w:w="180" w:type="dxa"/>
            </w:tcMar>
            <w:vAlign w:val="center"/>
            <w:hideMark/>
          </w:tcPr>
          <w:p w14:paraId="6A47DE2F" w14:textId="3FCC166B"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0</w:t>
            </w:r>
          </w:p>
        </w:tc>
        <w:tc>
          <w:tcPr>
            <w:tcW w:w="1134" w:type="dxa"/>
            <w:tcBorders>
              <w:top w:val="nil"/>
              <w:left w:val="single" w:sz="4" w:space="0" w:color="auto"/>
              <w:bottom w:val="single" w:sz="4" w:space="0" w:color="auto"/>
              <w:right w:val="nil"/>
            </w:tcBorders>
            <w:shd w:val="clear" w:color="auto" w:fill="FFFFFF" w:themeFill="background1"/>
            <w:vAlign w:val="center"/>
            <w:hideMark/>
          </w:tcPr>
          <w:p w14:paraId="6223A0B7" w14:textId="6C03577E"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1,766,000</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c</w:t>
            </w:r>
          </w:p>
        </w:tc>
        <w:tc>
          <w:tcPr>
            <w:tcW w:w="1134" w:type="dxa"/>
            <w:tcBorders>
              <w:top w:val="nil"/>
              <w:left w:val="nil"/>
              <w:bottom w:val="single" w:sz="4" w:space="0" w:color="auto"/>
              <w:right w:val="single" w:sz="4" w:space="0" w:color="auto"/>
            </w:tcBorders>
            <w:shd w:val="clear" w:color="auto" w:fill="FFFFFF" w:themeFill="background1"/>
            <w:tcMar>
              <w:top w:w="0" w:type="dxa"/>
              <w:left w:w="0" w:type="dxa"/>
              <w:bottom w:w="0" w:type="dxa"/>
              <w:right w:w="180" w:type="dxa"/>
            </w:tcMar>
            <w:vAlign w:val="center"/>
            <w:hideMark/>
          </w:tcPr>
          <w:p w14:paraId="0BD97F0D" w14:textId="0F35B298" w:rsidR="00761560" w:rsidRPr="00BB2D6B" w:rsidRDefault="00761560" w:rsidP="0096058D">
            <w:pPr>
              <w:spacing w:before="0" w:after="0"/>
              <w:ind w:left="57" w:right="-38" w:firstLineChars="100" w:firstLine="160"/>
              <w:jc w:val="right"/>
              <w:rPr>
                <w:rFonts w:asciiTheme="majorHAnsi" w:hAnsiTheme="majorHAnsi" w:cs="Arial"/>
                <w:sz w:val="16"/>
                <w:szCs w:val="16"/>
              </w:rPr>
            </w:pPr>
            <w:r w:rsidRPr="00BB2D6B">
              <w:rPr>
                <w:rFonts w:asciiTheme="majorHAnsi" w:hAnsiTheme="majorHAnsi" w:cs="Arial"/>
                <w:sz w:val="16"/>
                <w:szCs w:val="16"/>
              </w:rPr>
              <w:t>74</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d</w:t>
            </w:r>
          </w:p>
        </w:tc>
        <w:tc>
          <w:tcPr>
            <w:tcW w:w="1134" w:type="dxa"/>
            <w:tcBorders>
              <w:top w:val="nil"/>
              <w:left w:val="nil"/>
              <w:bottom w:val="single" w:sz="4" w:space="0" w:color="auto"/>
              <w:right w:val="nil"/>
            </w:tcBorders>
            <w:shd w:val="clear" w:color="auto" w:fill="FFFFFF" w:themeFill="background1"/>
            <w:vAlign w:val="center"/>
          </w:tcPr>
          <w:p w14:paraId="4350FAF6" w14:textId="48BB3815" w:rsidR="00761560" w:rsidRPr="00BB2D6B" w:rsidRDefault="00761560" w:rsidP="006B7637">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110,000</w:t>
            </w:r>
          </w:p>
        </w:tc>
        <w:tc>
          <w:tcPr>
            <w:tcW w:w="1095" w:type="dxa"/>
            <w:tcBorders>
              <w:top w:val="nil"/>
              <w:left w:val="nil"/>
              <w:bottom w:val="single" w:sz="4" w:space="0" w:color="auto"/>
              <w:right w:val="nil"/>
            </w:tcBorders>
            <w:shd w:val="clear" w:color="auto" w:fill="FFFFFF" w:themeFill="background1"/>
            <w:vAlign w:val="center"/>
            <w:hideMark/>
          </w:tcPr>
          <w:p w14:paraId="31EBBEC9" w14:textId="07BC1613" w:rsidR="00761560" w:rsidRPr="00BB2D6B" w:rsidRDefault="000142AA"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1,876</w:t>
            </w:r>
            <w:r w:rsidR="00761560" w:rsidRPr="00BB2D6B">
              <w:rPr>
                <w:rFonts w:asciiTheme="majorHAnsi" w:hAnsiTheme="majorHAnsi" w:cs="Arial"/>
                <w:sz w:val="16"/>
                <w:szCs w:val="16"/>
              </w:rPr>
              <w:t>,000</w:t>
            </w:r>
            <w:r w:rsidR="00BB2D6B">
              <w:rPr>
                <w:rFonts w:asciiTheme="majorHAnsi" w:hAnsiTheme="majorHAnsi" w:cs="Arial"/>
                <w:sz w:val="16"/>
                <w:szCs w:val="16"/>
              </w:rPr>
              <w:t xml:space="preserve"> </w:t>
            </w:r>
            <w:r w:rsidR="00761560" w:rsidRPr="00BB2D6B">
              <w:rPr>
                <w:rFonts w:asciiTheme="majorHAnsi" w:hAnsiTheme="majorHAnsi" w:cs="Arial"/>
                <w:b/>
                <w:bCs/>
                <w:position w:val="4"/>
                <w:sz w:val="16"/>
                <w:szCs w:val="16"/>
              </w:rPr>
              <w:t>c</w:t>
            </w:r>
          </w:p>
        </w:tc>
        <w:tc>
          <w:tcPr>
            <w:tcW w:w="1236" w:type="dxa"/>
            <w:tcBorders>
              <w:top w:val="nil"/>
              <w:left w:val="nil"/>
              <w:bottom w:val="single" w:sz="4" w:space="0" w:color="auto"/>
              <w:right w:val="single" w:sz="4" w:space="0" w:color="auto"/>
            </w:tcBorders>
            <w:shd w:val="clear" w:color="auto" w:fill="FFFFFF" w:themeFill="background1"/>
            <w:tcMar>
              <w:top w:w="0" w:type="dxa"/>
              <w:left w:w="0" w:type="dxa"/>
              <w:bottom w:w="0" w:type="dxa"/>
              <w:right w:w="180" w:type="dxa"/>
            </w:tcMar>
            <w:vAlign w:val="center"/>
            <w:hideMark/>
          </w:tcPr>
          <w:p w14:paraId="3C02ED2D" w14:textId="1799DB3B" w:rsidR="00761560" w:rsidRPr="00BB2D6B" w:rsidRDefault="00761560" w:rsidP="0096058D">
            <w:pPr>
              <w:spacing w:before="0" w:after="0"/>
              <w:ind w:left="57" w:right="-68" w:firstLineChars="100" w:firstLine="160"/>
              <w:jc w:val="right"/>
              <w:rPr>
                <w:rFonts w:asciiTheme="majorHAnsi" w:hAnsiTheme="majorHAnsi" w:cs="Arial"/>
                <w:sz w:val="16"/>
                <w:szCs w:val="16"/>
              </w:rPr>
            </w:pPr>
            <w:r w:rsidRPr="00BB2D6B">
              <w:rPr>
                <w:rFonts w:asciiTheme="majorHAnsi" w:hAnsiTheme="majorHAnsi" w:cs="Arial"/>
                <w:sz w:val="16"/>
                <w:szCs w:val="16"/>
              </w:rPr>
              <w:t>79</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d</w:t>
            </w:r>
          </w:p>
        </w:tc>
        <w:tc>
          <w:tcPr>
            <w:tcW w:w="890" w:type="dxa"/>
            <w:tcBorders>
              <w:top w:val="nil"/>
              <w:left w:val="nil"/>
              <w:bottom w:val="single" w:sz="4" w:space="0" w:color="auto"/>
            </w:tcBorders>
            <w:shd w:val="clear" w:color="auto" w:fill="FFFFFF" w:themeFill="background1"/>
            <w:tcMar>
              <w:top w:w="0" w:type="dxa"/>
              <w:left w:w="0" w:type="dxa"/>
              <w:bottom w:w="0" w:type="dxa"/>
              <w:right w:w="180" w:type="dxa"/>
            </w:tcMar>
            <w:vAlign w:val="center"/>
            <w:hideMark/>
          </w:tcPr>
          <w:p w14:paraId="5751AE1D"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367</w:t>
            </w:r>
          </w:p>
        </w:tc>
      </w:tr>
      <w:tr w:rsidR="00761560" w14:paraId="208A593A" w14:textId="77777777" w:rsidTr="004C0DDC">
        <w:trPr>
          <w:trHeight w:val="170"/>
        </w:trPr>
        <w:tc>
          <w:tcPr>
            <w:tcW w:w="14987" w:type="dxa"/>
            <w:gridSpan w:val="13"/>
            <w:tcBorders>
              <w:top w:val="single" w:sz="4" w:space="0" w:color="auto"/>
              <w:bottom w:val="single" w:sz="4" w:space="0" w:color="auto"/>
            </w:tcBorders>
            <w:shd w:val="clear" w:color="auto" w:fill="auto"/>
            <w:vAlign w:val="center"/>
          </w:tcPr>
          <w:p w14:paraId="2E52260C" w14:textId="14B87FD8" w:rsidR="00761560" w:rsidRPr="00BB2D6B" w:rsidRDefault="00761560" w:rsidP="00CB0E93">
            <w:pPr>
              <w:spacing w:before="0" w:after="0"/>
              <w:ind w:left="57" w:right="57"/>
              <w:rPr>
                <w:rFonts w:asciiTheme="majorHAnsi" w:hAnsiTheme="majorHAnsi" w:cs="Arial"/>
                <w:b/>
                <w:bCs/>
                <w:sz w:val="16"/>
                <w:szCs w:val="16"/>
              </w:rPr>
            </w:pPr>
            <w:r w:rsidRPr="00BB2D6B">
              <w:rPr>
                <w:rFonts w:asciiTheme="majorHAnsi" w:hAnsiTheme="majorHAnsi" w:cs="Arial"/>
                <w:b/>
                <w:bCs/>
                <w:sz w:val="16"/>
                <w:szCs w:val="16"/>
              </w:rPr>
              <w:t>Tasmania</w:t>
            </w:r>
          </w:p>
        </w:tc>
      </w:tr>
      <w:tr w:rsidR="00761560" w14:paraId="78114E26" w14:textId="77777777" w:rsidTr="004C0DDC">
        <w:trPr>
          <w:trHeight w:val="20"/>
        </w:trPr>
        <w:tc>
          <w:tcPr>
            <w:tcW w:w="2694" w:type="dxa"/>
            <w:tcBorders>
              <w:top w:val="nil"/>
              <w:bottom w:val="single" w:sz="4" w:space="0" w:color="auto"/>
              <w:right w:val="single" w:sz="4" w:space="0" w:color="auto"/>
            </w:tcBorders>
            <w:shd w:val="clear" w:color="auto" w:fill="FFFFFF" w:themeFill="background1"/>
            <w:noWrap/>
            <w:vAlign w:val="center"/>
            <w:hideMark/>
          </w:tcPr>
          <w:p w14:paraId="768DC8C1"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Tasmanian</w:t>
            </w:r>
          </w:p>
        </w:tc>
        <w:tc>
          <w:tcPr>
            <w:tcW w:w="850" w:type="dxa"/>
            <w:tcBorders>
              <w:top w:val="nil"/>
              <w:left w:val="nil"/>
              <w:bottom w:val="single" w:sz="4" w:space="0" w:color="auto"/>
              <w:right w:val="nil"/>
            </w:tcBorders>
            <w:shd w:val="clear" w:color="auto" w:fill="FFFFFF" w:themeFill="background1"/>
            <w:noWrap/>
            <w:vAlign w:val="center"/>
            <w:hideMark/>
          </w:tcPr>
          <w:p w14:paraId="385B8747"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1,246,400</w:t>
            </w:r>
          </w:p>
        </w:tc>
        <w:tc>
          <w:tcPr>
            <w:tcW w:w="851" w:type="dxa"/>
            <w:tcBorders>
              <w:top w:val="nil"/>
              <w:left w:val="nil"/>
              <w:bottom w:val="single" w:sz="4" w:space="0" w:color="auto"/>
              <w:right w:val="nil"/>
            </w:tcBorders>
            <w:shd w:val="clear" w:color="auto" w:fill="FFFFFF" w:themeFill="background1"/>
            <w:noWrap/>
            <w:vAlign w:val="center"/>
            <w:hideMark/>
          </w:tcPr>
          <w:p w14:paraId="2A618FAD"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848,700</w:t>
            </w:r>
          </w:p>
        </w:tc>
        <w:tc>
          <w:tcPr>
            <w:tcW w:w="992"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7BD1B45D"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7014FCB"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1,206,000</w:t>
            </w:r>
          </w:p>
        </w:tc>
        <w:tc>
          <w:tcPr>
            <w:tcW w:w="992" w:type="dxa"/>
            <w:tcBorders>
              <w:top w:val="nil"/>
              <w:left w:val="nil"/>
              <w:bottom w:val="single" w:sz="4" w:space="0" w:color="auto"/>
              <w:right w:val="nil"/>
            </w:tcBorders>
            <w:shd w:val="clear" w:color="auto" w:fill="FFFFFF" w:themeFill="background1"/>
            <w:noWrap/>
            <w:vAlign w:val="center"/>
            <w:hideMark/>
          </w:tcPr>
          <w:p w14:paraId="485EE9E6" w14:textId="77777777"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-40,400</w:t>
            </w:r>
          </w:p>
        </w:tc>
        <w:tc>
          <w:tcPr>
            <w:tcW w:w="993"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7C3FFD82"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-3</w:t>
            </w:r>
          </w:p>
        </w:tc>
        <w:tc>
          <w:tcPr>
            <w:tcW w:w="1134" w:type="dxa"/>
            <w:tcBorders>
              <w:top w:val="nil"/>
              <w:left w:val="nil"/>
              <w:bottom w:val="single" w:sz="4" w:space="0" w:color="auto"/>
              <w:right w:val="nil"/>
            </w:tcBorders>
            <w:shd w:val="clear" w:color="auto" w:fill="FFFFFF" w:themeFill="background1"/>
            <w:noWrap/>
            <w:vAlign w:val="center"/>
            <w:hideMark/>
          </w:tcPr>
          <w:p w14:paraId="3DED6614" w14:textId="77777777"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1,031,000</w:t>
            </w:r>
          </w:p>
        </w:tc>
        <w:tc>
          <w:tcPr>
            <w:tcW w:w="1134"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5771DEDD" w14:textId="77777777"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85</w:t>
            </w:r>
          </w:p>
        </w:tc>
        <w:tc>
          <w:tcPr>
            <w:tcW w:w="1134" w:type="dxa"/>
            <w:tcBorders>
              <w:top w:val="nil"/>
              <w:left w:val="nil"/>
              <w:bottom w:val="single" w:sz="4" w:space="0" w:color="auto"/>
              <w:right w:val="nil"/>
            </w:tcBorders>
            <w:shd w:val="clear" w:color="auto" w:fill="FFFFFF" w:themeFill="background1"/>
            <w:vAlign w:val="center"/>
          </w:tcPr>
          <w:p w14:paraId="5F65284A" w14:textId="5752C639" w:rsidR="00761560" w:rsidRPr="00BB2D6B" w:rsidRDefault="00BB2D6B" w:rsidP="00BB2D6B">
            <w:pPr>
              <w:spacing w:before="0" w:after="0"/>
              <w:ind w:left="57" w:right="12"/>
              <w:jc w:val="right"/>
              <w:rPr>
                <w:rFonts w:asciiTheme="majorHAnsi" w:hAnsiTheme="majorHAnsi" w:cs="Arial"/>
                <w:sz w:val="16"/>
                <w:szCs w:val="16"/>
              </w:rPr>
            </w:pPr>
            <w:r>
              <w:rPr>
                <w:rFonts w:asciiTheme="majorHAnsi" w:hAnsiTheme="majorHAnsi" w:cs="Arial"/>
                <w:sz w:val="16"/>
                <w:szCs w:val="16"/>
              </w:rPr>
              <w:t>n</w:t>
            </w:r>
            <w:r w:rsidR="00761560" w:rsidRPr="00BB2D6B">
              <w:rPr>
                <w:rFonts w:asciiTheme="majorHAnsi" w:hAnsiTheme="majorHAnsi" w:cs="Arial"/>
                <w:sz w:val="16"/>
                <w:szCs w:val="16"/>
              </w:rPr>
              <w:t>r</w:t>
            </w:r>
          </w:p>
        </w:tc>
        <w:tc>
          <w:tcPr>
            <w:tcW w:w="1095" w:type="dxa"/>
            <w:tcBorders>
              <w:top w:val="nil"/>
              <w:left w:val="nil"/>
              <w:bottom w:val="single" w:sz="4" w:space="0" w:color="auto"/>
              <w:right w:val="nil"/>
            </w:tcBorders>
            <w:shd w:val="clear" w:color="auto" w:fill="FFFFFF" w:themeFill="background1"/>
            <w:noWrap/>
            <w:vAlign w:val="center"/>
            <w:hideMark/>
          </w:tcPr>
          <w:p w14:paraId="467F96B5" w14:textId="1D8B655B"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1,048,000</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e</w:t>
            </w:r>
          </w:p>
        </w:tc>
        <w:tc>
          <w:tcPr>
            <w:tcW w:w="1236"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27C5701A"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87</w:t>
            </w:r>
          </w:p>
        </w:tc>
        <w:tc>
          <w:tcPr>
            <w:tcW w:w="890" w:type="dxa"/>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5C6A60D2"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43</w:t>
            </w:r>
          </w:p>
        </w:tc>
      </w:tr>
      <w:tr w:rsidR="00761560" w14:paraId="73D4F8E4" w14:textId="77777777" w:rsidTr="004C0DDC">
        <w:trPr>
          <w:trHeight w:val="170"/>
        </w:trPr>
        <w:tc>
          <w:tcPr>
            <w:tcW w:w="14987" w:type="dxa"/>
            <w:gridSpan w:val="13"/>
            <w:tcBorders>
              <w:top w:val="single" w:sz="4" w:space="0" w:color="auto"/>
              <w:bottom w:val="single" w:sz="4" w:space="0" w:color="auto"/>
            </w:tcBorders>
            <w:shd w:val="clear" w:color="auto" w:fill="auto"/>
            <w:vAlign w:val="center"/>
          </w:tcPr>
          <w:p w14:paraId="4AEFFD4B" w14:textId="46C77CD8" w:rsidR="00761560" w:rsidRPr="00BB2D6B" w:rsidRDefault="00761560" w:rsidP="00CB0E93">
            <w:pPr>
              <w:spacing w:before="0" w:after="0"/>
              <w:ind w:left="57" w:right="57"/>
              <w:rPr>
                <w:rFonts w:asciiTheme="majorHAnsi" w:hAnsiTheme="majorHAnsi" w:cs="Arial"/>
                <w:b/>
                <w:bCs/>
                <w:sz w:val="16"/>
                <w:szCs w:val="16"/>
              </w:rPr>
            </w:pPr>
            <w:r w:rsidRPr="00BB2D6B">
              <w:rPr>
                <w:rFonts w:asciiTheme="majorHAnsi" w:hAnsiTheme="majorHAnsi" w:cs="Arial"/>
                <w:b/>
                <w:bCs/>
                <w:sz w:val="16"/>
                <w:szCs w:val="16"/>
              </w:rPr>
              <w:t>Victoria</w:t>
            </w:r>
          </w:p>
        </w:tc>
      </w:tr>
      <w:tr w:rsidR="00761560" w14:paraId="23CE9CC0" w14:textId="77777777" w:rsidTr="004C0DDC">
        <w:trPr>
          <w:trHeight w:val="20"/>
        </w:trPr>
        <w:tc>
          <w:tcPr>
            <w:tcW w:w="2694" w:type="dxa"/>
            <w:tcBorders>
              <w:top w:val="nil"/>
              <w:bottom w:val="nil"/>
              <w:right w:val="single" w:sz="4" w:space="0" w:color="auto"/>
            </w:tcBorders>
            <w:shd w:val="clear" w:color="auto" w:fill="FFFFFF" w:themeFill="background1"/>
            <w:noWrap/>
            <w:vAlign w:val="center"/>
            <w:hideMark/>
          </w:tcPr>
          <w:p w14:paraId="4C5D2A14"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East Gippsland</w:t>
            </w:r>
          </w:p>
        </w:tc>
        <w:tc>
          <w:tcPr>
            <w:tcW w:w="850" w:type="dxa"/>
            <w:tcBorders>
              <w:top w:val="nil"/>
              <w:left w:val="nil"/>
              <w:bottom w:val="nil"/>
              <w:right w:val="nil"/>
            </w:tcBorders>
            <w:shd w:val="clear" w:color="auto" w:fill="FFFFFF" w:themeFill="background1"/>
            <w:noWrap/>
            <w:vAlign w:val="center"/>
            <w:hideMark/>
          </w:tcPr>
          <w:p w14:paraId="2D2426CC"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224,675</w:t>
            </w:r>
          </w:p>
        </w:tc>
        <w:tc>
          <w:tcPr>
            <w:tcW w:w="851" w:type="dxa"/>
            <w:tcBorders>
              <w:top w:val="nil"/>
              <w:left w:val="nil"/>
              <w:bottom w:val="nil"/>
              <w:right w:val="nil"/>
            </w:tcBorders>
            <w:shd w:val="clear" w:color="auto" w:fill="FFFFFF" w:themeFill="background1"/>
            <w:noWrap/>
            <w:vAlign w:val="center"/>
            <w:hideMark/>
          </w:tcPr>
          <w:p w14:paraId="5EF1184E"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152,803</w:t>
            </w:r>
          </w:p>
        </w:tc>
        <w:tc>
          <w:tcPr>
            <w:tcW w:w="992"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23E4B04"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68</w:t>
            </w:r>
          </w:p>
        </w:tc>
        <w:tc>
          <w:tcPr>
            <w:tcW w:w="992" w:type="dxa"/>
            <w:tcBorders>
              <w:top w:val="nil"/>
              <w:left w:val="nil"/>
              <w:bottom w:val="nil"/>
              <w:right w:val="single" w:sz="4" w:space="0" w:color="auto"/>
            </w:tcBorders>
            <w:shd w:val="clear" w:color="auto" w:fill="FFFFFF" w:themeFill="background1"/>
            <w:noWrap/>
            <w:vAlign w:val="center"/>
            <w:hideMark/>
          </w:tcPr>
          <w:p w14:paraId="0AD0BAC3" w14:textId="44CF3F6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88,400</w:t>
            </w:r>
          </w:p>
        </w:tc>
        <w:tc>
          <w:tcPr>
            <w:tcW w:w="992" w:type="dxa"/>
            <w:tcBorders>
              <w:top w:val="nil"/>
              <w:left w:val="nil"/>
              <w:bottom w:val="nil"/>
              <w:right w:val="nil"/>
            </w:tcBorders>
            <w:shd w:val="clear" w:color="auto" w:fill="FFFFFF" w:themeFill="background1"/>
            <w:noWrap/>
            <w:vAlign w:val="center"/>
            <w:hideMark/>
          </w:tcPr>
          <w:p w14:paraId="04998A4F" w14:textId="332C1218"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-136,275</w:t>
            </w:r>
          </w:p>
        </w:tc>
        <w:tc>
          <w:tcPr>
            <w:tcW w:w="993"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15BA669" w14:textId="04A41A5E"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-61</w:t>
            </w:r>
          </w:p>
        </w:tc>
        <w:tc>
          <w:tcPr>
            <w:tcW w:w="1134" w:type="dxa"/>
            <w:tcBorders>
              <w:top w:val="nil"/>
              <w:left w:val="nil"/>
              <w:bottom w:val="nil"/>
              <w:right w:val="nil"/>
            </w:tcBorders>
            <w:shd w:val="clear" w:color="auto" w:fill="FFFFFF" w:themeFill="background1"/>
            <w:noWrap/>
            <w:vAlign w:val="center"/>
            <w:hideMark/>
          </w:tcPr>
          <w:p w14:paraId="040BB5FB" w14:textId="21192B48"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63,700</w:t>
            </w:r>
          </w:p>
        </w:tc>
        <w:tc>
          <w:tcPr>
            <w:tcW w:w="113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50511BA0" w14:textId="164CFE0F"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72</w:t>
            </w:r>
          </w:p>
        </w:tc>
        <w:tc>
          <w:tcPr>
            <w:tcW w:w="1134" w:type="dxa"/>
            <w:tcBorders>
              <w:top w:val="nil"/>
              <w:left w:val="nil"/>
              <w:bottom w:val="nil"/>
              <w:right w:val="nil"/>
            </w:tcBorders>
            <w:shd w:val="clear" w:color="auto" w:fill="FFFFFF" w:themeFill="background1"/>
            <w:vAlign w:val="center"/>
          </w:tcPr>
          <w:p w14:paraId="70435A5D" w14:textId="3F2497E5"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7,800</w:t>
            </w:r>
          </w:p>
        </w:tc>
        <w:tc>
          <w:tcPr>
            <w:tcW w:w="1095" w:type="dxa"/>
            <w:tcBorders>
              <w:top w:val="nil"/>
              <w:left w:val="nil"/>
              <w:bottom w:val="nil"/>
              <w:right w:val="nil"/>
            </w:tcBorders>
            <w:shd w:val="clear" w:color="auto" w:fill="FFFFFF" w:themeFill="background1"/>
            <w:noWrap/>
            <w:vAlign w:val="center"/>
            <w:hideMark/>
          </w:tcPr>
          <w:p w14:paraId="529DA0DD" w14:textId="0CBAAB1E" w:rsidR="00761560" w:rsidRPr="00BB2D6B" w:rsidRDefault="00761560"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71,400</w:t>
            </w:r>
          </w:p>
        </w:tc>
        <w:tc>
          <w:tcPr>
            <w:tcW w:w="1236"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4313307" w14:textId="61D8804D"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81</w:t>
            </w:r>
          </w:p>
        </w:tc>
        <w:tc>
          <w:tcPr>
            <w:tcW w:w="890"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6E7F46DE" w14:textId="3ECE4ADA"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45</w:t>
            </w:r>
          </w:p>
        </w:tc>
      </w:tr>
      <w:tr w:rsidR="00761560" w14:paraId="22BB0811" w14:textId="77777777" w:rsidTr="004C0DDC">
        <w:trPr>
          <w:trHeight w:val="20"/>
        </w:trPr>
        <w:tc>
          <w:tcPr>
            <w:tcW w:w="2694" w:type="dxa"/>
            <w:tcBorders>
              <w:top w:val="nil"/>
              <w:bottom w:val="nil"/>
              <w:right w:val="single" w:sz="4" w:space="0" w:color="auto"/>
            </w:tcBorders>
            <w:shd w:val="clear" w:color="auto" w:fill="FFFFFF" w:themeFill="background1"/>
            <w:noWrap/>
            <w:vAlign w:val="center"/>
            <w:hideMark/>
          </w:tcPr>
          <w:p w14:paraId="48602D05"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Central Highlands</w:t>
            </w:r>
          </w:p>
        </w:tc>
        <w:tc>
          <w:tcPr>
            <w:tcW w:w="850" w:type="dxa"/>
            <w:tcBorders>
              <w:top w:val="nil"/>
              <w:left w:val="nil"/>
              <w:bottom w:val="nil"/>
              <w:right w:val="nil"/>
            </w:tcBorders>
            <w:shd w:val="clear" w:color="auto" w:fill="FFFFFF" w:themeFill="background1"/>
            <w:noWrap/>
            <w:vAlign w:val="center"/>
            <w:hideMark/>
          </w:tcPr>
          <w:p w14:paraId="2CABE64B"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25,951</w:t>
            </w:r>
          </w:p>
        </w:tc>
        <w:tc>
          <w:tcPr>
            <w:tcW w:w="851" w:type="dxa"/>
            <w:tcBorders>
              <w:top w:val="nil"/>
              <w:left w:val="nil"/>
              <w:bottom w:val="nil"/>
              <w:right w:val="nil"/>
            </w:tcBorders>
            <w:shd w:val="clear" w:color="auto" w:fill="FFFFFF" w:themeFill="background1"/>
            <w:noWrap/>
            <w:vAlign w:val="center"/>
            <w:hideMark/>
          </w:tcPr>
          <w:p w14:paraId="59AE9E0A"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22,000</w:t>
            </w:r>
          </w:p>
        </w:tc>
        <w:tc>
          <w:tcPr>
            <w:tcW w:w="992"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AF1DAD3"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85</w:t>
            </w:r>
          </w:p>
        </w:tc>
        <w:tc>
          <w:tcPr>
            <w:tcW w:w="992" w:type="dxa"/>
            <w:tcBorders>
              <w:top w:val="nil"/>
              <w:left w:val="nil"/>
              <w:bottom w:val="nil"/>
              <w:right w:val="single" w:sz="4" w:space="0" w:color="auto"/>
            </w:tcBorders>
            <w:shd w:val="clear" w:color="auto" w:fill="FFFFFF" w:themeFill="background1"/>
            <w:noWrap/>
            <w:vAlign w:val="center"/>
            <w:hideMark/>
          </w:tcPr>
          <w:p w14:paraId="4B64876D" w14:textId="0CB66F8D"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8,600</w:t>
            </w:r>
          </w:p>
        </w:tc>
        <w:tc>
          <w:tcPr>
            <w:tcW w:w="992" w:type="dxa"/>
            <w:tcBorders>
              <w:top w:val="nil"/>
              <w:left w:val="nil"/>
              <w:bottom w:val="nil"/>
              <w:right w:val="nil"/>
            </w:tcBorders>
            <w:shd w:val="clear" w:color="auto" w:fill="FFFFFF" w:themeFill="background1"/>
            <w:noWrap/>
            <w:vAlign w:val="center"/>
            <w:hideMark/>
          </w:tcPr>
          <w:p w14:paraId="6AAC31F8" w14:textId="79953EA0"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-17,351</w:t>
            </w:r>
          </w:p>
        </w:tc>
        <w:tc>
          <w:tcPr>
            <w:tcW w:w="993"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B05DAF9" w14:textId="5A7E34EF"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-67</w:t>
            </w:r>
          </w:p>
        </w:tc>
        <w:tc>
          <w:tcPr>
            <w:tcW w:w="1134" w:type="dxa"/>
            <w:tcBorders>
              <w:top w:val="nil"/>
              <w:left w:val="nil"/>
              <w:bottom w:val="nil"/>
              <w:right w:val="nil"/>
            </w:tcBorders>
            <w:shd w:val="clear" w:color="auto" w:fill="FFFFFF" w:themeFill="background1"/>
            <w:noWrap/>
            <w:vAlign w:val="center"/>
            <w:hideMark/>
          </w:tcPr>
          <w:p w14:paraId="5AAE612A" w14:textId="3E8FF322"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6,300</w:t>
            </w:r>
          </w:p>
        </w:tc>
        <w:tc>
          <w:tcPr>
            <w:tcW w:w="113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ED278DF" w14:textId="4A3FFD83"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73</w:t>
            </w:r>
          </w:p>
        </w:tc>
        <w:tc>
          <w:tcPr>
            <w:tcW w:w="1134" w:type="dxa"/>
            <w:tcBorders>
              <w:top w:val="nil"/>
              <w:left w:val="nil"/>
              <w:bottom w:val="nil"/>
              <w:right w:val="nil"/>
            </w:tcBorders>
            <w:shd w:val="clear" w:color="auto" w:fill="FFFFFF" w:themeFill="background1"/>
            <w:vAlign w:val="center"/>
          </w:tcPr>
          <w:p w14:paraId="7564F446" w14:textId="79E3FCBC"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1,100</w:t>
            </w:r>
          </w:p>
        </w:tc>
        <w:tc>
          <w:tcPr>
            <w:tcW w:w="1095" w:type="dxa"/>
            <w:tcBorders>
              <w:top w:val="nil"/>
              <w:left w:val="nil"/>
              <w:bottom w:val="nil"/>
              <w:right w:val="nil"/>
            </w:tcBorders>
            <w:shd w:val="clear" w:color="auto" w:fill="FFFFFF" w:themeFill="background1"/>
            <w:noWrap/>
            <w:vAlign w:val="center"/>
            <w:hideMark/>
          </w:tcPr>
          <w:p w14:paraId="1B740371" w14:textId="62EE9207" w:rsidR="00761560" w:rsidRPr="00BB2D6B" w:rsidRDefault="00761560"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7,400</w:t>
            </w:r>
          </w:p>
        </w:tc>
        <w:tc>
          <w:tcPr>
            <w:tcW w:w="1236"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CB4C66A" w14:textId="19C329D3"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86</w:t>
            </w:r>
          </w:p>
        </w:tc>
        <w:tc>
          <w:tcPr>
            <w:tcW w:w="890"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4E2CAB78" w14:textId="77899F9E"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16</w:t>
            </w:r>
          </w:p>
        </w:tc>
      </w:tr>
      <w:tr w:rsidR="00761560" w14:paraId="272BE0B9" w14:textId="77777777" w:rsidTr="004C0DDC">
        <w:trPr>
          <w:trHeight w:val="20"/>
        </w:trPr>
        <w:tc>
          <w:tcPr>
            <w:tcW w:w="2694" w:type="dxa"/>
            <w:tcBorders>
              <w:top w:val="nil"/>
              <w:bottom w:val="nil"/>
              <w:right w:val="single" w:sz="4" w:space="0" w:color="auto"/>
            </w:tcBorders>
            <w:shd w:val="clear" w:color="auto" w:fill="FFFFFF" w:themeFill="background1"/>
            <w:noWrap/>
            <w:vAlign w:val="center"/>
            <w:hideMark/>
          </w:tcPr>
          <w:p w14:paraId="7C31361C"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North East</w:t>
            </w:r>
          </w:p>
        </w:tc>
        <w:tc>
          <w:tcPr>
            <w:tcW w:w="850" w:type="dxa"/>
            <w:tcBorders>
              <w:top w:val="nil"/>
              <w:left w:val="nil"/>
              <w:bottom w:val="nil"/>
              <w:right w:val="nil"/>
            </w:tcBorders>
            <w:shd w:val="clear" w:color="auto" w:fill="FFFFFF" w:themeFill="background1"/>
            <w:noWrap/>
            <w:vAlign w:val="center"/>
            <w:hideMark/>
          </w:tcPr>
          <w:p w14:paraId="06F5CA62"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259,465</w:t>
            </w:r>
          </w:p>
        </w:tc>
        <w:tc>
          <w:tcPr>
            <w:tcW w:w="851" w:type="dxa"/>
            <w:tcBorders>
              <w:top w:val="nil"/>
              <w:left w:val="nil"/>
              <w:bottom w:val="nil"/>
              <w:right w:val="nil"/>
            </w:tcBorders>
            <w:shd w:val="clear" w:color="auto" w:fill="FFFFFF" w:themeFill="background1"/>
            <w:noWrap/>
            <w:vAlign w:val="center"/>
            <w:hideMark/>
          </w:tcPr>
          <w:p w14:paraId="1E61CEF8"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147,530</w:t>
            </w:r>
          </w:p>
        </w:tc>
        <w:tc>
          <w:tcPr>
            <w:tcW w:w="992"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294DD0DE"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57</w:t>
            </w:r>
          </w:p>
        </w:tc>
        <w:tc>
          <w:tcPr>
            <w:tcW w:w="992" w:type="dxa"/>
            <w:tcBorders>
              <w:top w:val="nil"/>
              <w:left w:val="nil"/>
              <w:bottom w:val="nil"/>
              <w:right w:val="single" w:sz="4" w:space="0" w:color="auto"/>
            </w:tcBorders>
            <w:shd w:val="clear" w:color="auto" w:fill="FFFFFF" w:themeFill="background1"/>
            <w:noWrap/>
            <w:vAlign w:val="center"/>
            <w:hideMark/>
          </w:tcPr>
          <w:p w14:paraId="2952A725" w14:textId="00CC07BB"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127,800</w:t>
            </w:r>
          </w:p>
        </w:tc>
        <w:tc>
          <w:tcPr>
            <w:tcW w:w="992" w:type="dxa"/>
            <w:tcBorders>
              <w:top w:val="nil"/>
              <w:left w:val="nil"/>
              <w:bottom w:val="nil"/>
              <w:right w:val="nil"/>
            </w:tcBorders>
            <w:shd w:val="clear" w:color="auto" w:fill="FFFFFF" w:themeFill="background1"/>
            <w:noWrap/>
            <w:vAlign w:val="center"/>
            <w:hideMark/>
          </w:tcPr>
          <w:p w14:paraId="62E30FC1" w14:textId="7C41DE44"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-131,665</w:t>
            </w:r>
          </w:p>
        </w:tc>
        <w:tc>
          <w:tcPr>
            <w:tcW w:w="993"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3BE04CBC" w14:textId="35E4E94E"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-51</w:t>
            </w:r>
          </w:p>
        </w:tc>
        <w:tc>
          <w:tcPr>
            <w:tcW w:w="1134" w:type="dxa"/>
            <w:tcBorders>
              <w:top w:val="nil"/>
              <w:left w:val="nil"/>
              <w:bottom w:val="nil"/>
              <w:right w:val="nil"/>
            </w:tcBorders>
            <w:shd w:val="clear" w:color="auto" w:fill="FFFFFF" w:themeFill="background1"/>
            <w:noWrap/>
            <w:vAlign w:val="center"/>
            <w:hideMark/>
          </w:tcPr>
          <w:p w14:paraId="26EC982C" w14:textId="3CFD9CC1"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72,100</w:t>
            </w:r>
          </w:p>
        </w:tc>
        <w:tc>
          <w:tcPr>
            <w:tcW w:w="113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5D969B96" w14:textId="3200F721"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56</w:t>
            </w:r>
          </w:p>
        </w:tc>
        <w:tc>
          <w:tcPr>
            <w:tcW w:w="1134" w:type="dxa"/>
            <w:tcBorders>
              <w:top w:val="nil"/>
              <w:left w:val="nil"/>
              <w:bottom w:val="nil"/>
              <w:right w:val="nil"/>
            </w:tcBorders>
            <w:shd w:val="clear" w:color="auto" w:fill="FFFFFF" w:themeFill="background1"/>
            <w:vAlign w:val="center"/>
          </w:tcPr>
          <w:p w14:paraId="30F92649" w14:textId="3A63C29D"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26,700</w:t>
            </w:r>
          </w:p>
        </w:tc>
        <w:tc>
          <w:tcPr>
            <w:tcW w:w="1095" w:type="dxa"/>
            <w:tcBorders>
              <w:top w:val="nil"/>
              <w:left w:val="nil"/>
              <w:bottom w:val="nil"/>
              <w:right w:val="nil"/>
            </w:tcBorders>
            <w:shd w:val="clear" w:color="auto" w:fill="FFFFFF" w:themeFill="background1"/>
            <w:noWrap/>
            <w:vAlign w:val="center"/>
            <w:hideMark/>
          </w:tcPr>
          <w:p w14:paraId="75DBADE5" w14:textId="3CFC2A8D" w:rsidR="00761560" w:rsidRPr="00BB2D6B" w:rsidRDefault="00761560"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98,700</w:t>
            </w:r>
          </w:p>
        </w:tc>
        <w:tc>
          <w:tcPr>
            <w:tcW w:w="1236"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7AB1352" w14:textId="2276836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77</w:t>
            </w:r>
          </w:p>
        </w:tc>
        <w:tc>
          <w:tcPr>
            <w:tcW w:w="890"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4910DE45" w14:textId="6E06230A"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23</w:t>
            </w:r>
          </w:p>
        </w:tc>
      </w:tr>
      <w:tr w:rsidR="00761560" w14:paraId="1E74861C" w14:textId="77777777" w:rsidTr="004C0DDC">
        <w:trPr>
          <w:trHeight w:val="20"/>
        </w:trPr>
        <w:tc>
          <w:tcPr>
            <w:tcW w:w="2694" w:type="dxa"/>
            <w:tcBorders>
              <w:top w:val="nil"/>
              <w:bottom w:val="nil"/>
              <w:right w:val="single" w:sz="4" w:space="0" w:color="auto"/>
            </w:tcBorders>
            <w:shd w:val="clear" w:color="auto" w:fill="FFFFFF" w:themeFill="background1"/>
            <w:noWrap/>
            <w:vAlign w:val="center"/>
            <w:hideMark/>
          </w:tcPr>
          <w:p w14:paraId="5958E303"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Gippsland</w:t>
            </w:r>
          </w:p>
        </w:tc>
        <w:tc>
          <w:tcPr>
            <w:tcW w:w="850" w:type="dxa"/>
            <w:tcBorders>
              <w:top w:val="nil"/>
              <w:left w:val="nil"/>
              <w:bottom w:val="nil"/>
              <w:right w:val="nil"/>
            </w:tcBorders>
            <w:shd w:val="clear" w:color="auto" w:fill="FFFFFF" w:themeFill="background1"/>
            <w:noWrap/>
            <w:vAlign w:val="center"/>
            <w:hideMark/>
          </w:tcPr>
          <w:p w14:paraId="4209C0B5"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208,260</w:t>
            </w:r>
          </w:p>
        </w:tc>
        <w:tc>
          <w:tcPr>
            <w:tcW w:w="851" w:type="dxa"/>
            <w:tcBorders>
              <w:top w:val="nil"/>
              <w:left w:val="nil"/>
              <w:bottom w:val="nil"/>
              <w:right w:val="nil"/>
            </w:tcBorders>
            <w:shd w:val="clear" w:color="auto" w:fill="FFFFFF" w:themeFill="background1"/>
            <w:noWrap/>
            <w:vAlign w:val="center"/>
            <w:hideMark/>
          </w:tcPr>
          <w:p w14:paraId="0B32B8B3"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139,013</w:t>
            </w:r>
          </w:p>
        </w:tc>
        <w:tc>
          <w:tcPr>
            <w:tcW w:w="992"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33E44F72"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67</w:t>
            </w:r>
          </w:p>
        </w:tc>
        <w:tc>
          <w:tcPr>
            <w:tcW w:w="992" w:type="dxa"/>
            <w:tcBorders>
              <w:top w:val="nil"/>
              <w:left w:val="nil"/>
              <w:bottom w:val="nil"/>
              <w:right w:val="single" w:sz="4" w:space="0" w:color="auto"/>
            </w:tcBorders>
            <w:shd w:val="clear" w:color="auto" w:fill="FFFFFF" w:themeFill="background1"/>
            <w:noWrap/>
            <w:vAlign w:val="center"/>
            <w:hideMark/>
          </w:tcPr>
          <w:p w14:paraId="58C88687" w14:textId="1C3035DF"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73,100</w:t>
            </w:r>
          </w:p>
        </w:tc>
        <w:tc>
          <w:tcPr>
            <w:tcW w:w="992" w:type="dxa"/>
            <w:tcBorders>
              <w:top w:val="nil"/>
              <w:left w:val="nil"/>
              <w:bottom w:val="nil"/>
              <w:right w:val="nil"/>
            </w:tcBorders>
            <w:shd w:val="clear" w:color="auto" w:fill="FFFFFF" w:themeFill="background1"/>
            <w:noWrap/>
            <w:vAlign w:val="center"/>
            <w:hideMark/>
          </w:tcPr>
          <w:p w14:paraId="1FDDD923" w14:textId="1891019A"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-135,160</w:t>
            </w:r>
          </w:p>
        </w:tc>
        <w:tc>
          <w:tcPr>
            <w:tcW w:w="993"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CDFE35E" w14:textId="5CFDE340"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-65</w:t>
            </w:r>
          </w:p>
        </w:tc>
        <w:tc>
          <w:tcPr>
            <w:tcW w:w="1134" w:type="dxa"/>
            <w:tcBorders>
              <w:top w:val="nil"/>
              <w:left w:val="nil"/>
              <w:bottom w:val="nil"/>
              <w:right w:val="nil"/>
            </w:tcBorders>
            <w:shd w:val="clear" w:color="auto" w:fill="FFFFFF" w:themeFill="background1"/>
            <w:noWrap/>
            <w:vAlign w:val="center"/>
            <w:hideMark/>
          </w:tcPr>
          <w:p w14:paraId="542243D8" w14:textId="1C22EB81"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48,400</w:t>
            </w:r>
          </w:p>
        </w:tc>
        <w:tc>
          <w:tcPr>
            <w:tcW w:w="113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191A63C" w14:textId="6F1A9522"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66</w:t>
            </w:r>
          </w:p>
        </w:tc>
        <w:tc>
          <w:tcPr>
            <w:tcW w:w="1134" w:type="dxa"/>
            <w:tcBorders>
              <w:top w:val="nil"/>
              <w:left w:val="nil"/>
              <w:bottom w:val="nil"/>
              <w:right w:val="nil"/>
            </w:tcBorders>
            <w:shd w:val="clear" w:color="auto" w:fill="FFFFFF" w:themeFill="background1"/>
            <w:vAlign w:val="center"/>
          </w:tcPr>
          <w:p w14:paraId="36EC8FAD" w14:textId="202DE6DD"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10,000</w:t>
            </w:r>
          </w:p>
        </w:tc>
        <w:tc>
          <w:tcPr>
            <w:tcW w:w="1095" w:type="dxa"/>
            <w:tcBorders>
              <w:top w:val="nil"/>
              <w:left w:val="nil"/>
              <w:bottom w:val="nil"/>
              <w:right w:val="nil"/>
            </w:tcBorders>
            <w:shd w:val="clear" w:color="auto" w:fill="FFFFFF" w:themeFill="background1"/>
            <w:noWrap/>
            <w:vAlign w:val="center"/>
            <w:hideMark/>
          </w:tcPr>
          <w:p w14:paraId="0BA333CD" w14:textId="613E87CC" w:rsidR="00761560" w:rsidRPr="00BB2D6B" w:rsidRDefault="00761560"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58,600</w:t>
            </w:r>
          </w:p>
        </w:tc>
        <w:tc>
          <w:tcPr>
            <w:tcW w:w="1236"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F06F773" w14:textId="2DDAD16E"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80</w:t>
            </w:r>
          </w:p>
        </w:tc>
        <w:tc>
          <w:tcPr>
            <w:tcW w:w="890"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194F9E31" w14:textId="4A08759A"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63</w:t>
            </w:r>
          </w:p>
        </w:tc>
      </w:tr>
      <w:tr w:rsidR="00761560" w14:paraId="5CD5ACE3" w14:textId="77777777" w:rsidTr="004C0DDC">
        <w:trPr>
          <w:trHeight w:val="20"/>
        </w:trPr>
        <w:tc>
          <w:tcPr>
            <w:tcW w:w="2694" w:type="dxa"/>
            <w:tcBorders>
              <w:top w:val="nil"/>
              <w:bottom w:val="nil"/>
              <w:right w:val="single" w:sz="4" w:space="0" w:color="auto"/>
            </w:tcBorders>
            <w:shd w:val="clear" w:color="auto" w:fill="FFFFFF" w:themeFill="background1"/>
            <w:noWrap/>
            <w:vAlign w:val="center"/>
            <w:hideMark/>
          </w:tcPr>
          <w:p w14:paraId="77499E82"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West Victoria</w:t>
            </w:r>
          </w:p>
        </w:tc>
        <w:tc>
          <w:tcPr>
            <w:tcW w:w="850" w:type="dxa"/>
            <w:tcBorders>
              <w:top w:val="nil"/>
              <w:left w:val="nil"/>
              <w:bottom w:val="nil"/>
              <w:right w:val="nil"/>
            </w:tcBorders>
            <w:shd w:val="clear" w:color="auto" w:fill="FFFFFF" w:themeFill="background1"/>
            <w:noWrap/>
            <w:vAlign w:val="center"/>
            <w:hideMark/>
          </w:tcPr>
          <w:p w14:paraId="5E52E639"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123,462</w:t>
            </w:r>
          </w:p>
        </w:tc>
        <w:tc>
          <w:tcPr>
            <w:tcW w:w="851" w:type="dxa"/>
            <w:tcBorders>
              <w:top w:val="nil"/>
              <w:left w:val="nil"/>
              <w:bottom w:val="nil"/>
              <w:right w:val="nil"/>
            </w:tcBorders>
            <w:shd w:val="clear" w:color="auto" w:fill="FFFFFF" w:themeFill="background1"/>
            <w:noWrap/>
            <w:vAlign w:val="center"/>
            <w:hideMark/>
          </w:tcPr>
          <w:p w14:paraId="2D57026F"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110,355</w:t>
            </w:r>
          </w:p>
        </w:tc>
        <w:tc>
          <w:tcPr>
            <w:tcW w:w="992"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7E051B1C"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89</w:t>
            </w:r>
          </w:p>
        </w:tc>
        <w:tc>
          <w:tcPr>
            <w:tcW w:w="992" w:type="dxa"/>
            <w:tcBorders>
              <w:top w:val="nil"/>
              <w:left w:val="nil"/>
              <w:bottom w:val="nil"/>
              <w:right w:val="single" w:sz="4" w:space="0" w:color="auto"/>
            </w:tcBorders>
            <w:shd w:val="clear" w:color="auto" w:fill="FFFFFF" w:themeFill="background1"/>
            <w:noWrap/>
            <w:vAlign w:val="center"/>
            <w:hideMark/>
          </w:tcPr>
          <w:p w14:paraId="24EE099E" w14:textId="793C663A"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107,300</w:t>
            </w:r>
          </w:p>
        </w:tc>
        <w:tc>
          <w:tcPr>
            <w:tcW w:w="992" w:type="dxa"/>
            <w:tcBorders>
              <w:top w:val="nil"/>
              <w:left w:val="nil"/>
              <w:bottom w:val="nil"/>
              <w:right w:val="nil"/>
            </w:tcBorders>
            <w:shd w:val="clear" w:color="auto" w:fill="FFFFFF" w:themeFill="background1"/>
            <w:noWrap/>
            <w:vAlign w:val="center"/>
            <w:hideMark/>
          </w:tcPr>
          <w:p w14:paraId="5AF3C365" w14:textId="0C1E106C"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-16,162</w:t>
            </w:r>
          </w:p>
        </w:tc>
        <w:tc>
          <w:tcPr>
            <w:tcW w:w="993"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549BE117" w14:textId="6703BA9A"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-13</w:t>
            </w:r>
          </w:p>
        </w:tc>
        <w:tc>
          <w:tcPr>
            <w:tcW w:w="1134" w:type="dxa"/>
            <w:tcBorders>
              <w:top w:val="nil"/>
              <w:left w:val="nil"/>
              <w:bottom w:val="nil"/>
              <w:right w:val="nil"/>
            </w:tcBorders>
            <w:shd w:val="clear" w:color="auto" w:fill="FFFFFF" w:themeFill="background1"/>
            <w:noWrap/>
            <w:vAlign w:val="center"/>
            <w:hideMark/>
          </w:tcPr>
          <w:p w14:paraId="7B1722AB" w14:textId="372EB677"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93,500</w:t>
            </w:r>
          </w:p>
        </w:tc>
        <w:tc>
          <w:tcPr>
            <w:tcW w:w="113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199E8DE" w14:textId="1B90905B"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87</w:t>
            </w:r>
          </w:p>
        </w:tc>
        <w:tc>
          <w:tcPr>
            <w:tcW w:w="1134" w:type="dxa"/>
            <w:tcBorders>
              <w:top w:val="nil"/>
              <w:left w:val="nil"/>
              <w:bottom w:val="nil"/>
              <w:right w:val="nil"/>
            </w:tcBorders>
            <w:shd w:val="clear" w:color="auto" w:fill="FFFFFF" w:themeFill="background1"/>
            <w:vAlign w:val="center"/>
          </w:tcPr>
          <w:p w14:paraId="2E60D896" w14:textId="1BFE805B"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0</w:t>
            </w:r>
          </w:p>
        </w:tc>
        <w:tc>
          <w:tcPr>
            <w:tcW w:w="1095" w:type="dxa"/>
            <w:tcBorders>
              <w:top w:val="nil"/>
              <w:left w:val="nil"/>
              <w:bottom w:val="nil"/>
              <w:right w:val="nil"/>
            </w:tcBorders>
            <w:shd w:val="clear" w:color="auto" w:fill="FFFFFF" w:themeFill="background1"/>
            <w:noWrap/>
            <w:vAlign w:val="center"/>
            <w:hideMark/>
          </w:tcPr>
          <w:p w14:paraId="4887521B" w14:textId="2C50AF46" w:rsidR="00761560" w:rsidRPr="00BB2D6B" w:rsidRDefault="00761560"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93,500</w:t>
            </w:r>
          </w:p>
        </w:tc>
        <w:tc>
          <w:tcPr>
            <w:tcW w:w="1236"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A65BE43" w14:textId="1BE25885"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87</w:t>
            </w:r>
          </w:p>
        </w:tc>
        <w:tc>
          <w:tcPr>
            <w:tcW w:w="890" w:type="dxa"/>
            <w:tcBorders>
              <w:top w:val="nil"/>
              <w:left w:val="nil"/>
              <w:bottom w:val="nil"/>
            </w:tcBorders>
            <w:shd w:val="clear" w:color="auto" w:fill="FFFFFF" w:themeFill="background1"/>
            <w:noWrap/>
            <w:tcMar>
              <w:top w:w="0" w:type="dxa"/>
              <w:left w:w="0" w:type="dxa"/>
              <w:bottom w:w="0" w:type="dxa"/>
              <w:right w:w="180" w:type="dxa"/>
            </w:tcMar>
            <w:vAlign w:val="center"/>
            <w:hideMark/>
          </w:tcPr>
          <w:p w14:paraId="7C40CBC1" w14:textId="75615500"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116</w:t>
            </w:r>
          </w:p>
        </w:tc>
      </w:tr>
      <w:tr w:rsidR="00761560" w14:paraId="72455CAB" w14:textId="77777777" w:rsidTr="004C0DDC">
        <w:trPr>
          <w:trHeight w:val="20"/>
        </w:trPr>
        <w:tc>
          <w:tcPr>
            <w:tcW w:w="2694" w:type="dxa"/>
            <w:tcBorders>
              <w:top w:val="nil"/>
              <w:bottom w:val="single" w:sz="4" w:space="0" w:color="auto"/>
              <w:right w:val="single" w:sz="4" w:space="0" w:color="auto"/>
            </w:tcBorders>
            <w:shd w:val="clear" w:color="auto" w:fill="FFFFFF" w:themeFill="background1"/>
            <w:noWrap/>
            <w:vAlign w:val="center"/>
            <w:hideMark/>
          </w:tcPr>
          <w:p w14:paraId="0C567163" w14:textId="77777777" w:rsidR="00761560" w:rsidRPr="00BB2D6B" w:rsidRDefault="00761560" w:rsidP="00CB0E93">
            <w:pPr>
              <w:spacing w:before="0" w:after="0"/>
              <w:ind w:left="57" w:right="57"/>
              <w:rPr>
                <w:rFonts w:asciiTheme="majorHAnsi" w:hAnsiTheme="majorHAnsi" w:cs="Arial"/>
                <w:b/>
                <w:bCs/>
                <w:sz w:val="16"/>
                <w:szCs w:val="16"/>
              </w:rPr>
            </w:pPr>
            <w:r w:rsidRPr="00BB2D6B">
              <w:rPr>
                <w:rFonts w:asciiTheme="majorHAnsi" w:hAnsiTheme="majorHAnsi" w:cs="Arial"/>
                <w:b/>
                <w:bCs/>
                <w:sz w:val="16"/>
                <w:szCs w:val="16"/>
              </w:rPr>
              <w:t>Total Victorian RFA regions</w:t>
            </w:r>
          </w:p>
        </w:tc>
        <w:tc>
          <w:tcPr>
            <w:tcW w:w="850" w:type="dxa"/>
            <w:tcBorders>
              <w:top w:val="nil"/>
              <w:left w:val="nil"/>
              <w:bottom w:val="single" w:sz="4" w:space="0" w:color="auto"/>
              <w:right w:val="nil"/>
            </w:tcBorders>
            <w:shd w:val="clear" w:color="auto" w:fill="FFFFFF" w:themeFill="background1"/>
            <w:noWrap/>
            <w:vAlign w:val="center"/>
            <w:hideMark/>
          </w:tcPr>
          <w:p w14:paraId="6B488C2C"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841,813</w:t>
            </w:r>
          </w:p>
        </w:tc>
        <w:tc>
          <w:tcPr>
            <w:tcW w:w="851" w:type="dxa"/>
            <w:tcBorders>
              <w:top w:val="nil"/>
              <w:left w:val="nil"/>
              <w:bottom w:val="single" w:sz="4" w:space="0" w:color="auto"/>
              <w:right w:val="nil"/>
            </w:tcBorders>
            <w:shd w:val="clear" w:color="auto" w:fill="FFFFFF" w:themeFill="background1"/>
            <w:noWrap/>
            <w:vAlign w:val="center"/>
            <w:hideMark/>
          </w:tcPr>
          <w:p w14:paraId="59367070"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571,701</w:t>
            </w:r>
          </w:p>
        </w:tc>
        <w:tc>
          <w:tcPr>
            <w:tcW w:w="992"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18846DA7"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B6F67E7" w14:textId="4DC39096"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405,200</w:t>
            </w:r>
          </w:p>
        </w:tc>
        <w:tc>
          <w:tcPr>
            <w:tcW w:w="992" w:type="dxa"/>
            <w:tcBorders>
              <w:top w:val="nil"/>
              <w:left w:val="nil"/>
              <w:bottom w:val="single" w:sz="4" w:space="0" w:color="auto"/>
              <w:right w:val="nil"/>
            </w:tcBorders>
            <w:shd w:val="clear" w:color="auto" w:fill="FFFFFF" w:themeFill="background1"/>
            <w:noWrap/>
            <w:vAlign w:val="center"/>
            <w:hideMark/>
          </w:tcPr>
          <w:p w14:paraId="6BF1C04A" w14:textId="134099B4"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-436,613</w:t>
            </w:r>
          </w:p>
        </w:tc>
        <w:tc>
          <w:tcPr>
            <w:tcW w:w="993"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346AB9A4" w14:textId="530BC4F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-52</w:t>
            </w:r>
          </w:p>
        </w:tc>
        <w:tc>
          <w:tcPr>
            <w:tcW w:w="1134" w:type="dxa"/>
            <w:tcBorders>
              <w:top w:val="nil"/>
              <w:left w:val="nil"/>
              <w:bottom w:val="single" w:sz="4" w:space="0" w:color="auto"/>
              <w:right w:val="nil"/>
            </w:tcBorders>
            <w:shd w:val="clear" w:color="auto" w:fill="FFFFFF" w:themeFill="background1"/>
            <w:noWrap/>
            <w:vAlign w:val="center"/>
            <w:hideMark/>
          </w:tcPr>
          <w:p w14:paraId="7D608BA3" w14:textId="035DBB72"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284,000</w:t>
            </w:r>
          </w:p>
        </w:tc>
        <w:tc>
          <w:tcPr>
            <w:tcW w:w="1134"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7BD9DBDB" w14:textId="3FE3FA25"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70</w:t>
            </w:r>
          </w:p>
        </w:tc>
        <w:tc>
          <w:tcPr>
            <w:tcW w:w="1134" w:type="dxa"/>
            <w:tcBorders>
              <w:top w:val="nil"/>
              <w:left w:val="nil"/>
              <w:bottom w:val="single" w:sz="4" w:space="0" w:color="auto"/>
              <w:right w:val="nil"/>
            </w:tcBorders>
            <w:shd w:val="clear" w:color="auto" w:fill="FFFFFF" w:themeFill="background1"/>
            <w:vAlign w:val="center"/>
          </w:tcPr>
          <w:p w14:paraId="4672CFDA" w14:textId="0D8EF542"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45,600</w:t>
            </w:r>
          </w:p>
        </w:tc>
        <w:tc>
          <w:tcPr>
            <w:tcW w:w="1095" w:type="dxa"/>
            <w:tcBorders>
              <w:top w:val="nil"/>
              <w:left w:val="nil"/>
              <w:bottom w:val="single" w:sz="4" w:space="0" w:color="auto"/>
              <w:right w:val="nil"/>
            </w:tcBorders>
            <w:shd w:val="clear" w:color="auto" w:fill="FFFFFF" w:themeFill="background1"/>
            <w:noWrap/>
            <w:vAlign w:val="center"/>
            <w:hideMark/>
          </w:tcPr>
          <w:p w14:paraId="6FD45345" w14:textId="5461C942" w:rsidR="00761560" w:rsidRPr="00BB2D6B" w:rsidRDefault="00761560"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329,600</w:t>
            </w:r>
          </w:p>
        </w:tc>
        <w:tc>
          <w:tcPr>
            <w:tcW w:w="1236"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3F8B81DE" w14:textId="1C32F6D9"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81</w:t>
            </w:r>
          </w:p>
        </w:tc>
        <w:tc>
          <w:tcPr>
            <w:tcW w:w="890" w:type="dxa"/>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6601E89B" w14:textId="0000F4A8"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167</w:t>
            </w:r>
          </w:p>
        </w:tc>
      </w:tr>
      <w:tr w:rsidR="00761560" w14:paraId="4598DA05" w14:textId="77777777" w:rsidTr="004C0DDC">
        <w:trPr>
          <w:trHeight w:val="170"/>
        </w:trPr>
        <w:tc>
          <w:tcPr>
            <w:tcW w:w="14987" w:type="dxa"/>
            <w:gridSpan w:val="13"/>
            <w:tcBorders>
              <w:top w:val="single" w:sz="4" w:space="0" w:color="auto"/>
              <w:bottom w:val="single" w:sz="4" w:space="0" w:color="auto"/>
            </w:tcBorders>
            <w:shd w:val="clear" w:color="auto" w:fill="auto"/>
            <w:vAlign w:val="center"/>
          </w:tcPr>
          <w:p w14:paraId="6A010E92" w14:textId="3D9CC718" w:rsidR="00761560" w:rsidRPr="00BB2D6B" w:rsidRDefault="00761560" w:rsidP="00CB0E93">
            <w:pPr>
              <w:spacing w:before="0" w:after="0"/>
              <w:ind w:left="57" w:right="57"/>
              <w:rPr>
                <w:rFonts w:asciiTheme="majorHAnsi" w:hAnsiTheme="majorHAnsi" w:cs="Arial"/>
                <w:b/>
                <w:bCs/>
                <w:sz w:val="16"/>
                <w:szCs w:val="16"/>
              </w:rPr>
            </w:pPr>
            <w:r w:rsidRPr="00BB2D6B">
              <w:rPr>
                <w:rFonts w:asciiTheme="majorHAnsi" w:hAnsiTheme="majorHAnsi" w:cs="Arial"/>
                <w:b/>
                <w:bCs/>
                <w:sz w:val="16"/>
                <w:szCs w:val="16"/>
              </w:rPr>
              <w:t>Western Australia</w:t>
            </w:r>
          </w:p>
        </w:tc>
      </w:tr>
      <w:tr w:rsidR="00761560" w14:paraId="3D7A2CCE" w14:textId="77777777" w:rsidTr="004C0DDC">
        <w:trPr>
          <w:trHeight w:val="20"/>
        </w:trPr>
        <w:tc>
          <w:tcPr>
            <w:tcW w:w="2694" w:type="dxa"/>
            <w:tcBorders>
              <w:top w:val="nil"/>
              <w:bottom w:val="single" w:sz="4" w:space="0" w:color="auto"/>
              <w:right w:val="single" w:sz="4" w:space="0" w:color="auto"/>
            </w:tcBorders>
            <w:shd w:val="clear" w:color="auto" w:fill="FFFFFF" w:themeFill="background1"/>
            <w:noWrap/>
            <w:vAlign w:val="center"/>
            <w:hideMark/>
          </w:tcPr>
          <w:p w14:paraId="13F0C9A3" w14:textId="77777777" w:rsidR="00761560" w:rsidRPr="00BB2D6B" w:rsidRDefault="00761560" w:rsidP="00CB0E93">
            <w:pPr>
              <w:spacing w:before="0" w:after="0"/>
              <w:ind w:left="57" w:right="57"/>
              <w:rPr>
                <w:rFonts w:asciiTheme="majorHAnsi" w:hAnsiTheme="majorHAnsi" w:cs="Arial"/>
                <w:bCs/>
                <w:sz w:val="16"/>
                <w:szCs w:val="16"/>
              </w:rPr>
            </w:pPr>
            <w:r w:rsidRPr="00BB2D6B">
              <w:rPr>
                <w:rFonts w:asciiTheme="majorHAnsi" w:hAnsiTheme="majorHAnsi" w:cs="Arial"/>
                <w:bCs/>
                <w:sz w:val="16"/>
                <w:szCs w:val="16"/>
              </w:rPr>
              <w:t>South-West Forest Region of WA</w:t>
            </w:r>
          </w:p>
        </w:tc>
        <w:tc>
          <w:tcPr>
            <w:tcW w:w="850" w:type="dxa"/>
            <w:tcBorders>
              <w:top w:val="nil"/>
              <w:left w:val="nil"/>
              <w:bottom w:val="single" w:sz="4" w:space="0" w:color="auto"/>
              <w:right w:val="nil"/>
            </w:tcBorders>
            <w:shd w:val="clear" w:color="auto" w:fill="FFFFFF" w:themeFill="background1"/>
            <w:noWrap/>
            <w:vAlign w:val="center"/>
            <w:hideMark/>
          </w:tcPr>
          <w:p w14:paraId="17742133"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346,361</w:t>
            </w:r>
          </w:p>
        </w:tc>
        <w:tc>
          <w:tcPr>
            <w:tcW w:w="851" w:type="dxa"/>
            <w:tcBorders>
              <w:top w:val="nil"/>
              <w:left w:val="nil"/>
              <w:bottom w:val="single" w:sz="4" w:space="0" w:color="auto"/>
              <w:right w:val="nil"/>
            </w:tcBorders>
            <w:shd w:val="clear" w:color="auto" w:fill="FFFFFF" w:themeFill="background1"/>
            <w:noWrap/>
            <w:vAlign w:val="center"/>
            <w:hideMark/>
          </w:tcPr>
          <w:p w14:paraId="5D2A50BB"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232,825</w:t>
            </w:r>
          </w:p>
        </w:tc>
        <w:tc>
          <w:tcPr>
            <w:tcW w:w="992"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3B680068"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E473E5"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335,557</w:t>
            </w:r>
          </w:p>
        </w:tc>
        <w:tc>
          <w:tcPr>
            <w:tcW w:w="992" w:type="dxa"/>
            <w:tcBorders>
              <w:top w:val="nil"/>
              <w:left w:val="nil"/>
              <w:bottom w:val="single" w:sz="4" w:space="0" w:color="auto"/>
              <w:right w:val="nil"/>
            </w:tcBorders>
            <w:shd w:val="clear" w:color="auto" w:fill="FFFFFF" w:themeFill="background1"/>
            <w:noWrap/>
            <w:vAlign w:val="center"/>
            <w:hideMark/>
          </w:tcPr>
          <w:p w14:paraId="1A3ED111" w14:textId="77777777"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-10,804</w:t>
            </w:r>
          </w:p>
        </w:tc>
        <w:tc>
          <w:tcPr>
            <w:tcW w:w="993"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76E7277A"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-3</w:t>
            </w:r>
          </w:p>
        </w:tc>
        <w:tc>
          <w:tcPr>
            <w:tcW w:w="1134" w:type="dxa"/>
            <w:tcBorders>
              <w:top w:val="nil"/>
              <w:left w:val="nil"/>
              <w:bottom w:val="single" w:sz="4" w:space="0" w:color="auto"/>
              <w:right w:val="nil"/>
            </w:tcBorders>
            <w:shd w:val="clear" w:color="auto" w:fill="FFFFFF" w:themeFill="background1"/>
            <w:noWrap/>
            <w:vAlign w:val="center"/>
            <w:hideMark/>
          </w:tcPr>
          <w:p w14:paraId="1CE27D44" w14:textId="77777777"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315,030</w:t>
            </w:r>
          </w:p>
        </w:tc>
        <w:tc>
          <w:tcPr>
            <w:tcW w:w="1134"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37EC5C9D" w14:textId="77777777" w:rsidR="00761560" w:rsidRPr="00BB2D6B" w:rsidRDefault="00761560" w:rsidP="0096058D">
            <w:pPr>
              <w:spacing w:before="0" w:after="0"/>
              <w:ind w:left="57" w:right="99" w:firstLineChars="100" w:firstLine="160"/>
              <w:jc w:val="right"/>
              <w:rPr>
                <w:rFonts w:asciiTheme="majorHAnsi" w:hAnsiTheme="majorHAnsi" w:cs="Arial"/>
                <w:sz w:val="16"/>
                <w:szCs w:val="16"/>
              </w:rPr>
            </w:pPr>
            <w:r w:rsidRPr="00BB2D6B">
              <w:rPr>
                <w:rFonts w:asciiTheme="majorHAnsi" w:hAnsiTheme="majorHAnsi" w:cs="Arial"/>
                <w:sz w:val="16"/>
                <w:szCs w:val="16"/>
              </w:rPr>
              <w:t>94</w:t>
            </w:r>
          </w:p>
        </w:tc>
        <w:tc>
          <w:tcPr>
            <w:tcW w:w="1134" w:type="dxa"/>
            <w:tcBorders>
              <w:top w:val="nil"/>
              <w:left w:val="nil"/>
              <w:bottom w:val="single" w:sz="4" w:space="0" w:color="auto"/>
              <w:right w:val="nil"/>
            </w:tcBorders>
            <w:shd w:val="clear" w:color="auto" w:fill="FFFFFF" w:themeFill="background1"/>
            <w:vAlign w:val="center"/>
          </w:tcPr>
          <w:p w14:paraId="2C59D489" w14:textId="4063A26B"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19,686</w:t>
            </w:r>
          </w:p>
        </w:tc>
        <w:tc>
          <w:tcPr>
            <w:tcW w:w="1095" w:type="dxa"/>
            <w:tcBorders>
              <w:top w:val="nil"/>
              <w:left w:val="nil"/>
              <w:bottom w:val="single" w:sz="4" w:space="0" w:color="auto"/>
              <w:right w:val="nil"/>
            </w:tcBorders>
            <w:shd w:val="clear" w:color="auto" w:fill="FFFFFF" w:themeFill="background1"/>
            <w:noWrap/>
            <w:vAlign w:val="center"/>
            <w:hideMark/>
          </w:tcPr>
          <w:p w14:paraId="01A9D4BF" w14:textId="7ABFD4F6" w:rsidR="00761560" w:rsidRPr="00BB2D6B" w:rsidRDefault="00761560"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334,719</w:t>
            </w:r>
          </w:p>
        </w:tc>
        <w:tc>
          <w:tcPr>
            <w:tcW w:w="1236"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6B535177"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100</w:t>
            </w:r>
          </w:p>
        </w:tc>
        <w:tc>
          <w:tcPr>
            <w:tcW w:w="890" w:type="dxa"/>
            <w:tcBorders>
              <w:top w:val="nil"/>
              <w:left w:val="nil"/>
              <w:bottom w:val="single" w:sz="4" w:space="0" w:color="auto"/>
            </w:tcBorders>
            <w:shd w:val="clear" w:color="auto" w:fill="FFFFFF" w:themeFill="background1"/>
            <w:noWrap/>
            <w:tcMar>
              <w:top w:w="0" w:type="dxa"/>
              <w:left w:w="0" w:type="dxa"/>
              <w:bottom w:w="0" w:type="dxa"/>
              <w:right w:w="180" w:type="dxa"/>
            </w:tcMar>
            <w:vAlign w:val="center"/>
            <w:hideMark/>
          </w:tcPr>
          <w:p w14:paraId="76693744"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21</w:t>
            </w:r>
          </w:p>
        </w:tc>
      </w:tr>
      <w:tr w:rsidR="00761560" w14:paraId="42932497" w14:textId="77777777" w:rsidTr="004C0DDC">
        <w:trPr>
          <w:trHeight w:val="170"/>
        </w:trPr>
        <w:tc>
          <w:tcPr>
            <w:tcW w:w="14987" w:type="dxa"/>
            <w:gridSpan w:val="13"/>
            <w:tcBorders>
              <w:top w:val="single" w:sz="4" w:space="0" w:color="auto"/>
              <w:bottom w:val="nil"/>
              <w:right w:val="nil"/>
            </w:tcBorders>
            <w:shd w:val="clear" w:color="auto" w:fill="auto"/>
            <w:vAlign w:val="center"/>
          </w:tcPr>
          <w:p w14:paraId="1315B37B" w14:textId="0D3B464B" w:rsidR="00761560" w:rsidRPr="00BB2D6B" w:rsidRDefault="00761560" w:rsidP="00CB0E93">
            <w:pPr>
              <w:spacing w:before="0" w:after="0"/>
              <w:ind w:left="57" w:right="57"/>
              <w:rPr>
                <w:rFonts w:asciiTheme="majorHAnsi" w:hAnsiTheme="majorHAnsi" w:cs="Arial"/>
                <w:b/>
                <w:bCs/>
                <w:sz w:val="16"/>
                <w:szCs w:val="16"/>
              </w:rPr>
            </w:pPr>
            <w:r w:rsidRPr="00BB2D6B">
              <w:rPr>
                <w:rFonts w:asciiTheme="majorHAnsi" w:hAnsiTheme="majorHAnsi" w:cs="Arial"/>
                <w:b/>
                <w:bCs/>
                <w:sz w:val="16"/>
                <w:szCs w:val="16"/>
              </w:rPr>
              <w:t>Total</w:t>
            </w:r>
          </w:p>
        </w:tc>
      </w:tr>
      <w:tr w:rsidR="00761560" w14:paraId="17397390" w14:textId="77777777" w:rsidTr="004C0DDC">
        <w:trPr>
          <w:trHeight w:val="20"/>
        </w:trPr>
        <w:tc>
          <w:tcPr>
            <w:tcW w:w="2694" w:type="dxa"/>
            <w:tcBorders>
              <w:top w:val="single" w:sz="4" w:space="0" w:color="auto"/>
              <w:bottom w:val="single" w:sz="4" w:space="0" w:color="auto"/>
              <w:right w:val="single" w:sz="4" w:space="0" w:color="auto"/>
            </w:tcBorders>
            <w:shd w:val="clear" w:color="auto" w:fill="FFFFFF" w:themeFill="background1"/>
            <w:noWrap/>
            <w:vAlign w:val="center"/>
            <w:hideMark/>
          </w:tcPr>
          <w:p w14:paraId="21EF8375" w14:textId="77777777" w:rsidR="00761560" w:rsidRPr="00BB2D6B" w:rsidRDefault="00761560" w:rsidP="00CB0E93">
            <w:pPr>
              <w:spacing w:before="0" w:after="0"/>
              <w:ind w:left="57" w:right="57"/>
              <w:rPr>
                <w:rFonts w:asciiTheme="majorHAnsi" w:hAnsiTheme="majorHAnsi" w:cs="Arial"/>
                <w:b/>
                <w:bCs/>
                <w:sz w:val="16"/>
                <w:szCs w:val="16"/>
              </w:rPr>
            </w:pPr>
            <w:r w:rsidRPr="00BB2D6B">
              <w:rPr>
                <w:rFonts w:asciiTheme="majorHAnsi" w:hAnsiTheme="majorHAnsi" w:cs="Arial"/>
                <w:b/>
                <w:bCs/>
                <w:sz w:val="16"/>
                <w:szCs w:val="16"/>
              </w:rPr>
              <w:t>Total all RFA regions</w:t>
            </w:r>
          </w:p>
        </w:tc>
        <w:tc>
          <w:tcPr>
            <w:tcW w:w="850" w:type="dxa"/>
            <w:tcBorders>
              <w:top w:val="single" w:sz="4" w:space="0" w:color="auto"/>
              <w:left w:val="nil"/>
              <w:bottom w:val="single" w:sz="4" w:space="0" w:color="auto"/>
              <w:right w:val="nil"/>
            </w:tcBorders>
            <w:shd w:val="clear" w:color="auto" w:fill="FFFFFF" w:themeFill="background1"/>
            <w:noWrap/>
            <w:vAlign w:val="center"/>
            <w:hideMark/>
          </w:tcPr>
          <w:p w14:paraId="7C92E7BB"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4,970,934</w:t>
            </w:r>
          </w:p>
        </w:tc>
        <w:tc>
          <w:tcPr>
            <w:tcW w:w="851" w:type="dxa"/>
            <w:tcBorders>
              <w:top w:val="single" w:sz="4" w:space="0" w:color="auto"/>
              <w:left w:val="nil"/>
              <w:bottom w:val="single" w:sz="4" w:space="0" w:color="auto"/>
              <w:right w:val="nil"/>
            </w:tcBorders>
            <w:shd w:val="clear" w:color="auto" w:fill="FFFFFF" w:themeFill="background1"/>
            <w:noWrap/>
            <w:vAlign w:val="center"/>
            <w:hideMark/>
          </w:tcPr>
          <w:p w14:paraId="2AD0F509" w14:textId="77777777"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3,395,563</w:t>
            </w:r>
          </w:p>
        </w:tc>
        <w:tc>
          <w:tcPr>
            <w:tcW w:w="992" w:type="dxa"/>
            <w:tcBorders>
              <w:top w:val="single" w:sz="4" w:space="0" w:color="auto"/>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2D5516BD" w14:textId="77777777"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68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561A8A" w14:textId="2A6FB122" w:rsidR="00761560" w:rsidRPr="00BB2D6B" w:rsidRDefault="00761560" w:rsidP="00CB0E93">
            <w:pPr>
              <w:spacing w:before="0" w:after="0"/>
              <w:ind w:left="57" w:right="57"/>
              <w:jc w:val="right"/>
              <w:rPr>
                <w:rFonts w:asciiTheme="majorHAnsi" w:hAnsiTheme="majorHAnsi" w:cs="Arial"/>
                <w:sz w:val="16"/>
                <w:szCs w:val="16"/>
              </w:rPr>
            </w:pPr>
            <w:r w:rsidRPr="00BB2D6B">
              <w:rPr>
                <w:rFonts w:asciiTheme="majorHAnsi" w:hAnsiTheme="majorHAnsi" w:cs="Arial"/>
                <w:sz w:val="16"/>
                <w:szCs w:val="16"/>
              </w:rPr>
              <w:t>4,483,117</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6644FDB7" w14:textId="6E014DB5"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-487,817</w:t>
            </w:r>
          </w:p>
        </w:tc>
        <w:tc>
          <w:tcPr>
            <w:tcW w:w="993" w:type="dxa"/>
            <w:tcBorders>
              <w:top w:val="single" w:sz="4" w:space="0" w:color="auto"/>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7FC650A9" w14:textId="32EA3B73"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-9</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761154E8" w14:textId="54324669" w:rsidR="00761560" w:rsidRPr="00BB2D6B" w:rsidRDefault="00761560" w:rsidP="0096058D">
            <w:pPr>
              <w:spacing w:before="0" w:after="0"/>
              <w:ind w:left="57" w:right="113"/>
              <w:jc w:val="right"/>
              <w:rPr>
                <w:rFonts w:asciiTheme="majorHAnsi" w:hAnsiTheme="majorHAnsi" w:cs="Arial"/>
                <w:sz w:val="16"/>
                <w:szCs w:val="16"/>
              </w:rPr>
            </w:pPr>
            <w:r w:rsidRPr="00BB2D6B">
              <w:rPr>
                <w:rFonts w:asciiTheme="majorHAnsi" w:hAnsiTheme="majorHAnsi" w:cs="Arial"/>
                <w:sz w:val="16"/>
                <w:szCs w:val="16"/>
              </w:rPr>
              <w:t>3,396,030</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11F34FAE" w14:textId="61943EAF" w:rsidR="00761560" w:rsidRPr="00BB2D6B" w:rsidRDefault="00761560" w:rsidP="0096058D">
            <w:pPr>
              <w:spacing w:before="0" w:after="0"/>
              <w:ind w:left="57" w:right="-38" w:firstLineChars="100" w:firstLine="160"/>
              <w:jc w:val="right"/>
              <w:rPr>
                <w:rFonts w:asciiTheme="majorHAnsi" w:hAnsiTheme="majorHAnsi" w:cs="Arial"/>
                <w:sz w:val="16"/>
                <w:szCs w:val="16"/>
              </w:rPr>
            </w:pPr>
            <w:r w:rsidRPr="00BB2D6B">
              <w:rPr>
                <w:rFonts w:asciiTheme="majorHAnsi" w:hAnsiTheme="majorHAnsi" w:cs="Arial"/>
                <w:sz w:val="16"/>
                <w:szCs w:val="16"/>
              </w:rPr>
              <w:t>79</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d</w:t>
            </w:r>
          </w:p>
        </w:tc>
        <w:tc>
          <w:tcPr>
            <w:tcW w:w="1134" w:type="dxa"/>
            <w:tcBorders>
              <w:top w:val="single" w:sz="4" w:space="0" w:color="auto"/>
              <w:left w:val="nil"/>
              <w:bottom w:val="single" w:sz="4" w:space="0" w:color="auto"/>
              <w:right w:val="nil"/>
            </w:tcBorders>
            <w:shd w:val="clear" w:color="auto" w:fill="FFFFFF" w:themeFill="background1"/>
            <w:vAlign w:val="center"/>
          </w:tcPr>
          <w:p w14:paraId="2CB122E4" w14:textId="495ABA9D" w:rsidR="00761560" w:rsidRPr="00BB2D6B" w:rsidRDefault="00761560" w:rsidP="00CB0E93">
            <w:pPr>
              <w:spacing w:before="0" w:after="0"/>
              <w:ind w:left="57" w:right="12"/>
              <w:jc w:val="right"/>
              <w:rPr>
                <w:rFonts w:asciiTheme="majorHAnsi" w:hAnsiTheme="majorHAnsi" w:cs="Arial"/>
                <w:sz w:val="16"/>
                <w:szCs w:val="16"/>
              </w:rPr>
            </w:pPr>
            <w:r w:rsidRPr="00BB2D6B">
              <w:rPr>
                <w:rFonts w:asciiTheme="majorHAnsi" w:hAnsiTheme="majorHAnsi" w:cs="Arial"/>
                <w:sz w:val="16"/>
                <w:szCs w:val="16"/>
              </w:rPr>
              <w:t>175,286</w:t>
            </w:r>
          </w:p>
        </w:tc>
        <w:tc>
          <w:tcPr>
            <w:tcW w:w="1095" w:type="dxa"/>
            <w:tcBorders>
              <w:top w:val="single" w:sz="4" w:space="0" w:color="auto"/>
              <w:left w:val="nil"/>
              <w:bottom w:val="single" w:sz="4" w:space="0" w:color="auto"/>
              <w:right w:val="nil"/>
            </w:tcBorders>
            <w:shd w:val="clear" w:color="auto" w:fill="FFFFFF" w:themeFill="background1"/>
            <w:noWrap/>
            <w:vAlign w:val="center"/>
            <w:hideMark/>
          </w:tcPr>
          <w:p w14:paraId="3E448261" w14:textId="3AC7F23E" w:rsidR="00761560" w:rsidRPr="00BB2D6B" w:rsidRDefault="000142AA" w:rsidP="0096058D">
            <w:pPr>
              <w:spacing w:before="0" w:after="0"/>
              <w:ind w:left="57" w:right="125"/>
              <w:jc w:val="right"/>
              <w:rPr>
                <w:rFonts w:asciiTheme="majorHAnsi" w:hAnsiTheme="majorHAnsi" w:cs="Arial"/>
                <w:sz w:val="16"/>
                <w:szCs w:val="16"/>
              </w:rPr>
            </w:pPr>
            <w:r w:rsidRPr="00BB2D6B">
              <w:rPr>
                <w:rFonts w:asciiTheme="majorHAnsi" w:hAnsiTheme="majorHAnsi" w:cs="Arial"/>
                <w:sz w:val="16"/>
                <w:szCs w:val="16"/>
              </w:rPr>
              <w:t>3,588</w:t>
            </w:r>
            <w:r w:rsidR="00761560" w:rsidRPr="00BB2D6B">
              <w:rPr>
                <w:rFonts w:asciiTheme="majorHAnsi" w:hAnsiTheme="majorHAnsi" w:cs="Arial"/>
                <w:sz w:val="16"/>
                <w:szCs w:val="16"/>
              </w:rPr>
              <w:t>,319</w:t>
            </w:r>
          </w:p>
        </w:tc>
        <w:tc>
          <w:tcPr>
            <w:tcW w:w="1236" w:type="dxa"/>
            <w:tcBorders>
              <w:top w:val="single" w:sz="4" w:space="0" w:color="auto"/>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654A979B" w14:textId="2B61CA22" w:rsidR="00761560" w:rsidRPr="00BB2D6B" w:rsidRDefault="00761560" w:rsidP="0096058D">
            <w:pPr>
              <w:spacing w:before="0" w:after="0"/>
              <w:ind w:left="57" w:right="-68" w:firstLineChars="100" w:firstLine="160"/>
              <w:jc w:val="right"/>
              <w:rPr>
                <w:rFonts w:asciiTheme="majorHAnsi" w:hAnsiTheme="majorHAnsi" w:cs="Arial"/>
                <w:sz w:val="16"/>
                <w:szCs w:val="16"/>
              </w:rPr>
            </w:pPr>
            <w:r w:rsidRPr="00BB2D6B">
              <w:rPr>
                <w:rFonts w:asciiTheme="majorHAnsi" w:hAnsiTheme="majorHAnsi" w:cs="Arial"/>
                <w:sz w:val="16"/>
                <w:szCs w:val="16"/>
              </w:rPr>
              <w:t>83</w:t>
            </w:r>
            <w:r w:rsidR="00BB2D6B">
              <w:rPr>
                <w:rFonts w:asciiTheme="majorHAnsi" w:hAnsiTheme="majorHAnsi" w:cs="Arial"/>
                <w:sz w:val="16"/>
                <w:szCs w:val="16"/>
              </w:rPr>
              <w:t xml:space="preserve"> </w:t>
            </w:r>
            <w:r w:rsidRPr="00BB2D6B">
              <w:rPr>
                <w:rFonts w:asciiTheme="majorHAnsi" w:hAnsiTheme="majorHAnsi" w:cs="Arial"/>
                <w:b/>
                <w:bCs/>
                <w:position w:val="4"/>
                <w:sz w:val="16"/>
                <w:szCs w:val="16"/>
              </w:rPr>
              <w:t>d</w:t>
            </w:r>
          </w:p>
        </w:tc>
        <w:tc>
          <w:tcPr>
            <w:tcW w:w="890" w:type="dxa"/>
            <w:tcBorders>
              <w:top w:val="single" w:sz="4" w:space="0" w:color="auto"/>
              <w:left w:val="nil"/>
              <w:bottom w:val="single" w:sz="4" w:space="0" w:color="auto"/>
            </w:tcBorders>
            <w:shd w:val="clear" w:color="auto" w:fill="FFFFFF" w:themeFill="background1"/>
            <w:noWrap/>
            <w:tcMar>
              <w:top w:w="0" w:type="dxa"/>
              <w:left w:w="0" w:type="dxa"/>
              <w:bottom w:w="0" w:type="dxa"/>
              <w:right w:w="180" w:type="dxa"/>
            </w:tcMar>
            <w:vAlign w:val="center"/>
            <w:hideMark/>
          </w:tcPr>
          <w:p w14:paraId="79A70360" w14:textId="3F28ACF5" w:rsidR="00761560" w:rsidRPr="00BB2D6B" w:rsidRDefault="00761560" w:rsidP="00CB0E93">
            <w:pPr>
              <w:spacing w:before="0" w:after="0"/>
              <w:ind w:left="57" w:right="57" w:firstLineChars="100" w:firstLine="160"/>
              <w:jc w:val="right"/>
              <w:rPr>
                <w:rFonts w:asciiTheme="majorHAnsi" w:hAnsiTheme="majorHAnsi" w:cs="Arial"/>
                <w:sz w:val="16"/>
                <w:szCs w:val="16"/>
              </w:rPr>
            </w:pPr>
            <w:r w:rsidRPr="00BB2D6B">
              <w:rPr>
                <w:rFonts w:asciiTheme="majorHAnsi" w:hAnsiTheme="majorHAnsi" w:cs="Arial"/>
                <w:sz w:val="16"/>
                <w:szCs w:val="16"/>
              </w:rPr>
              <w:t>598</w:t>
            </w:r>
          </w:p>
        </w:tc>
      </w:tr>
      <w:tr w:rsidR="008556E1" w14:paraId="339A5885" w14:textId="77777777" w:rsidTr="004C0DDC">
        <w:trPr>
          <w:trHeight w:val="266"/>
        </w:trPr>
        <w:tc>
          <w:tcPr>
            <w:tcW w:w="14987" w:type="dxa"/>
            <w:gridSpan w:val="13"/>
            <w:tcBorders>
              <w:top w:val="single" w:sz="4" w:space="0" w:color="auto"/>
            </w:tcBorders>
            <w:shd w:val="clear" w:color="auto" w:fill="FFFFFF" w:themeFill="background1"/>
            <w:noWrap/>
            <w:vAlign w:val="center"/>
          </w:tcPr>
          <w:p w14:paraId="424956A3" w14:textId="110C790C" w:rsidR="008556E1" w:rsidRPr="00BB2D6B" w:rsidRDefault="008556E1" w:rsidP="008556E1">
            <w:pPr>
              <w:spacing w:before="0" w:after="0"/>
              <w:rPr>
                <w:rFonts w:ascii="Calibri" w:hAnsi="Calibri" w:cs="Arial"/>
                <w:spacing w:val="-4"/>
                <w:sz w:val="14"/>
                <w:szCs w:val="14"/>
              </w:rPr>
            </w:pPr>
            <w:r w:rsidRPr="00BB2D6B">
              <w:rPr>
                <w:rFonts w:ascii="Calibri" w:hAnsi="Calibri" w:cs="Arial"/>
                <w:spacing w:val="-4"/>
                <w:sz w:val="14"/>
                <w:szCs w:val="14"/>
              </w:rPr>
              <w:t xml:space="preserve">Source: Regional </w:t>
            </w:r>
            <w:r w:rsidR="003E2B29">
              <w:rPr>
                <w:rFonts w:ascii="Calibri" w:hAnsi="Calibri" w:cs="Arial"/>
                <w:spacing w:val="-4"/>
                <w:sz w:val="14"/>
                <w:szCs w:val="14"/>
              </w:rPr>
              <w:t>F</w:t>
            </w:r>
            <w:r w:rsidR="003E2B29" w:rsidRPr="00BB2D6B">
              <w:rPr>
                <w:rFonts w:ascii="Calibri" w:hAnsi="Calibri" w:cs="Arial"/>
                <w:spacing w:val="-4"/>
                <w:sz w:val="14"/>
                <w:szCs w:val="14"/>
              </w:rPr>
              <w:t xml:space="preserve">orest </w:t>
            </w:r>
            <w:r w:rsidR="003E2B29">
              <w:rPr>
                <w:rFonts w:ascii="Calibri" w:hAnsi="Calibri" w:cs="Arial"/>
                <w:spacing w:val="-4"/>
                <w:sz w:val="14"/>
                <w:szCs w:val="14"/>
              </w:rPr>
              <w:t>Agreements</w:t>
            </w:r>
            <w:r w:rsidRPr="00BB2D6B">
              <w:rPr>
                <w:rFonts w:ascii="Calibri" w:hAnsi="Calibri" w:cs="Arial"/>
                <w:spacing w:val="-4"/>
                <w:sz w:val="14"/>
                <w:szCs w:val="14"/>
              </w:rPr>
              <w:t xml:space="preserve">, and associated </w:t>
            </w:r>
            <w:r w:rsidRPr="00BB2D6B">
              <w:rPr>
                <w:rFonts w:ascii="Calibri" w:hAnsi="Calibri" w:cs="Arial"/>
                <w:i/>
                <w:spacing w:val="-4"/>
                <w:sz w:val="14"/>
                <w:szCs w:val="14"/>
              </w:rPr>
              <w:t>Progress with implementation of regional forest agreements</w:t>
            </w:r>
            <w:r w:rsidRPr="00BB2D6B">
              <w:rPr>
                <w:rFonts w:ascii="Calibri" w:hAnsi="Calibri" w:cs="Arial"/>
                <w:spacing w:val="-4"/>
                <w:sz w:val="14"/>
                <w:szCs w:val="14"/>
              </w:rPr>
              <w:t xml:space="preserve"> reports and </w:t>
            </w:r>
            <w:r w:rsidRPr="00BB2D6B">
              <w:rPr>
                <w:rFonts w:ascii="Calibri" w:hAnsi="Calibri" w:cs="Arial"/>
                <w:i/>
                <w:spacing w:val="-4"/>
                <w:sz w:val="14"/>
                <w:szCs w:val="14"/>
              </w:rPr>
              <w:t>Assessment of matters pertaining to renewal of regional forest agreements</w:t>
            </w:r>
            <w:r w:rsidRPr="00BB2D6B">
              <w:rPr>
                <w:rFonts w:ascii="Calibri" w:hAnsi="Calibri" w:cs="Arial"/>
                <w:spacing w:val="-4"/>
                <w:sz w:val="14"/>
                <w:szCs w:val="14"/>
              </w:rPr>
              <w:t xml:space="preserve"> reports, where available.</w:t>
            </w:r>
            <w:r w:rsidRPr="00BB2D6B">
              <w:rPr>
                <w:rFonts w:ascii="Calibri" w:hAnsi="Calibri" w:cs="Arial"/>
                <w:spacing w:val="-4"/>
                <w:sz w:val="14"/>
                <w:szCs w:val="14"/>
              </w:rPr>
              <w:br/>
              <w:t>The CAR reserve system includes formal and informal public reserves and areas of public land with values protected by management prescription.</w:t>
            </w:r>
            <w:r w:rsidRPr="00BB2D6B">
              <w:rPr>
                <w:rFonts w:ascii="Calibri" w:hAnsi="Calibri" w:cs="Arial"/>
                <w:spacing w:val="-4"/>
                <w:sz w:val="14"/>
                <w:szCs w:val="14"/>
              </w:rPr>
              <w:br/>
              <w:t>Date of most recent data is: New South Wales, 2016; Tasmania, 2017; Victoria, 2019; and Western Australia, 2018, unless otherwise noted.</w:t>
            </w:r>
            <w:r w:rsidR="002C72C6">
              <w:rPr>
                <w:rFonts w:ascii="Calibri" w:hAnsi="Calibri" w:cs="Arial"/>
                <w:spacing w:val="-4"/>
                <w:sz w:val="14"/>
                <w:szCs w:val="14"/>
              </w:rPr>
              <w:t xml:space="preserve"> Data of old-growth forest area has not been updated in New South Wales </w:t>
            </w:r>
            <w:r w:rsidR="009973D1">
              <w:rPr>
                <w:rFonts w:ascii="Calibri" w:hAnsi="Calibri" w:cs="Arial"/>
                <w:spacing w:val="-4"/>
                <w:sz w:val="14"/>
                <w:szCs w:val="14"/>
              </w:rPr>
              <w:t xml:space="preserve">(MIG and NFISC 2018) with </w:t>
            </w:r>
            <w:r w:rsidR="002C72C6">
              <w:rPr>
                <w:rFonts w:ascii="Calibri" w:hAnsi="Calibri" w:cs="Arial"/>
                <w:spacing w:val="-4"/>
                <w:sz w:val="14"/>
                <w:szCs w:val="14"/>
              </w:rPr>
              <w:t xml:space="preserve">areas of old-growth </w:t>
            </w:r>
            <w:r w:rsidR="009973D1">
              <w:rPr>
                <w:rFonts w:ascii="Calibri" w:hAnsi="Calibri" w:cs="Arial"/>
                <w:spacing w:val="-4"/>
                <w:sz w:val="14"/>
                <w:szCs w:val="14"/>
              </w:rPr>
              <w:t>forest identified</w:t>
            </w:r>
            <w:r w:rsidR="002C72C6">
              <w:rPr>
                <w:rFonts w:ascii="Calibri" w:hAnsi="Calibri" w:cs="Arial"/>
                <w:spacing w:val="-4"/>
                <w:sz w:val="14"/>
                <w:szCs w:val="14"/>
              </w:rPr>
              <w:t xml:space="preserve"> </w:t>
            </w:r>
            <w:r w:rsidR="009973D1">
              <w:rPr>
                <w:rFonts w:ascii="Calibri" w:hAnsi="Calibri" w:cs="Arial"/>
                <w:spacing w:val="-4"/>
                <w:sz w:val="14"/>
                <w:szCs w:val="14"/>
              </w:rPr>
              <w:t>during the preparation of RFAs being used in the most recent data.</w:t>
            </w:r>
            <w:r w:rsidR="00CD0907">
              <w:rPr>
                <w:rFonts w:ascii="Calibri" w:hAnsi="Calibri" w:cs="Arial"/>
                <w:spacing w:val="-4"/>
                <w:sz w:val="14"/>
                <w:szCs w:val="14"/>
              </w:rPr>
              <w:t xml:space="preserve"> </w:t>
            </w:r>
            <w:r w:rsidR="00CD0907" w:rsidRPr="00CD0907">
              <w:rPr>
                <w:rFonts w:ascii="Calibri" w:hAnsi="Calibri" w:cs="Arial"/>
                <w:spacing w:val="-4"/>
                <w:sz w:val="14"/>
                <w:szCs w:val="14"/>
              </w:rPr>
              <w:t xml:space="preserve">Data for Victorian RFA regions presented in this table </w:t>
            </w:r>
            <w:r w:rsidR="0044624F">
              <w:rPr>
                <w:rFonts w:ascii="Calibri" w:hAnsi="Calibri" w:cs="Arial"/>
                <w:spacing w:val="-4"/>
                <w:sz w:val="14"/>
                <w:szCs w:val="14"/>
              </w:rPr>
              <w:t>are</w:t>
            </w:r>
            <w:r w:rsidR="00CD0907" w:rsidRPr="00CD0907">
              <w:rPr>
                <w:rFonts w:ascii="Calibri" w:hAnsi="Calibri" w:cs="Arial"/>
                <w:spacing w:val="-4"/>
                <w:sz w:val="14"/>
                <w:szCs w:val="14"/>
              </w:rPr>
              <w:t xml:space="preserve"> based on a reconciliation of the EVC classification at the date of signing RFAs with the updated EVC classification as at 2019.</w:t>
            </w:r>
          </w:p>
          <w:p w14:paraId="128D8FFF" w14:textId="7DF4B881" w:rsidR="008556E1" w:rsidRPr="00BB2D6B" w:rsidRDefault="008556E1" w:rsidP="008556E1">
            <w:pPr>
              <w:spacing w:before="0" w:after="0"/>
              <w:rPr>
                <w:rFonts w:ascii="Calibri" w:hAnsi="Calibri" w:cs="Arial"/>
                <w:spacing w:val="-4"/>
                <w:sz w:val="14"/>
                <w:szCs w:val="14"/>
              </w:rPr>
            </w:pPr>
            <w:r w:rsidRPr="00BB2D6B">
              <w:rPr>
                <w:rFonts w:ascii="Calibri" w:hAnsi="Calibri" w:cs="Arial"/>
                <w:spacing w:val="-4"/>
                <w:sz w:val="14"/>
                <w:szCs w:val="14"/>
              </w:rPr>
              <w:t>‘Pre-RFA’ refers to before the date of signing of the relevant RFA. ‘At RFA’ refers to changes on signing of the relevant RFA. ‘Post-RFA’ refers to immediately after the date of signing of the relevant RFA.</w:t>
            </w:r>
            <w:r w:rsidRPr="00BB2D6B">
              <w:rPr>
                <w:rFonts w:ascii="Calibri" w:hAnsi="Calibri" w:cs="Arial"/>
                <w:spacing w:val="-4"/>
                <w:sz w:val="14"/>
                <w:szCs w:val="14"/>
              </w:rPr>
              <w:br/>
            </w:r>
            <w:r w:rsidRPr="00BB2D6B">
              <w:rPr>
                <w:rFonts w:ascii="Calibri" w:hAnsi="Calibri" w:cs="Arial"/>
                <w:b/>
                <w:spacing w:val="-4"/>
                <w:sz w:val="14"/>
                <w:szCs w:val="14"/>
              </w:rPr>
              <w:t>a</w:t>
            </w:r>
            <w:r w:rsidRPr="00BB2D6B">
              <w:rPr>
                <w:rFonts w:ascii="Calibri" w:hAnsi="Calibri" w:cs="Arial"/>
                <w:spacing w:val="-4"/>
                <w:sz w:val="14"/>
                <w:szCs w:val="14"/>
              </w:rPr>
              <w:t xml:space="preserve"> Column codes Q, T and U from Table </w:t>
            </w:r>
            <w:r w:rsidR="00CD0907">
              <w:rPr>
                <w:rFonts w:ascii="Calibri" w:hAnsi="Calibri" w:cs="Arial"/>
                <w:spacing w:val="-4"/>
                <w:sz w:val="14"/>
                <w:szCs w:val="14"/>
              </w:rPr>
              <w:t>A</w:t>
            </w:r>
            <w:r w:rsidRPr="00BB2D6B">
              <w:rPr>
                <w:rFonts w:ascii="Calibri" w:hAnsi="Calibri" w:cs="Arial"/>
                <w:spacing w:val="-4"/>
                <w:sz w:val="14"/>
                <w:szCs w:val="14"/>
              </w:rPr>
              <w:t>6.</w:t>
            </w:r>
          </w:p>
          <w:p w14:paraId="5BD9E8E0" w14:textId="77777777" w:rsidR="008556E1" w:rsidRPr="00BB2D6B" w:rsidRDefault="008556E1" w:rsidP="008556E1">
            <w:pPr>
              <w:spacing w:before="0" w:after="0"/>
              <w:rPr>
                <w:rFonts w:ascii="Calibri" w:hAnsi="Calibri" w:cs="Arial"/>
                <w:spacing w:val="-4"/>
                <w:sz w:val="14"/>
                <w:szCs w:val="14"/>
              </w:rPr>
            </w:pPr>
            <w:r w:rsidRPr="00BB2D6B">
              <w:rPr>
                <w:rFonts w:ascii="Calibri" w:hAnsi="Calibri" w:cs="Arial"/>
                <w:b/>
                <w:spacing w:val="-4"/>
                <w:sz w:val="14"/>
                <w:szCs w:val="14"/>
              </w:rPr>
              <w:t>b</w:t>
            </w:r>
            <w:r w:rsidRPr="00BB2D6B">
              <w:rPr>
                <w:rFonts w:ascii="Calibri" w:hAnsi="Calibri" w:cs="Arial"/>
                <w:spacing w:val="-4"/>
                <w:sz w:val="14"/>
                <w:szCs w:val="14"/>
              </w:rPr>
              <w:t xml:space="preserve"> Figures for area of old-growth forest in most recent data for RFA regions in New South Wales are derived from data for area of old-growth forest identified pre-RFA (Column code Q). Subsequent change calculations (column codes Y and Z) for these RFA regions are therefore zero.</w:t>
            </w:r>
            <w:r w:rsidRPr="00BB2D6B">
              <w:rPr>
                <w:rFonts w:ascii="Calibri" w:hAnsi="Calibri" w:cs="Arial"/>
                <w:spacing w:val="-4"/>
                <w:sz w:val="14"/>
                <w:szCs w:val="14"/>
              </w:rPr>
              <w:br/>
            </w:r>
            <w:r w:rsidRPr="00BB2D6B">
              <w:rPr>
                <w:rFonts w:ascii="Calibri" w:hAnsi="Calibri" w:cs="Arial"/>
                <w:b/>
                <w:spacing w:val="-4"/>
                <w:sz w:val="14"/>
                <w:szCs w:val="14"/>
              </w:rPr>
              <w:t>c</w:t>
            </w:r>
            <w:r w:rsidRPr="00BB2D6B">
              <w:rPr>
                <w:rFonts w:ascii="Calibri" w:hAnsi="Calibri" w:cs="Arial"/>
                <w:spacing w:val="-4"/>
                <w:sz w:val="14"/>
                <w:szCs w:val="14"/>
              </w:rPr>
              <w:t xml:space="preserve"> Figures for area of old-growth forest in most recent data for the Lower North East RFA region in reserves and the CAR reserve system (Column codes AA and AC), and subsequent totals for NSW and all RFA regions are calculated from an incomplete old-growth forest dataset of with a total area of 879,000 hectares.</w:t>
            </w:r>
            <w:r w:rsidRPr="00BB2D6B">
              <w:rPr>
                <w:rFonts w:ascii="Calibri" w:hAnsi="Calibri" w:cs="Arial"/>
                <w:spacing w:val="-4"/>
                <w:sz w:val="14"/>
                <w:szCs w:val="14"/>
              </w:rPr>
              <w:br/>
            </w:r>
            <w:r w:rsidRPr="00BB2D6B">
              <w:rPr>
                <w:rFonts w:ascii="Calibri" w:hAnsi="Calibri" w:cs="Arial"/>
                <w:b/>
                <w:spacing w:val="-4"/>
                <w:sz w:val="14"/>
                <w:szCs w:val="14"/>
              </w:rPr>
              <w:t>d</w:t>
            </w:r>
            <w:r w:rsidRPr="00BB2D6B">
              <w:rPr>
                <w:rFonts w:ascii="Calibri" w:hAnsi="Calibri" w:cs="Arial"/>
                <w:spacing w:val="-4"/>
                <w:sz w:val="14"/>
                <w:szCs w:val="14"/>
              </w:rPr>
              <w:t xml:space="preserve"> Figures for the proportion of old-growth forest in most recent data for the Lower North East RFA region in reserves and in the CAR reserve system (Column codes AB and AD), and subsequent totals for NSW and all RFA regions are calculated using an incomplete date old-growth forest dataset for the Lower North East RFA region with an area of old-growth forest of 879,000 hectares.</w:t>
            </w:r>
          </w:p>
          <w:p w14:paraId="51C7BEE7" w14:textId="77777777" w:rsidR="008556E1" w:rsidRPr="00BB2D6B" w:rsidRDefault="008556E1" w:rsidP="008556E1">
            <w:pPr>
              <w:spacing w:before="0" w:after="0"/>
              <w:rPr>
                <w:rFonts w:ascii="Calibri" w:hAnsi="Calibri" w:cs="Arial"/>
                <w:spacing w:val="-4"/>
                <w:sz w:val="14"/>
                <w:szCs w:val="14"/>
              </w:rPr>
            </w:pPr>
            <w:r w:rsidRPr="00BB2D6B">
              <w:rPr>
                <w:rFonts w:ascii="Calibri" w:hAnsi="Calibri" w:cs="Arial"/>
                <w:b/>
                <w:spacing w:val="-4"/>
                <w:sz w:val="14"/>
                <w:szCs w:val="14"/>
              </w:rPr>
              <w:t>e</w:t>
            </w:r>
            <w:r w:rsidRPr="00BB2D6B">
              <w:rPr>
                <w:rFonts w:ascii="Calibri" w:hAnsi="Calibri" w:cs="Arial"/>
                <w:spacing w:val="-4"/>
                <w:sz w:val="14"/>
                <w:szCs w:val="14"/>
              </w:rPr>
              <w:t xml:space="preserve"> Figures for the area of old-growth forest in CAR reserve system in the Tasmanian RFA region includes 17,000 hectares of old-growth forest on Private CAR reserves not separately shown in this table.</w:t>
            </w:r>
          </w:p>
          <w:p w14:paraId="1E58F1C3" w14:textId="4E7E7D15" w:rsidR="008556E1" w:rsidRDefault="008556E1" w:rsidP="00160F3D">
            <w:pPr>
              <w:spacing w:before="0" w:after="0"/>
              <w:ind w:left="1" w:right="57" w:hangingChars="1" w:hanging="1"/>
              <w:rPr>
                <w:rFonts w:ascii="Calibri" w:hAnsi="Calibri" w:cs="Arial"/>
                <w:spacing w:val="-4"/>
                <w:sz w:val="14"/>
                <w:szCs w:val="14"/>
              </w:rPr>
            </w:pPr>
            <w:r w:rsidRPr="00BB2D6B">
              <w:rPr>
                <w:rFonts w:ascii="Calibri" w:hAnsi="Calibri" w:cs="Arial"/>
                <w:b/>
                <w:spacing w:val="-4"/>
                <w:sz w:val="14"/>
                <w:szCs w:val="14"/>
              </w:rPr>
              <w:t>nr</w:t>
            </w:r>
            <w:r w:rsidRPr="00BB2D6B">
              <w:rPr>
                <w:rFonts w:ascii="Calibri" w:hAnsi="Calibri" w:cs="Arial"/>
                <w:spacing w:val="-4"/>
                <w:sz w:val="14"/>
                <w:szCs w:val="14"/>
              </w:rPr>
              <w:t>, not reported.</w:t>
            </w:r>
            <w:r w:rsidR="00160F3D">
              <w:rPr>
                <w:rFonts w:ascii="Calibri" w:hAnsi="Calibri" w:cs="Arial"/>
                <w:spacing w:val="-4"/>
                <w:sz w:val="14"/>
                <w:szCs w:val="14"/>
              </w:rPr>
              <w:t xml:space="preserve"> </w:t>
            </w:r>
            <w:r w:rsidRPr="00BB2D6B">
              <w:rPr>
                <w:rFonts w:ascii="Calibri" w:hAnsi="Calibri" w:cs="Arial"/>
                <w:spacing w:val="-4"/>
                <w:sz w:val="14"/>
                <w:szCs w:val="14"/>
              </w:rPr>
              <w:t>Totals may not tally due to rounding.</w:t>
            </w:r>
          </w:p>
          <w:p w14:paraId="28B1446A" w14:textId="1D57B1B8" w:rsidR="00674019" w:rsidRPr="00BB2D6B" w:rsidRDefault="00674019" w:rsidP="00DB0CD3">
            <w:pPr>
              <w:pStyle w:val="FootnoteText"/>
              <w:spacing w:before="0" w:after="0"/>
              <w:rPr>
                <w:rFonts w:ascii="Calibri" w:hAnsi="Calibri" w:cs="Arial"/>
                <w:sz w:val="16"/>
                <w:szCs w:val="16"/>
              </w:rPr>
            </w:pPr>
            <w:r w:rsidRPr="00674019">
              <w:rPr>
                <w:rFonts w:asciiTheme="minorHAnsi" w:hAnsiTheme="minorHAnsi"/>
                <w:noProof/>
                <w:sz w:val="14"/>
                <w:szCs w:val="14"/>
              </w:rPr>
              <w:t xml:space="preserve">This table, together with other data in this report, is available in Microsoft </w:t>
            </w:r>
            <w:r w:rsidRPr="00DD59DD">
              <w:rPr>
                <w:rFonts w:asciiTheme="minorHAnsi" w:hAnsiTheme="minorHAnsi"/>
                <w:noProof/>
                <w:sz w:val="14"/>
                <w:szCs w:val="14"/>
              </w:rPr>
              <w:t xml:space="preserve">Excel </w:t>
            </w:r>
            <w:r w:rsidR="00DB0CD3">
              <w:rPr>
                <w:rFonts w:asciiTheme="minorHAnsi" w:hAnsiTheme="minorHAnsi"/>
                <w:noProof/>
                <w:sz w:val="14"/>
                <w:szCs w:val="14"/>
              </w:rPr>
              <w:t>at</w:t>
            </w:r>
            <w:r w:rsidRPr="00DD59DD">
              <w:rPr>
                <w:rFonts w:asciiTheme="minorHAnsi" w:hAnsiTheme="minorHAnsi"/>
                <w:noProof/>
                <w:sz w:val="14"/>
                <w:szCs w:val="14"/>
              </w:rPr>
              <w:t xml:space="preserve"> </w:t>
            </w:r>
            <w:hyperlink r:id="rId48" w:history="1">
              <w:r w:rsidR="00DD59DD" w:rsidRPr="00DD59DD">
                <w:rPr>
                  <w:rStyle w:val="Hyperlink"/>
                  <w:rFonts w:asciiTheme="minorHAnsi" w:hAnsiTheme="minorHAnsi"/>
                  <w:noProof/>
                  <w:color w:val="0070C0"/>
                  <w:sz w:val="14"/>
                  <w:szCs w:val="14"/>
                </w:rPr>
                <w:t>doi.org/10.25814/pczx-xk66</w:t>
              </w:r>
            </w:hyperlink>
            <w:r w:rsidR="00DD59DD" w:rsidRPr="00DD59DD">
              <w:rPr>
                <w:rFonts w:asciiTheme="minorHAnsi" w:hAnsiTheme="minorHAnsi"/>
                <w:noProof/>
                <w:sz w:val="14"/>
                <w:szCs w:val="14"/>
              </w:rPr>
              <w:t>.</w:t>
            </w:r>
          </w:p>
        </w:tc>
      </w:tr>
    </w:tbl>
    <w:p w14:paraId="1551798A" w14:textId="77777777" w:rsidR="00160F3D" w:rsidRDefault="00160F3D" w:rsidP="004C0DDC">
      <w:pPr>
        <w:pStyle w:val="Caption"/>
      </w:pPr>
      <w:bookmarkStart w:id="50" w:name="_Ref55396393"/>
      <w:r>
        <w:br w:type="page"/>
      </w:r>
    </w:p>
    <w:p w14:paraId="28DD2C0A" w14:textId="0E0E976D" w:rsidR="00732F77" w:rsidRDefault="00732F77" w:rsidP="004C0DDC">
      <w:pPr>
        <w:pStyle w:val="Caption"/>
      </w:pPr>
      <w:bookmarkStart w:id="51" w:name="_Toc58234971"/>
      <w:r>
        <w:lastRenderedPageBreak/>
        <w:t xml:space="preserve">Table </w:t>
      </w:r>
      <w:r w:rsidR="00D15AE0">
        <w:t>A</w:t>
      </w:r>
      <w:r w:rsidR="00DD454E">
        <w:rPr>
          <w:noProof/>
        </w:rPr>
        <w:fldChar w:fldCharType="begin"/>
      </w:r>
      <w:r w:rsidR="00DD454E">
        <w:rPr>
          <w:noProof/>
        </w:rPr>
        <w:instrText xml:space="preserve"> SEQ Table \* ARABIC </w:instrText>
      </w:r>
      <w:r w:rsidR="00DD454E">
        <w:rPr>
          <w:noProof/>
        </w:rPr>
        <w:fldChar w:fldCharType="separate"/>
      </w:r>
      <w:r w:rsidR="00CC3B42">
        <w:rPr>
          <w:noProof/>
        </w:rPr>
        <w:t>8</w:t>
      </w:r>
      <w:r w:rsidR="00DD454E">
        <w:rPr>
          <w:noProof/>
        </w:rPr>
        <w:fldChar w:fldCharType="end"/>
      </w:r>
      <w:bookmarkEnd w:id="50"/>
      <w:r>
        <w:t xml:space="preserve"> Old-growth forest areas in RFA regions, Victoria</w:t>
      </w:r>
      <w:bookmarkEnd w:id="51"/>
    </w:p>
    <w:tbl>
      <w:tblPr>
        <w:tblW w:w="14459" w:type="dxa"/>
        <w:tblInd w:w="-426" w:type="dxa"/>
        <w:tblLayout w:type="fixed"/>
        <w:tblCellMar>
          <w:left w:w="0" w:type="dxa"/>
          <w:right w:w="0" w:type="dxa"/>
        </w:tblCellMar>
        <w:tblLook w:val="04A0" w:firstRow="1" w:lastRow="0" w:firstColumn="1" w:lastColumn="0" w:noHBand="0" w:noVBand="1"/>
      </w:tblPr>
      <w:tblGrid>
        <w:gridCol w:w="1843"/>
        <w:gridCol w:w="708"/>
        <w:gridCol w:w="993"/>
        <w:gridCol w:w="851"/>
        <w:gridCol w:w="709"/>
        <w:gridCol w:w="708"/>
        <w:gridCol w:w="851"/>
        <w:gridCol w:w="708"/>
        <w:gridCol w:w="710"/>
        <w:gridCol w:w="710"/>
        <w:gridCol w:w="848"/>
        <w:gridCol w:w="727"/>
        <w:gridCol w:w="1184"/>
        <w:gridCol w:w="1208"/>
        <w:gridCol w:w="850"/>
        <w:gridCol w:w="851"/>
      </w:tblGrid>
      <w:tr w:rsidR="00732F77" w14:paraId="62B152A5" w14:textId="77777777" w:rsidTr="004C0DDC">
        <w:trPr>
          <w:trHeight w:val="476"/>
        </w:trPr>
        <w:tc>
          <w:tcPr>
            <w:tcW w:w="1843" w:type="dxa"/>
            <w:vMerge w:val="restart"/>
            <w:tcBorders>
              <w:top w:val="single" w:sz="4" w:space="0" w:color="auto"/>
              <w:left w:val="nil"/>
              <w:bottom w:val="single" w:sz="4" w:space="0" w:color="000000"/>
              <w:right w:val="nil"/>
            </w:tcBorders>
            <w:shd w:val="clear" w:color="000000" w:fill="FFFFFF"/>
            <w:vAlign w:val="bottom"/>
            <w:hideMark/>
          </w:tcPr>
          <w:p w14:paraId="52128CCE" w14:textId="77777777" w:rsidR="00732F77" w:rsidRPr="002F2D01" w:rsidRDefault="00732F77"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Region</w:t>
            </w:r>
          </w:p>
        </w:tc>
        <w:tc>
          <w:tcPr>
            <w:tcW w:w="255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B0A41D" w14:textId="77777777" w:rsidR="00732F77" w:rsidRPr="002F2D01" w:rsidRDefault="00732F77" w:rsidP="00CB0E93">
            <w:pPr>
              <w:spacing w:before="0" w:after="0"/>
              <w:ind w:left="57" w:right="57"/>
              <w:jc w:val="center"/>
              <w:rPr>
                <w:rFonts w:asciiTheme="majorHAnsi" w:hAnsiTheme="majorHAnsi" w:cs="Arial"/>
                <w:b/>
                <w:sz w:val="16"/>
                <w:szCs w:val="16"/>
              </w:rPr>
            </w:pPr>
            <w:r w:rsidRPr="002F2D01">
              <w:rPr>
                <w:rFonts w:asciiTheme="majorHAnsi" w:hAnsiTheme="majorHAnsi" w:cs="Arial"/>
                <w:b/>
                <w:sz w:val="16"/>
                <w:szCs w:val="16"/>
              </w:rPr>
              <w:t>Old-growth forest</w:t>
            </w:r>
          </w:p>
        </w:tc>
        <w:tc>
          <w:tcPr>
            <w:tcW w:w="297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0F94A7E2" w14:textId="77777777" w:rsidR="00732F77" w:rsidRPr="002F2D01" w:rsidRDefault="00732F77" w:rsidP="00CB0E93">
            <w:pPr>
              <w:spacing w:before="0" w:after="0"/>
              <w:ind w:left="57" w:right="57"/>
              <w:jc w:val="center"/>
              <w:rPr>
                <w:rFonts w:asciiTheme="majorHAnsi" w:hAnsiTheme="majorHAnsi" w:cs="Arial"/>
                <w:b/>
                <w:sz w:val="16"/>
                <w:szCs w:val="16"/>
              </w:rPr>
            </w:pPr>
            <w:r w:rsidRPr="002F2D01">
              <w:rPr>
                <w:rFonts w:asciiTheme="majorHAnsi" w:hAnsiTheme="majorHAnsi" w:cs="Arial"/>
                <w:b/>
                <w:sz w:val="16"/>
                <w:szCs w:val="16"/>
              </w:rPr>
              <w:t>Old-growth forest in reserves</w:t>
            </w:r>
          </w:p>
        </w:tc>
        <w:tc>
          <w:tcPr>
            <w:tcW w:w="2995"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4F9372E" w14:textId="77777777" w:rsidR="00732F77" w:rsidRPr="002F2D01" w:rsidRDefault="00732F77" w:rsidP="00CB0E93">
            <w:pPr>
              <w:spacing w:before="0" w:after="0"/>
              <w:ind w:left="57" w:right="57"/>
              <w:jc w:val="center"/>
              <w:rPr>
                <w:rFonts w:asciiTheme="majorHAnsi" w:hAnsiTheme="majorHAnsi" w:cs="Arial"/>
                <w:b/>
                <w:sz w:val="16"/>
                <w:szCs w:val="16"/>
              </w:rPr>
            </w:pPr>
            <w:r w:rsidRPr="002F2D01">
              <w:rPr>
                <w:rFonts w:asciiTheme="majorHAnsi" w:hAnsiTheme="majorHAnsi" w:cs="Arial"/>
                <w:b/>
                <w:sz w:val="16"/>
                <w:szCs w:val="16"/>
              </w:rPr>
              <w:t>Old-growth forest not in reserves</w:t>
            </w:r>
          </w:p>
        </w:tc>
        <w:tc>
          <w:tcPr>
            <w:tcW w:w="1184" w:type="dxa"/>
            <w:vMerge w:val="restart"/>
            <w:tcBorders>
              <w:top w:val="single" w:sz="4" w:space="0" w:color="auto"/>
              <w:left w:val="nil"/>
              <w:bottom w:val="single" w:sz="4" w:space="0" w:color="000000"/>
              <w:right w:val="single" w:sz="4" w:space="0" w:color="auto"/>
            </w:tcBorders>
            <w:shd w:val="clear" w:color="000000" w:fill="FFFFFF"/>
            <w:vAlign w:val="bottom"/>
            <w:hideMark/>
          </w:tcPr>
          <w:p w14:paraId="77C6D4BF" w14:textId="44C3BE80"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Proportion of the change in old-growth forest</w:t>
            </w:r>
            <w:r w:rsidR="00F90440" w:rsidRPr="002F2D01">
              <w:rPr>
                <w:rFonts w:asciiTheme="majorHAnsi" w:hAnsiTheme="majorHAnsi" w:cs="Arial"/>
                <w:b/>
                <w:bCs/>
                <w:sz w:val="16"/>
                <w:szCs w:val="16"/>
              </w:rPr>
              <w:t xml:space="preserve"> area</w:t>
            </w:r>
            <w:r w:rsidRPr="002F2D01">
              <w:rPr>
                <w:rFonts w:asciiTheme="majorHAnsi" w:hAnsiTheme="majorHAnsi" w:cs="Arial"/>
                <w:b/>
                <w:bCs/>
                <w:sz w:val="16"/>
                <w:szCs w:val="16"/>
              </w:rPr>
              <w:t xml:space="preserve"> that occurred in reserves (%)</w:t>
            </w:r>
          </w:p>
        </w:tc>
        <w:tc>
          <w:tcPr>
            <w:tcW w:w="1208"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21DC98F4" w14:textId="270777AE"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 xml:space="preserve">Proportion of the change in old-growth forest </w:t>
            </w:r>
            <w:r w:rsidR="00F90440" w:rsidRPr="002F2D01">
              <w:rPr>
                <w:rFonts w:asciiTheme="majorHAnsi" w:hAnsiTheme="majorHAnsi" w:cs="Arial"/>
                <w:b/>
                <w:bCs/>
                <w:sz w:val="16"/>
                <w:szCs w:val="16"/>
              </w:rPr>
              <w:t xml:space="preserve">area </w:t>
            </w:r>
            <w:r w:rsidRPr="002F2D01">
              <w:rPr>
                <w:rFonts w:asciiTheme="majorHAnsi" w:hAnsiTheme="majorHAnsi" w:cs="Arial"/>
                <w:b/>
                <w:bCs/>
                <w:sz w:val="16"/>
                <w:szCs w:val="16"/>
              </w:rPr>
              <w:t>that occurred outside reserves (%)</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26E47BF8"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Count of old-growth forest types pre-RFA</w:t>
            </w:r>
          </w:p>
        </w:tc>
        <w:tc>
          <w:tcPr>
            <w:tcW w:w="851" w:type="dxa"/>
            <w:vMerge w:val="restart"/>
            <w:tcBorders>
              <w:top w:val="single" w:sz="4" w:space="0" w:color="auto"/>
              <w:left w:val="single" w:sz="4" w:space="0" w:color="auto"/>
              <w:bottom w:val="single" w:sz="4" w:space="0" w:color="000000"/>
              <w:right w:val="nil"/>
            </w:tcBorders>
            <w:shd w:val="clear" w:color="000000" w:fill="FFFFFF"/>
            <w:vAlign w:val="bottom"/>
            <w:hideMark/>
          </w:tcPr>
          <w:p w14:paraId="26749CD5"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Count of old-growth forest types in most recent data</w:t>
            </w:r>
          </w:p>
        </w:tc>
      </w:tr>
      <w:tr w:rsidR="00732F77" w14:paraId="634B1525" w14:textId="77777777" w:rsidTr="004C0DDC">
        <w:trPr>
          <w:trHeight w:val="555"/>
        </w:trPr>
        <w:tc>
          <w:tcPr>
            <w:tcW w:w="1843" w:type="dxa"/>
            <w:vMerge/>
            <w:tcBorders>
              <w:top w:val="single" w:sz="4" w:space="0" w:color="auto"/>
              <w:left w:val="nil"/>
              <w:bottom w:val="single" w:sz="4" w:space="0" w:color="000000"/>
              <w:right w:val="nil"/>
            </w:tcBorders>
            <w:vAlign w:val="center"/>
            <w:hideMark/>
          </w:tcPr>
          <w:p w14:paraId="47BC77C8" w14:textId="77777777" w:rsidR="00732F77" w:rsidRPr="002F2D01" w:rsidRDefault="00732F77" w:rsidP="00CB0E93">
            <w:pPr>
              <w:spacing w:before="0" w:after="0"/>
              <w:ind w:left="57" w:right="57"/>
              <w:rPr>
                <w:rFonts w:asciiTheme="majorHAnsi" w:hAnsiTheme="majorHAnsi" w:cs="Arial"/>
                <w:b/>
                <w:bCs/>
                <w:sz w:val="16"/>
                <w:szCs w:val="16"/>
              </w:rPr>
            </w:pPr>
          </w:p>
        </w:tc>
        <w:tc>
          <w:tcPr>
            <w:tcW w:w="708" w:type="dxa"/>
            <w:tcBorders>
              <w:top w:val="nil"/>
              <w:left w:val="single" w:sz="4" w:space="0" w:color="auto"/>
              <w:bottom w:val="single" w:sz="4" w:space="0" w:color="auto"/>
              <w:right w:val="nil"/>
            </w:tcBorders>
            <w:shd w:val="clear" w:color="000000" w:fill="FFFFFF"/>
            <w:vAlign w:val="bottom"/>
            <w:hideMark/>
          </w:tcPr>
          <w:p w14:paraId="244C0674"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Area pre-RFA (ha)</w:t>
            </w:r>
          </w:p>
        </w:tc>
        <w:tc>
          <w:tcPr>
            <w:tcW w:w="993" w:type="dxa"/>
            <w:tcBorders>
              <w:top w:val="nil"/>
              <w:left w:val="nil"/>
              <w:bottom w:val="single" w:sz="4" w:space="0" w:color="auto"/>
              <w:right w:val="nil"/>
            </w:tcBorders>
            <w:shd w:val="clear" w:color="000000" w:fill="FFFFFF"/>
            <w:vAlign w:val="bottom"/>
            <w:hideMark/>
          </w:tcPr>
          <w:p w14:paraId="13A05EF8"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Area in most recent data (ha)</w:t>
            </w:r>
          </w:p>
        </w:tc>
        <w:tc>
          <w:tcPr>
            <w:tcW w:w="851" w:type="dxa"/>
            <w:tcBorders>
              <w:top w:val="nil"/>
              <w:left w:val="nil"/>
              <w:bottom w:val="single" w:sz="4" w:space="0" w:color="auto"/>
              <w:right w:val="single" w:sz="4" w:space="0" w:color="auto"/>
            </w:tcBorders>
            <w:shd w:val="clear" w:color="000000" w:fill="FFFFFF"/>
            <w:vAlign w:val="bottom"/>
            <w:hideMark/>
          </w:tcPr>
          <w:p w14:paraId="0A6806DF"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Change in area (ha)</w:t>
            </w:r>
          </w:p>
        </w:tc>
        <w:tc>
          <w:tcPr>
            <w:tcW w:w="709" w:type="dxa"/>
            <w:tcBorders>
              <w:top w:val="nil"/>
              <w:left w:val="nil"/>
              <w:bottom w:val="nil"/>
              <w:right w:val="nil"/>
            </w:tcBorders>
            <w:shd w:val="clear" w:color="000000" w:fill="FFFFFF"/>
            <w:vAlign w:val="bottom"/>
            <w:hideMark/>
          </w:tcPr>
          <w:p w14:paraId="53DC4405"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Area post-RFA (ha)</w:t>
            </w:r>
          </w:p>
        </w:tc>
        <w:tc>
          <w:tcPr>
            <w:tcW w:w="708" w:type="dxa"/>
            <w:tcBorders>
              <w:top w:val="nil"/>
              <w:left w:val="nil"/>
              <w:bottom w:val="nil"/>
              <w:right w:val="nil"/>
            </w:tcBorders>
            <w:shd w:val="clear" w:color="000000" w:fill="FFFFFF"/>
            <w:vAlign w:val="bottom"/>
            <w:hideMark/>
          </w:tcPr>
          <w:p w14:paraId="442A57B2"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Area in most recent data (ha)</w:t>
            </w:r>
          </w:p>
        </w:tc>
        <w:tc>
          <w:tcPr>
            <w:tcW w:w="851" w:type="dxa"/>
            <w:tcBorders>
              <w:top w:val="nil"/>
              <w:left w:val="nil"/>
              <w:bottom w:val="nil"/>
              <w:right w:val="nil"/>
            </w:tcBorders>
            <w:shd w:val="clear" w:color="000000" w:fill="FFFFFF"/>
            <w:vAlign w:val="bottom"/>
            <w:hideMark/>
          </w:tcPr>
          <w:p w14:paraId="27732660"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Change in area (ha)</w:t>
            </w:r>
          </w:p>
        </w:tc>
        <w:tc>
          <w:tcPr>
            <w:tcW w:w="708" w:type="dxa"/>
            <w:tcBorders>
              <w:top w:val="nil"/>
              <w:left w:val="nil"/>
              <w:bottom w:val="nil"/>
              <w:right w:val="single" w:sz="4" w:space="0" w:color="auto"/>
            </w:tcBorders>
            <w:shd w:val="clear" w:color="000000" w:fill="FFFFFF"/>
            <w:vAlign w:val="bottom"/>
            <w:hideMark/>
          </w:tcPr>
          <w:p w14:paraId="0793FB22"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Change in area (%)</w:t>
            </w:r>
          </w:p>
        </w:tc>
        <w:tc>
          <w:tcPr>
            <w:tcW w:w="710" w:type="dxa"/>
            <w:tcBorders>
              <w:top w:val="nil"/>
              <w:left w:val="nil"/>
              <w:bottom w:val="single" w:sz="4" w:space="0" w:color="auto"/>
              <w:right w:val="nil"/>
            </w:tcBorders>
            <w:shd w:val="clear" w:color="000000" w:fill="FFFFFF"/>
            <w:vAlign w:val="bottom"/>
            <w:hideMark/>
          </w:tcPr>
          <w:p w14:paraId="5315FB0D"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Area post-RFA (ha)</w:t>
            </w:r>
          </w:p>
        </w:tc>
        <w:tc>
          <w:tcPr>
            <w:tcW w:w="710" w:type="dxa"/>
            <w:tcBorders>
              <w:top w:val="nil"/>
              <w:left w:val="nil"/>
              <w:bottom w:val="single" w:sz="4" w:space="0" w:color="auto"/>
              <w:right w:val="nil"/>
            </w:tcBorders>
            <w:shd w:val="clear" w:color="000000" w:fill="FFFFFF"/>
            <w:vAlign w:val="bottom"/>
            <w:hideMark/>
          </w:tcPr>
          <w:p w14:paraId="0D4D084E"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Area in most recent data (ha)</w:t>
            </w:r>
          </w:p>
        </w:tc>
        <w:tc>
          <w:tcPr>
            <w:tcW w:w="848" w:type="dxa"/>
            <w:tcBorders>
              <w:top w:val="nil"/>
              <w:left w:val="nil"/>
              <w:bottom w:val="single" w:sz="4" w:space="0" w:color="auto"/>
              <w:right w:val="nil"/>
            </w:tcBorders>
            <w:shd w:val="clear" w:color="000000" w:fill="FFFFFF"/>
            <w:vAlign w:val="bottom"/>
            <w:hideMark/>
          </w:tcPr>
          <w:p w14:paraId="5F443EFF"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Change in area (ha)</w:t>
            </w:r>
          </w:p>
        </w:tc>
        <w:tc>
          <w:tcPr>
            <w:tcW w:w="727" w:type="dxa"/>
            <w:tcBorders>
              <w:top w:val="nil"/>
              <w:left w:val="nil"/>
              <w:bottom w:val="single" w:sz="4" w:space="0" w:color="auto"/>
              <w:right w:val="single" w:sz="4" w:space="0" w:color="auto"/>
            </w:tcBorders>
            <w:shd w:val="clear" w:color="000000" w:fill="FFFFFF"/>
            <w:vAlign w:val="bottom"/>
            <w:hideMark/>
          </w:tcPr>
          <w:p w14:paraId="5831B259" w14:textId="77777777" w:rsidR="00732F77" w:rsidRPr="002F2D01" w:rsidRDefault="00732F77" w:rsidP="00CB0E93">
            <w:pPr>
              <w:spacing w:before="0" w:after="0"/>
              <w:ind w:left="57" w:right="57"/>
              <w:jc w:val="right"/>
              <w:rPr>
                <w:rFonts w:asciiTheme="majorHAnsi" w:hAnsiTheme="majorHAnsi" w:cs="Arial"/>
                <w:b/>
                <w:bCs/>
                <w:sz w:val="16"/>
                <w:szCs w:val="16"/>
              </w:rPr>
            </w:pPr>
            <w:r w:rsidRPr="002F2D01">
              <w:rPr>
                <w:rFonts w:asciiTheme="majorHAnsi" w:hAnsiTheme="majorHAnsi" w:cs="Arial"/>
                <w:b/>
                <w:bCs/>
                <w:sz w:val="16"/>
                <w:szCs w:val="16"/>
              </w:rPr>
              <w:t>Change in area (%)</w:t>
            </w:r>
          </w:p>
        </w:tc>
        <w:tc>
          <w:tcPr>
            <w:tcW w:w="1184" w:type="dxa"/>
            <w:vMerge/>
            <w:tcBorders>
              <w:top w:val="single" w:sz="4" w:space="0" w:color="auto"/>
              <w:left w:val="nil"/>
              <w:bottom w:val="single" w:sz="4" w:space="0" w:color="000000"/>
              <w:right w:val="single" w:sz="4" w:space="0" w:color="auto"/>
            </w:tcBorders>
            <w:vAlign w:val="center"/>
            <w:hideMark/>
          </w:tcPr>
          <w:p w14:paraId="0593E7E3" w14:textId="77777777" w:rsidR="00732F77" w:rsidRPr="002F2D01" w:rsidRDefault="00732F77" w:rsidP="00CB0E93">
            <w:pPr>
              <w:spacing w:before="0" w:after="0"/>
              <w:ind w:left="57" w:right="57"/>
              <w:rPr>
                <w:rFonts w:asciiTheme="majorHAnsi" w:hAnsiTheme="majorHAnsi" w:cs="Arial"/>
                <w:b/>
                <w:bCs/>
                <w:sz w:val="16"/>
                <w:szCs w:val="16"/>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14:paraId="1633A3FE" w14:textId="77777777" w:rsidR="00732F77" w:rsidRPr="002F2D01" w:rsidRDefault="00732F77" w:rsidP="00CB0E93">
            <w:pPr>
              <w:spacing w:before="0" w:after="0"/>
              <w:ind w:left="57" w:right="57"/>
              <w:rPr>
                <w:rFonts w:asciiTheme="majorHAnsi" w:hAnsiTheme="majorHAnsi" w:cs="Arial"/>
                <w:b/>
                <w:bCs/>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6270769" w14:textId="77777777" w:rsidR="00732F77" w:rsidRPr="002F2D01" w:rsidRDefault="00732F77" w:rsidP="00CB0E93">
            <w:pPr>
              <w:spacing w:before="0" w:after="0"/>
              <w:ind w:left="57" w:right="57"/>
              <w:rPr>
                <w:rFonts w:asciiTheme="majorHAnsi" w:hAnsiTheme="majorHAnsi" w:cs="Arial"/>
                <w:b/>
                <w:bCs/>
                <w:sz w:val="16"/>
                <w:szCs w:val="16"/>
              </w:rPr>
            </w:pPr>
          </w:p>
        </w:tc>
        <w:tc>
          <w:tcPr>
            <w:tcW w:w="851" w:type="dxa"/>
            <w:vMerge/>
            <w:tcBorders>
              <w:top w:val="single" w:sz="4" w:space="0" w:color="auto"/>
              <w:left w:val="single" w:sz="4" w:space="0" w:color="auto"/>
              <w:bottom w:val="single" w:sz="4" w:space="0" w:color="000000"/>
              <w:right w:val="nil"/>
            </w:tcBorders>
            <w:vAlign w:val="center"/>
            <w:hideMark/>
          </w:tcPr>
          <w:p w14:paraId="32543391" w14:textId="77777777" w:rsidR="00732F77" w:rsidRPr="002F2D01" w:rsidRDefault="00732F77" w:rsidP="00CB0E93">
            <w:pPr>
              <w:spacing w:before="0" w:after="0"/>
              <w:ind w:left="57" w:right="57"/>
              <w:rPr>
                <w:rFonts w:asciiTheme="majorHAnsi" w:hAnsiTheme="majorHAnsi" w:cs="Arial"/>
                <w:b/>
                <w:bCs/>
                <w:sz w:val="16"/>
                <w:szCs w:val="16"/>
              </w:rPr>
            </w:pPr>
          </w:p>
        </w:tc>
      </w:tr>
      <w:tr w:rsidR="00732F77" w14:paraId="3C5849DA" w14:textId="77777777" w:rsidTr="004C0DDC">
        <w:trPr>
          <w:trHeight w:val="450"/>
        </w:trPr>
        <w:tc>
          <w:tcPr>
            <w:tcW w:w="1843" w:type="dxa"/>
            <w:tcBorders>
              <w:top w:val="nil"/>
              <w:left w:val="nil"/>
              <w:bottom w:val="single" w:sz="4" w:space="0" w:color="auto"/>
              <w:right w:val="nil"/>
            </w:tcBorders>
            <w:shd w:val="clear" w:color="auto" w:fill="auto"/>
            <w:hideMark/>
          </w:tcPr>
          <w:p w14:paraId="5277139E" w14:textId="3FDEB9EC" w:rsidR="00732F77" w:rsidRPr="002F2D01" w:rsidRDefault="00732F77" w:rsidP="00C0030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Column code</w:t>
            </w:r>
            <w:r w:rsidR="00F90440" w:rsidRPr="002F2D01">
              <w:rPr>
                <w:rFonts w:asciiTheme="majorHAnsi" w:hAnsiTheme="majorHAnsi" w:cs="Arial"/>
                <w:b/>
                <w:bCs/>
                <w:sz w:val="16"/>
                <w:szCs w:val="16"/>
              </w:rPr>
              <w:t>, including from previous tables</w:t>
            </w:r>
            <w:r w:rsidRPr="002F2D01">
              <w:rPr>
                <w:rFonts w:asciiTheme="majorHAnsi" w:hAnsiTheme="majorHAnsi" w:cs="Arial"/>
                <w:b/>
                <w:bCs/>
                <w:sz w:val="16"/>
                <w:szCs w:val="16"/>
              </w:rPr>
              <w:br/>
            </w:r>
            <w:r w:rsidR="00C00303">
              <w:rPr>
                <w:rFonts w:asciiTheme="majorHAnsi" w:hAnsiTheme="majorHAnsi" w:cs="Arial"/>
                <w:sz w:val="16"/>
                <w:szCs w:val="16"/>
              </w:rPr>
              <w:t>Derivation of figures</w:t>
            </w:r>
          </w:p>
        </w:tc>
        <w:tc>
          <w:tcPr>
            <w:tcW w:w="708" w:type="dxa"/>
            <w:tcBorders>
              <w:top w:val="nil"/>
              <w:left w:val="single" w:sz="4" w:space="0" w:color="auto"/>
              <w:bottom w:val="single" w:sz="4" w:space="0" w:color="auto"/>
              <w:right w:val="nil"/>
            </w:tcBorders>
            <w:shd w:val="clear" w:color="000000" w:fill="FFFFFF"/>
            <w:hideMark/>
          </w:tcPr>
          <w:p w14:paraId="3D3872CF" w14:textId="77777777" w:rsidR="00732F77" w:rsidRPr="002F2D01" w:rsidRDefault="00732F77"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Q</w:t>
            </w:r>
          </w:p>
        </w:tc>
        <w:tc>
          <w:tcPr>
            <w:tcW w:w="993" w:type="dxa"/>
            <w:tcBorders>
              <w:top w:val="nil"/>
              <w:left w:val="nil"/>
              <w:bottom w:val="single" w:sz="4" w:space="0" w:color="auto"/>
              <w:right w:val="nil"/>
            </w:tcBorders>
            <w:shd w:val="clear" w:color="000000" w:fill="FFFFFF"/>
            <w:hideMark/>
          </w:tcPr>
          <w:p w14:paraId="399943F2" w14:textId="77777777" w:rsidR="00732F77" w:rsidRPr="002F2D01" w:rsidRDefault="00732F77"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X</w:t>
            </w:r>
          </w:p>
        </w:tc>
        <w:tc>
          <w:tcPr>
            <w:tcW w:w="851" w:type="dxa"/>
            <w:tcBorders>
              <w:top w:val="nil"/>
              <w:left w:val="nil"/>
              <w:bottom w:val="single" w:sz="4" w:space="0" w:color="auto"/>
              <w:right w:val="nil"/>
            </w:tcBorders>
            <w:shd w:val="clear" w:color="000000" w:fill="FFFFFF"/>
            <w:hideMark/>
          </w:tcPr>
          <w:p w14:paraId="47D05F19" w14:textId="3E92DD18" w:rsidR="00732F77" w:rsidRPr="002F2D01" w:rsidRDefault="00732F77" w:rsidP="00C00303">
            <w:pPr>
              <w:spacing w:before="0" w:after="0"/>
              <w:ind w:left="57" w:right="57"/>
              <w:jc w:val="center"/>
              <w:rPr>
                <w:rFonts w:asciiTheme="majorHAnsi" w:hAnsiTheme="majorHAnsi" w:cs="Arial"/>
                <w:sz w:val="16"/>
                <w:szCs w:val="16"/>
              </w:rPr>
            </w:pPr>
            <w:r w:rsidRPr="002F2D01">
              <w:rPr>
                <w:rFonts w:asciiTheme="majorHAnsi" w:hAnsiTheme="majorHAnsi" w:cs="Arial"/>
                <w:b/>
                <w:bCs/>
                <w:sz w:val="16"/>
                <w:szCs w:val="16"/>
              </w:rPr>
              <w:t>Y</w:t>
            </w:r>
            <w:r w:rsidRPr="002F2D01">
              <w:rPr>
                <w:rFonts w:asciiTheme="majorHAnsi" w:hAnsiTheme="majorHAnsi" w:cs="Arial"/>
                <w:sz w:val="16"/>
                <w:szCs w:val="16"/>
              </w:rPr>
              <w:br/>
              <w:t>=X-Q</w:t>
            </w:r>
          </w:p>
        </w:tc>
        <w:tc>
          <w:tcPr>
            <w:tcW w:w="709" w:type="dxa"/>
            <w:tcBorders>
              <w:top w:val="single" w:sz="4" w:space="0" w:color="auto"/>
              <w:left w:val="single" w:sz="4" w:space="0" w:color="auto"/>
              <w:bottom w:val="single" w:sz="4" w:space="0" w:color="auto"/>
              <w:right w:val="nil"/>
            </w:tcBorders>
            <w:shd w:val="clear" w:color="000000" w:fill="FFFFFF"/>
            <w:hideMark/>
          </w:tcPr>
          <w:p w14:paraId="1FDD272A" w14:textId="77777777" w:rsidR="00732F77" w:rsidRPr="002F2D01" w:rsidRDefault="00732F77"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T</w:t>
            </w:r>
          </w:p>
        </w:tc>
        <w:tc>
          <w:tcPr>
            <w:tcW w:w="708" w:type="dxa"/>
            <w:tcBorders>
              <w:top w:val="single" w:sz="4" w:space="0" w:color="auto"/>
              <w:left w:val="nil"/>
              <w:bottom w:val="single" w:sz="4" w:space="0" w:color="auto"/>
              <w:right w:val="nil"/>
            </w:tcBorders>
            <w:shd w:val="clear" w:color="000000" w:fill="FFFFFF"/>
            <w:hideMark/>
          </w:tcPr>
          <w:p w14:paraId="02342B03" w14:textId="77777777" w:rsidR="00732F77" w:rsidRPr="002F2D01" w:rsidRDefault="00732F77" w:rsidP="00CB0E93">
            <w:pPr>
              <w:spacing w:before="0" w:after="0"/>
              <w:ind w:left="57" w:right="57"/>
              <w:jc w:val="center"/>
              <w:rPr>
                <w:rFonts w:asciiTheme="majorHAnsi" w:hAnsiTheme="majorHAnsi" w:cs="Arial"/>
                <w:b/>
                <w:bCs/>
                <w:sz w:val="16"/>
                <w:szCs w:val="16"/>
              </w:rPr>
            </w:pPr>
            <w:r w:rsidRPr="002F2D01">
              <w:rPr>
                <w:rFonts w:asciiTheme="majorHAnsi" w:hAnsiTheme="majorHAnsi" w:cs="Arial"/>
                <w:b/>
                <w:bCs/>
                <w:sz w:val="16"/>
                <w:szCs w:val="16"/>
              </w:rPr>
              <w:t>AA</w:t>
            </w:r>
          </w:p>
        </w:tc>
        <w:tc>
          <w:tcPr>
            <w:tcW w:w="851" w:type="dxa"/>
            <w:tcBorders>
              <w:top w:val="single" w:sz="4" w:space="0" w:color="auto"/>
              <w:left w:val="nil"/>
              <w:bottom w:val="single" w:sz="4" w:space="0" w:color="auto"/>
              <w:right w:val="nil"/>
            </w:tcBorders>
            <w:shd w:val="clear" w:color="000000" w:fill="FFFFFF"/>
            <w:hideMark/>
          </w:tcPr>
          <w:p w14:paraId="2662C0C6" w14:textId="67432E96" w:rsidR="00732F77" w:rsidRPr="002F2D01" w:rsidRDefault="00FA2432" w:rsidP="00CB0E93">
            <w:pPr>
              <w:spacing w:before="0" w:after="0"/>
              <w:ind w:left="57" w:right="57"/>
              <w:jc w:val="center"/>
              <w:rPr>
                <w:rFonts w:asciiTheme="majorHAnsi" w:hAnsiTheme="majorHAnsi" w:cs="Arial"/>
                <w:sz w:val="16"/>
                <w:szCs w:val="16"/>
              </w:rPr>
            </w:pPr>
            <w:r w:rsidRPr="002F2D01">
              <w:rPr>
                <w:rFonts w:asciiTheme="majorHAnsi" w:hAnsiTheme="majorHAnsi" w:cs="Arial"/>
                <w:b/>
                <w:bCs/>
                <w:sz w:val="16"/>
                <w:szCs w:val="16"/>
              </w:rPr>
              <w:t>AF</w:t>
            </w:r>
            <w:r w:rsidR="00732F77" w:rsidRPr="002F2D01">
              <w:rPr>
                <w:rFonts w:asciiTheme="majorHAnsi" w:hAnsiTheme="majorHAnsi" w:cs="Arial"/>
                <w:sz w:val="16"/>
                <w:szCs w:val="16"/>
              </w:rPr>
              <w:br/>
              <w:t>=AA-T</w:t>
            </w:r>
          </w:p>
        </w:tc>
        <w:tc>
          <w:tcPr>
            <w:tcW w:w="708" w:type="dxa"/>
            <w:tcBorders>
              <w:top w:val="single" w:sz="4" w:space="0" w:color="auto"/>
              <w:left w:val="nil"/>
              <w:bottom w:val="single" w:sz="4" w:space="0" w:color="auto"/>
              <w:right w:val="single" w:sz="4" w:space="0" w:color="auto"/>
            </w:tcBorders>
            <w:shd w:val="clear" w:color="000000" w:fill="FFFFFF"/>
            <w:hideMark/>
          </w:tcPr>
          <w:p w14:paraId="358A25A1" w14:textId="396053E6" w:rsidR="00732F77" w:rsidRPr="002F2D01" w:rsidRDefault="00732F77" w:rsidP="00CB0E93">
            <w:pPr>
              <w:spacing w:before="0" w:after="0"/>
              <w:ind w:left="57" w:right="57"/>
              <w:jc w:val="center"/>
              <w:rPr>
                <w:rFonts w:asciiTheme="majorHAnsi" w:hAnsiTheme="majorHAnsi" w:cs="Arial"/>
                <w:sz w:val="16"/>
                <w:szCs w:val="16"/>
              </w:rPr>
            </w:pPr>
            <w:r w:rsidRPr="002F2D01">
              <w:rPr>
                <w:rFonts w:asciiTheme="majorHAnsi" w:hAnsiTheme="majorHAnsi" w:cs="Arial"/>
                <w:sz w:val="16"/>
                <w:szCs w:val="16"/>
              </w:rPr>
              <w:br/>
              <w:t>=A</w:t>
            </w:r>
            <w:r w:rsidR="00FA2432" w:rsidRPr="002F2D01">
              <w:rPr>
                <w:rFonts w:asciiTheme="majorHAnsi" w:hAnsiTheme="majorHAnsi" w:cs="Arial"/>
                <w:sz w:val="16"/>
                <w:szCs w:val="16"/>
              </w:rPr>
              <w:t>F</w:t>
            </w:r>
            <w:r w:rsidRPr="002F2D01">
              <w:rPr>
                <w:rFonts w:asciiTheme="majorHAnsi" w:hAnsiTheme="majorHAnsi" w:cs="Arial"/>
                <w:sz w:val="16"/>
                <w:szCs w:val="16"/>
              </w:rPr>
              <w:t>/T</w:t>
            </w:r>
          </w:p>
        </w:tc>
        <w:tc>
          <w:tcPr>
            <w:tcW w:w="710" w:type="dxa"/>
            <w:tcBorders>
              <w:top w:val="single" w:sz="4" w:space="0" w:color="auto"/>
              <w:left w:val="nil"/>
              <w:bottom w:val="single" w:sz="4" w:space="0" w:color="auto"/>
              <w:right w:val="nil"/>
            </w:tcBorders>
            <w:shd w:val="clear" w:color="000000" w:fill="FFFFFF"/>
            <w:hideMark/>
          </w:tcPr>
          <w:p w14:paraId="0FD256BA" w14:textId="38AA732B" w:rsidR="00732F77" w:rsidRPr="002F2D01" w:rsidRDefault="00732F77" w:rsidP="00CB0E93">
            <w:pPr>
              <w:spacing w:before="0" w:after="0"/>
              <w:ind w:left="57" w:right="57"/>
              <w:jc w:val="center"/>
              <w:rPr>
                <w:rFonts w:asciiTheme="majorHAnsi" w:hAnsiTheme="majorHAnsi" w:cs="Arial"/>
                <w:sz w:val="16"/>
                <w:szCs w:val="16"/>
              </w:rPr>
            </w:pPr>
            <w:r w:rsidRPr="002F2D01">
              <w:rPr>
                <w:rFonts w:asciiTheme="majorHAnsi" w:hAnsiTheme="majorHAnsi" w:cs="Arial"/>
                <w:b/>
                <w:bCs/>
                <w:sz w:val="16"/>
                <w:szCs w:val="16"/>
              </w:rPr>
              <w:t>A</w:t>
            </w:r>
            <w:r w:rsidR="00FA2432" w:rsidRPr="002F2D01">
              <w:rPr>
                <w:rFonts w:asciiTheme="majorHAnsi" w:hAnsiTheme="majorHAnsi" w:cs="Arial"/>
                <w:b/>
                <w:bCs/>
                <w:sz w:val="16"/>
                <w:szCs w:val="16"/>
              </w:rPr>
              <w:t>G</w:t>
            </w:r>
            <w:r w:rsidRPr="002F2D01">
              <w:rPr>
                <w:rFonts w:asciiTheme="majorHAnsi" w:hAnsiTheme="majorHAnsi" w:cs="Arial"/>
                <w:sz w:val="16"/>
                <w:szCs w:val="16"/>
              </w:rPr>
              <w:br/>
              <w:t>=Q-T</w:t>
            </w:r>
          </w:p>
        </w:tc>
        <w:tc>
          <w:tcPr>
            <w:tcW w:w="710" w:type="dxa"/>
            <w:tcBorders>
              <w:top w:val="single" w:sz="4" w:space="0" w:color="auto"/>
              <w:left w:val="nil"/>
              <w:bottom w:val="single" w:sz="4" w:space="0" w:color="auto"/>
              <w:right w:val="nil"/>
            </w:tcBorders>
            <w:shd w:val="clear" w:color="000000" w:fill="FFFFFF"/>
            <w:hideMark/>
          </w:tcPr>
          <w:p w14:paraId="1355CAC1" w14:textId="70BEA1DF" w:rsidR="00732F77" w:rsidRPr="002F2D01" w:rsidRDefault="00732F77" w:rsidP="00CB0E93">
            <w:pPr>
              <w:spacing w:before="0" w:after="0"/>
              <w:ind w:left="57" w:right="57"/>
              <w:jc w:val="center"/>
              <w:rPr>
                <w:rFonts w:asciiTheme="majorHAnsi" w:hAnsiTheme="majorHAnsi" w:cs="Arial"/>
                <w:sz w:val="16"/>
                <w:szCs w:val="16"/>
              </w:rPr>
            </w:pPr>
            <w:r w:rsidRPr="002F2D01">
              <w:rPr>
                <w:rFonts w:asciiTheme="majorHAnsi" w:hAnsiTheme="majorHAnsi" w:cs="Arial"/>
                <w:b/>
                <w:bCs/>
                <w:sz w:val="16"/>
                <w:szCs w:val="16"/>
              </w:rPr>
              <w:t>A</w:t>
            </w:r>
            <w:r w:rsidR="00FA2432" w:rsidRPr="002F2D01">
              <w:rPr>
                <w:rFonts w:asciiTheme="majorHAnsi" w:hAnsiTheme="majorHAnsi" w:cs="Arial"/>
                <w:b/>
                <w:bCs/>
                <w:sz w:val="16"/>
                <w:szCs w:val="16"/>
              </w:rPr>
              <w:t>H</w:t>
            </w:r>
            <w:r w:rsidRPr="002F2D01">
              <w:rPr>
                <w:rFonts w:asciiTheme="majorHAnsi" w:hAnsiTheme="majorHAnsi" w:cs="Arial"/>
                <w:sz w:val="16"/>
                <w:szCs w:val="16"/>
              </w:rPr>
              <w:br/>
              <w:t>=X-AA</w:t>
            </w:r>
          </w:p>
        </w:tc>
        <w:tc>
          <w:tcPr>
            <w:tcW w:w="848" w:type="dxa"/>
            <w:tcBorders>
              <w:top w:val="single" w:sz="4" w:space="0" w:color="auto"/>
              <w:left w:val="nil"/>
              <w:bottom w:val="single" w:sz="4" w:space="0" w:color="auto"/>
              <w:right w:val="nil"/>
            </w:tcBorders>
            <w:shd w:val="clear" w:color="000000" w:fill="FFFFFF"/>
            <w:hideMark/>
          </w:tcPr>
          <w:p w14:paraId="5D5015E5" w14:textId="0B2A7737" w:rsidR="00732F77" w:rsidRPr="002F2D01" w:rsidRDefault="00732F77" w:rsidP="00CB0E93">
            <w:pPr>
              <w:spacing w:before="0" w:after="0"/>
              <w:ind w:left="57" w:right="57"/>
              <w:jc w:val="center"/>
              <w:rPr>
                <w:rFonts w:asciiTheme="majorHAnsi" w:hAnsiTheme="majorHAnsi" w:cs="Arial"/>
                <w:sz w:val="16"/>
                <w:szCs w:val="16"/>
              </w:rPr>
            </w:pPr>
            <w:r w:rsidRPr="002F2D01">
              <w:rPr>
                <w:rFonts w:asciiTheme="majorHAnsi" w:hAnsiTheme="majorHAnsi" w:cs="Arial"/>
                <w:b/>
                <w:bCs/>
                <w:sz w:val="16"/>
                <w:szCs w:val="16"/>
              </w:rPr>
              <w:t>A</w:t>
            </w:r>
            <w:r w:rsidR="00FA2432" w:rsidRPr="002F2D01">
              <w:rPr>
                <w:rFonts w:asciiTheme="majorHAnsi" w:hAnsiTheme="majorHAnsi" w:cs="Arial"/>
                <w:b/>
                <w:bCs/>
                <w:sz w:val="16"/>
                <w:szCs w:val="16"/>
              </w:rPr>
              <w:t>I</w:t>
            </w:r>
            <w:r w:rsidRPr="002F2D01">
              <w:rPr>
                <w:rFonts w:asciiTheme="majorHAnsi" w:hAnsiTheme="majorHAnsi" w:cs="Arial"/>
                <w:sz w:val="16"/>
                <w:szCs w:val="16"/>
              </w:rPr>
              <w:br/>
              <w:t>=A</w:t>
            </w:r>
            <w:r w:rsidR="00FA2432" w:rsidRPr="002F2D01">
              <w:rPr>
                <w:rFonts w:asciiTheme="majorHAnsi" w:hAnsiTheme="majorHAnsi" w:cs="Arial"/>
                <w:sz w:val="16"/>
                <w:szCs w:val="16"/>
              </w:rPr>
              <w:t>H</w:t>
            </w:r>
            <w:r w:rsidRPr="002F2D01">
              <w:rPr>
                <w:rFonts w:asciiTheme="majorHAnsi" w:hAnsiTheme="majorHAnsi" w:cs="Arial"/>
                <w:sz w:val="16"/>
                <w:szCs w:val="16"/>
              </w:rPr>
              <w:t>-A</w:t>
            </w:r>
            <w:r w:rsidR="00FA2432" w:rsidRPr="002F2D01">
              <w:rPr>
                <w:rFonts w:asciiTheme="majorHAnsi" w:hAnsiTheme="majorHAnsi" w:cs="Arial"/>
                <w:sz w:val="16"/>
                <w:szCs w:val="16"/>
              </w:rPr>
              <w:t>G</w:t>
            </w:r>
          </w:p>
        </w:tc>
        <w:tc>
          <w:tcPr>
            <w:tcW w:w="727" w:type="dxa"/>
            <w:tcBorders>
              <w:top w:val="single" w:sz="4" w:space="0" w:color="auto"/>
              <w:left w:val="nil"/>
              <w:bottom w:val="single" w:sz="4" w:space="0" w:color="auto"/>
              <w:right w:val="single" w:sz="4" w:space="0" w:color="auto"/>
            </w:tcBorders>
            <w:shd w:val="clear" w:color="000000" w:fill="FFFFFF"/>
            <w:hideMark/>
          </w:tcPr>
          <w:p w14:paraId="6464CC7A" w14:textId="43F58900" w:rsidR="00732F77" w:rsidRPr="002F2D01" w:rsidRDefault="00732F77" w:rsidP="00CB0E93">
            <w:pPr>
              <w:spacing w:before="0" w:after="0"/>
              <w:ind w:left="57" w:right="57"/>
              <w:jc w:val="center"/>
              <w:rPr>
                <w:rFonts w:asciiTheme="majorHAnsi" w:hAnsiTheme="majorHAnsi" w:cs="Arial"/>
                <w:sz w:val="16"/>
                <w:szCs w:val="16"/>
              </w:rPr>
            </w:pPr>
            <w:r w:rsidRPr="002F2D01">
              <w:rPr>
                <w:rFonts w:asciiTheme="majorHAnsi" w:hAnsiTheme="majorHAnsi" w:cs="Arial"/>
                <w:sz w:val="16"/>
                <w:szCs w:val="16"/>
              </w:rPr>
              <w:br/>
              <w:t>=A</w:t>
            </w:r>
            <w:r w:rsidR="00FA2432" w:rsidRPr="002F2D01">
              <w:rPr>
                <w:rFonts w:asciiTheme="majorHAnsi" w:hAnsiTheme="majorHAnsi" w:cs="Arial"/>
                <w:sz w:val="16"/>
                <w:szCs w:val="16"/>
              </w:rPr>
              <w:t>I</w:t>
            </w:r>
            <w:r w:rsidRPr="002F2D01">
              <w:rPr>
                <w:rFonts w:asciiTheme="majorHAnsi" w:hAnsiTheme="majorHAnsi" w:cs="Arial"/>
                <w:sz w:val="16"/>
                <w:szCs w:val="16"/>
              </w:rPr>
              <w:t>/A</w:t>
            </w:r>
            <w:r w:rsidR="00FA2432" w:rsidRPr="002F2D01">
              <w:rPr>
                <w:rFonts w:asciiTheme="majorHAnsi" w:hAnsiTheme="majorHAnsi" w:cs="Arial"/>
                <w:sz w:val="16"/>
                <w:szCs w:val="16"/>
              </w:rPr>
              <w:t>G</w:t>
            </w:r>
          </w:p>
        </w:tc>
        <w:tc>
          <w:tcPr>
            <w:tcW w:w="1184" w:type="dxa"/>
            <w:tcBorders>
              <w:top w:val="single" w:sz="4" w:space="0" w:color="000000"/>
              <w:left w:val="single" w:sz="4" w:space="0" w:color="auto"/>
              <w:bottom w:val="single" w:sz="4" w:space="0" w:color="auto"/>
              <w:right w:val="single" w:sz="4" w:space="0" w:color="auto"/>
            </w:tcBorders>
            <w:shd w:val="clear" w:color="000000" w:fill="FFFFFF"/>
            <w:hideMark/>
          </w:tcPr>
          <w:p w14:paraId="0A055FCE" w14:textId="31B05C1F" w:rsidR="00732F77" w:rsidRPr="002F2D01" w:rsidRDefault="00732F77" w:rsidP="00CB0E93">
            <w:pPr>
              <w:spacing w:before="0" w:after="0"/>
              <w:ind w:left="57" w:right="57"/>
              <w:jc w:val="center"/>
              <w:rPr>
                <w:rFonts w:asciiTheme="majorHAnsi" w:hAnsiTheme="majorHAnsi" w:cs="Arial"/>
                <w:sz w:val="16"/>
                <w:szCs w:val="16"/>
              </w:rPr>
            </w:pPr>
            <w:r w:rsidRPr="002F2D01">
              <w:rPr>
                <w:rFonts w:asciiTheme="majorHAnsi" w:hAnsiTheme="majorHAnsi" w:cs="Arial"/>
                <w:sz w:val="16"/>
                <w:szCs w:val="16"/>
              </w:rPr>
              <w:br/>
              <w:t>=A</w:t>
            </w:r>
            <w:r w:rsidR="00FA2432" w:rsidRPr="002F2D01">
              <w:rPr>
                <w:rFonts w:asciiTheme="majorHAnsi" w:hAnsiTheme="majorHAnsi" w:cs="Arial"/>
                <w:sz w:val="16"/>
                <w:szCs w:val="16"/>
              </w:rPr>
              <w:t>F</w:t>
            </w:r>
            <w:r w:rsidRPr="002F2D01">
              <w:rPr>
                <w:rFonts w:asciiTheme="majorHAnsi" w:hAnsiTheme="majorHAnsi" w:cs="Arial"/>
                <w:sz w:val="16"/>
                <w:szCs w:val="16"/>
              </w:rPr>
              <w:t>/Y</w:t>
            </w:r>
          </w:p>
        </w:tc>
        <w:tc>
          <w:tcPr>
            <w:tcW w:w="1208" w:type="dxa"/>
            <w:tcBorders>
              <w:top w:val="single" w:sz="4" w:space="0" w:color="000000"/>
              <w:left w:val="single" w:sz="4" w:space="0" w:color="auto"/>
              <w:bottom w:val="single" w:sz="4" w:space="0" w:color="auto"/>
              <w:right w:val="single" w:sz="4" w:space="0" w:color="auto"/>
            </w:tcBorders>
            <w:shd w:val="clear" w:color="000000" w:fill="FFFFFF"/>
            <w:hideMark/>
          </w:tcPr>
          <w:p w14:paraId="0B392281" w14:textId="62B5EC9E" w:rsidR="00732F77" w:rsidRPr="002F2D01" w:rsidRDefault="00732F77" w:rsidP="00CB0E93">
            <w:pPr>
              <w:spacing w:before="0" w:after="0"/>
              <w:ind w:left="57" w:right="57"/>
              <w:jc w:val="center"/>
              <w:rPr>
                <w:rFonts w:asciiTheme="majorHAnsi" w:hAnsiTheme="majorHAnsi" w:cs="Arial"/>
                <w:sz w:val="16"/>
                <w:szCs w:val="16"/>
              </w:rPr>
            </w:pPr>
            <w:r w:rsidRPr="002F2D01">
              <w:rPr>
                <w:rFonts w:asciiTheme="majorHAnsi" w:hAnsiTheme="majorHAnsi" w:cs="Arial"/>
                <w:sz w:val="16"/>
                <w:szCs w:val="16"/>
              </w:rPr>
              <w:br/>
              <w:t>=A</w:t>
            </w:r>
            <w:r w:rsidR="00FA2432" w:rsidRPr="002F2D01">
              <w:rPr>
                <w:rFonts w:asciiTheme="majorHAnsi" w:hAnsiTheme="majorHAnsi" w:cs="Arial"/>
                <w:sz w:val="16"/>
                <w:szCs w:val="16"/>
              </w:rPr>
              <w:t>I</w:t>
            </w:r>
            <w:r w:rsidRPr="002F2D01">
              <w:rPr>
                <w:rFonts w:asciiTheme="majorHAnsi" w:hAnsiTheme="majorHAnsi" w:cs="Arial"/>
                <w:sz w:val="16"/>
                <w:szCs w:val="16"/>
              </w:rPr>
              <w:t>/Y</w:t>
            </w:r>
          </w:p>
        </w:tc>
        <w:tc>
          <w:tcPr>
            <w:tcW w:w="850" w:type="dxa"/>
            <w:tcBorders>
              <w:top w:val="single" w:sz="4" w:space="0" w:color="000000"/>
              <w:left w:val="single" w:sz="4" w:space="0" w:color="auto"/>
              <w:bottom w:val="single" w:sz="4" w:space="0" w:color="auto"/>
              <w:right w:val="single" w:sz="4" w:space="0" w:color="auto"/>
            </w:tcBorders>
            <w:shd w:val="clear" w:color="000000" w:fill="FFFFFF"/>
            <w:hideMark/>
          </w:tcPr>
          <w:p w14:paraId="29ED58FA" w14:textId="77777777" w:rsidR="00732F77" w:rsidRPr="002F2D01" w:rsidRDefault="00732F77" w:rsidP="00CB0E93">
            <w:pPr>
              <w:spacing w:before="0" w:after="0"/>
              <w:ind w:left="57" w:right="57"/>
              <w:jc w:val="center"/>
              <w:rPr>
                <w:rFonts w:asciiTheme="majorHAnsi" w:hAnsiTheme="majorHAnsi" w:cs="Arial"/>
                <w:sz w:val="16"/>
                <w:szCs w:val="16"/>
              </w:rPr>
            </w:pPr>
            <w:r w:rsidRPr="002F2D01">
              <w:rPr>
                <w:rFonts w:asciiTheme="majorHAnsi" w:hAnsiTheme="majorHAnsi" w:cs="Arial"/>
                <w:sz w:val="16"/>
                <w:szCs w:val="16"/>
              </w:rPr>
              <w:t> </w:t>
            </w:r>
          </w:p>
        </w:tc>
        <w:tc>
          <w:tcPr>
            <w:tcW w:w="851" w:type="dxa"/>
            <w:tcBorders>
              <w:top w:val="nil"/>
              <w:left w:val="single" w:sz="4" w:space="0" w:color="auto"/>
              <w:bottom w:val="single" w:sz="4" w:space="0" w:color="auto"/>
              <w:right w:val="nil"/>
            </w:tcBorders>
            <w:shd w:val="clear" w:color="000000" w:fill="FFFFFF"/>
            <w:hideMark/>
          </w:tcPr>
          <w:p w14:paraId="117B2572" w14:textId="77777777" w:rsidR="00732F77" w:rsidRPr="002F2D01" w:rsidRDefault="00732F77" w:rsidP="00CB0E93">
            <w:pPr>
              <w:spacing w:before="0" w:after="0"/>
              <w:ind w:left="57" w:right="57"/>
              <w:jc w:val="center"/>
              <w:rPr>
                <w:rFonts w:asciiTheme="majorHAnsi" w:hAnsiTheme="majorHAnsi" w:cs="Arial"/>
                <w:sz w:val="16"/>
                <w:szCs w:val="16"/>
              </w:rPr>
            </w:pPr>
            <w:r w:rsidRPr="002F2D01">
              <w:rPr>
                <w:rFonts w:asciiTheme="majorHAnsi" w:hAnsiTheme="majorHAnsi" w:cs="Arial"/>
                <w:sz w:val="16"/>
                <w:szCs w:val="16"/>
              </w:rPr>
              <w:t> </w:t>
            </w:r>
          </w:p>
        </w:tc>
      </w:tr>
      <w:tr w:rsidR="00732F77" w14:paraId="3F896F9A" w14:textId="77777777" w:rsidTr="004C0DDC">
        <w:trPr>
          <w:trHeight w:val="340"/>
        </w:trPr>
        <w:tc>
          <w:tcPr>
            <w:tcW w:w="14459" w:type="dxa"/>
            <w:gridSpan w:val="16"/>
            <w:tcBorders>
              <w:top w:val="single" w:sz="4" w:space="0" w:color="auto"/>
              <w:left w:val="nil"/>
              <w:bottom w:val="single" w:sz="4" w:space="0" w:color="auto"/>
              <w:right w:val="nil"/>
            </w:tcBorders>
            <w:shd w:val="clear" w:color="auto" w:fill="auto"/>
            <w:vAlign w:val="center"/>
            <w:hideMark/>
          </w:tcPr>
          <w:p w14:paraId="2215F5F5" w14:textId="77777777" w:rsidR="00732F77" w:rsidRPr="002F2D01" w:rsidRDefault="00732F77"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Victoria RFA regions</w:t>
            </w:r>
          </w:p>
        </w:tc>
      </w:tr>
      <w:tr w:rsidR="00443D8F" w14:paraId="0658872A" w14:textId="77777777" w:rsidTr="004C0DDC">
        <w:trPr>
          <w:trHeight w:val="283"/>
        </w:trPr>
        <w:tc>
          <w:tcPr>
            <w:tcW w:w="1843" w:type="dxa"/>
            <w:tcBorders>
              <w:top w:val="nil"/>
              <w:left w:val="nil"/>
              <w:bottom w:val="nil"/>
              <w:right w:val="single" w:sz="4" w:space="0" w:color="auto"/>
            </w:tcBorders>
            <w:shd w:val="clear" w:color="000000" w:fill="FFFFFF"/>
            <w:noWrap/>
            <w:vAlign w:val="center"/>
            <w:hideMark/>
          </w:tcPr>
          <w:p w14:paraId="168B383F" w14:textId="77777777" w:rsidR="00443D8F" w:rsidRPr="00CD538E" w:rsidRDefault="00443D8F" w:rsidP="00CB0E93">
            <w:pPr>
              <w:spacing w:before="0" w:after="0"/>
              <w:ind w:left="57" w:right="57"/>
              <w:rPr>
                <w:rFonts w:asciiTheme="majorHAnsi" w:hAnsiTheme="majorHAnsi" w:cs="Arial"/>
                <w:sz w:val="16"/>
                <w:szCs w:val="16"/>
              </w:rPr>
            </w:pPr>
            <w:r w:rsidRPr="00CD538E">
              <w:rPr>
                <w:rFonts w:asciiTheme="majorHAnsi" w:hAnsiTheme="majorHAnsi" w:cs="Arial"/>
                <w:sz w:val="16"/>
                <w:szCs w:val="16"/>
              </w:rPr>
              <w:t>East Gippsland</w:t>
            </w:r>
          </w:p>
        </w:tc>
        <w:tc>
          <w:tcPr>
            <w:tcW w:w="708" w:type="dxa"/>
            <w:tcBorders>
              <w:top w:val="nil"/>
              <w:left w:val="nil"/>
              <w:bottom w:val="nil"/>
              <w:right w:val="nil"/>
            </w:tcBorders>
            <w:shd w:val="clear" w:color="auto" w:fill="FFFFFF" w:themeFill="background1"/>
            <w:noWrap/>
            <w:vAlign w:val="center"/>
            <w:hideMark/>
          </w:tcPr>
          <w:p w14:paraId="75F97F6E" w14:textId="4DF293A5"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224,675</w:t>
            </w:r>
          </w:p>
        </w:tc>
        <w:tc>
          <w:tcPr>
            <w:tcW w:w="993" w:type="dxa"/>
            <w:tcBorders>
              <w:top w:val="nil"/>
              <w:left w:val="nil"/>
              <w:bottom w:val="nil"/>
              <w:right w:val="nil"/>
            </w:tcBorders>
            <w:shd w:val="clear" w:color="auto" w:fill="FFFFFF" w:themeFill="background1"/>
            <w:noWrap/>
            <w:vAlign w:val="center"/>
            <w:hideMark/>
          </w:tcPr>
          <w:p w14:paraId="7F9AA827" w14:textId="0477071F"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88,400</w:t>
            </w:r>
          </w:p>
        </w:tc>
        <w:tc>
          <w:tcPr>
            <w:tcW w:w="851" w:type="dxa"/>
            <w:tcBorders>
              <w:top w:val="nil"/>
              <w:left w:val="nil"/>
              <w:bottom w:val="nil"/>
              <w:right w:val="single" w:sz="4" w:space="0" w:color="auto"/>
            </w:tcBorders>
            <w:shd w:val="clear" w:color="auto" w:fill="FFFFFF" w:themeFill="background1"/>
            <w:noWrap/>
            <w:vAlign w:val="center"/>
            <w:hideMark/>
          </w:tcPr>
          <w:p w14:paraId="6B31D07C" w14:textId="204D8281"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-136,275</w:t>
            </w:r>
          </w:p>
        </w:tc>
        <w:tc>
          <w:tcPr>
            <w:tcW w:w="709" w:type="dxa"/>
            <w:tcBorders>
              <w:top w:val="nil"/>
              <w:left w:val="nil"/>
              <w:bottom w:val="nil"/>
              <w:right w:val="nil"/>
            </w:tcBorders>
            <w:shd w:val="clear" w:color="auto" w:fill="FFFFFF" w:themeFill="background1"/>
            <w:noWrap/>
            <w:vAlign w:val="center"/>
            <w:hideMark/>
          </w:tcPr>
          <w:p w14:paraId="711809AC" w14:textId="4CD87D39"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152,803</w:t>
            </w:r>
          </w:p>
        </w:tc>
        <w:tc>
          <w:tcPr>
            <w:tcW w:w="708" w:type="dxa"/>
            <w:tcBorders>
              <w:top w:val="nil"/>
              <w:left w:val="nil"/>
              <w:bottom w:val="nil"/>
              <w:right w:val="nil"/>
            </w:tcBorders>
            <w:shd w:val="clear" w:color="auto" w:fill="FFFFFF" w:themeFill="background1"/>
            <w:noWrap/>
            <w:vAlign w:val="center"/>
            <w:hideMark/>
          </w:tcPr>
          <w:p w14:paraId="42380997" w14:textId="0C0DC504"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63,700</w:t>
            </w:r>
          </w:p>
        </w:tc>
        <w:tc>
          <w:tcPr>
            <w:tcW w:w="851" w:type="dxa"/>
            <w:tcBorders>
              <w:top w:val="nil"/>
              <w:left w:val="nil"/>
              <w:bottom w:val="nil"/>
              <w:right w:val="nil"/>
            </w:tcBorders>
            <w:shd w:val="clear" w:color="auto" w:fill="FFFFFF" w:themeFill="background1"/>
            <w:noWrap/>
            <w:vAlign w:val="center"/>
            <w:hideMark/>
          </w:tcPr>
          <w:p w14:paraId="7AD4B44D" w14:textId="07C3E026"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-89,103</w:t>
            </w:r>
          </w:p>
        </w:tc>
        <w:tc>
          <w:tcPr>
            <w:tcW w:w="7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D15F4FE" w14:textId="02761B3E"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-58</w:t>
            </w:r>
          </w:p>
        </w:tc>
        <w:tc>
          <w:tcPr>
            <w:tcW w:w="710" w:type="dxa"/>
            <w:tcBorders>
              <w:top w:val="nil"/>
              <w:left w:val="nil"/>
              <w:bottom w:val="nil"/>
              <w:right w:val="nil"/>
            </w:tcBorders>
            <w:shd w:val="clear" w:color="auto" w:fill="FFFFFF" w:themeFill="background1"/>
            <w:noWrap/>
            <w:vAlign w:val="center"/>
            <w:hideMark/>
          </w:tcPr>
          <w:p w14:paraId="5E649A66" w14:textId="7D95FD14"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71,872</w:t>
            </w:r>
          </w:p>
        </w:tc>
        <w:tc>
          <w:tcPr>
            <w:tcW w:w="710" w:type="dxa"/>
            <w:tcBorders>
              <w:top w:val="nil"/>
              <w:left w:val="nil"/>
              <w:bottom w:val="nil"/>
              <w:right w:val="nil"/>
            </w:tcBorders>
            <w:shd w:val="clear" w:color="auto" w:fill="FFFFFF" w:themeFill="background1"/>
            <w:noWrap/>
            <w:vAlign w:val="center"/>
            <w:hideMark/>
          </w:tcPr>
          <w:p w14:paraId="54842AFF" w14:textId="68EF65E7"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24,700</w:t>
            </w:r>
          </w:p>
        </w:tc>
        <w:tc>
          <w:tcPr>
            <w:tcW w:w="848" w:type="dxa"/>
            <w:tcBorders>
              <w:top w:val="nil"/>
              <w:left w:val="nil"/>
              <w:bottom w:val="nil"/>
              <w:right w:val="nil"/>
            </w:tcBorders>
            <w:shd w:val="clear" w:color="auto" w:fill="FFFFFF" w:themeFill="background1"/>
            <w:noWrap/>
            <w:vAlign w:val="center"/>
            <w:hideMark/>
          </w:tcPr>
          <w:p w14:paraId="6D7260B6" w14:textId="090E6D4D"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-47,172</w:t>
            </w:r>
          </w:p>
        </w:tc>
        <w:tc>
          <w:tcPr>
            <w:tcW w:w="727"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57F50B6B" w14:textId="2084D9F0"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-66</w:t>
            </w:r>
          </w:p>
        </w:tc>
        <w:tc>
          <w:tcPr>
            <w:tcW w:w="118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EC3F7E3" w14:textId="38B02D23"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65</w:t>
            </w:r>
          </w:p>
        </w:tc>
        <w:tc>
          <w:tcPr>
            <w:tcW w:w="12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F09AE82" w14:textId="4652ABF3"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35</w:t>
            </w:r>
          </w:p>
        </w:tc>
        <w:tc>
          <w:tcPr>
            <w:tcW w:w="85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178928F" w14:textId="1E929A74"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26</w:t>
            </w:r>
          </w:p>
        </w:tc>
        <w:tc>
          <w:tcPr>
            <w:tcW w:w="851" w:type="dxa"/>
            <w:tcBorders>
              <w:top w:val="nil"/>
              <w:left w:val="nil"/>
              <w:bottom w:val="nil"/>
              <w:right w:val="nil"/>
            </w:tcBorders>
            <w:shd w:val="clear" w:color="auto" w:fill="FFFFFF" w:themeFill="background1"/>
            <w:noWrap/>
            <w:tcMar>
              <w:top w:w="0" w:type="dxa"/>
              <w:left w:w="0" w:type="dxa"/>
              <w:bottom w:w="0" w:type="dxa"/>
              <w:right w:w="180" w:type="dxa"/>
            </w:tcMar>
            <w:vAlign w:val="center"/>
            <w:hideMark/>
          </w:tcPr>
          <w:p w14:paraId="699B4FFD" w14:textId="40BBB203"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45</w:t>
            </w:r>
          </w:p>
        </w:tc>
      </w:tr>
      <w:tr w:rsidR="00443D8F" w14:paraId="5CBDFF37" w14:textId="77777777" w:rsidTr="004C0DDC">
        <w:trPr>
          <w:trHeight w:val="283"/>
        </w:trPr>
        <w:tc>
          <w:tcPr>
            <w:tcW w:w="1843" w:type="dxa"/>
            <w:tcBorders>
              <w:top w:val="nil"/>
              <w:left w:val="nil"/>
              <w:bottom w:val="nil"/>
              <w:right w:val="single" w:sz="4" w:space="0" w:color="auto"/>
            </w:tcBorders>
            <w:shd w:val="clear" w:color="000000" w:fill="FFFFFF"/>
            <w:noWrap/>
            <w:vAlign w:val="center"/>
            <w:hideMark/>
          </w:tcPr>
          <w:p w14:paraId="0D45F91A" w14:textId="77777777" w:rsidR="00443D8F" w:rsidRPr="00CD538E" w:rsidRDefault="00443D8F" w:rsidP="00CB0E93">
            <w:pPr>
              <w:spacing w:before="0" w:after="0"/>
              <w:ind w:left="57" w:right="57"/>
              <w:rPr>
                <w:rFonts w:asciiTheme="majorHAnsi" w:hAnsiTheme="majorHAnsi" w:cs="Arial"/>
                <w:sz w:val="16"/>
                <w:szCs w:val="16"/>
              </w:rPr>
            </w:pPr>
            <w:r w:rsidRPr="00CD538E">
              <w:rPr>
                <w:rFonts w:asciiTheme="majorHAnsi" w:hAnsiTheme="majorHAnsi" w:cs="Arial"/>
                <w:sz w:val="16"/>
                <w:szCs w:val="16"/>
              </w:rPr>
              <w:t>Central Highlands</w:t>
            </w:r>
          </w:p>
        </w:tc>
        <w:tc>
          <w:tcPr>
            <w:tcW w:w="708" w:type="dxa"/>
            <w:tcBorders>
              <w:top w:val="nil"/>
              <w:left w:val="nil"/>
              <w:bottom w:val="nil"/>
              <w:right w:val="nil"/>
            </w:tcBorders>
            <w:shd w:val="clear" w:color="auto" w:fill="FFFFFF" w:themeFill="background1"/>
            <w:noWrap/>
            <w:vAlign w:val="center"/>
            <w:hideMark/>
          </w:tcPr>
          <w:p w14:paraId="50721FAE" w14:textId="12D9DD96"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25,951</w:t>
            </w:r>
          </w:p>
        </w:tc>
        <w:tc>
          <w:tcPr>
            <w:tcW w:w="993" w:type="dxa"/>
            <w:tcBorders>
              <w:top w:val="nil"/>
              <w:left w:val="nil"/>
              <w:bottom w:val="nil"/>
              <w:right w:val="nil"/>
            </w:tcBorders>
            <w:shd w:val="clear" w:color="auto" w:fill="FFFFFF" w:themeFill="background1"/>
            <w:noWrap/>
            <w:vAlign w:val="center"/>
            <w:hideMark/>
          </w:tcPr>
          <w:p w14:paraId="453629C2" w14:textId="3818572E"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8,600</w:t>
            </w:r>
          </w:p>
        </w:tc>
        <w:tc>
          <w:tcPr>
            <w:tcW w:w="851" w:type="dxa"/>
            <w:tcBorders>
              <w:top w:val="nil"/>
              <w:left w:val="nil"/>
              <w:bottom w:val="nil"/>
              <w:right w:val="single" w:sz="4" w:space="0" w:color="auto"/>
            </w:tcBorders>
            <w:shd w:val="clear" w:color="auto" w:fill="FFFFFF" w:themeFill="background1"/>
            <w:noWrap/>
            <w:vAlign w:val="center"/>
            <w:hideMark/>
          </w:tcPr>
          <w:p w14:paraId="49ECBF42" w14:textId="4AED9280"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-17,351</w:t>
            </w:r>
          </w:p>
        </w:tc>
        <w:tc>
          <w:tcPr>
            <w:tcW w:w="709" w:type="dxa"/>
            <w:tcBorders>
              <w:top w:val="nil"/>
              <w:left w:val="nil"/>
              <w:bottom w:val="nil"/>
              <w:right w:val="nil"/>
            </w:tcBorders>
            <w:shd w:val="clear" w:color="auto" w:fill="FFFFFF" w:themeFill="background1"/>
            <w:noWrap/>
            <w:vAlign w:val="center"/>
            <w:hideMark/>
          </w:tcPr>
          <w:p w14:paraId="1A722145" w14:textId="5D1372BA"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22,000</w:t>
            </w:r>
          </w:p>
        </w:tc>
        <w:tc>
          <w:tcPr>
            <w:tcW w:w="708" w:type="dxa"/>
            <w:tcBorders>
              <w:top w:val="nil"/>
              <w:left w:val="nil"/>
              <w:bottom w:val="nil"/>
              <w:right w:val="nil"/>
            </w:tcBorders>
            <w:shd w:val="clear" w:color="auto" w:fill="FFFFFF" w:themeFill="background1"/>
            <w:noWrap/>
            <w:vAlign w:val="center"/>
            <w:hideMark/>
          </w:tcPr>
          <w:p w14:paraId="277302D3" w14:textId="02B7FA37"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6,300</w:t>
            </w:r>
          </w:p>
        </w:tc>
        <w:tc>
          <w:tcPr>
            <w:tcW w:w="851" w:type="dxa"/>
            <w:tcBorders>
              <w:top w:val="nil"/>
              <w:left w:val="nil"/>
              <w:bottom w:val="nil"/>
              <w:right w:val="nil"/>
            </w:tcBorders>
            <w:shd w:val="clear" w:color="auto" w:fill="FFFFFF" w:themeFill="background1"/>
            <w:noWrap/>
            <w:vAlign w:val="center"/>
            <w:hideMark/>
          </w:tcPr>
          <w:p w14:paraId="02401952" w14:textId="0A8DA549"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-15,700</w:t>
            </w:r>
          </w:p>
        </w:tc>
        <w:tc>
          <w:tcPr>
            <w:tcW w:w="7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701808E5" w14:textId="6A50BFD6"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-71</w:t>
            </w:r>
          </w:p>
        </w:tc>
        <w:tc>
          <w:tcPr>
            <w:tcW w:w="710" w:type="dxa"/>
            <w:tcBorders>
              <w:top w:val="nil"/>
              <w:left w:val="nil"/>
              <w:bottom w:val="nil"/>
              <w:right w:val="nil"/>
            </w:tcBorders>
            <w:shd w:val="clear" w:color="auto" w:fill="FFFFFF" w:themeFill="background1"/>
            <w:noWrap/>
            <w:vAlign w:val="center"/>
            <w:hideMark/>
          </w:tcPr>
          <w:p w14:paraId="651A3C8B" w14:textId="3DF5EDD6"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3,951</w:t>
            </w:r>
          </w:p>
        </w:tc>
        <w:tc>
          <w:tcPr>
            <w:tcW w:w="710" w:type="dxa"/>
            <w:tcBorders>
              <w:top w:val="nil"/>
              <w:left w:val="nil"/>
              <w:bottom w:val="nil"/>
              <w:right w:val="nil"/>
            </w:tcBorders>
            <w:shd w:val="clear" w:color="auto" w:fill="FFFFFF" w:themeFill="background1"/>
            <w:noWrap/>
            <w:vAlign w:val="center"/>
            <w:hideMark/>
          </w:tcPr>
          <w:p w14:paraId="3A917AEF" w14:textId="2AE00269"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2,300</w:t>
            </w:r>
          </w:p>
        </w:tc>
        <w:tc>
          <w:tcPr>
            <w:tcW w:w="848" w:type="dxa"/>
            <w:tcBorders>
              <w:top w:val="nil"/>
              <w:left w:val="nil"/>
              <w:bottom w:val="nil"/>
              <w:right w:val="nil"/>
            </w:tcBorders>
            <w:shd w:val="clear" w:color="auto" w:fill="FFFFFF" w:themeFill="background1"/>
            <w:noWrap/>
            <w:vAlign w:val="center"/>
            <w:hideMark/>
          </w:tcPr>
          <w:p w14:paraId="7A2605E0" w14:textId="3A705AD8"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-1,651</w:t>
            </w:r>
          </w:p>
        </w:tc>
        <w:tc>
          <w:tcPr>
            <w:tcW w:w="727"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FBC6786" w14:textId="28654E11"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-42</w:t>
            </w:r>
          </w:p>
        </w:tc>
        <w:tc>
          <w:tcPr>
            <w:tcW w:w="118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9DC50FB" w14:textId="6AD30F2D"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90</w:t>
            </w:r>
          </w:p>
        </w:tc>
        <w:tc>
          <w:tcPr>
            <w:tcW w:w="12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341B63BC" w14:textId="421DC20A"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10</w:t>
            </w:r>
          </w:p>
        </w:tc>
        <w:tc>
          <w:tcPr>
            <w:tcW w:w="85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9CDDFC4" w14:textId="2F7EC200"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16</w:t>
            </w:r>
          </w:p>
        </w:tc>
        <w:tc>
          <w:tcPr>
            <w:tcW w:w="851" w:type="dxa"/>
            <w:tcBorders>
              <w:top w:val="nil"/>
              <w:left w:val="nil"/>
              <w:bottom w:val="nil"/>
              <w:right w:val="nil"/>
            </w:tcBorders>
            <w:shd w:val="clear" w:color="auto" w:fill="FFFFFF" w:themeFill="background1"/>
            <w:noWrap/>
            <w:tcMar>
              <w:top w:w="0" w:type="dxa"/>
              <w:left w:w="0" w:type="dxa"/>
              <w:bottom w:w="0" w:type="dxa"/>
              <w:right w:w="180" w:type="dxa"/>
            </w:tcMar>
            <w:vAlign w:val="center"/>
            <w:hideMark/>
          </w:tcPr>
          <w:p w14:paraId="0A0E2C16" w14:textId="1CEA9091"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16</w:t>
            </w:r>
          </w:p>
        </w:tc>
      </w:tr>
      <w:tr w:rsidR="00443D8F" w14:paraId="66A6DAA5" w14:textId="77777777" w:rsidTr="004C0DDC">
        <w:trPr>
          <w:trHeight w:val="283"/>
        </w:trPr>
        <w:tc>
          <w:tcPr>
            <w:tcW w:w="1843" w:type="dxa"/>
            <w:tcBorders>
              <w:top w:val="nil"/>
              <w:left w:val="nil"/>
              <w:bottom w:val="nil"/>
              <w:right w:val="single" w:sz="4" w:space="0" w:color="auto"/>
            </w:tcBorders>
            <w:shd w:val="clear" w:color="000000" w:fill="FFFFFF"/>
            <w:noWrap/>
            <w:vAlign w:val="center"/>
            <w:hideMark/>
          </w:tcPr>
          <w:p w14:paraId="7FF4B5CC" w14:textId="77777777" w:rsidR="00443D8F" w:rsidRPr="00CD538E" w:rsidRDefault="00443D8F" w:rsidP="00CB0E93">
            <w:pPr>
              <w:spacing w:before="0" w:after="0"/>
              <w:ind w:left="57" w:right="57"/>
              <w:rPr>
                <w:rFonts w:asciiTheme="majorHAnsi" w:hAnsiTheme="majorHAnsi" w:cs="Arial"/>
                <w:sz w:val="16"/>
                <w:szCs w:val="16"/>
              </w:rPr>
            </w:pPr>
            <w:r w:rsidRPr="00CD538E">
              <w:rPr>
                <w:rFonts w:asciiTheme="majorHAnsi" w:hAnsiTheme="majorHAnsi" w:cs="Arial"/>
                <w:sz w:val="16"/>
                <w:szCs w:val="16"/>
              </w:rPr>
              <w:t>North East</w:t>
            </w:r>
          </w:p>
        </w:tc>
        <w:tc>
          <w:tcPr>
            <w:tcW w:w="708" w:type="dxa"/>
            <w:tcBorders>
              <w:top w:val="nil"/>
              <w:left w:val="nil"/>
              <w:bottom w:val="nil"/>
              <w:right w:val="nil"/>
            </w:tcBorders>
            <w:shd w:val="clear" w:color="auto" w:fill="FFFFFF" w:themeFill="background1"/>
            <w:noWrap/>
            <w:vAlign w:val="center"/>
            <w:hideMark/>
          </w:tcPr>
          <w:p w14:paraId="69EF44A0" w14:textId="75720967"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259,465</w:t>
            </w:r>
          </w:p>
        </w:tc>
        <w:tc>
          <w:tcPr>
            <w:tcW w:w="993" w:type="dxa"/>
            <w:tcBorders>
              <w:top w:val="nil"/>
              <w:left w:val="nil"/>
              <w:bottom w:val="nil"/>
              <w:right w:val="nil"/>
            </w:tcBorders>
            <w:shd w:val="clear" w:color="auto" w:fill="FFFFFF" w:themeFill="background1"/>
            <w:noWrap/>
            <w:vAlign w:val="center"/>
            <w:hideMark/>
          </w:tcPr>
          <w:p w14:paraId="1B288F29" w14:textId="4A5AB282"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127,800</w:t>
            </w:r>
          </w:p>
        </w:tc>
        <w:tc>
          <w:tcPr>
            <w:tcW w:w="851" w:type="dxa"/>
            <w:tcBorders>
              <w:top w:val="nil"/>
              <w:left w:val="nil"/>
              <w:bottom w:val="nil"/>
              <w:right w:val="single" w:sz="4" w:space="0" w:color="auto"/>
            </w:tcBorders>
            <w:shd w:val="clear" w:color="auto" w:fill="FFFFFF" w:themeFill="background1"/>
            <w:noWrap/>
            <w:vAlign w:val="center"/>
            <w:hideMark/>
          </w:tcPr>
          <w:p w14:paraId="7E08D3FC" w14:textId="65B0307E"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-131,665</w:t>
            </w:r>
          </w:p>
        </w:tc>
        <w:tc>
          <w:tcPr>
            <w:tcW w:w="709" w:type="dxa"/>
            <w:tcBorders>
              <w:top w:val="nil"/>
              <w:left w:val="nil"/>
              <w:bottom w:val="nil"/>
              <w:right w:val="nil"/>
            </w:tcBorders>
            <w:shd w:val="clear" w:color="auto" w:fill="FFFFFF" w:themeFill="background1"/>
            <w:noWrap/>
            <w:vAlign w:val="center"/>
            <w:hideMark/>
          </w:tcPr>
          <w:p w14:paraId="33B95E50" w14:textId="6BDE9665"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147,530</w:t>
            </w:r>
          </w:p>
        </w:tc>
        <w:tc>
          <w:tcPr>
            <w:tcW w:w="708" w:type="dxa"/>
            <w:tcBorders>
              <w:top w:val="nil"/>
              <w:left w:val="nil"/>
              <w:bottom w:val="nil"/>
              <w:right w:val="nil"/>
            </w:tcBorders>
            <w:shd w:val="clear" w:color="auto" w:fill="FFFFFF" w:themeFill="background1"/>
            <w:noWrap/>
            <w:vAlign w:val="center"/>
            <w:hideMark/>
          </w:tcPr>
          <w:p w14:paraId="6963EEF6" w14:textId="1076F437"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72,100</w:t>
            </w:r>
          </w:p>
        </w:tc>
        <w:tc>
          <w:tcPr>
            <w:tcW w:w="851" w:type="dxa"/>
            <w:tcBorders>
              <w:top w:val="nil"/>
              <w:left w:val="nil"/>
              <w:bottom w:val="nil"/>
              <w:right w:val="nil"/>
            </w:tcBorders>
            <w:shd w:val="clear" w:color="auto" w:fill="FFFFFF" w:themeFill="background1"/>
            <w:noWrap/>
            <w:vAlign w:val="center"/>
            <w:hideMark/>
          </w:tcPr>
          <w:p w14:paraId="39D353A5" w14:textId="5CB570E2"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-75,430</w:t>
            </w:r>
          </w:p>
        </w:tc>
        <w:tc>
          <w:tcPr>
            <w:tcW w:w="7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7B3CB994" w14:textId="3D6C0131"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-51</w:t>
            </w:r>
          </w:p>
        </w:tc>
        <w:tc>
          <w:tcPr>
            <w:tcW w:w="710" w:type="dxa"/>
            <w:tcBorders>
              <w:top w:val="nil"/>
              <w:left w:val="nil"/>
              <w:bottom w:val="nil"/>
              <w:right w:val="nil"/>
            </w:tcBorders>
            <w:shd w:val="clear" w:color="auto" w:fill="FFFFFF" w:themeFill="background1"/>
            <w:noWrap/>
            <w:vAlign w:val="center"/>
            <w:hideMark/>
          </w:tcPr>
          <w:p w14:paraId="63A85E65" w14:textId="2414B4BB"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111,935</w:t>
            </w:r>
          </w:p>
        </w:tc>
        <w:tc>
          <w:tcPr>
            <w:tcW w:w="710" w:type="dxa"/>
            <w:tcBorders>
              <w:top w:val="nil"/>
              <w:left w:val="nil"/>
              <w:bottom w:val="nil"/>
              <w:right w:val="nil"/>
            </w:tcBorders>
            <w:shd w:val="clear" w:color="auto" w:fill="FFFFFF" w:themeFill="background1"/>
            <w:noWrap/>
            <w:vAlign w:val="center"/>
            <w:hideMark/>
          </w:tcPr>
          <w:p w14:paraId="4D3A3DCE" w14:textId="6E634CBA"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55,700</w:t>
            </w:r>
          </w:p>
        </w:tc>
        <w:tc>
          <w:tcPr>
            <w:tcW w:w="848" w:type="dxa"/>
            <w:tcBorders>
              <w:top w:val="nil"/>
              <w:left w:val="nil"/>
              <w:bottom w:val="nil"/>
              <w:right w:val="nil"/>
            </w:tcBorders>
            <w:shd w:val="clear" w:color="auto" w:fill="FFFFFF" w:themeFill="background1"/>
            <w:noWrap/>
            <w:vAlign w:val="center"/>
            <w:hideMark/>
          </w:tcPr>
          <w:p w14:paraId="4E61DE01" w14:textId="36F1468B"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-56,235</w:t>
            </w:r>
          </w:p>
        </w:tc>
        <w:tc>
          <w:tcPr>
            <w:tcW w:w="727"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B8EA1DC" w14:textId="724DF7AC"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-50</w:t>
            </w:r>
          </w:p>
        </w:tc>
        <w:tc>
          <w:tcPr>
            <w:tcW w:w="118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9E43210" w14:textId="5097D5AB"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57</w:t>
            </w:r>
          </w:p>
        </w:tc>
        <w:tc>
          <w:tcPr>
            <w:tcW w:w="12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5261720B" w14:textId="786DC2FA"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43</w:t>
            </w:r>
          </w:p>
        </w:tc>
        <w:tc>
          <w:tcPr>
            <w:tcW w:w="85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7F60EEDA" w14:textId="4C29DF4F"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15</w:t>
            </w:r>
          </w:p>
        </w:tc>
        <w:tc>
          <w:tcPr>
            <w:tcW w:w="851" w:type="dxa"/>
            <w:tcBorders>
              <w:top w:val="nil"/>
              <w:left w:val="nil"/>
              <w:bottom w:val="nil"/>
              <w:right w:val="nil"/>
            </w:tcBorders>
            <w:shd w:val="clear" w:color="auto" w:fill="FFFFFF" w:themeFill="background1"/>
            <w:noWrap/>
            <w:tcMar>
              <w:top w:w="0" w:type="dxa"/>
              <w:left w:w="0" w:type="dxa"/>
              <w:bottom w:w="0" w:type="dxa"/>
              <w:right w:w="180" w:type="dxa"/>
            </w:tcMar>
            <w:vAlign w:val="center"/>
            <w:hideMark/>
          </w:tcPr>
          <w:p w14:paraId="44B81FC0" w14:textId="639D2D40"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23</w:t>
            </w:r>
          </w:p>
        </w:tc>
      </w:tr>
      <w:tr w:rsidR="00443D8F" w14:paraId="0AC8F071" w14:textId="77777777" w:rsidTr="004C0DDC">
        <w:trPr>
          <w:trHeight w:val="283"/>
        </w:trPr>
        <w:tc>
          <w:tcPr>
            <w:tcW w:w="1843" w:type="dxa"/>
            <w:tcBorders>
              <w:top w:val="nil"/>
              <w:left w:val="nil"/>
              <w:bottom w:val="nil"/>
              <w:right w:val="single" w:sz="4" w:space="0" w:color="auto"/>
            </w:tcBorders>
            <w:shd w:val="clear" w:color="000000" w:fill="FFFFFF"/>
            <w:noWrap/>
            <w:vAlign w:val="center"/>
            <w:hideMark/>
          </w:tcPr>
          <w:p w14:paraId="2A1EDA3D" w14:textId="77777777" w:rsidR="00443D8F" w:rsidRPr="00CD538E" w:rsidRDefault="00443D8F" w:rsidP="00CB0E93">
            <w:pPr>
              <w:spacing w:before="0" w:after="0"/>
              <w:ind w:left="57" w:right="57"/>
              <w:rPr>
                <w:rFonts w:asciiTheme="majorHAnsi" w:hAnsiTheme="majorHAnsi" w:cs="Arial"/>
                <w:sz w:val="16"/>
                <w:szCs w:val="16"/>
              </w:rPr>
            </w:pPr>
            <w:r w:rsidRPr="00CD538E">
              <w:rPr>
                <w:rFonts w:asciiTheme="majorHAnsi" w:hAnsiTheme="majorHAnsi" w:cs="Arial"/>
                <w:sz w:val="16"/>
                <w:szCs w:val="16"/>
              </w:rPr>
              <w:t>Gippsland</w:t>
            </w:r>
          </w:p>
        </w:tc>
        <w:tc>
          <w:tcPr>
            <w:tcW w:w="708" w:type="dxa"/>
            <w:tcBorders>
              <w:top w:val="nil"/>
              <w:left w:val="nil"/>
              <w:bottom w:val="nil"/>
              <w:right w:val="nil"/>
            </w:tcBorders>
            <w:shd w:val="clear" w:color="auto" w:fill="FFFFFF" w:themeFill="background1"/>
            <w:noWrap/>
            <w:vAlign w:val="center"/>
            <w:hideMark/>
          </w:tcPr>
          <w:p w14:paraId="7CA71805" w14:textId="3538213F"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208,260</w:t>
            </w:r>
          </w:p>
        </w:tc>
        <w:tc>
          <w:tcPr>
            <w:tcW w:w="993" w:type="dxa"/>
            <w:tcBorders>
              <w:top w:val="nil"/>
              <w:left w:val="nil"/>
              <w:bottom w:val="nil"/>
              <w:right w:val="nil"/>
            </w:tcBorders>
            <w:shd w:val="clear" w:color="auto" w:fill="FFFFFF" w:themeFill="background1"/>
            <w:noWrap/>
            <w:vAlign w:val="center"/>
            <w:hideMark/>
          </w:tcPr>
          <w:p w14:paraId="31516B0F" w14:textId="160EE5E3"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73,100</w:t>
            </w:r>
          </w:p>
        </w:tc>
        <w:tc>
          <w:tcPr>
            <w:tcW w:w="851" w:type="dxa"/>
            <w:tcBorders>
              <w:top w:val="nil"/>
              <w:left w:val="nil"/>
              <w:bottom w:val="nil"/>
              <w:right w:val="single" w:sz="4" w:space="0" w:color="auto"/>
            </w:tcBorders>
            <w:shd w:val="clear" w:color="auto" w:fill="FFFFFF" w:themeFill="background1"/>
            <w:noWrap/>
            <w:vAlign w:val="center"/>
            <w:hideMark/>
          </w:tcPr>
          <w:p w14:paraId="1B84E004" w14:textId="196910F2"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-135,160</w:t>
            </w:r>
          </w:p>
        </w:tc>
        <w:tc>
          <w:tcPr>
            <w:tcW w:w="709" w:type="dxa"/>
            <w:tcBorders>
              <w:top w:val="nil"/>
              <w:left w:val="nil"/>
              <w:bottom w:val="nil"/>
              <w:right w:val="nil"/>
            </w:tcBorders>
            <w:shd w:val="clear" w:color="auto" w:fill="FFFFFF" w:themeFill="background1"/>
            <w:noWrap/>
            <w:vAlign w:val="center"/>
            <w:hideMark/>
          </w:tcPr>
          <w:p w14:paraId="5392AA75" w14:textId="35F6CC54"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139,013</w:t>
            </w:r>
          </w:p>
        </w:tc>
        <w:tc>
          <w:tcPr>
            <w:tcW w:w="708" w:type="dxa"/>
            <w:tcBorders>
              <w:top w:val="nil"/>
              <w:left w:val="nil"/>
              <w:bottom w:val="nil"/>
              <w:right w:val="nil"/>
            </w:tcBorders>
            <w:shd w:val="clear" w:color="auto" w:fill="FFFFFF" w:themeFill="background1"/>
            <w:noWrap/>
            <w:vAlign w:val="center"/>
            <w:hideMark/>
          </w:tcPr>
          <w:p w14:paraId="3CA21C67" w14:textId="7E40F46C"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48,400</w:t>
            </w:r>
          </w:p>
        </w:tc>
        <w:tc>
          <w:tcPr>
            <w:tcW w:w="851" w:type="dxa"/>
            <w:tcBorders>
              <w:top w:val="nil"/>
              <w:left w:val="nil"/>
              <w:bottom w:val="nil"/>
              <w:right w:val="nil"/>
            </w:tcBorders>
            <w:shd w:val="clear" w:color="auto" w:fill="FFFFFF" w:themeFill="background1"/>
            <w:noWrap/>
            <w:vAlign w:val="center"/>
            <w:hideMark/>
          </w:tcPr>
          <w:p w14:paraId="3228635A" w14:textId="68BE997D"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-90,613</w:t>
            </w:r>
          </w:p>
        </w:tc>
        <w:tc>
          <w:tcPr>
            <w:tcW w:w="7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5278358E" w14:textId="422600F7"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-65</w:t>
            </w:r>
          </w:p>
        </w:tc>
        <w:tc>
          <w:tcPr>
            <w:tcW w:w="710" w:type="dxa"/>
            <w:tcBorders>
              <w:top w:val="nil"/>
              <w:left w:val="nil"/>
              <w:bottom w:val="nil"/>
              <w:right w:val="nil"/>
            </w:tcBorders>
            <w:shd w:val="clear" w:color="auto" w:fill="FFFFFF" w:themeFill="background1"/>
            <w:noWrap/>
            <w:vAlign w:val="center"/>
            <w:hideMark/>
          </w:tcPr>
          <w:p w14:paraId="68AB7BD3" w14:textId="5F460E55"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69,247</w:t>
            </w:r>
          </w:p>
        </w:tc>
        <w:tc>
          <w:tcPr>
            <w:tcW w:w="710" w:type="dxa"/>
            <w:tcBorders>
              <w:top w:val="nil"/>
              <w:left w:val="nil"/>
              <w:bottom w:val="nil"/>
              <w:right w:val="nil"/>
            </w:tcBorders>
            <w:shd w:val="clear" w:color="auto" w:fill="FFFFFF" w:themeFill="background1"/>
            <w:noWrap/>
            <w:vAlign w:val="center"/>
            <w:hideMark/>
          </w:tcPr>
          <w:p w14:paraId="15BA356E" w14:textId="3AAF8241"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24,700</w:t>
            </w:r>
          </w:p>
        </w:tc>
        <w:tc>
          <w:tcPr>
            <w:tcW w:w="848" w:type="dxa"/>
            <w:tcBorders>
              <w:top w:val="nil"/>
              <w:left w:val="nil"/>
              <w:bottom w:val="nil"/>
              <w:right w:val="nil"/>
            </w:tcBorders>
            <w:shd w:val="clear" w:color="auto" w:fill="FFFFFF" w:themeFill="background1"/>
            <w:noWrap/>
            <w:vAlign w:val="center"/>
            <w:hideMark/>
          </w:tcPr>
          <w:p w14:paraId="23A08665" w14:textId="70A9AAA3"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-44,547</w:t>
            </w:r>
          </w:p>
        </w:tc>
        <w:tc>
          <w:tcPr>
            <w:tcW w:w="727"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0508477" w14:textId="1481E346"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-64</w:t>
            </w:r>
          </w:p>
        </w:tc>
        <w:tc>
          <w:tcPr>
            <w:tcW w:w="118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0BF6B6C7" w14:textId="429E3ACD"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67</w:t>
            </w:r>
          </w:p>
        </w:tc>
        <w:tc>
          <w:tcPr>
            <w:tcW w:w="12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2CEB934" w14:textId="585E2EF2"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33</w:t>
            </w:r>
          </w:p>
        </w:tc>
        <w:tc>
          <w:tcPr>
            <w:tcW w:w="85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1FA3A941" w14:textId="0564E031"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39</w:t>
            </w:r>
          </w:p>
        </w:tc>
        <w:tc>
          <w:tcPr>
            <w:tcW w:w="851" w:type="dxa"/>
            <w:tcBorders>
              <w:top w:val="nil"/>
              <w:left w:val="nil"/>
              <w:bottom w:val="nil"/>
              <w:right w:val="nil"/>
            </w:tcBorders>
            <w:shd w:val="clear" w:color="auto" w:fill="FFFFFF" w:themeFill="background1"/>
            <w:noWrap/>
            <w:tcMar>
              <w:top w:w="0" w:type="dxa"/>
              <w:left w:w="0" w:type="dxa"/>
              <w:bottom w:w="0" w:type="dxa"/>
              <w:right w:w="180" w:type="dxa"/>
            </w:tcMar>
            <w:vAlign w:val="center"/>
            <w:hideMark/>
          </w:tcPr>
          <w:p w14:paraId="64A0E047" w14:textId="1F786E29"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r>
      <w:tr w:rsidR="00443D8F" w14:paraId="0E4430EC" w14:textId="77777777" w:rsidTr="004C0DDC">
        <w:trPr>
          <w:trHeight w:val="283"/>
        </w:trPr>
        <w:tc>
          <w:tcPr>
            <w:tcW w:w="1843" w:type="dxa"/>
            <w:tcBorders>
              <w:top w:val="nil"/>
              <w:left w:val="nil"/>
              <w:bottom w:val="single" w:sz="4" w:space="0" w:color="auto"/>
              <w:right w:val="single" w:sz="4" w:space="0" w:color="auto"/>
            </w:tcBorders>
            <w:shd w:val="clear" w:color="000000" w:fill="FFFFFF"/>
            <w:noWrap/>
            <w:vAlign w:val="center"/>
            <w:hideMark/>
          </w:tcPr>
          <w:p w14:paraId="59BCE110" w14:textId="77777777" w:rsidR="00443D8F" w:rsidRPr="00CD538E" w:rsidRDefault="00443D8F" w:rsidP="00CB0E93">
            <w:pPr>
              <w:spacing w:before="0" w:after="0"/>
              <w:ind w:left="57" w:right="57"/>
              <w:rPr>
                <w:rFonts w:asciiTheme="majorHAnsi" w:hAnsiTheme="majorHAnsi" w:cs="Arial"/>
                <w:sz w:val="16"/>
                <w:szCs w:val="16"/>
              </w:rPr>
            </w:pPr>
            <w:r w:rsidRPr="00CD538E">
              <w:rPr>
                <w:rFonts w:asciiTheme="majorHAnsi" w:hAnsiTheme="majorHAnsi" w:cs="Arial"/>
                <w:sz w:val="16"/>
                <w:szCs w:val="16"/>
              </w:rPr>
              <w:t>West Victoria</w:t>
            </w:r>
          </w:p>
        </w:tc>
        <w:tc>
          <w:tcPr>
            <w:tcW w:w="708" w:type="dxa"/>
            <w:tcBorders>
              <w:top w:val="nil"/>
              <w:left w:val="nil"/>
              <w:bottom w:val="nil"/>
              <w:right w:val="nil"/>
            </w:tcBorders>
            <w:shd w:val="clear" w:color="auto" w:fill="FFFFFF" w:themeFill="background1"/>
            <w:noWrap/>
            <w:vAlign w:val="center"/>
            <w:hideMark/>
          </w:tcPr>
          <w:p w14:paraId="3E12FDA0" w14:textId="3E36CFC1"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123,462</w:t>
            </w:r>
          </w:p>
        </w:tc>
        <w:tc>
          <w:tcPr>
            <w:tcW w:w="993" w:type="dxa"/>
            <w:tcBorders>
              <w:top w:val="nil"/>
              <w:left w:val="nil"/>
              <w:bottom w:val="nil"/>
              <w:right w:val="nil"/>
            </w:tcBorders>
            <w:shd w:val="clear" w:color="auto" w:fill="FFFFFF" w:themeFill="background1"/>
            <w:noWrap/>
            <w:vAlign w:val="center"/>
            <w:hideMark/>
          </w:tcPr>
          <w:p w14:paraId="7998C2A8" w14:textId="6B7AB133"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107,300</w:t>
            </w:r>
          </w:p>
        </w:tc>
        <w:tc>
          <w:tcPr>
            <w:tcW w:w="851" w:type="dxa"/>
            <w:tcBorders>
              <w:top w:val="nil"/>
              <w:left w:val="nil"/>
              <w:bottom w:val="nil"/>
              <w:right w:val="single" w:sz="4" w:space="0" w:color="auto"/>
            </w:tcBorders>
            <w:shd w:val="clear" w:color="auto" w:fill="FFFFFF" w:themeFill="background1"/>
            <w:noWrap/>
            <w:vAlign w:val="center"/>
            <w:hideMark/>
          </w:tcPr>
          <w:p w14:paraId="74709792" w14:textId="0905447B"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-16,162</w:t>
            </w:r>
          </w:p>
        </w:tc>
        <w:tc>
          <w:tcPr>
            <w:tcW w:w="709" w:type="dxa"/>
            <w:tcBorders>
              <w:top w:val="nil"/>
              <w:left w:val="nil"/>
              <w:bottom w:val="nil"/>
              <w:right w:val="nil"/>
            </w:tcBorders>
            <w:shd w:val="clear" w:color="auto" w:fill="FFFFFF" w:themeFill="background1"/>
            <w:noWrap/>
            <w:vAlign w:val="center"/>
            <w:hideMark/>
          </w:tcPr>
          <w:p w14:paraId="1E73B5A6" w14:textId="48155C75"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110,355</w:t>
            </w:r>
          </w:p>
        </w:tc>
        <w:tc>
          <w:tcPr>
            <w:tcW w:w="708" w:type="dxa"/>
            <w:tcBorders>
              <w:top w:val="nil"/>
              <w:left w:val="nil"/>
              <w:bottom w:val="nil"/>
              <w:right w:val="nil"/>
            </w:tcBorders>
            <w:shd w:val="clear" w:color="auto" w:fill="FFFFFF" w:themeFill="background1"/>
            <w:noWrap/>
            <w:vAlign w:val="center"/>
            <w:hideMark/>
          </w:tcPr>
          <w:p w14:paraId="580C73A6" w14:textId="76BD5607"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93,500</w:t>
            </w:r>
          </w:p>
        </w:tc>
        <w:tc>
          <w:tcPr>
            <w:tcW w:w="851" w:type="dxa"/>
            <w:tcBorders>
              <w:top w:val="nil"/>
              <w:left w:val="nil"/>
              <w:bottom w:val="nil"/>
              <w:right w:val="nil"/>
            </w:tcBorders>
            <w:shd w:val="clear" w:color="auto" w:fill="FFFFFF" w:themeFill="background1"/>
            <w:noWrap/>
            <w:vAlign w:val="center"/>
            <w:hideMark/>
          </w:tcPr>
          <w:p w14:paraId="70BD990B" w14:textId="338B439E"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-16,855</w:t>
            </w:r>
          </w:p>
        </w:tc>
        <w:tc>
          <w:tcPr>
            <w:tcW w:w="7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34A530DC" w14:textId="250EEB8E"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-15</w:t>
            </w:r>
          </w:p>
        </w:tc>
        <w:tc>
          <w:tcPr>
            <w:tcW w:w="710" w:type="dxa"/>
            <w:tcBorders>
              <w:top w:val="nil"/>
              <w:left w:val="nil"/>
              <w:bottom w:val="nil"/>
              <w:right w:val="nil"/>
            </w:tcBorders>
            <w:shd w:val="clear" w:color="auto" w:fill="FFFFFF" w:themeFill="background1"/>
            <w:noWrap/>
            <w:vAlign w:val="center"/>
            <w:hideMark/>
          </w:tcPr>
          <w:p w14:paraId="4050371F" w14:textId="7679AB78"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13,107</w:t>
            </w:r>
          </w:p>
        </w:tc>
        <w:tc>
          <w:tcPr>
            <w:tcW w:w="710" w:type="dxa"/>
            <w:tcBorders>
              <w:top w:val="nil"/>
              <w:left w:val="nil"/>
              <w:bottom w:val="nil"/>
              <w:right w:val="nil"/>
            </w:tcBorders>
            <w:shd w:val="clear" w:color="auto" w:fill="FFFFFF" w:themeFill="background1"/>
            <w:noWrap/>
            <w:vAlign w:val="center"/>
            <w:hideMark/>
          </w:tcPr>
          <w:p w14:paraId="605F79E0" w14:textId="7BD0FD4D"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13,800</w:t>
            </w:r>
          </w:p>
        </w:tc>
        <w:tc>
          <w:tcPr>
            <w:tcW w:w="848" w:type="dxa"/>
            <w:tcBorders>
              <w:top w:val="nil"/>
              <w:left w:val="nil"/>
              <w:bottom w:val="nil"/>
              <w:right w:val="nil"/>
            </w:tcBorders>
            <w:shd w:val="clear" w:color="auto" w:fill="FFFFFF" w:themeFill="background1"/>
            <w:noWrap/>
            <w:vAlign w:val="center"/>
            <w:hideMark/>
          </w:tcPr>
          <w:p w14:paraId="49D36981" w14:textId="595419F5"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693</w:t>
            </w:r>
          </w:p>
        </w:tc>
        <w:tc>
          <w:tcPr>
            <w:tcW w:w="727"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4E835F9E" w14:textId="397830B8"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w:t>
            </w:r>
          </w:p>
        </w:tc>
        <w:tc>
          <w:tcPr>
            <w:tcW w:w="1184"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20F7FD80" w14:textId="1FE90293"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104</w:t>
            </w:r>
          </w:p>
        </w:tc>
        <w:tc>
          <w:tcPr>
            <w:tcW w:w="1208"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64C4EDD1" w14:textId="30AF4F18"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-4</w:t>
            </w:r>
          </w:p>
        </w:tc>
        <w:tc>
          <w:tcPr>
            <w:tcW w:w="850" w:type="dxa"/>
            <w:tcBorders>
              <w:top w:val="nil"/>
              <w:left w:val="nil"/>
              <w:bottom w:val="nil"/>
              <w:right w:val="single" w:sz="4" w:space="0" w:color="auto"/>
            </w:tcBorders>
            <w:shd w:val="clear" w:color="auto" w:fill="FFFFFF" w:themeFill="background1"/>
            <w:noWrap/>
            <w:tcMar>
              <w:top w:w="0" w:type="dxa"/>
              <w:left w:w="0" w:type="dxa"/>
              <w:bottom w:w="0" w:type="dxa"/>
              <w:right w:w="180" w:type="dxa"/>
            </w:tcMar>
            <w:vAlign w:val="center"/>
            <w:hideMark/>
          </w:tcPr>
          <w:p w14:paraId="71E44E5A" w14:textId="7576395B"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63</w:t>
            </w:r>
          </w:p>
        </w:tc>
        <w:tc>
          <w:tcPr>
            <w:tcW w:w="851" w:type="dxa"/>
            <w:tcBorders>
              <w:top w:val="nil"/>
              <w:left w:val="nil"/>
              <w:bottom w:val="nil"/>
              <w:right w:val="nil"/>
            </w:tcBorders>
            <w:shd w:val="clear" w:color="auto" w:fill="FFFFFF" w:themeFill="background1"/>
            <w:noWrap/>
            <w:tcMar>
              <w:top w:w="0" w:type="dxa"/>
              <w:left w:w="0" w:type="dxa"/>
              <w:bottom w:w="0" w:type="dxa"/>
              <w:right w:w="180" w:type="dxa"/>
            </w:tcMar>
            <w:vAlign w:val="center"/>
            <w:hideMark/>
          </w:tcPr>
          <w:p w14:paraId="5E9ED452" w14:textId="71207DA4"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116</w:t>
            </w:r>
          </w:p>
        </w:tc>
      </w:tr>
      <w:tr w:rsidR="00443D8F" w14:paraId="7AD3D1B9" w14:textId="77777777" w:rsidTr="004C0DDC">
        <w:trPr>
          <w:trHeight w:val="283"/>
        </w:trPr>
        <w:tc>
          <w:tcPr>
            <w:tcW w:w="14459" w:type="dxa"/>
            <w:gridSpan w:val="16"/>
            <w:tcBorders>
              <w:top w:val="single" w:sz="4" w:space="0" w:color="auto"/>
              <w:left w:val="nil"/>
              <w:bottom w:val="single" w:sz="4" w:space="0" w:color="auto"/>
              <w:right w:val="nil"/>
            </w:tcBorders>
            <w:shd w:val="clear" w:color="auto" w:fill="auto"/>
            <w:vAlign w:val="center"/>
            <w:hideMark/>
          </w:tcPr>
          <w:p w14:paraId="69158D1F" w14:textId="77777777" w:rsidR="00443D8F" w:rsidRPr="002F2D01" w:rsidRDefault="00443D8F"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w:t>
            </w:r>
          </w:p>
        </w:tc>
      </w:tr>
      <w:tr w:rsidR="00443D8F" w14:paraId="4C2D5281" w14:textId="77777777" w:rsidTr="004C0DDC">
        <w:trPr>
          <w:trHeight w:val="283"/>
        </w:trPr>
        <w:tc>
          <w:tcPr>
            <w:tcW w:w="1843" w:type="dxa"/>
            <w:tcBorders>
              <w:top w:val="nil"/>
              <w:left w:val="nil"/>
              <w:bottom w:val="single" w:sz="4" w:space="0" w:color="auto"/>
              <w:right w:val="single" w:sz="4" w:space="0" w:color="auto"/>
            </w:tcBorders>
            <w:shd w:val="clear" w:color="000000" w:fill="FFFFFF"/>
            <w:noWrap/>
            <w:vAlign w:val="center"/>
            <w:hideMark/>
          </w:tcPr>
          <w:p w14:paraId="2B21A2E4" w14:textId="77777777" w:rsidR="00443D8F" w:rsidRPr="002F2D01" w:rsidRDefault="00443D8F" w:rsidP="00CB0E93">
            <w:pPr>
              <w:spacing w:before="0" w:after="0"/>
              <w:ind w:left="57" w:right="57"/>
              <w:rPr>
                <w:rFonts w:asciiTheme="majorHAnsi" w:hAnsiTheme="majorHAnsi" w:cs="Arial"/>
                <w:b/>
                <w:bCs/>
                <w:sz w:val="16"/>
                <w:szCs w:val="16"/>
              </w:rPr>
            </w:pPr>
            <w:r w:rsidRPr="002F2D01">
              <w:rPr>
                <w:rFonts w:asciiTheme="majorHAnsi" w:hAnsiTheme="majorHAnsi" w:cs="Arial"/>
                <w:b/>
                <w:bCs/>
                <w:sz w:val="16"/>
                <w:szCs w:val="16"/>
              </w:rPr>
              <w:t>Total Victorian RFA regions</w:t>
            </w:r>
          </w:p>
        </w:tc>
        <w:tc>
          <w:tcPr>
            <w:tcW w:w="708" w:type="dxa"/>
            <w:tcBorders>
              <w:top w:val="nil"/>
              <w:left w:val="nil"/>
              <w:bottom w:val="single" w:sz="4" w:space="0" w:color="auto"/>
              <w:right w:val="nil"/>
            </w:tcBorders>
            <w:shd w:val="clear" w:color="auto" w:fill="FFFFFF" w:themeFill="background1"/>
            <w:noWrap/>
            <w:vAlign w:val="center"/>
            <w:hideMark/>
          </w:tcPr>
          <w:p w14:paraId="4472C1E5" w14:textId="492DEFF4"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841,813</w:t>
            </w:r>
          </w:p>
        </w:tc>
        <w:tc>
          <w:tcPr>
            <w:tcW w:w="993" w:type="dxa"/>
            <w:tcBorders>
              <w:top w:val="nil"/>
              <w:left w:val="nil"/>
              <w:bottom w:val="single" w:sz="4" w:space="0" w:color="auto"/>
              <w:right w:val="nil"/>
            </w:tcBorders>
            <w:shd w:val="clear" w:color="auto" w:fill="FFFFFF" w:themeFill="background1"/>
            <w:noWrap/>
            <w:vAlign w:val="center"/>
            <w:hideMark/>
          </w:tcPr>
          <w:p w14:paraId="01854975" w14:textId="032F93E4"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405,200</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715FCA1E" w14:textId="3DDA9FA9"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-436,613</w:t>
            </w:r>
          </w:p>
        </w:tc>
        <w:tc>
          <w:tcPr>
            <w:tcW w:w="709" w:type="dxa"/>
            <w:tcBorders>
              <w:top w:val="nil"/>
              <w:left w:val="nil"/>
              <w:bottom w:val="single" w:sz="4" w:space="0" w:color="auto"/>
              <w:right w:val="nil"/>
            </w:tcBorders>
            <w:shd w:val="clear" w:color="auto" w:fill="FFFFFF" w:themeFill="background1"/>
            <w:noWrap/>
            <w:vAlign w:val="center"/>
            <w:hideMark/>
          </w:tcPr>
          <w:p w14:paraId="02D9DF15" w14:textId="3B6FA22F"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571,701</w:t>
            </w:r>
          </w:p>
        </w:tc>
        <w:tc>
          <w:tcPr>
            <w:tcW w:w="708" w:type="dxa"/>
            <w:tcBorders>
              <w:top w:val="nil"/>
              <w:left w:val="nil"/>
              <w:bottom w:val="single" w:sz="4" w:space="0" w:color="auto"/>
              <w:right w:val="nil"/>
            </w:tcBorders>
            <w:shd w:val="clear" w:color="auto" w:fill="FFFFFF" w:themeFill="background1"/>
            <w:noWrap/>
            <w:vAlign w:val="center"/>
            <w:hideMark/>
          </w:tcPr>
          <w:p w14:paraId="7B4FE325" w14:textId="59E93883"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284,000</w:t>
            </w:r>
          </w:p>
        </w:tc>
        <w:tc>
          <w:tcPr>
            <w:tcW w:w="851" w:type="dxa"/>
            <w:tcBorders>
              <w:top w:val="nil"/>
              <w:left w:val="nil"/>
              <w:bottom w:val="single" w:sz="4" w:space="0" w:color="auto"/>
              <w:right w:val="nil"/>
            </w:tcBorders>
            <w:shd w:val="clear" w:color="auto" w:fill="FFFFFF" w:themeFill="background1"/>
            <w:noWrap/>
            <w:vAlign w:val="center"/>
            <w:hideMark/>
          </w:tcPr>
          <w:p w14:paraId="42C9FD54" w14:textId="59D9EF84"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-287,701</w:t>
            </w:r>
          </w:p>
        </w:tc>
        <w:tc>
          <w:tcPr>
            <w:tcW w:w="708"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5A0845DF" w14:textId="116436F2"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-50</w:t>
            </w:r>
          </w:p>
        </w:tc>
        <w:tc>
          <w:tcPr>
            <w:tcW w:w="710" w:type="dxa"/>
            <w:tcBorders>
              <w:top w:val="nil"/>
              <w:left w:val="nil"/>
              <w:bottom w:val="single" w:sz="4" w:space="0" w:color="auto"/>
              <w:right w:val="nil"/>
            </w:tcBorders>
            <w:shd w:val="clear" w:color="auto" w:fill="FFFFFF" w:themeFill="background1"/>
            <w:noWrap/>
            <w:vAlign w:val="center"/>
            <w:hideMark/>
          </w:tcPr>
          <w:p w14:paraId="0A6D6B5C" w14:textId="2FC27BFE"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270,112</w:t>
            </w:r>
          </w:p>
        </w:tc>
        <w:tc>
          <w:tcPr>
            <w:tcW w:w="710" w:type="dxa"/>
            <w:tcBorders>
              <w:top w:val="nil"/>
              <w:left w:val="nil"/>
              <w:bottom w:val="single" w:sz="4" w:space="0" w:color="auto"/>
              <w:right w:val="nil"/>
            </w:tcBorders>
            <w:shd w:val="clear" w:color="auto" w:fill="FFFFFF" w:themeFill="background1"/>
            <w:noWrap/>
            <w:vAlign w:val="center"/>
            <w:hideMark/>
          </w:tcPr>
          <w:p w14:paraId="22BC58C1" w14:textId="6030545C"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121,200</w:t>
            </w:r>
          </w:p>
        </w:tc>
        <w:tc>
          <w:tcPr>
            <w:tcW w:w="848" w:type="dxa"/>
            <w:tcBorders>
              <w:top w:val="nil"/>
              <w:left w:val="nil"/>
              <w:bottom w:val="single" w:sz="4" w:space="0" w:color="auto"/>
              <w:right w:val="nil"/>
            </w:tcBorders>
            <w:shd w:val="clear" w:color="auto" w:fill="FFFFFF" w:themeFill="background1"/>
            <w:noWrap/>
            <w:vAlign w:val="center"/>
            <w:hideMark/>
          </w:tcPr>
          <w:p w14:paraId="2EA59DA9" w14:textId="48B81DD4" w:rsidR="00443D8F" w:rsidRPr="002F2D01" w:rsidRDefault="00443D8F" w:rsidP="00CB0E93">
            <w:pPr>
              <w:spacing w:before="0" w:after="0"/>
              <w:ind w:left="57" w:right="57"/>
              <w:jc w:val="right"/>
              <w:rPr>
                <w:rFonts w:asciiTheme="majorHAnsi" w:hAnsiTheme="majorHAnsi" w:cs="Arial"/>
                <w:sz w:val="16"/>
                <w:szCs w:val="16"/>
              </w:rPr>
            </w:pPr>
            <w:r w:rsidRPr="002F2D01">
              <w:rPr>
                <w:rFonts w:asciiTheme="majorHAnsi" w:hAnsiTheme="majorHAnsi" w:cs="Arial"/>
                <w:sz w:val="16"/>
                <w:szCs w:val="16"/>
              </w:rPr>
              <w:t>-148,912</w:t>
            </w:r>
          </w:p>
        </w:tc>
        <w:tc>
          <w:tcPr>
            <w:tcW w:w="727"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229E230E" w14:textId="44E2964E"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-55</w:t>
            </w:r>
          </w:p>
        </w:tc>
        <w:tc>
          <w:tcPr>
            <w:tcW w:w="1184"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27B38E94" w14:textId="60C91063"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66</w:t>
            </w:r>
          </w:p>
        </w:tc>
        <w:tc>
          <w:tcPr>
            <w:tcW w:w="1208"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2E7189FA" w14:textId="729F0871"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34</w:t>
            </w:r>
          </w:p>
        </w:tc>
        <w:tc>
          <w:tcPr>
            <w:tcW w:w="850" w:type="dxa"/>
            <w:tcBorders>
              <w:top w:val="nil"/>
              <w:left w:val="nil"/>
              <w:bottom w:val="single" w:sz="4" w:space="0" w:color="auto"/>
              <w:right w:val="single" w:sz="4" w:space="0" w:color="auto"/>
            </w:tcBorders>
            <w:shd w:val="clear" w:color="auto" w:fill="FFFFFF" w:themeFill="background1"/>
            <w:noWrap/>
            <w:tcMar>
              <w:top w:w="0" w:type="dxa"/>
              <w:left w:w="0" w:type="dxa"/>
              <w:bottom w:w="0" w:type="dxa"/>
              <w:right w:w="180" w:type="dxa"/>
            </w:tcMar>
            <w:vAlign w:val="center"/>
            <w:hideMark/>
          </w:tcPr>
          <w:p w14:paraId="54C6F6DD" w14:textId="41B4FE4B"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101</w:t>
            </w:r>
          </w:p>
        </w:tc>
        <w:tc>
          <w:tcPr>
            <w:tcW w:w="851" w:type="dxa"/>
            <w:tcBorders>
              <w:top w:val="nil"/>
              <w:left w:val="nil"/>
              <w:bottom w:val="single" w:sz="4" w:space="0" w:color="auto"/>
              <w:right w:val="nil"/>
            </w:tcBorders>
            <w:shd w:val="clear" w:color="auto" w:fill="FFFFFF" w:themeFill="background1"/>
            <w:noWrap/>
            <w:tcMar>
              <w:top w:w="0" w:type="dxa"/>
              <w:left w:w="0" w:type="dxa"/>
              <w:bottom w:w="0" w:type="dxa"/>
              <w:right w:w="180" w:type="dxa"/>
            </w:tcMar>
            <w:vAlign w:val="center"/>
            <w:hideMark/>
          </w:tcPr>
          <w:p w14:paraId="6FF95B37" w14:textId="41516A58" w:rsidR="00443D8F" w:rsidRPr="002F2D01" w:rsidRDefault="00443D8F" w:rsidP="00CB0E93">
            <w:pPr>
              <w:spacing w:before="0" w:after="0"/>
              <w:ind w:left="57" w:right="57" w:firstLineChars="100" w:firstLine="160"/>
              <w:jc w:val="right"/>
              <w:rPr>
                <w:rFonts w:asciiTheme="majorHAnsi" w:hAnsiTheme="majorHAnsi" w:cs="Arial"/>
                <w:sz w:val="16"/>
                <w:szCs w:val="16"/>
              </w:rPr>
            </w:pPr>
            <w:r w:rsidRPr="002F2D01">
              <w:rPr>
                <w:rFonts w:asciiTheme="majorHAnsi" w:hAnsiTheme="majorHAnsi" w:cs="Arial"/>
                <w:sz w:val="16"/>
                <w:szCs w:val="16"/>
              </w:rPr>
              <w:t>167</w:t>
            </w:r>
          </w:p>
        </w:tc>
      </w:tr>
      <w:tr w:rsidR="00443D8F" w14:paraId="2DFFF7C2" w14:textId="77777777" w:rsidTr="004C0DDC">
        <w:trPr>
          <w:trHeight w:val="1035"/>
        </w:trPr>
        <w:tc>
          <w:tcPr>
            <w:tcW w:w="14459" w:type="dxa"/>
            <w:gridSpan w:val="16"/>
            <w:tcBorders>
              <w:top w:val="single" w:sz="4" w:space="0" w:color="auto"/>
              <w:left w:val="nil"/>
              <w:bottom w:val="nil"/>
              <w:right w:val="nil"/>
            </w:tcBorders>
            <w:shd w:val="clear" w:color="auto" w:fill="auto"/>
            <w:hideMark/>
          </w:tcPr>
          <w:p w14:paraId="49001F37" w14:textId="2269C9A5" w:rsidR="00443D8F" w:rsidRDefault="00A250C9" w:rsidP="00CB0E93">
            <w:pPr>
              <w:spacing w:before="0" w:after="0"/>
              <w:rPr>
                <w:rFonts w:ascii="Calibri" w:hAnsi="Calibri" w:cs="Arial"/>
                <w:sz w:val="16"/>
                <w:szCs w:val="16"/>
              </w:rPr>
            </w:pPr>
            <w:r>
              <w:rPr>
                <w:rFonts w:ascii="Calibri" w:hAnsi="Calibri" w:cs="Arial"/>
                <w:sz w:val="16"/>
                <w:szCs w:val="16"/>
              </w:rPr>
              <w:t xml:space="preserve">Source: Regional </w:t>
            </w:r>
            <w:r w:rsidR="003E2B29">
              <w:rPr>
                <w:rFonts w:ascii="Calibri" w:hAnsi="Calibri" w:cs="Arial"/>
                <w:sz w:val="16"/>
                <w:szCs w:val="16"/>
              </w:rPr>
              <w:t>Forest Agreements</w:t>
            </w:r>
            <w:r>
              <w:rPr>
                <w:rFonts w:ascii="Calibri" w:hAnsi="Calibri" w:cs="Arial"/>
                <w:sz w:val="16"/>
                <w:szCs w:val="16"/>
              </w:rPr>
              <w:t xml:space="preserve">, and associated </w:t>
            </w:r>
            <w:r w:rsidRPr="00FA5434">
              <w:rPr>
                <w:rFonts w:ascii="Calibri" w:hAnsi="Calibri" w:cs="Arial"/>
                <w:i/>
                <w:sz w:val="16"/>
                <w:szCs w:val="16"/>
              </w:rPr>
              <w:t>Progress with implementation of regional forest agreements</w:t>
            </w:r>
            <w:r>
              <w:rPr>
                <w:rFonts w:ascii="Calibri" w:hAnsi="Calibri" w:cs="Arial"/>
                <w:sz w:val="16"/>
                <w:szCs w:val="16"/>
              </w:rPr>
              <w:t xml:space="preserve"> reports and </w:t>
            </w:r>
            <w:r w:rsidRPr="00FA5434">
              <w:rPr>
                <w:rFonts w:ascii="Calibri" w:hAnsi="Calibri" w:cs="Arial"/>
                <w:i/>
                <w:sz w:val="16"/>
                <w:szCs w:val="16"/>
              </w:rPr>
              <w:t>Assessment of matters pertaining to renewal of regional forest agreements</w:t>
            </w:r>
            <w:r>
              <w:rPr>
                <w:rFonts w:ascii="Calibri" w:hAnsi="Calibri" w:cs="Arial"/>
                <w:sz w:val="16"/>
                <w:szCs w:val="16"/>
              </w:rPr>
              <w:t xml:space="preserve"> reports, where available.</w:t>
            </w:r>
            <w:r w:rsidR="00443D8F">
              <w:rPr>
                <w:rFonts w:ascii="Calibri" w:hAnsi="Calibri" w:cs="Arial"/>
                <w:sz w:val="16"/>
                <w:szCs w:val="16"/>
              </w:rPr>
              <w:br/>
              <w:t>Reserves are formal and informal public reserves</w:t>
            </w:r>
            <w:r w:rsidR="009754AA">
              <w:rPr>
                <w:rFonts w:ascii="Calibri" w:hAnsi="Calibri" w:cs="Arial"/>
                <w:sz w:val="16"/>
                <w:szCs w:val="16"/>
              </w:rPr>
              <w:t xml:space="preserve"> on public land</w:t>
            </w:r>
            <w:r w:rsidR="00443D8F">
              <w:rPr>
                <w:rFonts w:ascii="Calibri" w:hAnsi="Calibri" w:cs="Arial"/>
                <w:sz w:val="16"/>
                <w:szCs w:val="16"/>
              </w:rPr>
              <w:t>, and do not include areas</w:t>
            </w:r>
            <w:r>
              <w:rPr>
                <w:rFonts w:ascii="Calibri" w:hAnsi="Calibri" w:cs="Arial"/>
                <w:sz w:val="16"/>
                <w:szCs w:val="16"/>
              </w:rPr>
              <w:t xml:space="preserve"> with values</w:t>
            </w:r>
            <w:r w:rsidR="00443D8F">
              <w:rPr>
                <w:rFonts w:ascii="Calibri" w:hAnsi="Calibri" w:cs="Arial"/>
                <w:sz w:val="16"/>
                <w:szCs w:val="16"/>
              </w:rPr>
              <w:t xml:space="preserve"> protected by</w:t>
            </w:r>
            <w:r>
              <w:rPr>
                <w:rFonts w:ascii="Calibri" w:hAnsi="Calibri" w:cs="Arial"/>
                <w:sz w:val="16"/>
                <w:szCs w:val="16"/>
              </w:rPr>
              <w:t xml:space="preserve"> management</w:t>
            </w:r>
            <w:r w:rsidR="00443D8F">
              <w:rPr>
                <w:rFonts w:ascii="Calibri" w:hAnsi="Calibri" w:cs="Arial"/>
                <w:sz w:val="16"/>
                <w:szCs w:val="16"/>
              </w:rPr>
              <w:t xml:space="preserve"> prescription.</w:t>
            </w:r>
            <w:r w:rsidR="00443D8F">
              <w:rPr>
                <w:rFonts w:ascii="Calibri" w:hAnsi="Calibri" w:cs="Arial"/>
                <w:sz w:val="16"/>
                <w:szCs w:val="16"/>
              </w:rPr>
              <w:br/>
              <w:t>Date of most recent data is 201</w:t>
            </w:r>
            <w:r w:rsidR="0041658F">
              <w:rPr>
                <w:rFonts w:ascii="Calibri" w:hAnsi="Calibri" w:cs="Arial"/>
                <w:sz w:val="16"/>
                <w:szCs w:val="16"/>
              </w:rPr>
              <w:t>9</w:t>
            </w:r>
            <w:r w:rsidR="0044624F">
              <w:rPr>
                <w:rFonts w:ascii="Calibri" w:hAnsi="Calibri" w:cs="Arial"/>
                <w:sz w:val="16"/>
                <w:szCs w:val="16"/>
              </w:rPr>
              <w:t xml:space="preserve">, </w:t>
            </w:r>
            <w:r w:rsidR="00BB00B9">
              <w:rPr>
                <w:rFonts w:ascii="Calibri" w:hAnsi="Calibri" w:cs="Arial"/>
                <w:sz w:val="16"/>
                <w:szCs w:val="16"/>
              </w:rPr>
              <w:t>with tho</w:t>
            </w:r>
            <w:r w:rsidR="0044624F">
              <w:rPr>
                <w:rFonts w:ascii="Calibri" w:hAnsi="Calibri" w:cs="Arial"/>
                <w:sz w:val="16"/>
                <w:szCs w:val="16"/>
              </w:rPr>
              <w:t xml:space="preserve">se data </w:t>
            </w:r>
            <w:r w:rsidR="00BB00B9">
              <w:rPr>
                <w:rFonts w:ascii="Calibri" w:hAnsi="Calibri" w:cs="Arial"/>
                <w:sz w:val="16"/>
                <w:szCs w:val="16"/>
              </w:rPr>
              <w:t xml:space="preserve">being </w:t>
            </w:r>
            <w:r w:rsidR="00CD0907" w:rsidRPr="005C5680">
              <w:rPr>
                <w:rFonts w:ascii="Calibri" w:hAnsi="Calibri" w:cs="Arial"/>
                <w:sz w:val="16"/>
                <w:szCs w:val="16"/>
                <w:lang w:eastAsia="en-AU"/>
              </w:rPr>
              <w:t xml:space="preserve">based on </w:t>
            </w:r>
            <w:r w:rsidR="00CD0907">
              <w:rPr>
                <w:rFonts w:ascii="Calibri" w:hAnsi="Calibri" w:cs="Arial"/>
                <w:sz w:val="16"/>
                <w:szCs w:val="16"/>
                <w:lang w:eastAsia="en-AU"/>
              </w:rPr>
              <w:t>a reconciliation of the EVC classification at the date of signing RFAs with the updated</w:t>
            </w:r>
            <w:r w:rsidR="00CD0907" w:rsidRPr="005C5680">
              <w:rPr>
                <w:rFonts w:ascii="Calibri" w:hAnsi="Calibri" w:cs="Arial"/>
                <w:sz w:val="16"/>
                <w:szCs w:val="16"/>
                <w:lang w:eastAsia="en-AU"/>
              </w:rPr>
              <w:t xml:space="preserve"> EVC</w:t>
            </w:r>
            <w:r w:rsidR="00CD0907">
              <w:rPr>
                <w:rFonts w:ascii="Calibri" w:hAnsi="Calibri" w:cs="Arial"/>
                <w:sz w:val="16"/>
                <w:szCs w:val="16"/>
                <w:lang w:eastAsia="en-AU"/>
              </w:rPr>
              <w:t xml:space="preserve"> classification as at 2019.</w:t>
            </w:r>
            <w:r w:rsidR="00443D8F">
              <w:rPr>
                <w:rFonts w:ascii="Calibri" w:hAnsi="Calibri" w:cs="Arial"/>
                <w:sz w:val="16"/>
                <w:szCs w:val="16"/>
              </w:rPr>
              <w:br/>
              <w:t>Totals may not tally due to rounding.</w:t>
            </w:r>
          </w:p>
          <w:p w14:paraId="01C2ECB8" w14:textId="3DE2C885" w:rsidR="00447B1E" w:rsidRPr="00447B1E" w:rsidRDefault="00447B1E" w:rsidP="00DB0CD3">
            <w:pPr>
              <w:pStyle w:val="FootnoteText"/>
              <w:spacing w:before="0"/>
              <w:rPr>
                <w:rFonts w:asciiTheme="minorHAnsi" w:eastAsiaTheme="minorEastAsia" w:hAnsiTheme="minorHAnsi"/>
                <w:sz w:val="16"/>
              </w:rPr>
            </w:pPr>
            <w:r>
              <w:rPr>
                <w:rFonts w:asciiTheme="minorHAnsi" w:hAnsiTheme="minorHAnsi"/>
                <w:noProof/>
                <w:sz w:val="16"/>
              </w:rPr>
              <w:t>This table</w:t>
            </w:r>
            <w:r w:rsidRPr="00831C40">
              <w:rPr>
                <w:rFonts w:asciiTheme="minorHAnsi" w:hAnsiTheme="minorHAnsi"/>
                <w:noProof/>
                <w:sz w:val="16"/>
              </w:rPr>
              <w:t xml:space="preserve">, together with other data in this report, is available in Microsoft Excel </w:t>
            </w:r>
            <w:r w:rsidR="00DB0CD3">
              <w:rPr>
                <w:rFonts w:asciiTheme="minorHAnsi" w:hAnsiTheme="minorHAnsi"/>
                <w:noProof/>
                <w:sz w:val="16"/>
              </w:rPr>
              <w:t>at</w:t>
            </w:r>
            <w:r w:rsidRPr="00831C40">
              <w:rPr>
                <w:rFonts w:asciiTheme="minorHAnsi" w:hAnsiTheme="minorHAnsi"/>
                <w:noProof/>
                <w:sz w:val="16"/>
              </w:rPr>
              <w:t xml:space="preserve"> </w:t>
            </w:r>
            <w:hyperlink r:id="rId49" w:history="1">
              <w:r w:rsidR="00DD59DD" w:rsidRPr="0090070F">
                <w:rPr>
                  <w:rStyle w:val="Hyperlink"/>
                  <w:rFonts w:asciiTheme="minorHAnsi" w:hAnsiTheme="minorHAnsi"/>
                  <w:noProof/>
                  <w:color w:val="0070C0"/>
                  <w:sz w:val="16"/>
                </w:rPr>
                <w:t>doi.org/10.25814/pczx-xk66</w:t>
              </w:r>
            </w:hyperlink>
            <w:r w:rsidR="00DD59DD">
              <w:rPr>
                <w:rFonts w:asciiTheme="minorHAnsi" w:hAnsiTheme="minorHAnsi"/>
                <w:noProof/>
                <w:sz w:val="16"/>
              </w:rPr>
              <w:t>.</w:t>
            </w:r>
          </w:p>
        </w:tc>
      </w:tr>
    </w:tbl>
    <w:p w14:paraId="1450CE46" w14:textId="4FD087B3" w:rsidR="00BF1E32" w:rsidRDefault="00732F77" w:rsidP="00CB0E93">
      <w:pPr>
        <w:spacing w:before="0" w:after="0" w:line="276" w:lineRule="auto"/>
        <w:rPr>
          <w:b/>
        </w:rPr>
      </w:pPr>
      <w:r>
        <w:rPr>
          <w:b/>
        </w:rPr>
        <w:t xml:space="preserve"> </w:t>
      </w:r>
      <w:r w:rsidR="00BF1E32">
        <w:rPr>
          <w:b/>
        </w:rPr>
        <w:br w:type="page"/>
      </w:r>
    </w:p>
    <w:p w14:paraId="433AAACA" w14:textId="60D3F993" w:rsidR="00E32701" w:rsidRDefault="00E32701" w:rsidP="004C0DDC">
      <w:pPr>
        <w:pStyle w:val="Caption"/>
      </w:pPr>
      <w:bookmarkStart w:id="52" w:name="_Ref55396404"/>
      <w:bookmarkStart w:id="53" w:name="_Toc58234972"/>
      <w:r>
        <w:lastRenderedPageBreak/>
        <w:t xml:space="preserve">Table </w:t>
      </w:r>
      <w:r w:rsidR="00D15AE0">
        <w:t>A</w:t>
      </w:r>
      <w:r w:rsidR="00DD454E">
        <w:rPr>
          <w:noProof/>
        </w:rPr>
        <w:fldChar w:fldCharType="begin"/>
      </w:r>
      <w:r w:rsidR="00DD454E">
        <w:rPr>
          <w:noProof/>
        </w:rPr>
        <w:instrText xml:space="preserve"> SEQ Table \* ARABIC </w:instrText>
      </w:r>
      <w:r w:rsidR="00DD454E">
        <w:rPr>
          <w:noProof/>
        </w:rPr>
        <w:fldChar w:fldCharType="separate"/>
      </w:r>
      <w:r w:rsidR="00CC3B42">
        <w:rPr>
          <w:noProof/>
        </w:rPr>
        <w:t>9</w:t>
      </w:r>
      <w:r w:rsidR="00DD454E">
        <w:rPr>
          <w:noProof/>
        </w:rPr>
        <w:fldChar w:fldCharType="end"/>
      </w:r>
      <w:bookmarkEnd w:id="52"/>
      <w:r>
        <w:t xml:space="preserve"> Area of reserved high-quality wilderness before and after RFAs</w:t>
      </w:r>
      <w:r w:rsidR="00361D8F">
        <w:t xml:space="preserve"> were signed</w:t>
      </w:r>
      <w:bookmarkEnd w:id="53"/>
    </w:p>
    <w:tbl>
      <w:tblPr>
        <w:tblW w:w="14459" w:type="dxa"/>
        <w:tblInd w:w="-567" w:type="dxa"/>
        <w:tblLayout w:type="fixed"/>
        <w:tblLook w:val="04A0" w:firstRow="1" w:lastRow="0" w:firstColumn="1" w:lastColumn="0" w:noHBand="0" w:noVBand="1"/>
      </w:tblPr>
      <w:tblGrid>
        <w:gridCol w:w="1985"/>
        <w:gridCol w:w="992"/>
        <w:gridCol w:w="992"/>
        <w:gridCol w:w="992"/>
        <w:gridCol w:w="1053"/>
        <w:gridCol w:w="932"/>
        <w:gridCol w:w="992"/>
        <w:gridCol w:w="992"/>
        <w:gridCol w:w="850"/>
        <w:gridCol w:w="851"/>
        <w:gridCol w:w="993"/>
        <w:gridCol w:w="850"/>
        <w:gridCol w:w="992"/>
        <w:gridCol w:w="993"/>
      </w:tblGrid>
      <w:tr w:rsidR="00C00303" w:rsidRPr="00E32701" w14:paraId="2D283138" w14:textId="77777777" w:rsidTr="008354D7">
        <w:trPr>
          <w:trHeight w:val="1125"/>
        </w:trPr>
        <w:tc>
          <w:tcPr>
            <w:tcW w:w="1985" w:type="dxa"/>
            <w:tcBorders>
              <w:top w:val="single" w:sz="4" w:space="0" w:color="auto"/>
              <w:bottom w:val="single" w:sz="4" w:space="0" w:color="auto"/>
              <w:right w:val="single" w:sz="4" w:space="0" w:color="auto"/>
            </w:tcBorders>
            <w:shd w:val="clear" w:color="000000" w:fill="FFFFFF"/>
            <w:vAlign w:val="bottom"/>
            <w:hideMark/>
          </w:tcPr>
          <w:p w14:paraId="4A5C9618" w14:textId="77777777" w:rsidR="00C00303" w:rsidRPr="002F2D01" w:rsidRDefault="00C00303" w:rsidP="00CB0E93">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Wilderness</w:t>
            </w:r>
          </w:p>
        </w:tc>
        <w:tc>
          <w:tcPr>
            <w:tcW w:w="992" w:type="dxa"/>
            <w:tcBorders>
              <w:top w:val="single" w:sz="4" w:space="0" w:color="auto"/>
              <w:left w:val="nil"/>
              <w:bottom w:val="single" w:sz="4" w:space="0" w:color="auto"/>
              <w:right w:val="nil"/>
            </w:tcBorders>
            <w:shd w:val="clear" w:color="000000" w:fill="FFFFFF"/>
            <w:vAlign w:val="bottom"/>
            <w:hideMark/>
          </w:tcPr>
          <w:p w14:paraId="5CF6E2B2" w14:textId="77777777" w:rsidR="00C00303" w:rsidRPr="003405E4" w:rsidRDefault="00C00303" w:rsidP="00CB0E93">
            <w:pPr>
              <w:spacing w:before="0" w:after="0"/>
              <w:jc w:val="right"/>
              <w:rPr>
                <w:rFonts w:asciiTheme="majorHAnsi" w:hAnsiTheme="majorHAnsi" w:cs="Arial"/>
                <w:b/>
                <w:bCs/>
                <w:sz w:val="14"/>
                <w:szCs w:val="16"/>
                <w:lang w:eastAsia="en-AU"/>
              </w:rPr>
            </w:pPr>
            <w:r w:rsidRPr="003405E4">
              <w:rPr>
                <w:rFonts w:asciiTheme="majorHAnsi" w:hAnsiTheme="majorHAnsi" w:cs="Arial"/>
                <w:b/>
                <w:bCs/>
                <w:sz w:val="14"/>
                <w:szCs w:val="16"/>
                <w:lang w:eastAsia="en-AU"/>
              </w:rPr>
              <w:t>Total land area (ha)</w:t>
            </w:r>
          </w:p>
        </w:tc>
        <w:tc>
          <w:tcPr>
            <w:tcW w:w="992" w:type="dxa"/>
            <w:tcBorders>
              <w:top w:val="single" w:sz="4" w:space="0" w:color="auto"/>
              <w:left w:val="single" w:sz="4" w:space="0" w:color="auto"/>
              <w:bottom w:val="single" w:sz="4" w:space="0" w:color="auto"/>
              <w:right w:val="nil"/>
            </w:tcBorders>
            <w:shd w:val="clear" w:color="000000" w:fill="FFFFFF"/>
            <w:vAlign w:val="bottom"/>
            <w:hideMark/>
          </w:tcPr>
          <w:p w14:paraId="0663A78D"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Area of wilderness pre-RFA (ha)</w:t>
            </w:r>
          </w:p>
        </w:tc>
        <w:tc>
          <w:tcPr>
            <w:tcW w:w="992" w:type="dxa"/>
            <w:tcBorders>
              <w:top w:val="single" w:sz="4" w:space="0" w:color="auto"/>
              <w:left w:val="nil"/>
              <w:bottom w:val="single" w:sz="4" w:space="0" w:color="auto"/>
              <w:right w:val="nil"/>
            </w:tcBorders>
            <w:shd w:val="clear" w:color="000000" w:fill="FFFFFF"/>
            <w:vAlign w:val="bottom"/>
            <w:hideMark/>
          </w:tcPr>
          <w:p w14:paraId="381F7A61"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Area of wilderness on public land pre-RFA  (ha)</w:t>
            </w:r>
          </w:p>
        </w:tc>
        <w:tc>
          <w:tcPr>
            <w:tcW w:w="1053" w:type="dxa"/>
            <w:tcBorders>
              <w:top w:val="single" w:sz="4" w:space="0" w:color="auto"/>
              <w:left w:val="nil"/>
              <w:bottom w:val="single" w:sz="4" w:space="0" w:color="auto"/>
              <w:right w:val="nil"/>
            </w:tcBorders>
            <w:shd w:val="clear" w:color="000000" w:fill="FFFFFF"/>
            <w:vAlign w:val="bottom"/>
            <w:hideMark/>
          </w:tcPr>
          <w:p w14:paraId="2AA6B0E2" w14:textId="6280421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Area of wilderness in reserves pre-RFA (ha)</w:t>
            </w:r>
          </w:p>
        </w:tc>
        <w:tc>
          <w:tcPr>
            <w:tcW w:w="932" w:type="dxa"/>
            <w:tcBorders>
              <w:top w:val="single" w:sz="4" w:space="0" w:color="auto"/>
              <w:left w:val="nil"/>
              <w:bottom w:val="single" w:sz="4" w:space="0" w:color="auto"/>
              <w:right w:val="nil"/>
            </w:tcBorders>
            <w:shd w:val="clear" w:color="000000" w:fill="FFFFFF"/>
            <w:vAlign w:val="bottom"/>
            <w:hideMark/>
          </w:tcPr>
          <w:p w14:paraId="57DC992E"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Proportion of wilderness in reserves pre-RFA (%)</w:t>
            </w:r>
            <w:r w:rsidRPr="003405E4">
              <w:rPr>
                <w:rFonts w:asciiTheme="majorHAnsi" w:hAnsiTheme="majorHAnsi"/>
                <w:b/>
                <w:spacing w:val="-10"/>
                <w:sz w:val="14"/>
                <w:szCs w:val="16"/>
                <w:lang w:eastAsia="en-AU"/>
              </w:rPr>
              <w:t> </w:t>
            </w:r>
          </w:p>
        </w:tc>
        <w:tc>
          <w:tcPr>
            <w:tcW w:w="992" w:type="dxa"/>
            <w:tcBorders>
              <w:top w:val="single" w:sz="4" w:space="0" w:color="auto"/>
              <w:left w:val="single" w:sz="4" w:space="0" w:color="auto"/>
              <w:bottom w:val="single" w:sz="4" w:space="0" w:color="auto"/>
              <w:right w:val="nil"/>
            </w:tcBorders>
            <w:shd w:val="clear" w:color="000000" w:fill="FFFFFF"/>
            <w:vAlign w:val="bottom"/>
            <w:hideMark/>
          </w:tcPr>
          <w:p w14:paraId="44ED53B3"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 xml:space="preserve">Area of wilderness in reserves post-RFA (ha)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FB0D9A2" w14:textId="44071FE7" w:rsidR="00C00303" w:rsidRPr="003405E4" w:rsidRDefault="00C00303" w:rsidP="002F2D01">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Proportion of wilderness in reserves post-RFA (%)</w:t>
            </w:r>
          </w:p>
        </w:tc>
        <w:tc>
          <w:tcPr>
            <w:tcW w:w="850" w:type="dxa"/>
            <w:tcBorders>
              <w:top w:val="single" w:sz="4" w:space="0" w:color="auto"/>
              <w:left w:val="nil"/>
              <w:bottom w:val="single" w:sz="4" w:space="0" w:color="auto"/>
              <w:right w:val="nil"/>
            </w:tcBorders>
            <w:shd w:val="clear" w:color="000000" w:fill="FFFFFF"/>
            <w:vAlign w:val="bottom"/>
            <w:hideMark/>
          </w:tcPr>
          <w:p w14:paraId="1E9A135D"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Change in area of wilderness in reserves at RFA (ha)</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17E5A5C3"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Change in proportion of wilderness in reserves (%)</w:t>
            </w:r>
          </w:p>
        </w:tc>
        <w:tc>
          <w:tcPr>
            <w:tcW w:w="993" w:type="dxa"/>
            <w:tcBorders>
              <w:top w:val="single" w:sz="4" w:space="0" w:color="auto"/>
              <w:left w:val="nil"/>
              <w:bottom w:val="single" w:sz="4" w:space="0" w:color="auto"/>
              <w:right w:val="nil"/>
            </w:tcBorders>
            <w:shd w:val="clear" w:color="000000" w:fill="FFFFFF"/>
            <w:vAlign w:val="bottom"/>
            <w:hideMark/>
          </w:tcPr>
          <w:p w14:paraId="1E10605B"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Area of wilderness in reserves in most recent data (ha)</w:t>
            </w:r>
          </w:p>
        </w:tc>
        <w:tc>
          <w:tcPr>
            <w:tcW w:w="850" w:type="dxa"/>
            <w:tcBorders>
              <w:top w:val="single" w:sz="4" w:space="0" w:color="auto"/>
              <w:left w:val="nil"/>
              <w:bottom w:val="single" w:sz="4" w:space="0" w:color="auto"/>
              <w:right w:val="single" w:sz="4" w:space="0" w:color="auto"/>
            </w:tcBorders>
            <w:shd w:val="clear" w:color="000000" w:fill="FFFFFF"/>
            <w:vAlign w:val="bottom"/>
            <w:hideMark/>
          </w:tcPr>
          <w:p w14:paraId="754D4152"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Proportion of wilderness in reserves in most recent data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FCFE4D2"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Change in area of wilderness in reserves from post-RFA to most recent data (ha)</w:t>
            </w:r>
          </w:p>
        </w:tc>
        <w:tc>
          <w:tcPr>
            <w:tcW w:w="993" w:type="dxa"/>
            <w:tcBorders>
              <w:top w:val="single" w:sz="4" w:space="0" w:color="auto"/>
              <w:left w:val="nil"/>
              <w:bottom w:val="single" w:sz="4" w:space="0" w:color="auto"/>
            </w:tcBorders>
            <w:shd w:val="clear" w:color="auto" w:fill="auto"/>
            <w:vAlign w:val="bottom"/>
            <w:hideMark/>
          </w:tcPr>
          <w:p w14:paraId="558A13D8" w14:textId="77777777" w:rsidR="00C00303" w:rsidRPr="003405E4" w:rsidRDefault="00C00303" w:rsidP="00CB0E93">
            <w:pPr>
              <w:spacing w:before="0" w:after="0"/>
              <w:jc w:val="right"/>
              <w:rPr>
                <w:rFonts w:asciiTheme="majorHAnsi" w:hAnsiTheme="majorHAnsi" w:cs="Arial"/>
                <w:b/>
                <w:bCs/>
                <w:spacing w:val="-10"/>
                <w:sz w:val="14"/>
                <w:szCs w:val="16"/>
                <w:lang w:eastAsia="en-AU"/>
              </w:rPr>
            </w:pPr>
            <w:r w:rsidRPr="003405E4">
              <w:rPr>
                <w:rFonts w:asciiTheme="majorHAnsi" w:hAnsiTheme="majorHAnsi" w:cs="Arial"/>
                <w:b/>
                <w:bCs/>
                <w:spacing w:val="-10"/>
                <w:sz w:val="14"/>
                <w:szCs w:val="16"/>
                <w:lang w:eastAsia="en-AU"/>
              </w:rPr>
              <w:t>Proportion of wilderness reserved on public land in most recent data (%)</w:t>
            </w:r>
          </w:p>
        </w:tc>
      </w:tr>
      <w:tr w:rsidR="00C00303" w:rsidRPr="00E32701" w14:paraId="40B531DF" w14:textId="77777777" w:rsidTr="008354D7">
        <w:trPr>
          <w:trHeight w:val="20"/>
        </w:trPr>
        <w:tc>
          <w:tcPr>
            <w:tcW w:w="1985" w:type="dxa"/>
            <w:tcBorders>
              <w:top w:val="nil"/>
              <w:bottom w:val="single" w:sz="4" w:space="0" w:color="auto"/>
              <w:right w:val="nil"/>
            </w:tcBorders>
            <w:shd w:val="clear" w:color="000000" w:fill="FFFFFF"/>
            <w:vAlign w:val="bottom"/>
            <w:hideMark/>
          </w:tcPr>
          <w:p w14:paraId="79F4EC75" w14:textId="3FF67332" w:rsidR="00C00303" w:rsidRPr="002F2D01" w:rsidRDefault="00C00303" w:rsidP="00C00303">
            <w:pPr>
              <w:spacing w:before="0" w:after="0"/>
              <w:rPr>
                <w:rFonts w:asciiTheme="majorHAnsi" w:hAnsiTheme="majorHAnsi" w:cs="Arial"/>
                <w:b/>
                <w:bCs/>
                <w:spacing w:val="-12"/>
                <w:sz w:val="16"/>
                <w:szCs w:val="16"/>
                <w:lang w:eastAsia="en-AU"/>
              </w:rPr>
            </w:pPr>
            <w:r w:rsidRPr="003405E4">
              <w:rPr>
                <w:rFonts w:asciiTheme="majorHAnsi" w:hAnsiTheme="majorHAnsi" w:cs="Arial"/>
                <w:b/>
                <w:bCs/>
                <w:sz w:val="16"/>
                <w:szCs w:val="16"/>
                <w:lang w:eastAsia="en-AU"/>
              </w:rPr>
              <w:t xml:space="preserve">Column codes continue from </w:t>
            </w:r>
            <w:r>
              <w:rPr>
                <w:rFonts w:asciiTheme="majorHAnsi" w:hAnsiTheme="majorHAnsi" w:cs="Arial"/>
                <w:b/>
                <w:bCs/>
                <w:sz w:val="16"/>
                <w:szCs w:val="16"/>
                <w:lang w:eastAsia="en-AU"/>
              </w:rPr>
              <w:t xml:space="preserve">previous tables </w:t>
            </w:r>
            <w:r w:rsidRPr="003B4E16">
              <w:rPr>
                <w:rFonts w:asciiTheme="majorHAnsi" w:hAnsiTheme="majorHAnsi" w:cs="Arial"/>
                <w:b/>
                <w:bCs/>
                <w:position w:val="4"/>
                <w:sz w:val="16"/>
                <w:szCs w:val="16"/>
              </w:rPr>
              <w:t>a</w:t>
            </w:r>
            <w:r w:rsidRPr="002F2D01">
              <w:rPr>
                <w:rFonts w:asciiTheme="majorHAnsi" w:hAnsiTheme="majorHAnsi" w:cs="Arial"/>
                <w:b/>
                <w:bCs/>
                <w:spacing w:val="-12"/>
                <w:sz w:val="16"/>
                <w:szCs w:val="16"/>
                <w:lang w:eastAsia="en-AU"/>
              </w:rPr>
              <w:br/>
            </w:r>
            <w:r>
              <w:rPr>
                <w:rFonts w:asciiTheme="majorHAnsi" w:hAnsiTheme="majorHAnsi" w:cs="Arial"/>
                <w:sz w:val="16"/>
                <w:szCs w:val="16"/>
                <w:lang w:eastAsia="en-AU"/>
              </w:rPr>
              <w:t>Derivation of figures</w:t>
            </w:r>
          </w:p>
        </w:tc>
        <w:tc>
          <w:tcPr>
            <w:tcW w:w="992" w:type="dxa"/>
            <w:tcBorders>
              <w:top w:val="nil"/>
              <w:left w:val="single" w:sz="4" w:space="0" w:color="auto"/>
              <w:bottom w:val="single" w:sz="4" w:space="0" w:color="auto"/>
              <w:right w:val="single" w:sz="4" w:space="0" w:color="auto"/>
            </w:tcBorders>
            <w:shd w:val="clear" w:color="auto" w:fill="FFFFFF" w:themeFill="background1"/>
            <w:hideMark/>
          </w:tcPr>
          <w:p w14:paraId="442050C5" w14:textId="77777777" w:rsidR="00C00303" w:rsidRPr="002F2D01" w:rsidRDefault="00C00303" w:rsidP="00CB0E93">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w:t>
            </w:r>
          </w:p>
        </w:tc>
        <w:tc>
          <w:tcPr>
            <w:tcW w:w="992" w:type="dxa"/>
            <w:tcBorders>
              <w:top w:val="nil"/>
              <w:left w:val="nil"/>
              <w:bottom w:val="single" w:sz="4" w:space="0" w:color="auto"/>
              <w:right w:val="nil"/>
            </w:tcBorders>
            <w:shd w:val="clear" w:color="auto" w:fill="FFFFFF" w:themeFill="background1"/>
            <w:hideMark/>
          </w:tcPr>
          <w:p w14:paraId="26C7709B" w14:textId="17FDF3D6" w:rsidR="00C00303" w:rsidRPr="002F2D01" w:rsidRDefault="00C00303" w:rsidP="00CB0E93">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AJ</w:t>
            </w:r>
          </w:p>
        </w:tc>
        <w:tc>
          <w:tcPr>
            <w:tcW w:w="992" w:type="dxa"/>
            <w:tcBorders>
              <w:top w:val="nil"/>
              <w:left w:val="nil"/>
              <w:bottom w:val="single" w:sz="4" w:space="0" w:color="auto"/>
              <w:right w:val="nil"/>
            </w:tcBorders>
            <w:shd w:val="clear" w:color="auto" w:fill="FFFFFF" w:themeFill="background1"/>
            <w:hideMark/>
          </w:tcPr>
          <w:p w14:paraId="4C37B862" w14:textId="3ED4B85A" w:rsidR="00C00303" w:rsidRPr="002F2D01" w:rsidRDefault="00C00303" w:rsidP="00CB0E93">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AK</w:t>
            </w:r>
          </w:p>
        </w:tc>
        <w:tc>
          <w:tcPr>
            <w:tcW w:w="1053" w:type="dxa"/>
            <w:tcBorders>
              <w:top w:val="nil"/>
              <w:left w:val="nil"/>
              <w:bottom w:val="single" w:sz="4" w:space="0" w:color="auto"/>
              <w:right w:val="nil"/>
            </w:tcBorders>
            <w:shd w:val="clear" w:color="auto" w:fill="FFFFFF" w:themeFill="background1"/>
            <w:hideMark/>
          </w:tcPr>
          <w:p w14:paraId="10A96BC9" w14:textId="06C5DEC3" w:rsidR="00C00303" w:rsidRPr="002F2D01" w:rsidRDefault="00C00303" w:rsidP="00CB0E93">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AL</w:t>
            </w:r>
          </w:p>
        </w:tc>
        <w:tc>
          <w:tcPr>
            <w:tcW w:w="932" w:type="dxa"/>
            <w:tcBorders>
              <w:top w:val="nil"/>
              <w:left w:val="nil"/>
              <w:bottom w:val="single" w:sz="4" w:space="0" w:color="auto"/>
              <w:right w:val="single" w:sz="4" w:space="0" w:color="auto"/>
            </w:tcBorders>
            <w:shd w:val="clear" w:color="auto" w:fill="FFFFFF" w:themeFill="background1"/>
            <w:hideMark/>
          </w:tcPr>
          <w:p w14:paraId="4E98ABE0" w14:textId="584D5F81" w:rsidR="00C00303" w:rsidRPr="002F2D01" w:rsidRDefault="00C00303" w:rsidP="00C00303">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AM</w:t>
            </w:r>
            <w:r w:rsidRPr="002F2D01">
              <w:rPr>
                <w:rFonts w:asciiTheme="majorHAnsi" w:hAnsiTheme="majorHAnsi" w:cs="Arial"/>
                <w:b/>
                <w:bCs/>
                <w:spacing w:val="-10"/>
                <w:sz w:val="16"/>
                <w:szCs w:val="16"/>
                <w:lang w:eastAsia="en-AU"/>
              </w:rPr>
              <w:br/>
            </w:r>
            <w:r w:rsidRPr="002F2D01">
              <w:rPr>
                <w:rFonts w:asciiTheme="majorHAnsi" w:hAnsiTheme="majorHAnsi" w:cs="Arial"/>
                <w:spacing w:val="-10"/>
                <w:sz w:val="16"/>
                <w:szCs w:val="16"/>
                <w:lang w:eastAsia="en-AU"/>
              </w:rPr>
              <w:t>=AL/A</w:t>
            </w:r>
            <w:r>
              <w:rPr>
                <w:rFonts w:asciiTheme="majorHAnsi" w:hAnsiTheme="majorHAnsi" w:cs="Arial"/>
                <w:spacing w:val="-10"/>
                <w:sz w:val="16"/>
                <w:szCs w:val="16"/>
                <w:lang w:eastAsia="en-AU"/>
              </w:rPr>
              <w:t>J</w:t>
            </w:r>
          </w:p>
        </w:tc>
        <w:tc>
          <w:tcPr>
            <w:tcW w:w="992" w:type="dxa"/>
            <w:tcBorders>
              <w:top w:val="nil"/>
              <w:left w:val="nil"/>
              <w:bottom w:val="single" w:sz="4" w:space="0" w:color="auto"/>
              <w:right w:val="nil"/>
            </w:tcBorders>
            <w:shd w:val="clear" w:color="auto" w:fill="FFFFFF" w:themeFill="background1"/>
            <w:hideMark/>
          </w:tcPr>
          <w:p w14:paraId="52069082" w14:textId="0ECE8A07" w:rsidR="00C00303" w:rsidRPr="002F2D01" w:rsidRDefault="00C00303" w:rsidP="00CB0E93">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AN</w:t>
            </w:r>
          </w:p>
        </w:tc>
        <w:tc>
          <w:tcPr>
            <w:tcW w:w="992" w:type="dxa"/>
            <w:tcBorders>
              <w:top w:val="nil"/>
              <w:left w:val="nil"/>
              <w:bottom w:val="single" w:sz="4" w:space="0" w:color="auto"/>
              <w:right w:val="single" w:sz="4" w:space="0" w:color="auto"/>
            </w:tcBorders>
            <w:shd w:val="clear" w:color="auto" w:fill="FFFFFF" w:themeFill="background1"/>
            <w:hideMark/>
          </w:tcPr>
          <w:p w14:paraId="60E2A6CA" w14:textId="6CFF9105" w:rsidR="00C00303" w:rsidRPr="002F2D01" w:rsidRDefault="00C00303" w:rsidP="00C00303">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AO</w:t>
            </w:r>
            <w:r w:rsidRPr="002F2D01">
              <w:rPr>
                <w:rFonts w:asciiTheme="majorHAnsi" w:hAnsiTheme="majorHAnsi" w:cs="Arial"/>
                <w:b/>
                <w:bCs/>
                <w:spacing w:val="-10"/>
                <w:sz w:val="16"/>
                <w:szCs w:val="16"/>
                <w:lang w:eastAsia="en-AU"/>
              </w:rPr>
              <w:br/>
            </w:r>
            <w:r w:rsidRPr="002F2D01">
              <w:rPr>
                <w:rFonts w:asciiTheme="majorHAnsi" w:hAnsiTheme="majorHAnsi" w:cs="Arial"/>
                <w:spacing w:val="-10"/>
                <w:sz w:val="16"/>
                <w:szCs w:val="16"/>
                <w:lang w:eastAsia="en-AU"/>
              </w:rPr>
              <w:t>=AN/AJ</w:t>
            </w:r>
          </w:p>
        </w:tc>
        <w:tc>
          <w:tcPr>
            <w:tcW w:w="850" w:type="dxa"/>
            <w:tcBorders>
              <w:top w:val="nil"/>
              <w:left w:val="nil"/>
              <w:bottom w:val="single" w:sz="4" w:space="0" w:color="auto"/>
              <w:right w:val="nil"/>
            </w:tcBorders>
            <w:shd w:val="clear" w:color="auto" w:fill="FFFFFF" w:themeFill="background1"/>
            <w:hideMark/>
          </w:tcPr>
          <w:p w14:paraId="72256BDF" w14:textId="66F25C39" w:rsidR="00C00303" w:rsidRPr="002F2D01" w:rsidRDefault="00C00303" w:rsidP="00CB0E93">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AP</w:t>
            </w:r>
            <w:r w:rsidRPr="002F2D01">
              <w:rPr>
                <w:rFonts w:asciiTheme="majorHAnsi" w:hAnsiTheme="majorHAnsi" w:cs="Arial"/>
                <w:b/>
                <w:bCs/>
                <w:spacing w:val="-10"/>
                <w:sz w:val="16"/>
                <w:szCs w:val="16"/>
                <w:lang w:eastAsia="en-AU"/>
              </w:rPr>
              <w:br/>
            </w:r>
            <w:r w:rsidRPr="002F2D01">
              <w:rPr>
                <w:rFonts w:asciiTheme="majorHAnsi" w:hAnsiTheme="majorHAnsi" w:cs="Arial"/>
                <w:spacing w:val="-10"/>
                <w:sz w:val="16"/>
                <w:szCs w:val="16"/>
                <w:lang w:eastAsia="en-AU"/>
              </w:rPr>
              <w:t>=AN-AL</w:t>
            </w:r>
          </w:p>
        </w:tc>
        <w:tc>
          <w:tcPr>
            <w:tcW w:w="851" w:type="dxa"/>
            <w:tcBorders>
              <w:top w:val="nil"/>
              <w:left w:val="nil"/>
              <w:bottom w:val="single" w:sz="4" w:space="0" w:color="auto"/>
              <w:right w:val="single" w:sz="4" w:space="0" w:color="auto"/>
            </w:tcBorders>
            <w:shd w:val="clear" w:color="auto" w:fill="FFFFFF" w:themeFill="background1"/>
            <w:hideMark/>
          </w:tcPr>
          <w:p w14:paraId="20A837B5" w14:textId="075F60BB" w:rsidR="00C00303" w:rsidRPr="002F2D01" w:rsidRDefault="00C00303" w:rsidP="00CB0E93">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AQ</w:t>
            </w:r>
            <w:r w:rsidRPr="002F2D01">
              <w:rPr>
                <w:rFonts w:asciiTheme="majorHAnsi" w:hAnsiTheme="majorHAnsi" w:cs="Arial"/>
                <w:b/>
                <w:bCs/>
                <w:spacing w:val="-10"/>
                <w:sz w:val="16"/>
                <w:szCs w:val="16"/>
                <w:lang w:eastAsia="en-AU"/>
              </w:rPr>
              <w:br/>
            </w:r>
            <w:r w:rsidRPr="002F2D01">
              <w:rPr>
                <w:rFonts w:asciiTheme="majorHAnsi" w:hAnsiTheme="majorHAnsi" w:cs="Arial"/>
                <w:spacing w:val="-10"/>
                <w:sz w:val="16"/>
                <w:szCs w:val="16"/>
                <w:lang w:eastAsia="en-AU"/>
              </w:rPr>
              <w:t>=AP/AJ</w:t>
            </w:r>
          </w:p>
        </w:tc>
        <w:tc>
          <w:tcPr>
            <w:tcW w:w="993" w:type="dxa"/>
            <w:tcBorders>
              <w:top w:val="nil"/>
              <w:left w:val="nil"/>
              <w:bottom w:val="single" w:sz="4" w:space="0" w:color="auto"/>
              <w:right w:val="nil"/>
            </w:tcBorders>
            <w:shd w:val="clear" w:color="auto" w:fill="FFFFFF" w:themeFill="background1"/>
            <w:hideMark/>
          </w:tcPr>
          <w:p w14:paraId="44DA4210" w14:textId="316E2D2F" w:rsidR="00C00303" w:rsidRPr="002F2D01" w:rsidRDefault="00C00303" w:rsidP="0004079B">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w:t>
            </w:r>
            <w:r w:rsidR="0004079B">
              <w:rPr>
                <w:rFonts w:asciiTheme="majorHAnsi" w:hAnsiTheme="majorHAnsi" w:cs="Arial"/>
                <w:b/>
                <w:bCs/>
                <w:spacing w:val="-10"/>
                <w:sz w:val="16"/>
                <w:szCs w:val="16"/>
                <w:lang w:eastAsia="en-AU"/>
              </w:rPr>
              <w:t>R</w:t>
            </w:r>
          </w:p>
        </w:tc>
        <w:tc>
          <w:tcPr>
            <w:tcW w:w="850" w:type="dxa"/>
            <w:tcBorders>
              <w:top w:val="nil"/>
              <w:left w:val="nil"/>
              <w:bottom w:val="single" w:sz="4" w:space="0" w:color="auto"/>
              <w:right w:val="single" w:sz="4" w:space="0" w:color="auto"/>
            </w:tcBorders>
            <w:shd w:val="clear" w:color="auto" w:fill="FFFFFF" w:themeFill="background1"/>
            <w:hideMark/>
          </w:tcPr>
          <w:p w14:paraId="042544BF" w14:textId="1EC56E24" w:rsidR="00C00303" w:rsidRPr="002F2D01" w:rsidRDefault="00C00303" w:rsidP="0004079B">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w:t>
            </w:r>
            <w:r w:rsidR="0004079B">
              <w:rPr>
                <w:rFonts w:asciiTheme="majorHAnsi" w:hAnsiTheme="majorHAnsi" w:cs="Arial"/>
                <w:b/>
                <w:bCs/>
                <w:spacing w:val="-10"/>
                <w:sz w:val="16"/>
                <w:szCs w:val="16"/>
                <w:lang w:eastAsia="en-AU"/>
              </w:rPr>
              <w:t>S</w:t>
            </w:r>
            <w:r w:rsidRPr="002F2D01">
              <w:rPr>
                <w:rFonts w:asciiTheme="majorHAnsi" w:hAnsiTheme="majorHAnsi" w:cs="Arial"/>
                <w:b/>
                <w:bCs/>
                <w:spacing w:val="-10"/>
                <w:sz w:val="16"/>
                <w:szCs w:val="16"/>
                <w:lang w:eastAsia="en-AU"/>
              </w:rPr>
              <w:br/>
            </w:r>
            <w:r w:rsidRPr="002F2D01">
              <w:rPr>
                <w:rFonts w:asciiTheme="majorHAnsi" w:hAnsiTheme="majorHAnsi" w:cs="Arial"/>
                <w:spacing w:val="-10"/>
                <w:sz w:val="16"/>
                <w:szCs w:val="16"/>
                <w:lang w:eastAsia="en-AU"/>
              </w:rPr>
              <w:t>=A</w:t>
            </w:r>
            <w:r w:rsidR="0004079B">
              <w:rPr>
                <w:rFonts w:asciiTheme="majorHAnsi" w:hAnsiTheme="majorHAnsi" w:cs="Arial"/>
                <w:spacing w:val="-10"/>
                <w:sz w:val="16"/>
                <w:szCs w:val="16"/>
                <w:lang w:eastAsia="en-AU"/>
              </w:rPr>
              <w:t>R</w:t>
            </w:r>
            <w:r w:rsidRPr="002F2D01">
              <w:rPr>
                <w:rFonts w:asciiTheme="majorHAnsi" w:hAnsiTheme="majorHAnsi" w:cs="Arial"/>
                <w:spacing w:val="-10"/>
                <w:sz w:val="16"/>
                <w:szCs w:val="16"/>
                <w:lang w:eastAsia="en-AU"/>
              </w:rPr>
              <w:t>/AJ</w:t>
            </w:r>
          </w:p>
        </w:tc>
        <w:tc>
          <w:tcPr>
            <w:tcW w:w="992" w:type="dxa"/>
            <w:tcBorders>
              <w:top w:val="nil"/>
              <w:left w:val="nil"/>
              <w:bottom w:val="single" w:sz="4" w:space="0" w:color="auto"/>
              <w:right w:val="single" w:sz="4" w:space="0" w:color="auto"/>
            </w:tcBorders>
            <w:shd w:val="clear" w:color="auto" w:fill="FFFFFF" w:themeFill="background1"/>
            <w:hideMark/>
          </w:tcPr>
          <w:p w14:paraId="24CAFA34" w14:textId="171F0FC1" w:rsidR="00C00303" w:rsidRPr="002F2D01" w:rsidRDefault="00C00303" w:rsidP="0004079B">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w:t>
            </w:r>
            <w:r w:rsidR="0004079B">
              <w:rPr>
                <w:rFonts w:asciiTheme="majorHAnsi" w:hAnsiTheme="majorHAnsi" w:cs="Arial"/>
                <w:b/>
                <w:bCs/>
                <w:spacing w:val="-10"/>
                <w:sz w:val="16"/>
                <w:szCs w:val="16"/>
                <w:lang w:eastAsia="en-AU"/>
              </w:rPr>
              <w:t>T</w:t>
            </w:r>
          </w:p>
        </w:tc>
        <w:tc>
          <w:tcPr>
            <w:tcW w:w="993" w:type="dxa"/>
            <w:tcBorders>
              <w:top w:val="nil"/>
              <w:left w:val="nil"/>
              <w:bottom w:val="single" w:sz="4" w:space="0" w:color="auto"/>
            </w:tcBorders>
            <w:shd w:val="clear" w:color="auto" w:fill="FFFFFF" w:themeFill="background1"/>
            <w:hideMark/>
          </w:tcPr>
          <w:p w14:paraId="19ED53D1" w14:textId="714E6E9D" w:rsidR="00C00303" w:rsidRPr="002F2D01" w:rsidRDefault="00C00303" w:rsidP="0004079B">
            <w:pPr>
              <w:spacing w:before="0" w:after="0"/>
              <w:jc w:val="center"/>
              <w:rPr>
                <w:rFonts w:asciiTheme="majorHAnsi" w:hAnsiTheme="majorHAnsi" w:cs="Arial"/>
                <w:b/>
                <w:bCs/>
                <w:spacing w:val="-10"/>
                <w:sz w:val="16"/>
                <w:szCs w:val="16"/>
                <w:lang w:eastAsia="en-AU"/>
              </w:rPr>
            </w:pPr>
            <w:r w:rsidRPr="002F2D01">
              <w:rPr>
                <w:rFonts w:asciiTheme="majorHAnsi" w:hAnsiTheme="majorHAnsi" w:cs="Arial"/>
                <w:b/>
                <w:bCs/>
                <w:spacing w:val="-10"/>
                <w:sz w:val="16"/>
                <w:szCs w:val="16"/>
                <w:lang w:eastAsia="en-AU"/>
              </w:rPr>
              <w:t>A</w:t>
            </w:r>
            <w:r w:rsidR="0004079B">
              <w:rPr>
                <w:rFonts w:asciiTheme="majorHAnsi" w:hAnsiTheme="majorHAnsi" w:cs="Arial"/>
                <w:b/>
                <w:bCs/>
                <w:spacing w:val="-10"/>
                <w:sz w:val="16"/>
                <w:szCs w:val="16"/>
                <w:lang w:eastAsia="en-AU"/>
              </w:rPr>
              <w:t>U</w:t>
            </w:r>
            <w:r w:rsidRPr="002F2D01">
              <w:rPr>
                <w:rFonts w:asciiTheme="majorHAnsi" w:hAnsiTheme="majorHAnsi" w:cs="Arial"/>
                <w:b/>
                <w:bCs/>
                <w:spacing w:val="-10"/>
                <w:sz w:val="16"/>
                <w:szCs w:val="16"/>
                <w:lang w:eastAsia="en-AU"/>
              </w:rPr>
              <w:br/>
            </w:r>
            <w:r w:rsidRPr="002F2D01">
              <w:rPr>
                <w:rFonts w:asciiTheme="majorHAnsi" w:hAnsiTheme="majorHAnsi" w:cs="Arial"/>
                <w:spacing w:val="-10"/>
                <w:sz w:val="16"/>
                <w:szCs w:val="16"/>
                <w:lang w:eastAsia="en-AU"/>
              </w:rPr>
              <w:t>=A</w:t>
            </w:r>
            <w:r w:rsidR="0004079B">
              <w:rPr>
                <w:rFonts w:asciiTheme="majorHAnsi" w:hAnsiTheme="majorHAnsi" w:cs="Arial"/>
                <w:spacing w:val="-10"/>
                <w:sz w:val="16"/>
                <w:szCs w:val="16"/>
                <w:lang w:eastAsia="en-AU"/>
              </w:rPr>
              <w:t>R</w:t>
            </w:r>
            <w:r w:rsidRPr="002F2D01">
              <w:rPr>
                <w:rFonts w:asciiTheme="majorHAnsi" w:hAnsiTheme="majorHAnsi" w:cs="Arial"/>
                <w:spacing w:val="-10"/>
                <w:sz w:val="16"/>
                <w:szCs w:val="16"/>
                <w:lang w:eastAsia="en-AU"/>
              </w:rPr>
              <w:t>/AK</w:t>
            </w:r>
          </w:p>
        </w:tc>
      </w:tr>
      <w:tr w:rsidR="00E32701" w:rsidRPr="00E32701" w14:paraId="7BC9A6C3" w14:textId="77777777" w:rsidTr="008354D7">
        <w:trPr>
          <w:trHeight w:val="170"/>
        </w:trPr>
        <w:tc>
          <w:tcPr>
            <w:tcW w:w="14459" w:type="dxa"/>
            <w:gridSpan w:val="14"/>
            <w:tcBorders>
              <w:top w:val="single" w:sz="4" w:space="0" w:color="auto"/>
              <w:bottom w:val="single" w:sz="4" w:space="0" w:color="auto"/>
            </w:tcBorders>
            <w:shd w:val="clear" w:color="auto" w:fill="auto"/>
            <w:vAlign w:val="center"/>
            <w:hideMark/>
          </w:tcPr>
          <w:p w14:paraId="024713A7" w14:textId="77777777" w:rsidR="00E32701" w:rsidRPr="002F2D01" w:rsidRDefault="00E32701" w:rsidP="00CB0E93">
            <w:pPr>
              <w:spacing w:before="0" w:after="0"/>
              <w:rPr>
                <w:rFonts w:asciiTheme="majorHAnsi" w:hAnsiTheme="majorHAnsi" w:cs="Arial"/>
                <w:b/>
                <w:bCs/>
                <w:sz w:val="16"/>
                <w:szCs w:val="16"/>
                <w:lang w:eastAsia="en-AU"/>
              </w:rPr>
            </w:pPr>
            <w:r w:rsidRPr="002F2D01">
              <w:rPr>
                <w:rFonts w:asciiTheme="majorHAnsi" w:hAnsiTheme="majorHAnsi" w:cs="Arial"/>
                <w:b/>
                <w:bCs/>
                <w:sz w:val="16"/>
                <w:szCs w:val="16"/>
                <w:lang w:eastAsia="en-AU"/>
              </w:rPr>
              <w:t>New South Wales</w:t>
            </w:r>
          </w:p>
        </w:tc>
      </w:tr>
      <w:tr w:rsidR="00C00303" w:rsidRPr="00E32701" w14:paraId="25F3E1BF" w14:textId="77777777" w:rsidTr="008354D7">
        <w:trPr>
          <w:trHeight w:val="20"/>
        </w:trPr>
        <w:tc>
          <w:tcPr>
            <w:tcW w:w="1985" w:type="dxa"/>
            <w:tcBorders>
              <w:top w:val="nil"/>
              <w:bottom w:val="nil"/>
              <w:right w:val="single" w:sz="4" w:space="0" w:color="auto"/>
            </w:tcBorders>
            <w:shd w:val="clear" w:color="000000" w:fill="FFFFFF"/>
            <w:noWrap/>
            <w:vAlign w:val="center"/>
            <w:hideMark/>
          </w:tcPr>
          <w:p w14:paraId="020F706C" w14:textId="77777777" w:rsidR="00C00303" w:rsidRPr="00CD538E" w:rsidRDefault="00C00303"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Eden</w:t>
            </w:r>
          </w:p>
        </w:tc>
        <w:tc>
          <w:tcPr>
            <w:tcW w:w="992" w:type="dxa"/>
            <w:tcBorders>
              <w:top w:val="nil"/>
              <w:left w:val="nil"/>
              <w:bottom w:val="nil"/>
              <w:right w:val="nil"/>
            </w:tcBorders>
            <w:shd w:val="clear" w:color="000000" w:fill="FFFFFF"/>
            <w:noWrap/>
            <w:vAlign w:val="center"/>
            <w:hideMark/>
          </w:tcPr>
          <w:p w14:paraId="255880BB"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814,000</w:t>
            </w:r>
          </w:p>
        </w:tc>
        <w:tc>
          <w:tcPr>
            <w:tcW w:w="992" w:type="dxa"/>
            <w:tcBorders>
              <w:top w:val="nil"/>
              <w:left w:val="single" w:sz="4" w:space="0" w:color="auto"/>
              <w:bottom w:val="nil"/>
              <w:right w:val="nil"/>
            </w:tcBorders>
            <w:shd w:val="clear" w:color="000000" w:fill="FFFFFF"/>
            <w:noWrap/>
            <w:vAlign w:val="center"/>
            <w:hideMark/>
          </w:tcPr>
          <w:p w14:paraId="4F4F40D4"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90,858</w:t>
            </w:r>
          </w:p>
        </w:tc>
        <w:tc>
          <w:tcPr>
            <w:tcW w:w="992" w:type="dxa"/>
            <w:tcBorders>
              <w:top w:val="nil"/>
              <w:left w:val="nil"/>
              <w:bottom w:val="nil"/>
              <w:right w:val="nil"/>
            </w:tcBorders>
            <w:shd w:val="clear" w:color="000000" w:fill="FFFFFF"/>
            <w:noWrap/>
            <w:vAlign w:val="center"/>
            <w:hideMark/>
          </w:tcPr>
          <w:p w14:paraId="2E76ED04"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90,353</w:t>
            </w:r>
          </w:p>
        </w:tc>
        <w:tc>
          <w:tcPr>
            <w:tcW w:w="1053" w:type="dxa"/>
            <w:tcBorders>
              <w:top w:val="nil"/>
              <w:left w:val="nil"/>
              <w:bottom w:val="nil"/>
              <w:right w:val="nil"/>
            </w:tcBorders>
            <w:shd w:val="clear" w:color="000000" w:fill="FFFFFF"/>
            <w:noWrap/>
            <w:vAlign w:val="center"/>
            <w:hideMark/>
          </w:tcPr>
          <w:p w14:paraId="236F90CA"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86,394</w:t>
            </w:r>
          </w:p>
        </w:tc>
        <w:tc>
          <w:tcPr>
            <w:tcW w:w="932" w:type="dxa"/>
            <w:tcBorders>
              <w:top w:val="nil"/>
              <w:left w:val="nil"/>
              <w:bottom w:val="nil"/>
              <w:right w:val="nil"/>
            </w:tcBorders>
            <w:shd w:val="clear" w:color="000000" w:fill="FFFFFF"/>
            <w:noWrap/>
            <w:vAlign w:val="center"/>
            <w:hideMark/>
          </w:tcPr>
          <w:p w14:paraId="0A126329"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95</w:t>
            </w:r>
          </w:p>
        </w:tc>
        <w:tc>
          <w:tcPr>
            <w:tcW w:w="992" w:type="dxa"/>
            <w:tcBorders>
              <w:top w:val="nil"/>
              <w:left w:val="single" w:sz="4" w:space="0" w:color="auto"/>
              <w:bottom w:val="nil"/>
              <w:right w:val="nil"/>
            </w:tcBorders>
            <w:shd w:val="clear" w:color="000000" w:fill="FFFFFF"/>
            <w:noWrap/>
            <w:vAlign w:val="center"/>
            <w:hideMark/>
          </w:tcPr>
          <w:p w14:paraId="7E72E432"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90,056</w:t>
            </w:r>
          </w:p>
        </w:tc>
        <w:tc>
          <w:tcPr>
            <w:tcW w:w="992" w:type="dxa"/>
            <w:tcBorders>
              <w:top w:val="nil"/>
              <w:left w:val="nil"/>
              <w:bottom w:val="nil"/>
              <w:right w:val="single" w:sz="4" w:space="0" w:color="auto"/>
            </w:tcBorders>
            <w:shd w:val="clear" w:color="000000" w:fill="FFFFFF"/>
            <w:noWrap/>
            <w:vAlign w:val="center"/>
            <w:hideMark/>
          </w:tcPr>
          <w:p w14:paraId="18A95D3C"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99</w:t>
            </w:r>
          </w:p>
        </w:tc>
        <w:tc>
          <w:tcPr>
            <w:tcW w:w="850" w:type="dxa"/>
            <w:tcBorders>
              <w:top w:val="nil"/>
              <w:left w:val="nil"/>
              <w:bottom w:val="nil"/>
              <w:right w:val="nil"/>
            </w:tcBorders>
            <w:shd w:val="clear" w:color="000000" w:fill="FFFFFF"/>
            <w:noWrap/>
            <w:vAlign w:val="center"/>
            <w:hideMark/>
          </w:tcPr>
          <w:p w14:paraId="346A7F12"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3,662</w:t>
            </w:r>
          </w:p>
        </w:tc>
        <w:tc>
          <w:tcPr>
            <w:tcW w:w="851" w:type="dxa"/>
            <w:tcBorders>
              <w:top w:val="nil"/>
              <w:left w:val="nil"/>
              <w:bottom w:val="nil"/>
              <w:right w:val="single" w:sz="4" w:space="0" w:color="auto"/>
            </w:tcBorders>
            <w:shd w:val="clear" w:color="000000" w:fill="FFFFFF"/>
            <w:noWrap/>
            <w:vAlign w:val="center"/>
            <w:hideMark/>
          </w:tcPr>
          <w:p w14:paraId="749998D2"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4</w:t>
            </w:r>
          </w:p>
        </w:tc>
        <w:tc>
          <w:tcPr>
            <w:tcW w:w="993" w:type="dxa"/>
            <w:tcBorders>
              <w:top w:val="nil"/>
              <w:left w:val="nil"/>
              <w:bottom w:val="nil"/>
              <w:right w:val="nil"/>
            </w:tcBorders>
            <w:shd w:val="clear" w:color="000000" w:fill="FFFFFF"/>
            <w:noWrap/>
            <w:vAlign w:val="center"/>
            <w:hideMark/>
          </w:tcPr>
          <w:p w14:paraId="6E8E5C04"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90,056</w:t>
            </w:r>
          </w:p>
        </w:tc>
        <w:tc>
          <w:tcPr>
            <w:tcW w:w="850" w:type="dxa"/>
            <w:tcBorders>
              <w:top w:val="nil"/>
              <w:left w:val="nil"/>
              <w:bottom w:val="nil"/>
              <w:right w:val="single" w:sz="4" w:space="0" w:color="auto"/>
            </w:tcBorders>
            <w:shd w:val="clear" w:color="000000" w:fill="FFFFFF"/>
            <w:noWrap/>
            <w:vAlign w:val="center"/>
            <w:hideMark/>
          </w:tcPr>
          <w:p w14:paraId="666D0355"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99</w:t>
            </w:r>
          </w:p>
        </w:tc>
        <w:tc>
          <w:tcPr>
            <w:tcW w:w="992" w:type="dxa"/>
            <w:tcBorders>
              <w:top w:val="nil"/>
              <w:left w:val="nil"/>
              <w:bottom w:val="nil"/>
              <w:right w:val="single" w:sz="4" w:space="0" w:color="auto"/>
            </w:tcBorders>
            <w:shd w:val="clear" w:color="000000" w:fill="FFFFFF"/>
            <w:noWrap/>
            <w:vAlign w:val="center"/>
            <w:hideMark/>
          </w:tcPr>
          <w:p w14:paraId="7F25B3B5"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tcBorders>
            <w:shd w:val="clear" w:color="000000" w:fill="FFFFFF"/>
            <w:noWrap/>
            <w:vAlign w:val="center"/>
            <w:hideMark/>
          </w:tcPr>
          <w:p w14:paraId="646C332B"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100</w:t>
            </w:r>
          </w:p>
        </w:tc>
      </w:tr>
      <w:tr w:rsidR="00C00303" w:rsidRPr="00E32701" w14:paraId="09666D67" w14:textId="77777777" w:rsidTr="008354D7">
        <w:trPr>
          <w:trHeight w:val="20"/>
        </w:trPr>
        <w:tc>
          <w:tcPr>
            <w:tcW w:w="1985" w:type="dxa"/>
            <w:tcBorders>
              <w:top w:val="nil"/>
              <w:bottom w:val="nil"/>
              <w:right w:val="single" w:sz="4" w:space="0" w:color="auto"/>
            </w:tcBorders>
            <w:shd w:val="clear" w:color="000000" w:fill="FFFFFF"/>
            <w:noWrap/>
            <w:vAlign w:val="center"/>
            <w:hideMark/>
          </w:tcPr>
          <w:p w14:paraId="18283029" w14:textId="77777777" w:rsidR="00C00303" w:rsidRPr="00CD538E" w:rsidRDefault="00C00303"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Upper North East</w:t>
            </w:r>
          </w:p>
        </w:tc>
        <w:tc>
          <w:tcPr>
            <w:tcW w:w="992" w:type="dxa"/>
            <w:tcBorders>
              <w:top w:val="nil"/>
              <w:left w:val="nil"/>
              <w:bottom w:val="nil"/>
              <w:right w:val="nil"/>
            </w:tcBorders>
            <w:shd w:val="clear" w:color="000000" w:fill="FFFFFF"/>
            <w:noWrap/>
            <w:vAlign w:val="center"/>
            <w:hideMark/>
          </w:tcPr>
          <w:p w14:paraId="58CC4B37"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3,907,000</w:t>
            </w:r>
          </w:p>
        </w:tc>
        <w:tc>
          <w:tcPr>
            <w:tcW w:w="992" w:type="dxa"/>
            <w:tcBorders>
              <w:top w:val="nil"/>
              <w:left w:val="single" w:sz="4" w:space="0" w:color="auto"/>
              <w:bottom w:val="nil"/>
              <w:right w:val="nil"/>
            </w:tcBorders>
            <w:shd w:val="clear" w:color="000000" w:fill="FFFFFF"/>
            <w:noWrap/>
            <w:vAlign w:val="center"/>
            <w:hideMark/>
          </w:tcPr>
          <w:p w14:paraId="306E7145"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302,300</w:t>
            </w:r>
          </w:p>
        </w:tc>
        <w:tc>
          <w:tcPr>
            <w:tcW w:w="992" w:type="dxa"/>
            <w:tcBorders>
              <w:top w:val="nil"/>
              <w:left w:val="nil"/>
              <w:bottom w:val="nil"/>
              <w:right w:val="nil"/>
            </w:tcBorders>
            <w:shd w:val="clear" w:color="000000" w:fill="FFFFFF"/>
            <w:noWrap/>
            <w:vAlign w:val="center"/>
            <w:hideMark/>
          </w:tcPr>
          <w:p w14:paraId="17FC3A50"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220,383</w:t>
            </w:r>
          </w:p>
        </w:tc>
        <w:tc>
          <w:tcPr>
            <w:tcW w:w="1053" w:type="dxa"/>
            <w:tcBorders>
              <w:top w:val="nil"/>
              <w:left w:val="nil"/>
              <w:bottom w:val="nil"/>
              <w:right w:val="nil"/>
            </w:tcBorders>
            <w:shd w:val="clear" w:color="000000" w:fill="FFFFFF"/>
            <w:noWrap/>
            <w:vAlign w:val="center"/>
            <w:hideMark/>
          </w:tcPr>
          <w:p w14:paraId="4255C529"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121,056</w:t>
            </w:r>
          </w:p>
        </w:tc>
        <w:tc>
          <w:tcPr>
            <w:tcW w:w="932" w:type="dxa"/>
            <w:tcBorders>
              <w:top w:val="nil"/>
              <w:left w:val="nil"/>
              <w:bottom w:val="nil"/>
              <w:right w:val="nil"/>
            </w:tcBorders>
            <w:shd w:val="clear" w:color="000000" w:fill="FFFFFF"/>
            <w:noWrap/>
            <w:vAlign w:val="center"/>
            <w:hideMark/>
          </w:tcPr>
          <w:p w14:paraId="6F799547"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40</w:t>
            </w:r>
          </w:p>
        </w:tc>
        <w:tc>
          <w:tcPr>
            <w:tcW w:w="992" w:type="dxa"/>
            <w:tcBorders>
              <w:top w:val="nil"/>
              <w:left w:val="single" w:sz="4" w:space="0" w:color="auto"/>
              <w:bottom w:val="nil"/>
              <w:right w:val="nil"/>
            </w:tcBorders>
            <w:shd w:val="clear" w:color="000000" w:fill="FFFFFF"/>
            <w:noWrap/>
            <w:vAlign w:val="center"/>
            <w:hideMark/>
          </w:tcPr>
          <w:p w14:paraId="2660A767"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177,710</w:t>
            </w:r>
          </w:p>
        </w:tc>
        <w:tc>
          <w:tcPr>
            <w:tcW w:w="992" w:type="dxa"/>
            <w:tcBorders>
              <w:top w:val="nil"/>
              <w:left w:val="nil"/>
              <w:bottom w:val="nil"/>
              <w:right w:val="single" w:sz="4" w:space="0" w:color="auto"/>
            </w:tcBorders>
            <w:shd w:val="clear" w:color="000000" w:fill="FFFFFF"/>
            <w:noWrap/>
            <w:vAlign w:val="center"/>
            <w:hideMark/>
          </w:tcPr>
          <w:p w14:paraId="6502CF64"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59</w:t>
            </w:r>
          </w:p>
        </w:tc>
        <w:tc>
          <w:tcPr>
            <w:tcW w:w="850" w:type="dxa"/>
            <w:tcBorders>
              <w:top w:val="nil"/>
              <w:left w:val="nil"/>
              <w:bottom w:val="nil"/>
              <w:right w:val="nil"/>
            </w:tcBorders>
            <w:shd w:val="clear" w:color="000000" w:fill="FFFFFF"/>
            <w:noWrap/>
            <w:vAlign w:val="center"/>
            <w:hideMark/>
          </w:tcPr>
          <w:p w14:paraId="37DB1947"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56,654</w:t>
            </w:r>
          </w:p>
        </w:tc>
        <w:tc>
          <w:tcPr>
            <w:tcW w:w="851" w:type="dxa"/>
            <w:tcBorders>
              <w:top w:val="nil"/>
              <w:left w:val="nil"/>
              <w:bottom w:val="nil"/>
              <w:right w:val="single" w:sz="4" w:space="0" w:color="auto"/>
            </w:tcBorders>
            <w:shd w:val="clear" w:color="000000" w:fill="FFFFFF"/>
            <w:noWrap/>
            <w:vAlign w:val="center"/>
            <w:hideMark/>
          </w:tcPr>
          <w:p w14:paraId="6B658C7C"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19</w:t>
            </w:r>
          </w:p>
        </w:tc>
        <w:tc>
          <w:tcPr>
            <w:tcW w:w="993" w:type="dxa"/>
            <w:tcBorders>
              <w:top w:val="nil"/>
              <w:left w:val="nil"/>
              <w:bottom w:val="nil"/>
              <w:right w:val="nil"/>
            </w:tcBorders>
            <w:shd w:val="clear" w:color="000000" w:fill="FFFFFF"/>
            <w:noWrap/>
            <w:vAlign w:val="center"/>
            <w:hideMark/>
          </w:tcPr>
          <w:p w14:paraId="64265D08"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177,710</w:t>
            </w:r>
          </w:p>
        </w:tc>
        <w:tc>
          <w:tcPr>
            <w:tcW w:w="850" w:type="dxa"/>
            <w:tcBorders>
              <w:top w:val="nil"/>
              <w:left w:val="nil"/>
              <w:bottom w:val="nil"/>
              <w:right w:val="single" w:sz="4" w:space="0" w:color="auto"/>
            </w:tcBorders>
            <w:shd w:val="clear" w:color="000000" w:fill="FFFFFF"/>
            <w:noWrap/>
            <w:vAlign w:val="center"/>
            <w:hideMark/>
          </w:tcPr>
          <w:p w14:paraId="2ECBF824"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59</w:t>
            </w:r>
          </w:p>
        </w:tc>
        <w:tc>
          <w:tcPr>
            <w:tcW w:w="992" w:type="dxa"/>
            <w:tcBorders>
              <w:top w:val="nil"/>
              <w:left w:val="nil"/>
              <w:bottom w:val="nil"/>
              <w:right w:val="single" w:sz="4" w:space="0" w:color="auto"/>
            </w:tcBorders>
            <w:shd w:val="clear" w:color="000000" w:fill="FFFFFF"/>
            <w:noWrap/>
            <w:vAlign w:val="center"/>
            <w:hideMark/>
          </w:tcPr>
          <w:p w14:paraId="61FB36B2"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tcBorders>
            <w:shd w:val="clear" w:color="000000" w:fill="FFFFFF"/>
            <w:noWrap/>
            <w:vAlign w:val="center"/>
            <w:hideMark/>
          </w:tcPr>
          <w:p w14:paraId="7D6E3EA6"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81</w:t>
            </w:r>
          </w:p>
        </w:tc>
      </w:tr>
      <w:tr w:rsidR="00C00303" w:rsidRPr="00E32701" w14:paraId="24BBCBA0" w14:textId="77777777" w:rsidTr="008354D7">
        <w:trPr>
          <w:trHeight w:val="20"/>
        </w:trPr>
        <w:tc>
          <w:tcPr>
            <w:tcW w:w="1985" w:type="dxa"/>
            <w:tcBorders>
              <w:top w:val="nil"/>
              <w:bottom w:val="nil"/>
              <w:right w:val="single" w:sz="4" w:space="0" w:color="auto"/>
            </w:tcBorders>
            <w:shd w:val="clear" w:color="000000" w:fill="FFFFFF"/>
            <w:noWrap/>
            <w:vAlign w:val="center"/>
            <w:hideMark/>
          </w:tcPr>
          <w:p w14:paraId="397FCF13" w14:textId="77777777" w:rsidR="00C00303" w:rsidRPr="00CD538E" w:rsidRDefault="00C00303"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Lower North East</w:t>
            </w:r>
          </w:p>
        </w:tc>
        <w:tc>
          <w:tcPr>
            <w:tcW w:w="992" w:type="dxa"/>
            <w:tcBorders>
              <w:top w:val="nil"/>
              <w:left w:val="nil"/>
              <w:bottom w:val="nil"/>
              <w:right w:val="nil"/>
            </w:tcBorders>
            <w:shd w:val="clear" w:color="000000" w:fill="FFFFFF"/>
            <w:noWrap/>
            <w:vAlign w:val="center"/>
            <w:hideMark/>
          </w:tcPr>
          <w:p w14:paraId="7737F0C1"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5,790,000</w:t>
            </w:r>
          </w:p>
        </w:tc>
        <w:tc>
          <w:tcPr>
            <w:tcW w:w="992" w:type="dxa"/>
            <w:tcBorders>
              <w:top w:val="nil"/>
              <w:left w:val="single" w:sz="4" w:space="0" w:color="auto"/>
              <w:bottom w:val="nil"/>
              <w:right w:val="nil"/>
            </w:tcBorders>
            <w:shd w:val="clear" w:color="000000" w:fill="FFFFFF"/>
            <w:noWrap/>
            <w:vAlign w:val="center"/>
            <w:hideMark/>
          </w:tcPr>
          <w:p w14:paraId="381C08AF"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496,967</w:t>
            </w:r>
          </w:p>
        </w:tc>
        <w:tc>
          <w:tcPr>
            <w:tcW w:w="992" w:type="dxa"/>
            <w:tcBorders>
              <w:top w:val="nil"/>
              <w:left w:val="nil"/>
              <w:bottom w:val="nil"/>
              <w:right w:val="nil"/>
            </w:tcBorders>
            <w:shd w:val="clear" w:color="000000" w:fill="FFFFFF"/>
            <w:noWrap/>
            <w:vAlign w:val="center"/>
            <w:hideMark/>
          </w:tcPr>
          <w:p w14:paraId="2686030F"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449,476</w:t>
            </w:r>
          </w:p>
        </w:tc>
        <w:tc>
          <w:tcPr>
            <w:tcW w:w="1053" w:type="dxa"/>
            <w:tcBorders>
              <w:top w:val="nil"/>
              <w:left w:val="nil"/>
              <w:bottom w:val="nil"/>
              <w:right w:val="nil"/>
            </w:tcBorders>
            <w:shd w:val="clear" w:color="000000" w:fill="FFFFFF"/>
            <w:noWrap/>
            <w:vAlign w:val="center"/>
            <w:hideMark/>
          </w:tcPr>
          <w:p w14:paraId="7E3015FC"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389,386</w:t>
            </w:r>
          </w:p>
        </w:tc>
        <w:tc>
          <w:tcPr>
            <w:tcW w:w="932" w:type="dxa"/>
            <w:tcBorders>
              <w:top w:val="nil"/>
              <w:left w:val="nil"/>
              <w:bottom w:val="nil"/>
              <w:right w:val="nil"/>
            </w:tcBorders>
            <w:shd w:val="clear" w:color="000000" w:fill="FFFFFF"/>
            <w:noWrap/>
            <w:vAlign w:val="center"/>
            <w:hideMark/>
          </w:tcPr>
          <w:p w14:paraId="15C865F3"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78</w:t>
            </w:r>
          </w:p>
        </w:tc>
        <w:tc>
          <w:tcPr>
            <w:tcW w:w="992" w:type="dxa"/>
            <w:tcBorders>
              <w:top w:val="nil"/>
              <w:left w:val="single" w:sz="4" w:space="0" w:color="auto"/>
              <w:bottom w:val="nil"/>
              <w:right w:val="nil"/>
            </w:tcBorders>
            <w:shd w:val="clear" w:color="000000" w:fill="FFFFFF"/>
            <w:noWrap/>
            <w:vAlign w:val="center"/>
            <w:hideMark/>
          </w:tcPr>
          <w:p w14:paraId="43FBE96D"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420,225</w:t>
            </w:r>
          </w:p>
        </w:tc>
        <w:tc>
          <w:tcPr>
            <w:tcW w:w="992" w:type="dxa"/>
            <w:tcBorders>
              <w:top w:val="nil"/>
              <w:left w:val="nil"/>
              <w:bottom w:val="nil"/>
              <w:right w:val="single" w:sz="4" w:space="0" w:color="auto"/>
            </w:tcBorders>
            <w:shd w:val="clear" w:color="000000" w:fill="FFFFFF"/>
            <w:noWrap/>
            <w:vAlign w:val="center"/>
            <w:hideMark/>
          </w:tcPr>
          <w:p w14:paraId="3236E5BF"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85</w:t>
            </w:r>
          </w:p>
        </w:tc>
        <w:tc>
          <w:tcPr>
            <w:tcW w:w="850" w:type="dxa"/>
            <w:tcBorders>
              <w:top w:val="nil"/>
              <w:left w:val="nil"/>
              <w:bottom w:val="nil"/>
              <w:right w:val="nil"/>
            </w:tcBorders>
            <w:shd w:val="clear" w:color="000000" w:fill="FFFFFF"/>
            <w:noWrap/>
            <w:vAlign w:val="center"/>
            <w:hideMark/>
          </w:tcPr>
          <w:p w14:paraId="7F18A07B"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30,839</w:t>
            </w:r>
          </w:p>
        </w:tc>
        <w:tc>
          <w:tcPr>
            <w:tcW w:w="851" w:type="dxa"/>
            <w:tcBorders>
              <w:top w:val="nil"/>
              <w:left w:val="nil"/>
              <w:bottom w:val="nil"/>
              <w:right w:val="single" w:sz="4" w:space="0" w:color="auto"/>
            </w:tcBorders>
            <w:shd w:val="clear" w:color="000000" w:fill="FFFFFF"/>
            <w:noWrap/>
            <w:vAlign w:val="center"/>
            <w:hideMark/>
          </w:tcPr>
          <w:p w14:paraId="6ED1958D"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6</w:t>
            </w:r>
          </w:p>
        </w:tc>
        <w:tc>
          <w:tcPr>
            <w:tcW w:w="993" w:type="dxa"/>
            <w:tcBorders>
              <w:top w:val="nil"/>
              <w:left w:val="nil"/>
              <w:bottom w:val="nil"/>
              <w:right w:val="nil"/>
            </w:tcBorders>
            <w:shd w:val="clear" w:color="000000" w:fill="FFFFFF"/>
            <w:noWrap/>
            <w:vAlign w:val="center"/>
            <w:hideMark/>
          </w:tcPr>
          <w:p w14:paraId="6FB32472"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420,225</w:t>
            </w:r>
          </w:p>
        </w:tc>
        <w:tc>
          <w:tcPr>
            <w:tcW w:w="850" w:type="dxa"/>
            <w:tcBorders>
              <w:top w:val="nil"/>
              <w:left w:val="nil"/>
              <w:bottom w:val="nil"/>
              <w:right w:val="single" w:sz="4" w:space="0" w:color="auto"/>
            </w:tcBorders>
            <w:shd w:val="clear" w:color="000000" w:fill="FFFFFF"/>
            <w:noWrap/>
            <w:vAlign w:val="center"/>
            <w:hideMark/>
          </w:tcPr>
          <w:p w14:paraId="468A2007"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85</w:t>
            </w:r>
          </w:p>
        </w:tc>
        <w:tc>
          <w:tcPr>
            <w:tcW w:w="992" w:type="dxa"/>
            <w:tcBorders>
              <w:top w:val="nil"/>
              <w:left w:val="nil"/>
              <w:bottom w:val="nil"/>
              <w:right w:val="single" w:sz="4" w:space="0" w:color="auto"/>
            </w:tcBorders>
            <w:shd w:val="clear" w:color="000000" w:fill="FFFFFF"/>
            <w:noWrap/>
            <w:vAlign w:val="center"/>
            <w:hideMark/>
          </w:tcPr>
          <w:p w14:paraId="3BFB74B3"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tcBorders>
            <w:shd w:val="clear" w:color="000000" w:fill="FFFFFF"/>
            <w:noWrap/>
            <w:vAlign w:val="center"/>
            <w:hideMark/>
          </w:tcPr>
          <w:p w14:paraId="38B8CDCC"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93</w:t>
            </w:r>
          </w:p>
        </w:tc>
      </w:tr>
      <w:tr w:rsidR="00C00303" w:rsidRPr="00E32701" w14:paraId="71E467BC" w14:textId="77777777" w:rsidTr="008354D7">
        <w:trPr>
          <w:trHeight w:val="20"/>
        </w:trPr>
        <w:tc>
          <w:tcPr>
            <w:tcW w:w="1985" w:type="dxa"/>
            <w:tcBorders>
              <w:top w:val="nil"/>
              <w:bottom w:val="nil"/>
              <w:right w:val="single" w:sz="4" w:space="0" w:color="auto"/>
            </w:tcBorders>
            <w:shd w:val="clear" w:color="000000" w:fill="FFFFFF"/>
            <w:noWrap/>
            <w:vAlign w:val="center"/>
            <w:hideMark/>
          </w:tcPr>
          <w:p w14:paraId="537F7BA9" w14:textId="00D994A8" w:rsidR="00C00303" w:rsidRPr="00CD538E" w:rsidRDefault="00C00303"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Southern NSW</w:t>
            </w:r>
          </w:p>
        </w:tc>
        <w:tc>
          <w:tcPr>
            <w:tcW w:w="992" w:type="dxa"/>
            <w:tcBorders>
              <w:top w:val="nil"/>
              <w:left w:val="nil"/>
              <w:bottom w:val="nil"/>
              <w:right w:val="nil"/>
            </w:tcBorders>
            <w:shd w:val="clear" w:color="000000" w:fill="FFFFFF"/>
            <w:noWrap/>
            <w:vAlign w:val="center"/>
            <w:hideMark/>
          </w:tcPr>
          <w:p w14:paraId="5CB7E79F"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4,512,000</w:t>
            </w:r>
          </w:p>
        </w:tc>
        <w:tc>
          <w:tcPr>
            <w:tcW w:w="992" w:type="dxa"/>
            <w:tcBorders>
              <w:top w:val="nil"/>
              <w:left w:val="single" w:sz="4" w:space="0" w:color="auto"/>
              <w:bottom w:val="nil"/>
              <w:right w:val="nil"/>
            </w:tcBorders>
            <w:shd w:val="clear" w:color="000000" w:fill="FFFFFF"/>
            <w:noWrap/>
            <w:vAlign w:val="center"/>
            <w:hideMark/>
          </w:tcPr>
          <w:p w14:paraId="163DA7D0"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860,478</w:t>
            </w:r>
          </w:p>
        </w:tc>
        <w:tc>
          <w:tcPr>
            <w:tcW w:w="992" w:type="dxa"/>
            <w:tcBorders>
              <w:top w:val="nil"/>
              <w:left w:val="nil"/>
              <w:bottom w:val="nil"/>
              <w:right w:val="nil"/>
            </w:tcBorders>
            <w:shd w:val="clear" w:color="000000" w:fill="FFFFFF"/>
            <w:noWrap/>
            <w:vAlign w:val="center"/>
            <w:hideMark/>
          </w:tcPr>
          <w:p w14:paraId="565BA35D"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828,058</w:t>
            </w:r>
          </w:p>
        </w:tc>
        <w:tc>
          <w:tcPr>
            <w:tcW w:w="1053" w:type="dxa"/>
            <w:tcBorders>
              <w:top w:val="nil"/>
              <w:left w:val="nil"/>
              <w:bottom w:val="nil"/>
              <w:right w:val="nil"/>
            </w:tcBorders>
            <w:shd w:val="clear" w:color="000000" w:fill="FFFFFF"/>
            <w:noWrap/>
            <w:vAlign w:val="center"/>
            <w:hideMark/>
          </w:tcPr>
          <w:p w14:paraId="14970798"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740,826</w:t>
            </w:r>
          </w:p>
        </w:tc>
        <w:tc>
          <w:tcPr>
            <w:tcW w:w="932" w:type="dxa"/>
            <w:tcBorders>
              <w:top w:val="nil"/>
              <w:left w:val="nil"/>
              <w:bottom w:val="nil"/>
              <w:right w:val="nil"/>
            </w:tcBorders>
            <w:shd w:val="clear" w:color="000000" w:fill="FFFFFF"/>
            <w:noWrap/>
            <w:vAlign w:val="center"/>
            <w:hideMark/>
          </w:tcPr>
          <w:p w14:paraId="010B1FC6"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86</w:t>
            </w:r>
          </w:p>
        </w:tc>
        <w:tc>
          <w:tcPr>
            <w:tcW w:w="992" w:type="dxa"/>
            <w:tcBorders>
              <w:top w:val="nil"/>
              <w:left w:val="single" w:sz="4" w:space="0" w:color="auto"/>
              <w:bottom w:val="nil"/>
              <w:right w:val="nil"/>
            </w:tcBorders>
            <w:shd w:val="clear" w:color="000000" w:fill="FFFFFF"/>
            <w:noWrap/>
            <w:vAlign w:val="center"/>
            <w:hideMark/>
          </w:tcPr>
          <w:p w14:paraId="22CEA255"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802,197</w:t>
            </w:r>
          </w:p>
        </w:tc>
        <w:tc>
          <w:tcPr>
            <w:tcW w:w="992" w:type="dxa"/>
            <w:tcBorders>
              <w:top w:val="nil"/>
              <w:left w:val="nil"/>
              <w:bottom w:val="nil"/>
              <w:right w:val="single" w:sz="4" w:space="0" w:color="auto"/>
            </w:tcBorders>
            <w:shd w:val="clear" w:color="000000" w:fill="FFFFFF"/>
            <w:noWrap/>
            <w:vAlign w:val="center"/>
            <w:hideMark/>
          </w:tcPr>
          <w:p w14:paraId="6C366195"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93</w:t>
            </w:r>
          </w:p>
        </w:tc>
        <w:tc>
          <w:tcPr>
            <w:tcW w:w="850" w:type="dxa"/>
            <w:tcBorders>
              <w:top w:val="nil"/>
              <w:left w:val="nil"/>
              <w:bottom w:val="nil"/>
              <w:right w:val="nil"/>
            </w:tcBorders>
            <w:shd w:val="clear" w:color="000000" w:fill="FFFFFF"/>
            <w:noWrap/>
            <w:vAlign w:val="center"/>
            <w:hideMark/>
          </w:tcPr>
          <w:p w14:paraId="7D4A7A23"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61,371</w:t>
            </w:r>
          </w:p>
        </w:tc>
        <w:tc>
          <w:tcPr>
            <w:tcW w:w="851" w:type="dxa"/>
            <w:tcBorders>
              <w:top w:val="nil"/>
              <w:left w:val="nil"/>
              <w:bottom w:val="nil"/>
              <w:right w:val="single" w:sz="4" w:space="0" w:color="auto"/>
            </w:tcBorders>
            <w:shd w:val="clear" w:color="000000" w:fill="FFFFFF"/>
            <w:noWrap/>
            <w:vAlign w:val="center"/>
            <w:hideMark/>
          </w:tcPr>
          <w:p w14:paraId="2D3C939E"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7</w:t>
            </w:r>
          </w:p>
        </w:tc>
        <w:tc>
          <w:tcPr>
            <w:tcW w:w="993" w:type="dxa"/>
            <w:tcBorders>
              <w:top w:val="nil"/>
              <w:left w:val="nil"/>
              <w:bottom w:val="nil"/>
              <w:right w:val="nil"/>
            </w:tcBorders>
            <w:shd w:val="clear" w:color="000000" w:fill="FFFFFF"/>
            <w:noWrap/>
            <w:vAlign w:val="center"/>
            <w:hideMark/>
          </w:tcPr>
          <w:p w14:paraId="499E9852"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802,197</w:t>
            </w:r>
          </w:p>
        </w:tc>
        <w:tc>
          <w:tcPr>
            <w:tcW w:w="850" w:type="dxa"/>
            <w:tcBorders>
              <w:top w:val="nil"/>
              <w:left w:val="nil"/>
              <w:bottom w:val="nil"/>
              <w:right w:val="single" w:sz="4" w:space="0" w:color="auto"/>
            </w:tcBorders>
            <w:shd w:val="clear" w:color="000000" w:fill="FFFFFF"/>
            <w:noWrap/>
            <w:vAlign w:val="center"/>
            <w:hideMark/>
          </w:tcPr>
          <w:p w14:paraId="64465961"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93</w:t>
            </w:r>
          </w:p>
        </w:tc>
        <w:tc>
          <w:tcPr>
            <w:tcW w:w="992" w:type="dxa"/>
            <w:tcBorders>
              <w:top w:val="nil"/>
              <w:left w:val="nil"/>
              <w:bottom w:val="nil"/>
              <w:right w:val="single" w:sz="4" w:space="0" w:color="auto"/>
            </w:tcBorders>
            <w:shd w:val="clear" w:color="000000" w:fill="FFFFFF"/>
            <w:noWrap/>
            <w:vAlign w:val="center"/>
            <w:hideMark/>
          </w:tcPr>
          <w:p w14:paraId="79DFC509"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tcBorders>
            <w:shd w:val="clear" w:color="000000" w:fill="FFFFFF"/>
            <w:noWrap/>
            <w:vAlign w:val="center"/>
            <w:hideMark/>
          </w:tcPr>
          <w:p w14:paraId="1896F291"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97</w:t>
            </w:r>
          </w:p>
        </w:tc>
      </w:tr>
      <w:tr w:rsidR="00C00303" w:rsidRPr="00E32701" w14:paraId="748E5354" w14:textId="77777777" w:rsidTr="008354D7">
        <w:trPr>
          <w:trHeight w:val="20"/>
        </w:trPr>
        <w:tc>
          <w:tcPr>
            <w:tcW w:w="1985" w:type="dxa"/>
            <w:tcBorders>
              <w:top w:val="nil"/>
              <w:bottom w:val="single" w:sz="4" w:space="0" w:color="auto"/>
              <w:right w:val="single" w:sz="4" w:space="0" w:color="auto"/>
            </w:tcBorders>
            <w:shd w:val="clear" w:color="000000" w:fill="FFFFFF"/>
            <w:noWrap/>
            <w:vAlign w:val="center"/>
            <w:hideMark/>
          </w:tcPr>
          <w:p w14:paraId="626C86F0" w14:textId="77777777" w:rsidR="00C00303" w:rsidRPr="003405E4" w:rsidRDefault="00C00303" w:rsidP="00CB0E93">
            <w:pPr>
              <w:spacing w:before="0" w:after="0"/>
              <w:rPr>
                <w:rFonts w:asciiTheme="majorHAnsi" w:hAnsiTheme="majorHAnsi" w:cs="Arial"/>
                <w:b/>
                <w:sz w:val="16"/>
                <w:szCs w:val="16"/>
                <w:lang w:eastAsia="en-AU"/>
              </w:rPr>
            </w:pPr>
            <w:r w:rsidRPr="003405E4">
              <w:rPr>
                <w:rFonts w:asciiTheme="majorHAnsi" w:hAnsiTheme="majorHAnsi" w:cs="Arial"/>
                <w:b/>
                <w:sz w:val="16"/>
                <w:szCs w:val="16"/>
                <w:lang w:eastAsia="en-AU"/>
              </w:rPr>
              <w:t>Total New South Wales RFA regions</w:t>
            </w:r>
          </w:p>
        </w:tc>
        <w:tc>
          <w:tcPr>
            <w:tcW w:w="992" w:type="dxa"/>
            <w:tcBorders>
              <w:top w:val="nil"/>
              <w:left w:val="nil"/>
              <w:bottom w:val="single" w:sz="4" w:space="0" w:color="auto"/>
              <w:right w:val="nil"/>
            </w:tcBorders>
            <w:shd w:val="clear" w:color="000000" w:fill="FFFFFF"/>
            <w:noWrap/>
            <w:vAlign w:val="center"/>
            <w:hideMark/>
          </w:tcPr>
          <w:p w14:paraId="788197E6"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15,023,000</w:t>
            </w:r>
          </w:p>
        </w:tc>
        <w:tc>
          <w:tcPr>
            <w:tcW w:w="992" w:type="dxa"/>
            <w:tcBorders>
              <w:top w:val="nil"/>
              <w:left w:val="single" w:sz="4" w:space="0" w:color="auto"/>
              <w:bottom w:val="single" w:sz="4" w:space="0" w:color="auto"/>
              <w:right w:val="nil"/>
            </w:tcBorders>
            <w:shd w:val="clear" w:color="000000" w:fill="FFFFFF"/>
            <w:noWrap/>
            <w:vAlign w:val="center"/>
            <w:hideMark/>
          </w:tcPr>
          <w:p w14:paraId="1EAD5648"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1,750,603</w:t>
            </w:r>
          </w:p>
        </w:tc>
        <w:tc>
          <w:tcPr>
            <w:tcW w:w="992" w:type="dxa"/>
            <w:tcBorders>
              <w:top w:val="nil"/>
              <w:left w:val="nil"/>
              <w:bottom w:val="single" w:sz="4" w:space="0" w:color="auto"/>
              <w:right w:val="nil"/>
            </w:tcBorders>
            <w:shd w:val="clear" w:color="000000" w:fill="FFFFFF"/>
            <w:noWrap/>
            <w:vAlign w:val="center"/>
            <w:hideMark/>
          </w:tcPr>
          <w:p w14:paraId="7AD3C837"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1,588,270</w:t>
            </w:r>
          </w:p>
        </w:tc>
        <w:tc>
          <w:tcPr>
            <w:tcW w:w="1053" w:type="dxa"/>
            <w:tcBorders>
              <w:top w:val="nil"/>
              <w:left w:val="nil"/>
              <w:bottom w:val="single" w:sz="4" w:space="0" w:color="auto"/>
              <w:right w:val="nil"/>
            </w:tcBorders>
            <w:shd w:val="clear" w:color="000000" w:fill="FFFFFF"/>
            <w:noWrap/>
            <w:vAlign w:val="center"/>
            <w:hideMark/>
          </w:tcPr>
          <w:p w14:paraId="29B4F1CC"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1,337,662</w:t>
            </w:r>
          </w:p>
        </w:tc>
        <w:tc>
          <w:tcPr>
            <w:tcW w:w="932" w:type="dxa"/>
            <w:tcBorders>
              <w:top w:val="nil"/>
              <w:left w:val="nil"/>
              <w:bottom w:val="single" w:sz="4" w:space="0" w:color="auto"/>
              <w:right w:val="nil"/>
            </w:tcBorders>
            <w:shd w:val="clear" w:color="000000" w:fill="FFFFFF"/>
            <w:noWrap/>
            <w:vAlign w:val="center"/>
            <w:hideMark/>
          </w:tcPr>
          <w:p w14:paraId="1DACF6DA"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76</w:t>
            </w:r>
          </w:p>
        </w:tc>
        <w:tc>
          <w:tcPr>
            <w:tcW w:w="992" w:type="dxa"/>
            <w:tcBorders>
              <w:top w:val="nil"/>
              <w:left w:val="single" w:sz="4" w:space="0" w:color="auto"/>
              <w:bottom w:val="single" w:sz="4" w:space="0" w:color="auto"/>
              <w:right w:val="nil"/>
            </w:tcBorders>
            <w:shd w:val="clear" w:color="000000" w:fill="FFFFFF"/>
            <w:noWrap/>
            <w:vAlign w:val="center"/>
            <w:hideMark/>
          </w:tcPr>
          <w:p w14:paraId="0F86D793"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1,490,188</w:t>
            </w:r>
          </w:p>
        </w:tc>
        <w:tc>
          <w:tcPr>
            <w:tcW w:w="992" w:type="dxa"/>
            <w:tcBorders>
              <w:top w:val="nil"/>
              <w:left w:val="nil"/>
              <w:bottom w:val="single" w:sz="4" w:space="0" w:color="auto"/>
              <w:right w:val="single" w:sz="4" w:space="0" w:color="auto"/>
            </w:tcBorders>
            <w:shd w:val="clear" w:color="000000" w:fill="FFFFFF"/>
            <w:noWrap/>
            <w:vAlign w:val="center"/>
            <w:hideMark/>
          </w:tcPr>
          <w:p w14:paraId="4308D5BA"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85</w:t>
            </w:r>
          </w:p>
        </w:tc>
        <w:tc>
          <w:tcPr>
            <w:tcW w:w="850" w:type="dxa"/>
            <w:tcBorders>
              <w:top w:val="nil"/>
              <w:left w:val="nil"/>
              <w:bottom w:val="single" w:sz="4" w:space="0" w:color="auto"/>
              <w:right w:val="nil"/>
            </w:tcBorders>
            <w:shd w:val="clear" w:color="000000" w:fill="FFFFFF"/>
            <w:noWrap/>
            <w:vAlign w:val="center"/>
            <w:hideMark/>
          </w:tcPr>
          <w:p w14:paraId="44FC2AAB"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152,526</w:t>
            </w:r>
          </w:p>
        </w:tc>
        <w:tc>
          <w:tcPr>
            <w:tcW w:w="851" w:type="dxa"/>
            <w:tcBorders>
              <w:top w:val="nil"/>
              <w:left w:val="nil"/>
              <w:bottom w:val="single" w:sz="4" w:space="0" w:color="auto"/>
              <w:right w:val="single" w:sz="4" w:space="0" w:color="auto"/>
            </w:tcBorders>
            <w:shd w:val="clear" w:color="000000" w:fill="FFFFFF"/>
            <w:noWrap/>
            <w:vAlign w:val="center"/>
            <w:hideMark/>
          </w:tcPr>
          <w:p w14:paraId="18FDC3C1"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w:t>
            </w:r>
          </w:p>
        </w:tc>
        <w:tc>
          <w:tcPr>
            <w:tcW w:w="993" w:type="dxa"/>
            <w:tcBorders>
              <w:top w:val="nil"/>
              <w:left w:val="nil"/>
              <w:bottom w:val="single" w:sz="4" w:space="0" w:color="auto"/>
              <w:right w:val="nil"/>
            </w:tcBorders>
            <w:shd w:val="clear" w:color="000000" w:fill="FFFFFF"/>
            <w:noWrap/>
            <w:vAlign w:val="center"/>
            <w:hideMark/>
          </w:tcPr>
          <w:p w14:paraId="1FF6C3A7"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1,490,188</w:t>
            </w:r>
          </w:p>
        </w:tc>
        <w:tc>
          <w:tcPr>
            <w:tcW w:w="850" w:type="dxa"/>
            <w:tcBorders>
              <w:top w:val="nil"/>
              <w:left w:val="nil"/>
              <w:bottom w:val="single" w:sz="4" w:space="0" w:color="auto"/>
              <w:right w:val="single" w:sz="4" w:space="0" w:color="auto"/>
            </w:tcBorders>
            <w:shd w:val="clear" w:color="000000" w:fill="FFFFFF"/>
            <w:noWrap/>
            <w:vAlign w:val="center"/>
            <w:hideMark/>
          </w:tcPr>
          <w:p w14:paraId="58BCAC7E"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85</w:t>
            </w:r>
          </w:p>
        </w:tc>
        <w:tc>
          <w:tcPr>
            <w:tcW w:w="992" w:type="dxa"/>
            <w:tcBorders>
              <w:top w:val="nil"/>
              <w:left w:val="nil"/>
              <w:bottom w:val="single" w:sz="4" w:space="0" w:color="auto"/>
              <w:right w:val="single" w:sz="4" w:space="0" w:color="auto"/>
            </w:tcBorders>
            <w:shd w:val="clear" w:color="000000" w:fill="FFFFFF"/>
            <w:noWrap/>
            <w:vAlign w:val="center"/>
            <w:hideMark/>
          </w:tcPr>
          <w:p w14:paraId="59323AE8" w14:textId="77777777" w:rsidR="00C00303" w:rsidRPr="002F2D01" w:rsidRDefault="00C00303"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single" w:sz="4" w:space="0" w:color="auto"/>
            </w:tcBorders>
            <w:shd w:val="clear" w:color="000000" w:fill="FFFFFF"/>
            <w:noWrap/>
            <w:vAlign w:val="center"/>
            <w:hideMark/>
          </w:tcPr>
          <w:p w14:paraId="770ACE03" w14:textId="77777777" w:rsidR="00C00303" w:rsidRPr="002F2D01" w:rsidRDefault="00C00303"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94</w:t>
            </w:r>
          </w:p>
        </w:tc>
      </w:tr>
      <w:tr w:rsidR="00E32701" w:rsidRPr="00E32701" w14:paraId="447BC50E" w14:textId="77777777" w:rsidTr="008354D7">
        <w:trPr>
          <w:trHeight w:val="170"/>
        </w:trPr>
        <w:tc>
          <w:tcPr>
            <w:tcW w:w="14459" w:type="dxa"/>
            <w:gridSpan w:val="14"/>
            <w:tcBorders>
              <w:top w:val="single" w:sz="4" w:space="0" w:color="auto"/>
              <w:bottom w:val="single" w:sz="4" w:space="0" w:color="auto"/>
            </w:tcBorders>
            <w:shd w:val="clear" w:color="auto" w:fill="auto"/>
            <w:vAlign w:val="center"/>
            <w:hideMark/>
          </w:tcPr>
          <w:p w14:paraId="131FC2AB" w14:textId="77777777" w:rsidR="00E32701" w:rsidRPr="002F2D01" w:rsidRDefault="00E32701" w:rsidP="00CB0E93">
            <w:pPr>
              <w:spacing w:before="0" w:after="0"/>
              <w:rPr>
                <w:rFonts w:asciiTheme="majorHAnsi" w:hAnsiTheme="majorHAnsi" w:cs="Arial"/>
                <w:b/>
                <w:sz w:val="16"/>
                <w:szCs w:val="16"/>
                <w:lang w:eastAsia="en-AU"/>
              </w:rPr>
            </w:pPr>
            <w:r w:rsidRPr="002F2D01">
              <w:rPr>
                <w:rFonts w:asciiTheme="majorHAnsi" w:hAnsiTheme="majorHAnsi" w:cs="Arial"/>
                <w:b/>
                <w:sz w:val="16"/>
                <w:szCs w:val="16"/>
                <w:lang w:eastAsia="en-AU"/>
              </w:rPr>
              <w:t>Victoria</w:t>
            </w:r>
          </w:p>
        </w:tc>
      </w:tr>
      <w:tr w:rsidR="008354D7" w:rsidRPr="00E32701" w14:paraId="28EF85A3" w14:textId="77777777" w:rsidTr="008354D7">
        <w:trPr>
          <w:trHeight w:val="20"/>
        </w:trPr>
        <w:tc>
          <w:tcPr>
            <w:tcW w:w="1985" w:type="dxa"/>
            <w:tcBorders>
              <w:top w:val="nil"/>
              <w:bottom w:val="nil"/>
              <w:right w:val="single" w:sz="4" w:space="0" w:color="auto"/>
            </w:tcBorders>
            <w:shd w:val="clear" w:color="000000" w:fill="FFFFFF"/>
            <w:noWrap/>
            <w:vAlign w:val="center"/>
            <w:hideMark/>
          </w:tcPr>
          <w:p w14:paraId="5B4386FF" w14:textId="77777777" w:rsidR="008354D7" w:rsidRPr="00CD538E" w:rsidRDefault="008354D7"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East Gippsland</w:t>
            </w:r>
          </w:p>
        </w:tc>
        <w:tc>
          <w:tcPr>
            <w:tcW w:w="992" w:type="dxa"/>
            <w:tcBorders>
              <w:top w:val="nil"/>
              <w:left w:val="nil"/>
              <w:bottom w:val="nil"/>
              <w:right w:val="nil"/>
            </w:tcBorders>
            <w:shd w:val="clear" w:color="000000" w:fill="FFFFFF"/>
            <w:noWrap/>
            <w:vAlign w:val="center"/>
            <w:hideMark/>
          </w:tcPr>
          <w:p w14:paraId="489EC778"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1,225,000</w:t>
            </w:r>
          </w:p>
        </w:tc>
        <w:tc>
          <w:tcPr>
            <w:tcW w:w="992" w:type="dxa"/>
            <w:tcBorders>
              <w:top w:val="nil"/>
              <w:left w:val="single" w:sz="4" w:space="0" w:color="auto"/>
              <w:bottom w:val="nil"/>
              <w:right w:val="nil"/>
            </w:tcBorders>
            <w:shd w:val="clear" w:color="000000" w:fill="FFFFFF"/>
            <w:noWrap/>
            <w:vAlign w:val="center"/>
            <w:hideMark/>
          </w:tcPr>
          <w:p w14:paraId="0E57107A"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201,670</w:t>
            </w:r>
          </w:p>
        </w:tc>
        <w:tc>
          <w:tcPr>
            <w:tcW w:w="992" w:type="dxa"/>
            <w:tcBorders>
              <w:top w:val="nil"/>
              <w:left w:val="nil"/>
              <w:bottom w:val="nil"/>
              <w:right w:val="nil"/>
            </w:tcBorders>
            <w:shd w:val="clear" w:color="000000" w:fill="FFFFFF"/>
            <w:noWrap/>
            <w:vAlign w:val="center"/>
            <w:hideMark/>
          </w:tcPr>
          <w:p w14:paraId="3D1FCF8B"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201,670</w:t>
            </w:r>
          </w:p>
        </w:tc>
        <w:tc>
          <w:tcPr>
            <w:tcW w:w="1053" w:type="dxa"/>
            <w:tcBorders>
              <w:top w:val="nil"/>
              <w:left w:val="nil"/>
              <w:bottom w:val="nil"/>
              <w:right w:val="nil"/>
            </w:tcBorders>
            <w:shd w:val="clear" w:color="000000" w:fill="FFFFFF"/>
            <w:noWrap/>
            <w:vAlign w:val="center"/>
            <w:hideMark/>
          </w:tcPr>
          <w:p w14:paraId="0869DC52"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187,040</w:t>
            </w:r>
          </w:p>
        </w:tc>
        <w:tc>
          <w:tcPr>
            <w:tcW w:w="932" w:type="dxa"/>
            <w:tcBorders>
              <w:top w:val="nil"/>
              <w:left w:val="nil"/>
              <w:bottom w:val="nil"/>
              <w:right w:val="nil"/>
            </w:tcBorders>
            <w:shd w:val="clear" w:color="000000" w:fill="FFFFFF"/>
            <w:noWrap/>
            <w:vAlign w:val="center"/>
            <w:hideMark/>
          </w:tcPr>
          <w:p w14:paraId="6035DA94"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93</w:t>
            </w:r>
          </w:p>
        </w:tc>
        <w:tc>
          <w:tcPr>
            <w:tcW w:w="992" w:type="dxa"/>
            <w:tcBorders>
              <w:top w:val="nil"/>
              <w:left w:val="single" w:sz="4" w:space="0" w:color="auto"/>
              <w:bottom w:val="nil"/>
              <w:right w:val="nil"/>
            </w:tcBorders>
            <w:shd w:val="clear" w:color="000000" w:fill="FFFFFF"/>
            <w:noWrap/>
            <w:vAlign w:val="center"/>
            <w:hideMark/>
          </w:tcPr>
          <w:p w14:paraId="0D0F40BA"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187,040</w:t>
            </w:r>
          </w:p>
        </w:tc>
        <w:tc>
          <w:tcPr>
            <w:tcW w:w="992" w:type="dxa"/>
            <w:tcBorders>
              <w:top w:val="nil"/>
              <w:left w:val="nil"/>
              <w:bottom w:val="nil"/>
              <w:right w:val="single" w:sz="4" w:space="0" w:color="auto"/>
            </w:tcBorders>
            <w:shd w:val="clear" w:color="000000" w:fill="FFFFFF"/>
            <w:noWrap/>
            <w:vAlign w:val="center"/>
            <w:hideMark/>
          </w:tcPr>
          <w:p w14:paraId="1D32D4B2"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93</w:t>
            </w:r>
          </w:p>
        </w:tc>
        <w:tc>
          <w:tcPr>
            <w:tcW w:w="850" w:type="dxa"/>
            <w:tcBorders>
              <w:top w:val="nil"/>
              <w:left w:val="nil"/>
              <w:bottom w:val="nil"/>
              <w:right w:val="nil"/>
            </w:tcBorders>
            <w:shd w:val="clear" w:color="000000" w:fill="FFFFFF"/>
            <w:noWrap/>
            <w:vAlign w:val="center"/>
            <w:hideMark/>
          </w:tcPr>
          <w:p w14:paraId="42168230"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851" w:type="dxa"/>
            <w:tcBorders>
              <w:top w:val="nil"/>
              <w:left w:val="nil"/>
              <w:bottom w:val="nil"/>
              <w:right w:val="single" w:sz="4" w:space="0" w:color="auto"/>
            </w:tcBorders>
            <w:shd w:val="clear" w:color="000000" w:fill="FFFFFF"/>
            <w:noWrap/>
            <w:vAlign w:val="center"/>
            <w:hideMark/>
          </w:tcPr>
          <w:p w14:paraId="748D36E3" w14:textId="77777777" w:rsidR="008354D7" w:rsidRPr="002F2D01" w:rsidRDefault="008354D7" w:rsidP="00CB0E93">
            <w:pPr>
              <w:spacing w:before="0" w:after="0"/>
              <w:ind w:firstLineChars="200" w:firstLine="32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right w:val="nil"/>
            </w:tcBorders>
            <w:shd w:val="clear" w:color="000000" w:fill="FFFFFF"/>
            <w:noWrap/>
            <w:vAlign w:val="center"/>
            <w:hideMark/>
          </w:tcPr>
          <w:p w14:paraId="030EF1C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187,040</w:t>
            </w:r>
          </w:p>
        </w:tc>
        <w:tc>
          <w:tcPr>
            <w:tcW w:w="850" w:type="dxa"/>
            <w:tcBorders>
              <w:top w:val="nil"/>
              <w:left w:val="nil"/>
              <w:bottom w:val="nil"/>
              <w:right w:val="single" w:sz="4" w:space="0" w:color="auto"/>
            </w:tcBorders>
            <w:shd w:val="clear" w:color="000000" w:fill="FFFFFF"/>
            <w:noWrap/>
            <w:vAlign w:val="center"/>
            <w:hideMark/>
          </w:tcPr>
          <w:p w14:paraId="6F5DA6CB"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93</w:t>
            </w:r>
          </w:p>
        </w:tc>
        <w:tc>
          <w:tcPr>
            <w:tcW w:w="992" w:type="dxa"/>
            <w:tcBorders>
              <w:top w:val="nil"/>
              <w:left w:val="nil"/>
              <w:bottom w:val="nil"/>
              <w:right w:val="single" w:sz="4" w:space="0" w:color="auto"/>
            </w:tcBorders>
            <w:shd w:val="clear" w:color="000000" w:fill="FFFFFF"/>
            <w:noWrap/>
            <w:vAlign w:val="center"/>
            <w:hideMark/>
          </w:tcPr>
          <w:p w14:paraId="76D4BB99"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tcBorders>
            <w:shd w:val="clear" w:color="000000" w:fill="FFFFFF"/>
            <w:noWrap/>
            <w:vAlign w:val="center"/>
            <w:hideMark/>
          </w:tcPr>
          <w:p w14:paraId="5A2DC51B"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93</w:t>
            </w:r>
          </w:p>
        </w:tc>
      </w:tr>
      <w:tr w:rsidR="008354D7" w:rsidRPr="00E32701" w14:paraId="0C6E8754" w14:textId="77777777" w:rsidTr="008354D7">
        <w:trPr>
          <w:trHeight w:val="20"/>
        </w:trPr>
        <w:tc>
          <w:tcPr>
            <w:tcW w:w="1985" w:type="dxa"/>
            <w:tcBorders>
              <w:top w:val="nil"/>
              <w:bottom w:val="nil"/>
              <w:right w:val="single" w:sz="4" w:space="0" w:color="auto"/>
            </w:tcBorders>
            <w:shd w:val="clear" w:color="000000" w:fill="FFFFFF"/>
            <w:noWrap/>
            <w:vAlign w:val="center"/>
            <w:hideMark/>
          </w:tcPr>
          <w:p w14:paraId="07E6761D" w14:textId="77777777" w:rsidR="008354D7" w:rsidRPr="00CD538E" w:rsidRDefault="008354D7"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Central Highlands</w:t>
            </w:r>
          </w:p>
        </w:tc>
        <w:tc>
          <w:tcPr>
            <w:tcW w:w="992" w:type="dxa"/>
            <w:tcBorders>
              <w:top w:val="nil"/>
              <w:left w:val="nil"/>
              <w:bottom w:val="nil"/>
              <w:right w:val="nil"/>
            </w:tcBorders>
            <w:shd w:val="clear" w:color="000000" w:fill="FFFFFF"/>
            <w:noWrap/>
            <w:vAlign w:val="center"/>
            <w:hideMark/>
          </w:tcPr>
          <w:p w14:paraId="2F4DFD58"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1,130,000</w:t>
            </w:r>
          </w:p>
        </w:tc>
        <w:tc>
          <w:tcPr>
            <w:tcW w:w="992" w:type="dxa"/>
            <w:tcBorders>
              <w:top w:val="nil"/>
              <w:left w:val="single" w:sz="4" w:space="0" w:color="auto"/>
              <w:bottom w:val="nil"/>
              <w:right w:val="nil"/>
            </w:tcBorders>
            <w:shd w:val="clear" w:color="000000" w:fill="FFFFFF"/>
            <w:noWrap/>
            <w:vAlign w:val="center"/>
            <w:hideMark/>
          </w:tcPr>
          <w:p w14:paraId="5DFCE565"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2" w:type="dxa"/>
            <w:tcBorders>
              <w:top w:val="nil"/>
              <w:left w:val="nil"/>
              <w:bottom w:val="nil"/>
              <w:right w:val="nil"/>
            </w:tcBorders>
            <w:shd w:val="clear" w:color="000000" w:fill="FFFFFF"/>
            <w:noWrap/>
            <w:vAlign w:val="center"/>
            <w:hideMark/>
          </w:tcPr>
          <w:p w14:paraId="49F93805"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1053" w:type="dxa"/>
            <w:tcBorders>
              <w:top w:val="nil"/>
              <w:left w:val="nil"/>
              <w:bottom w:val="nil"/>
              <w:right w:val="nil"/>
            </w:tcBorders>
            <w:shd w:val="clear" w:color="000000" w:fill="FFFFFF"/>
            <w:noWrap/>
            <w:vAlign w:val="center"/>
            <w:hideMark/>
          </w:tcPr>
          <w:p w14:paraId="78E6F9F8"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32" w:type="dxa"/>
            <w:tcBorders>
              <w:top w:val="nil"/>
              <w:left w:val="nil"/>
              <w:bottom w:val="nil"/>
              <w:right w:val="nil"/>
            </w:tcBorders>
            <w:shd w:val="clear" w:color="000000" w:fill="FFFFFF"/>
            <w:noWrap/>
            <w:vAlign w:val="center"/>
            <w:hideMark/>
          </w:tcPr>
          <w:p w14:paraId="50109D59" w14:textId="4BB55A59"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992" w:type="dxa"/>
            <w:tcBorders>
              <w:top w:val="nil"/>
              <w:left w:val="single" w:sz="4" w:space="0" w:color="auto"/>
              <w:bottom w:val="nil"/>
              <w:right w:val="nil"/>
            </w:tcBorders>
            <w:shd w:val="clear" w:color="000000" w:fill="FFFFFF"/>
            <w:noWrap/>
            <w:vAlign w:val="center"/>
            <w:hideMark/>
          </w:tcPr>
          <w:p w14:paraId="28713BB8"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2" w:type="dxa"/>
            <w:tcBorders>
              <w:top w:val="nil"/>
              <w:left w:val="nil"/>
              <w:bottom w:val="nil"/>
              <w:right w:val="single" w:sz="4" w:space="0" w:color="auto"/>
            </w:tcBorders>
            <w:shd w:val="clear" w:color="000000" w:fill="FFFFFF"/>
            <w:noWrap/>
            <w:vAlign w:val="center"/>
            <w:hideMark/>
          </w:tcPr>
          <w:p w14:paraId="1B0CDA43" w14:textId="52333C28"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850" w:type="dxa"/>
            <w:tcBorders>
              <w:top w:val="nil"/>
              <w:left w:val="nil"/>
              <w:bottom w:val="nil"/>
              <w:right w:val="nil"/>
            </w:tcBorders>
            <w:shd w:val="clear" w:color="000000" w:fill="FFFFFF"/>
            <w:noWrap/>
            <w:vAlign w:val="center"/>
            <w:hideMark/>
          </w:tcPr>
          <w:p w14:paraId="571DFCB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851" w:type="dxa"/>
            <w:tcBorders>
              <w:top w:val="nil"/>
              <w:left w:val="nil"/>
              <w:bottom w:val="nil"/>
              <w:right w:val="single" w:sz="4" w:space="0" w:color="auto"/>
            </w:tcBorders>
            <w:shd w:val="clear" w:color="000000" w:fill="FFFFFF"/>
            <w:noWrap/>
            <w:vAlign w:val="center"/>
            <w:hideMark/>
          </w:tcPr>
          <w:p w14:paraId="3474605B" w14:textId="0E765C83"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993" w:type="dxa"/>
            <w:tcBorders>
              <w:top w:val="nil"/>
              <w:left w:val="nil"/>
              <w:bottom w:val="nil"/>
              <w:right w:val="nil"/>
            </w:tcBorders>
            <w:shd w:val="clear" w:color="000000" w:fill="FFFFFF"/>
            <w:noWrap/>
            <w:vAlign w:val="center"/>
            <w:hideMark/>
          </w:tcPr>
          <w:p w14:paraId="19A71590" w14:textId="785DB126" w:rsidR="008354D7" w:rsidRPr="002F2D01" w:rsidRDefault="008354D7" w:rsidP="00E915C7">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850" w:type="dxa"/>
            <w:tcBorders>
              <w:top w:val="nil"/>
              <w:left w:val="nil"/>
              <w:bottom w:val="nil"/>
              <w:right w:val="single" w:sz="4" w:space="0" w:color="auto"/>
            </w:tcBorders>
            <w:shd w:val="clear" w:color="000000" w:fill="FFFFFF"/>
            <w:noWrap/>
            <w:vAlign w:val="center"/>
            <w:hideMark/>
          </w:tcPr>
          <w:p w14:paraId="39F2E2CB" w14:textId="73E27D13"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992" w:type="dxa"/>
            <w:tcBorders>
              <w:top w:val="nil"/>
              <w:left w:val="nil"/>
              <w:bottom w:val="nil"/>
              <w:right w:val="single" w:sz="4" w:space="0" w:color="auto"/>
            </w:tcBorders>
            <w:shd w:val="clear" w:color="000000" w:fill="FFFFFF"/>
            <w:noWrap/>
            <w:vAlign w:val="center"/>
            <w:hideMark/>
          </w:tcPr>
          <w:p w14:paraId="35F36967" w14:textId="3D5FD76D" w:rsidR="008354D7" w:rsidRPr="002F2D01" w:rsidRDefault="008354D7" w:rsidP="00E915C7">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993" w:type="dxa"/>
            <w:tcBorders>
              <w:top w:val="nil"/>
              <w:left w:val="nil"/>
              <w:bottom w:val="nil"/>
            </w:tcBorders>
            <w:shd w:val="clear" w:color="000000" w:fill="FFFFFF"/>
            <w:noWrap/>
            <w:vAlign w:val="center"/>
            <w:hideMark/>
          </w:tcPr>
          <w:p w14:paraId="561F5E39" w14:textId="21EC3C0C"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r>
      <w:tr w:rsidR="008354D7" w:rsidRPr="00E32701" w14:paraId="094503D9" w14:textId="77777777" w:rsidTr="008354D7">
        <w:trPr>
          <w:trHeight w:val="20"/>
        </w:trPr>
        <w:tc>
          <w:tcPr>
            <w:tcW w:w="1985" w:type="dxa"/>
            <w:tcBorders>
              <w:top w:val="nil"/>
              <w:bottom w:val="nil"/>
              <w:right w:val="single" w:sz="4" w:space="0" w:color="auto"/>
            </w:tcBorders>
            <w:shd w:val="clear" w:color="000000" w:fill="FFFFFF"/>
            <w:noWrap/>
            <w:vAlign w:val="center"/>
            <w:hideMark/>
          </w:tcPr>
          <w:p w14:paraId="074A5419" w14:textId="77777777" w:rsidR="008354D7" w:rsidRPr="00CD538E" w:rsidRDefault="008354D7"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North East</w:t>
            </w:r>
          </w:p>
        </w:tc>
        <w:tc>
          <w:tcPr>
            <w:tcW w:w="992" w:type="dxa"/>
            <w:tcBorders>
              <w:top w:val="nil"/>
              <w:left w:val="nil"/>
              <w:bottom w:val="nil"/>
              <w:right w:val="nil"/>
            </w:tcBorders>
            <w:shd w:val="clear" w:color="000000" w:fill="FFFFFF"/>
            <w:noWrap/>
            <w:vAlign w:val="center"/>
            <w:hideMark/>
          </w:tcPr>
          <w:p w14:paraId="4988E77F"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2,318,000</w:t>
            </w:r>
          </w:p>
        </w:tc>
        <w:tc>
          <w:tcPr>
            <w:tcW w:w="992" w:type="dxa"/>
            <w:tcBorders>
              <w:top w:val="nil"/>
              <w:left w:val="single" w:sz="4" w:space="0" w:color="auto"/>
              <w:bottom w:val="nil"/>
              <w:right w:val="nil"/>
            </w:tcBorders>
            <w:shd w:val="clear" w:color="000000" w:fill="FFFFFF"/>
            <w:noWrap/>
            <w:vAlign w:val="center"/>
            <w:hideMark/>
          </w:tcPr>
          <w:p w14:paraId="2425D79E"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75,350</w:t>
            </w:r>
          </w:p>
        </w:tc>
        <w:tc>
          <w:tcPr>
            <w:tcW w:w="992" w:type="dxa"/>
            <w:tcBorders>
              <w:top w:val="nil"/>
              <w:left w:val="nil"/>
              <w:bottom w:val="nil"/>
              <w:right w:val="nil"/>
            </w:tcBorders>
            <w:shd w:val="clear" w:color="000000" w:fill="FFFFFF"/>
            <w:noWrap/>
            <w:vAlign w:val="center"/>
            <w:hideMark/>
          </w:tcPr>
          <w:p w14:paraId="5ACD9220"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75,350</w:t>
            </w:r>
          </w:p>
        </w:tc>
        <w:tc>
          <w:tcPr>
            <w:tcW w:w="1053" w:type="dxa"/>
            <w:tcBorders>
              <w:top w:val="nil"/>
              <w:left w:val="nil"/>
              <w:bottom w:val="nil"/>
              <w:right w:val="nil"/>
            </w:tcBorders>
            <w:shd w:val="clear" w:color="000000" w:fill="FFFFFF"/>
            <w:noWrap/>
            <w:vAlign w:val="center"/>
            <w:hideMark/>
          </w:tcPr>
          <w:p w14:paraId="1B6BCBA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68,770</w:t>
            </w:r>
          </w:p>
        </w:tc>
        <w:tc>
          <w:tcPr>
            <w:tcW w:w="932" w:type="dxa"/>
            <w:tcBorders>
              <w:top w:val="nil"/>
              <w:left w:val="nil"/>
              <w:bottom w:val="nil"/>
              <w:right w:val="nil"/>
            </w:tcBorders>
            <w:shd w:val="clear" w:color="000000" w:fill="FFFFFF"/>
            <w:noWrap/>
            <w:vAlign w:val="center"/>
            <w:hideMark/>
          </w:tcPr>
          <w:p w14:paraId="11700947"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91</w:t>
            </w:r>
          </w:p>
        </w:tc>
        <w:tc>
          <w:tcPr>
            <w:tcW w:w="992" w:type="dxa"/>
            <w:tcBorders>
              <w:top w:val="nil"/>
              <w:left w:val="single" w:sz="4" w:space="0" w:color="auto"/>
              <w:bottom w:val="nil"/>
              <w:right w:val="nil"/>
            </w:tcBorders>
            <w:shd w:val="clear" w:color="000000" w:fill="FFFFFF"/>
            <w:noWrap/>
            <w:vAlign w:val="center"/>
            <w:hideMark/>
          </w:tcPr>
          <w:p w14:paraId="1220B333"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68,770</w:t>
            </w:r>
          </w:p>
        </w:tc>
        <w:tc>
          <w:tcPr>
            <w:tcW w:w="992" w:type="dxa"/>
            <w:tcBorders>
              <w:top w:val="nil"/>
              <w:left w:val="nil"/>
              <w:bottom w:val="nil"/>
              <w:right w:val="single" w:sz="4" w:space="0" w:color="auto"/>
            </w:tcBorders>
            <w:shd w:val="clear" w:color="000000" w:fill="FFFFFF"/>
            <w:noWrap/>
            <w:vAlign w:val="center"/>
            <w:hideMark/>
          </w:tcPr>
          <w:p w14:paraId="0B876D2B"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91</w:t>
            </w:r>
          </w:p>
        </w:tc>
        <w:tc>
          <w:tcPr>
            <w:tcW w:w="850" w:type="dxa"/>
            <w:tcBorders>
              <w:top w:val="nil"/>
              <w:left w:val="nil"/>
              <w:bottom w:val="nil"/>
              <w:right w:val="nil"/>
            </w:tcBorders>
            <w:shd w:val="clear" w:color="000000" w:fill="FFFFFF"/>
            <w:noWrap/>
            <w:vAlign w:val="center"/>
            <w:hideMark/>
          </w:tcPr>
          <w:p w14:paraId="6573C297"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851" w:type="dxa"/>
            <w:tcBorders>
              <w:top w:val="nil"/>
              <w:left w:val="nil"/>
              <w:bottom w:val="nil"/>
              <w:right w:val="single" w:sz="4" w:space="0" w:color="auto"/>
            </w:tcBorders>
            <w:shd w:val="clear" w:color="000000" w:fill="FFFFFF"/>
            <w:noWrap/>
            <w:vAlign w:val="center"/>
            <w:hideMark/>
          </w:tcPr>
          <w:p w14:paraId="24FD0EFF"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right w:val="nil"/>
            </w:tcBorders>
            <w:shd w:val="clear" w:color="000000" w:fill="FFFFFF"/>
            <w:noWrap/>
            <w:vAlign w:val="center"/>
            <w:hideMark/>
          </w:tcPr>
          <w:p w14:paraId="5E714641"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68,770</w:t>
            </w:r>
          </w:p>
        </w:tc>
        <w:tc>
          <w:tcPr>
            <w:tcW w:w="850" w:type="dxa"/>
            <w:tcBorders>
              <w:top w:val="nil"/>
              <w:left w:val="nil"/>
              <w:bottom w:val="nil"/>
              <w:right w:val="single" w:sz="4" w:space="0" w:color="auto"/>
            </w:tcBorders>
            <w:shd w:val="clear" w:color="000000" w:fill="FFFFFF"/>
            <w:noWrap/>
            <w:vAlign w:val="center"/>
            <w:hideMark/>
          </w:tcPr>
          <w:p w14:paraId="3AA10A40"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91</w:t>
            </w:r>
          </w:p>
        </w:tc>
        <w:tc>
          <w:tcPr>
            <w:tcW w:w="992" w:type="dxa"/>
            <w:tcBorders>
              <w:top w:val="nil"/>
              <w:left w:val="nil"/>
              <w:bottom w:val="nil"/>
              <w:right w:val="single" w:sz="4" w:space="0" w:color="auto"/>
            </w:tcBorders>
            <w:shd w:val="clear" w:color="000000" w:fill="FFFFFF"/>
            <w:noWrap/>
            <w:vAlign w:val="center"/>
            <w:hideMark/>
          </w:tcPr>
          <w:p w14:paraId="4F12FC89"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tcBorders>
            <w:shd w:val="clear" w:color="000000" w:fill="FFFFFF"/>
            <w:noWrap/>
            <w:vAlign w:val="center"/>
            <w:hideMark/>
          </w:tcPr>
          <w:p w14:paraId="266EF1F5"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91</w:t>
            </w:r>
          </w:p>
        </w:tc>
      </w:tr>
      <w:tr w:rsidR="008354D7" w:rsidRPr="00E32701" w14:paraId="43CB4ED7" w14:textId="77777777" w:rsidTr="008354D7">
        <w:trPr>
          <w:trHeight w:val="20"/>
        </w:trPr>
        <w:tc>
          <w:tcPr>
            <w:tcW w:w="1985" w:type="dxa"/>
            <w:tcBorders>
              <w:top w:val="nil"/>
              <w:bottom w:val="nil"/>
              <w:right w:val="single" w:sz="4" w:space="0" w:color="auto"/>
            </w:tcBorders>
            <w:shd w:val="clear" w:color="000000" w:fill="FFFFFF"/>
            <w:noWrap/>
            <w:vAlign w:val="center"/>
            <w:hideMark/>
          </w:tcPr>
          <w:p w14:paraId="37B14604" w14:textId="77777777" w:rsidR="008354D7" w:rsidRPr="00CD538E" w:rsidRDefault="008354D7"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Gippsland</w:t>
            </w:r>
          </w:p>
        </w:tc>
        <w:tc>
          <w:tcPr>
            <w:tcW w:w="992" w:type="dxa"/>
            <w:tcBorders>
              <w:top w:val="nil"/>
              <w:left w:val="nil"/>
              <w:bottom w:val="nil"/>
              <w:right w:val="nil"/>
            </w:tcBorders>
            <w:shd w:val="clear" w:color="000000" w:fill="FFFFFF"/>
            <w:noWrap/>
            <w:vAlign w:val="center"/>
            <w:hideMark/>
          </w:tcPr>
          <w:p w14:paraId="26D7EB69"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2,662,000</w:t>
            </w:r>
          </w:p>
        </w:tc>
        <w:tc>
          <w:tcPr>
            <w:tcW w:w="992" w:type="dxa"/>
            <w:tcBorders>
              <w:top w:val="nil"/>
              <w:left w:val="single" w:sz="4" w:space="0" w:color="auto"/>
              <w:bottom w:val="nil"/>
              <w:right w:val="nil"/>
            </w:tcBorders>
            <w:shd w:val="clear" w:color="000000" w:fill="FFFFFF"/>
            <w:noWrap/>
            <w:vAlign w:val="center"/>
            <w:hideMark/>
          </w:tcPr>
          <w:p w14:paraId="446EDA76"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146,578</w:t>
            </w:r>
          </w:p>
        </w:tc>
        <w:tc>
          <w:tcPr>
            <w:tcW w:w="992" w:type="dxa"/>
            <w:tcBorders>
              <w:top w:val="nil"/>
              <w:left w:val="nil"/>
              <w:bottom w:val="nil"/>
              <w:right w:val="nil"/>
            </w:tcBorders>
            <w:shd w:val="clear" w:color="000000" w:fill="FFFFFF"/>
            <w:noWrap/>
            <w:vAlign w:val="center"/>
            <w:hideMark/>
          </w:tcPr>
          <w:p w14:paraId="6BBFA6FF"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146,578</w:t>
            </w:r>
          </w:p>
        </w:tc>
        <w:tc>
          <w:tcPr>
            <w:tcW w:w="1053" w:type="dxa"/>
            <w:tcBorders>
              <w:top w:val="nil"/>
              <w:left w:val="nil"/>
              <w:bottom w:val="nil"/>
              <w:right w:val="nil"/>
            </w:tcBorders>
            <w:shd w:val="clear" w:color="000000" w:fill="FFFFFF"/>
            <w:noWrap/>
            <w:vAlign w:val="center"/>
            <w:hideMark/>
          </w:tcPr>
          <w:p w14:paraId="32768571"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146,578</w:t>
            </w:r>
          </w:p>
        </w:tc>
        <w:tc>
          <w:tcPr>
            <w:tcW w:w="932" w:type="dxa"/>
            <w:tcBorders>
              <w:top w:val="nil"/>
              <w:left w:val="nil"/>
              <w:bottom w:val="nil"/>
              <w:right w:val="nil"/>
            </w:tcBorders>
            <w:shd w:val="clear" w:color="000000" w:fill="FFFFFF"/>
            <w:noWrap/>
            <w:vAlign w:val="center"/>
            <w:hideMark/>
          </w:tcPr>
          <w:p w14:paraId="07E9FCD2"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100</w:t>
            </w:r>
          </w:p>
        </w:tc>
        <w:tc>
          <w:tcPr>
            <w:tcW w:w="992" w:type="dxa"/>
            <w:tcBorders>
              <w:top w:val="nil"/>
              <w:left w:val="single" w:sz="4" w:space="0" w:color="auto"/>
              <w:bottom w:val="nil"/>
              <w:right w:val="nil"/>
            </w:tcBorders>
            <w:shd w:val="clear" w:color="000000" w:fill="FFFFFF"/>
            <w:noWrap/>
            <w:vAlign w:val="center"/>
            <w:hideMark/>
          </w:tcPr>
          <w:p w14:paraId="3694C3AE"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146,578</w:t>
            </w:r>
          </w:p>
        </w:tc>
        <w:tc>
          <w:tcPr>
            <w:tcW w:w="992" w:type="dxa"/>
            <w:tcBorders>
              <w:top w:val="nil"/>
              <w:left w:val="nil"/>
              <w:bottom w:val="nil"/>
              <w:right w:val="single" w:sz="4" w:space="0" w:color="auto"/>
            </w:tcBorders>
            <w:shd w:val="clear" w:color="000000" w:fill="FFFFFF"/>
            <w:noWrap/>
            <w:vAlign w:val="center"/>
            <w:hideMark/>
          </w:tcPr>
          <w:p w14:paraId="0423B751"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100</w:t>
            </w:r>
          </w:p>
        </w:tc>
        <w:tc>
          <w:tcPr>
            <w:tcW w:w="850" w:type="dxa"/>
            <w:tcBorders>
              <w:top w:val="nil"/>
              <w:left w:val="nil"/>
              <w:bottom w:val="nil"/>
              <w:right w:val="nil"/>
            </w:tcBorders>
            <w:shd w:val="clear" w:color="000000" w:fill="FFFFFF"/>
            <w:noWrap/>
            <w:vAlign w:val="center"/>
            <w:hideMark/>
          </w:tcPr>
          <w:p w14:paraId="693C4E61"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851" w:type="dxa"/>
            <w:tcBorders>
              <w:top w:val="nil"/>
              <w:left w:val="nil"/>
              <w:bottom w:val="nil"/>
              <w:right w:val="single" w:sz="4" w:space="0" w:color="auto"/>
            </w:tcBorders>
            <w:shd w:val="clear" w:color="000000" w:fill="FFFFFF"/>
            <w:noWrap/>
            <w:vAlign w:val="center"/>
            <w:hideMark/>
          </w:tcPr>
          <w:p w14:paraId="4997C2AB"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right w:val="nil"/>
            </w:tcBorders>
            <w:shd w:val="clear" w:color="000000" w:fill="FFFFFF"/>
            <w:noWrap/>
            <w:vAlign w:val="center"/>
            <w:hideMark/>
          </w:tcPr>
          <w:p w14:paraId="3EB99395"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146,578</w:t>
            </w:r>
          </w:p>
        </w:tc>
        <w:tc>
          <w:tcPr>
            <w:tcW w:w="850" w:type="dxa"/>
            <w:tcBorders>
              <w:top w:val="nil"/>
              <w:left w:val="nil"/>
              <w:bottom w:val="nil"/>
              <w:right w:val="single" w:sz="4" w:space="0" w:color="auto"/>
            </w:tcBorders>
            <w:shd w:val="clear" w:color="000000" w:fill="FFFFFF"/>
            <w:noWrap/>
            <w:vAlign w:val="center"/>
            <w:hideMark/>
          </w:tcPr>
          <w:p w14:paraId="705F92F1"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100</w:t>
            </w:r>
          </w:p>
        </w:tc>
        <w:tc>
          <w:tcPr>
            <w:tcW w:w="992" w:type="dxa"/>
            <w:tcBorders>
              <w:top w:val="nil"/>
              <w:left w:val="nil"/>
              <w:bottom w:val="nil"/>
              <w:right w:val="single" w:sz="4" w:space="0" w:color="auto"/>
            </w:tcBorders>
            <w:shd w:val="clear" w:color="000000" w:fill="FFFFFF"/>
            <w:noWrap/>
            <w:vAlign w:val="center"/>
            <w:hideMark/>
          </w:tcPr>
          <w:p w14:paraId="1D952343"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tcBorders>
            <w:shd w:val="clear" w:color="000000" w:fill="FFFFFF"/>
            <w:noWrap/>
            <w:vAlign w:val="center"/>
            <w:hideMark/>
          </w:tcPr>
          <w:p w14:paraId="7D76709E"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100</w:t>
            </w:r>
          </w:p>
        </w:tc>
      </w:tr>
      <w:tr w:rsidR="008354D7" w:rsidRPr="00E32701" w14:paraId="5CD0B898" w14:textId="77777777" w:rsidTr="008354D7">
        <w:trPr>
          <w:trHeight w:val="20"/>
        </w:trPr>
        <w:tc>
          <w:tcPr>
            <w:tcW w:w="1985" w:type="dxa"/>
            <w:tcBorders>
              <w:top w:val="nil"/>
              <w:bottom w:val="nil"/>
              <w:right w:val="single" w:sz="4" w:space="0" w:color="auto"/>
            </w:tcBorders>
            <w:shd w:val="clear" w:color="000000" w:fill="FFFFFF"/>
            <w:noWrap/>
            <w:vAlign w:val="center"/>
            <w:hideMark/>
          </w:tcPr>
          <w:p w14:paraId="699C683E" w14:textId="3628AE66" w:rsidR="008354D7" w:rsidRPr="00CD538E" w:rsidRDefault="008354D7"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West Victoria</w:t>
            </w:r>
          </w:p>
        </w:tc>
        <w:tc>
          <w:tcPr>
            <w:tcW w:w="992" w:type="dxa"/>
            <w:tcBorders>
              <w:top w:val="nil"/>
              <w:left w:val="nil"/>
              <w:bottom w:val="nil"/>
              <w:right w:val="nil"/>
            </w:tcBorders>
            <w:shd w:val="clear" w:color="000000" w:fill="FFFFFF"/>
            <w:noWrap/>
            <w:vAlign w:val="center"/>
            <w:hideMark/>
          </w:tcPr>
          <w:p w14:paraId="30580012"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5,779,000</w:t>
            </w:r>
          </w:p>
        </w:tc>
        <w:tc>
          <w:tcPr>
            <w:tcW w:w="992" w:type="dxa"/>
            <w:tcBorders>
              <w:top w:val="nil"/>
              <w:left w:val="single" w:sz="4" w:space="0" w:color="auto"/>
              <w:bottom w:val="nil"/>
              <w:right w:val="nil"/>
            </w:tcBorders>
            <w:shd w:val="clear" w:color="000000" w:fill="FFFFFF"/>
            <w:noWrap/>
            <w:vAlign w:val="center"/>
            <w:hideMark/>
          </w:tcPr>
          <w:p w14:paraId="3B077B72"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12,800</w:t>
            </w:r>
          </w:p>
        </w:tc>
        <w:tc>
          <w:tcPr>
            <w:tcW w:w="992" w:type="dxa"/>
            <w:tcBorders>
              <w:top w:val="nil"/>
              <w:left w:val="nil"/>
              <w:bottom w:val="nil"/>
              <w:right w:val="nil"/>
            </w:tcBorders>
            <w:shd w:val="clear" w:color="000000" w:fill="FFFFFF"/>
            <w:noWrap/>
            <w:vAlign w:val="center"/>
            <w:hideMark/>
          </w:tcPr>
          <w:p w14:paraId="2917942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12,800</w:t>
            </w:r>
          </w:p>
        </w:tc>
        <w:tc>
          <w:tcPr>
            <w:tcW w:w="1053" w:type="dxa"/>
            <w:tcBorders>
              <w:top w:val="nil"/>
              <w:left w:val="nil"/>
              <w:bottom w:val="nil"/>
              <w:right w:val="nil"/>
            </w:tcBorders>
            <w:shd w:val="clear" w:color="000000" w:fill="FFFFFF"/>
            <w:noWrap/>
            <w:vAlign w:val="center"/>
            <w:hideMark/>
          </w:tcPr>
          <w:p w14:paraId="089AE6BF"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12,800</w:t>
            </w:r>
          </w:p>
        </w:tc>
        <w:tc>
          <w:tcPr>
            <w:tcW w:w="932" w:type="dxa"/>
            <w:tcBorders>
              <w:top w:val="nil"/>
              <w:left w:val="nil"/>
              <w:bottom w:val="nil"/>
              <w:right w:val="nil"/>
            </w:tcBorders>
            <w:shd w:val="clear" w:color="000000" w:fill="FFFFFF"/>
            <w:noWrap/>
            <w:vAlign w:val="center"/>
            <w:hideMark/>
          </w:tcPr>
          <w:p w14:paraId="3992F3AC"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100</w:t>
            </w:r>
          </w:p>
        </w:tc>
        <w:tc>
          <w:tcPr>
            <w:tcW w:w="992" w:type="dxa"/>
            <w:tcBorders>
              <w:top w:val="nil"/>
              <w:left w:val="single" w:sz="4" w:space="0" w:color="auto"/>
              <w:bottom w:val="nil"/>
              <w:right w:val="nil"/>
            </w:tcBorders>
            <w:shd w:val="clear" w:color="000000" w:fill="FFFFFF"/>
            <w:noWrap/>
            <w:vAlign w:val="center"/>
            <w:hideMark/>
          </w:tcPr>
          <w:p w14:paraId="559ACF7F"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12,800</w:t>
            </w:r>
          </w:p>
        </w:tc>
        <w:tc>
          <w:tcPr>
            <w:tcW w:w="992" w:type="dxa"/>
            <w:tcBorders>
              <w:top w:val="nil"/>
              <w:left w:val="nil"/>
              <w:bottom w:val="nil"/>
              <w:right w:val="single" w:sz="4" w:space="0" w:color="auto"/>
            </w:tcBorders>
            <w:shd w:val="clear" w:color="000000" w:fill="FFFFFF"/>
            <w:noWrap/>
            <w:vAlign w:val="center"/>
            <w:hideMark/>
          </w:tcPr>
          <w:p w14:paraId="2F1715F3"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100</w:t>
            </w:r>
          </w:p>
        </w:tc>
        <w:tc>
          <w:tcPr>
            <w:tcW w:w="850" w:type="dxa"/>
            <w:tcBorders>
              <w:top w:val="nil"/>
              <w:left w:val="nil"/>
              <w:bottom w:val="nil"/>
              <w:right w:val="nil"/>
            </w:tcBorders>
            <w:shd w:val="clear" w:color="000000" w:fill="FFFFFF"/>
            <w:noWrap/>
            <w:vAlign w:val="center"/>
            <w:hideMark/>
          </w:tcPr>
          <w:p w14:paraId="23B1EAD0"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851" w:type="dxa"/>
            <w:tcBorders>
              <w:top w:val="nil"/>
              <w:left w:val="nil"/>
              <w:bottom w:val="nil"/>
              <w:right w:val="single" w:sz="4" w:space="0" w:color="auto"/>
            </w:tcBorders>
            <w:shd w:val="clear" w:color="000000" w:fill="FFFFFF"/>
            <w:noWrap/>
            <w:vAlign w:val="center"/>
            <w:hideMark/>
          </w:tcPr>
          <w:p w14:paraId="7B89F7BD"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right w:val="nil"/>
            </w:tcBorders>
            <w:shd w:val="clear" w:color="000000" w:fill="FFFFFF"/>
            <w:noWrap/>
            <w:vAlign w:val="center"/>
            <w:hideMark/>
          </w:tcPr>
          <w:p w14:paraId="3E07F4AC"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12,800</w:t>
            </w:r>
          </w:p>
        </w:tc>
        <w:tc>
          <w:tcPr>
            <w:tcW w:w="850" w:type="dxa"/>
            <w:tcBorders>
              <w:top w:val="nil"/>
              <w:left w:val="nil"/>
              <w:bottom w:val="nil"/>
              <w:right w:val="single" w:sz="4" w:space="0" w:color="auto"/>
            </w:tcBorders>
            <w:shd w:val="clear" w:color="000000" w:fill="FFFFFF"/>
            <w:noWrap/>
            <w:vAlign w:val="center"/>
            <w:hideMark/>
          </w:tcPr>
          <w:p w14:paraId="52423E2E"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100</w:t>
            </w:r>
          </w:p>
        </w:tc>
        <w:tc>
          <w:tcPr>
            <w:tcW w:w="992" w:type="dxa"/>
            <w:tcBorders>
              <w:top w:val="nil"/>
              <w:left w:val="nil"/>
              <w:bottom w:val="nil"/>
              <w:right w:val="single" w:sz="4" w:space="0" w:color="auto"/>
            </w:tcBorders>
            <w:shd w:val="clear" w:color="000000" w:fill="FFFFFF"/>
            <w:noWrap/>
            <w:vAlign w:val="center"/>
            <w:hideMark/>
          </w:tcPr>
          <w:p w14:paraId="5258406E"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nil"/>
            </w:tcBorders>
            <w:shd w:val="clear" w:color="000000" w:fill="FFFFFF"/>
            <w:noWrap/>
            <w:vAlign w:val="center"/>
            <w:hideMark/>
          </w:tcPr>
          <w:p w14:paraId="1EAC8E03"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100</w:t>
            </w:r>
          </w:p>
        </w:tc>
      </w:tr>
      <w:tr w:rsidR="008354D7" w:rsidRPr="00E32701" w14:paraId="6081DCF8" w14:textId="77777777" w:rsidTr="008354D7">
        <w:trPr>
          <w:trHeight w:val="20"/>
        </w:trPr>
        <w:tc>
          <w:tcPr>
            <w:tcW w:w="1985" w:type="dxa"/>
            <w:tcBorders>
              <w:top w:val="nil"/>
              <w:bottom w:val="single" w:sz="4" w:space="0" w:color="auto"/>
              <w:right w:val="single" w:sz="4" w:space="0" w:color="auto"/>
            </w:tcBorders>
            <w:shd w:val="clear" w:color="000000" w:fill="FFFFFF"/>
            <w:noWrap/>
            <w:vAlign w:val="center"/>
            <w:hideMark/>
          </w:tcPr>
          <w:p w14:paraId="4E467F34" w14:textId="77777777" w:rsidR="008354D7" w:rsidRPr="002F2D01" w:rsidRDefault="008354D7" w:rsidP="00CB0E93">
            <w:pPr>
              <w:spacing w:before="0" w:after="0"/>
              <w:rPr>
                <w:rFonts w:asciiTheme="majorHAnsi" w:hAnsiTheme="majorHAnsi" w:cs="Arial"/>
                <w:b/>
                <w:sz w:val="16"/>
                <w:szCs w:val="16"/>
                <w:lang w:eastAsia="en-AU"/>
              </w:rPr>
            </w:pPr>
            <w:r w:rsidRPr="002F2D01">
              <w:rPr>
                <w:rFonts w:asciiTheme="majorHAnsi" w:hAnsiTheme="majorHAnsi" w:cs="Arial"/>
                <w:b/>
                <w:sz w:val="16"/>
                <w:szCs w:val="16"/>
                <w:lang w:eastAsia="en-AU"/>
              </w:rPr>
              <w:t>Total Victorian RFA regions</w:t>
            </w:r>
          </w:p>
        </w:tc>
        <w:tc>
          <w:tcPr>
            <w:tcW w:w="992" w:type="dxa"/>
            <w:tcBorders>
              <w:top w:val="nil"/>
              <w:left w:val="nil"/>
              <w:bottom w:val="single" w:sz="4" w:space="0" w:color="auto"/>
              <w:right w:val="nil"/>
            </w:tcBorders>
            <w:shd w:val="clear" w:color="000000" w:fill="FFFFFF"/>
            <w:noWrap/>
            <w:vAlign w:val="center"/>
            <w:hideMark/>
          </w:tcPr>
          <w:p w14:paraId="018ABB85"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13,114,000</w:t>
            </w:r>
          </w:p>
        </w:tc>
        <w:tc>
          <w:tcPr>
            <w:tcW w:w="992" w:type="dxa"/>
            <w:tcBorders>
              <w:top w:val="nil"/>
              <w:left w:val="single" w:sz="4" w:space="0" w:color="auto"/>
              <w:bottom w:val="single" w:sz="4" w:space="0" w:color="auto"/>
              <w:right w:val="nil"/>
            </w:tcBorders>
            <w:shd w:val="clear" w:color="000000" w:fill="FFFFFF"/>
            <w:noWrap/>
            <w:vAlign w:val="center"/>
            <w:hideMark/>
          </w:tcPr>
          <w:p w14:paraId="424897B0"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436,398</w:t>
            </w:r>
          </w:p>
        </w:tc>
        <w:tc>
          <w:tcPr>
            <w:tcW w:w="992" w:type="dxa"/>
            <w:tcBorders>
              <w:top w:val="nil"/>
              <w:left w:val="nil"/>
              <w:bottom w:val="single" w:sz="4" w:space="0" w:color="auto"/>
              <w:right w:val="nil"/>
            </w:tcBorders>
            <w:shd w:val="clear" w:color="000000" w:fill="FFFFFF"/>
            <w:noWrap/>
            <w:vAlign w:val="center"/>
            <w:hideMark/>
          </w:tcPr>
          <w:p w14:paraId="75F00185"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436,398</w:t>
            </w:r>
          </w:p>
        </w:tc>
        <w:tc>
          <w:tcPr>
            <w:tcW w:w="1053" w:type="dxa"/>
            <w:tcBorders>
              <w:top w:val="nil"/>
              <w:left w:val="nil"/>
              <w:bottom w:val="single" w:sz="4" w:space="0" w:color="auto"/>
              <w:right w:val="nil"/>
            </w:tcBorders>
            <w:shd w:val="clear" w:color="000000" w:fill="FFFFFF"/>
            <w:noWrap/>
            <w:vAlign w:val="center"/>
            <w:hideMark/>
          </w:tcPr>
          <w:p w14:paraId="137734AB"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415,188</w:t>
            </w:r>
          </w:p>
        </w:tc>
        <w:tc>
          <w:tcPr>
            <w:tcW w:w="932" w:type="dxa"/>
            <w:tcBorders>
              <w:top w:val="nil"/>
              <w:left w:val="nil"/>
              <w:bottom w:val="single" w:sz="4" w:space="0" w:color="auto"/>
              <w:right w:val="nil"/>
            </w:tcBorders>
            <w:shd w:val="clear" w:color="000000" w:fill="FFFFFF"/>
            <w:noWrap/>
            <w:vAlign w:val="center"/>
            <w:hideMark/>
          </w:tcPr>
          <w:p w14:paraId="5F2C4695"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95</w:t>
            </w:r>
          </w:p>
        </w:tc>
        <w:tc>
          <w:tcPr>
            <w:tcW w:w="992" w:type="dxa"/>
            <w:tcBorders>
              <w:top w:val="nil"/>
              <w:left w:val="single" w:sz="4" w:space="0" w:color="auto"/>
              <w:bottom w:val="single" w:sz="4" w:space="0" w:color="auto"/>
              <w:right w:val="nil"/>
            </w:tcBorders>
            <w:shd w:val="clear" w:color="000000" w:fill="FFFFFF"/>
            <w:noWrap/>
            <w:vAlign w:val="center"/>
            <w:hideMark/>
          </w:tcPr>
          <w:p w14:paraId="409CA06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415,188</w:t>
            </w:r>
          </w:p>
        </w:tc>
        <w:tc>
          <w:tcPr>
            <w:tcW w:w="992" w:type="dxa"/>
            <w:tcBorders>
              <w:top w:val="nil"/>
              <w:left w:val="nil"/>
              <w:bottom w:val="single" w:sz="4" w:space="0" w:color="auto"/>
              <w:right w:val="single" w:sz="4" w:space="0" w:color="auto"/>
            </w:tcBorders>
            <w:shd w:val="clear" w:color="000000" w:fill="FFFFFF"/>
            <w:noWrap/>
            <w:vAlign w:val="center"/>
            <w:hideMark/>
          </w:tcPr>
          <w:p w14:paraId="53C1E322"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95</w:t>
            </w:r>
          </w:p>
        </w:tc>
        <w:tc>
          <w:tcPr>
            <w:tcW w:w="850" w:type="dxa"/>
            <w:tcBorders>
              <w:top w:val="nil"/>
              <w:left w:val="nil"/>
              <w:bottom w:val="single" w:sz="4" w:space="0" w:color="auto"/>
              <w:right w:val="nil"/>
            </w:tcBorders>
            <w:shd w:val="clear" w:color="000000" w:fill="FFFFFF"/>
            <w:noWrap/>
            <w:vAlign w:val="center"/>
            <w:hideMark/>
          </w:tcPr>
          <w:p w14:paraId="5033822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63148368"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single" w:sz="4" w:space="0" w:color="auto"/>
              <w:right w:val="nil"/>
            </w:tcBorders>
            <w:shd w:val="clear" w:color="000000" w:fill="FFFFFF"/>
            <w:noWrap/>
            <w:vAlign w:val="center"/>
            <w:hideMark/>
          </w:tcPr>
          <w:p w14:paraId="5B03E51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415,188</w:t>
            </w:r>
          </w:p>
        </w:tc>
        <w:tc>
          <w:tcPr>
            <w:tcW w:w="850" w:type="dxa"/>
            <w:tcBorders>
              <w:top w:val="nil"/>
              <w:left w:val="nil"/>
              <w:bottom w:val="single" w:sz="4" w:space="0" w:color="auto"/>
              <w:right w:val="single" w:sz="4" w:space="0" w:color="auto"/>
            </w:tcBorders>
            <w:shd w:val="clear" w:color="000000" w:fill="FFFFFF"/>
            <w:noWrap/>
            <w:vAlign w:val="center"/>
            <w:hideMark/>
          </w:tcPr>
          <w:p w14:paraId="3F780C94"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95</w:t>
            </w:r>
          </w:p>
        </w:tc>
        <w:tc>
          <w:tcPr>
            <w:tcW w:w="992" w:type="dxa"/>
            <w:tcBorders>
              <w:top w:val="nil"/>
              <w:left w:val="nil"/>
              <w:bottom w:val="single" w:sz="4" w:space="0" w:color="auto"/>
              <w:right w:val="single" w:sz="4" w:space="0" w:color="auto"/>
            </w:tcBorders>
            <w:shd w:val="clear" w:color="000000" w:fill="FFFFFF"/>
            <w:noWrap/>
            <w:vAlign w:val="center"/>
            <w:hideMark/>
          </w:tcPr>
          <w:p w14:paraId="7B875B36"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3" w:type="dxa"/>
            <w:tcBorders>
              <w:top w:val="nil"/>
              <w:left w:val="nil"/>
              <w:bottom w:val="single" w:sz="4" w:space="0" w:color="auto"/>
            </w:tcBorders>
            <w:shd w:val="clear" w:color="000000" w:fill="FFFFFF"/>
            <w:noWrap/>
            <w:vAlign w:val="center"/>
            <w:hideMark/>
          </w:tcPr>
          <w:p w14:paraId="12C31178"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95</w:t>
            </w:r>
          </w:p>
        </w:tc>
      </w:tr>
      <w:tr w:rsidR="00E32701" w:rsidRPr="00E32701" w14:paraId="31FE97B2" w14:textId="77777777" w:rsidTr="008354D7">
        <w:trPr>
          <w:trHeight w:val="170"/>
        </w:trPr>
        <w:tc>
          <w:tcPr>
            <w:tcW w:w="14459" w:type="dxa"/>
            <w:gridSpan w:val="14"/>
            <w:tcBorders>
              <w:top w:val="single" w:sz="4" w:space="0" w:color="auto"/>
              <w:bottom w:val="single" w:sz="4" w:space="0" w:color="auto"/>
            </w:tcBorders>
            <w:shd w:val="clear" w:color="auto" w:fill="auto"/>
            <w:vAlign w:val="center"/>
            <w:hideMark/>
          </w:tcPr>
          <w:p w14:paraId="7106EEA8" w14:textId="77777777" w:rsidR="00E32701" w:rsidRPr="002F2D01" w:rsidRDefault="00E32701" w:rsidP="00CB0E93">
            <w:pPr>
              <w:spacing w:before="0" w:after="0"/>
              <w:rPr>
                <w:rFonts w:asciiTheme="majorHAnsi" w:hAnsiTheme="majorHAnsi" w:cs="Arial"/>
                <w:b/>
                <w:sz w:val="16"/>
                <w:szCs w:val="16"/>
                <w:lang w:eastAsia="en-AU"/>
              </w:rPr>
            </w:pPr>
            <w:r w:rsidRPr="002F2D01">
              <w:rPr>
                <w:rFonts w:asciiTheme="majorHAnsi" w:hAnsiTheme="majorHAnsi" w:cs="Arial"/>
                <w:b/>
                <w:sz w:val="16"/>
                <w:szCs w:val="16"/>
                <w:lang w:eastAsia="en-AU"/>
              </w:rPr>
              <w:t>Tasmania</w:t>
            </w:r>
          </w:p>
        </w:tc>
      </w:tr>
      <w:tr w:rsidR="008354D7" w:rsidRPr="00E32701" w14:paraId="1A350CB7" w14:textId="77777777" w:rsidTr="008354D7">
        <w:trPr>
          <w:trHeight w:val="283"/>
        </w:trPr>
        <w:tc>
          <w:tcPr>
            <w:tcW w:w="1985" w:type="dxa"/>
            <w:tcBorders>
              <w:top w:val="nil"/>
              <w:bottom w:val="single" w:sz="4" w:space="0" w:color="auto"/>
              <w:right w:val="single" w:sz="4" w:space="0" w:color="auto"/>
            </w:tcBorders>
            <w:shd w:val="clear" w:color="000000" w:fill="FFFFFF"/>
            <w:noWrap/>
            <w:vAlign w:val="center"/>
            <w:hideMark/>
          </w:tcPr>
          <w:p w14:paraId="0F0E5A77" w14:textId="77777777" w:rsidR="008354D7" w:rsidRPr="00CD538E" w:rsidRDefault="008354D7"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Tasmanian</w:t>
            </w:r>
          </w:p>
        </w:tc>
        <w:tc>
          <w:tcPr>
            <w:tcW w:w="992" w:type="dxa"/>
            <w:tcBorders>
              <w:top w:val="nil"/>
              <w:left w:val="nil"/>
              <w:bottom w:val="single" w:sz="4" w:space="0" w:color="auto"/>
              <w:right w:val="nil"/>
            </w:tcBorders>
            <w:shd w:val="clear" w:color="000000" w:fill="FFFFFF"/>
            <w:noWrap/>
            <w:vAlign w:val="center"/>
            <w:hideMark/>
          </w:tcPr>
          <w:p w14:paraId="34B12FB1"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6,796,000</w:t>
            </w:r>
          </w:p>
        </w:tc>
        <w:tc>
          <w:tcPr>
            <w:tcW w:w="992" w:type="dxa"/>
            <w:tcBorders>
              <w:top w:val="nil"/>
              <w:left w:val="single" w:sz="4" w:space="0" w:color="auto"/>
              <w:bottom w:val="single" w:sz="4" w:space="0" w:color="auto"/>
              <w:right w:val="nil"/>
            </w:tcBorders>
            <w:shd w:val="clear" w:color="000000" w:fill="FFFFFF"/>
            <w:noWrap/>
            <w:vAlign w:val="center"/>
            <w:hideMark/>
          </w:tcPr>
          <w:p w14:paraId="0C7F7671"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1,937,900</w:t>
            </w:r>
          </w:p>
        </w:tc>
        <w:tc>
          <w:tcPr>
            <w:tcW w:w="992" w:type="dxa"/>
            <w:tcBorders>
              <w:top w:val="nil"/>
              <w:left w:val="nil"/>
              <w:bottom w:val="single" w:sz="4" w:space="0" w:color="auto"/>
              <w:right w:val="nil"/>
            </w:tcBorders>
            <w:shd w:val="clear" w:color="000000" w:fill="FFFFFF"/>
            <w:noWrap/>
            <w:vAlign w:val="center"/>
            <w:hideMark/>
          </w:tcPr>
          <w:p w14:paraId="10EF7810"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1,934,100</w:t>
            </w:r>
          </w:p>
        </w:tc>
        <w:tc>
          <w:tcPr>
            <w:tcW w:w="1053" w:type="dxa"/>
            <w:tcBorders>
              <w:top w:val="nil"/>
              <w:left w:val="nil"/>
              <w:bottom w:val="single" w:sz="4" w:space="0" w:color="auto"/>
              <w:right w:val="nil"/>
            </w:tcBorders>
            <w:shd w:val="clear" w:color="000000" w:fill="FFFFFF"/>
            <w:noWrap/>
            <w:vAlign w:val="center"/>
            <w:hideMark/>
          </w:tcPr>
          <w:p w14:paraId="4DDDBB5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1,659,600</w:t>
            </w:r>
          </w:p>
        </w:tc>
        <w:tc>
          <w:tcPr>
            <w:tcW w:w="932" w:type="dxa"/>
            <w:tcBorders>
              <w:top w:val="nil"/>
              <w:left w:val="nil"/>
              <w:bottom w:val="single" w:sz="4" w:space="0" w:color="auto"/>
              <w:right w:val="nil"/>
            </w:tcBorders>
            <w:shd w:val="clear" w:color="000000" w:fill="FFFFFF"/>
            <w:noWrap/>
            <w:vAlign w:val="center"/>
            <w:hideMark/>
          </w:tcPr>
          <w:p w14:paraId="4E686439"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86</w:t>
            </w:r>
          </w:p>
        </w:tc>
        <w:tc>
          <w:tcPr>
            <w:tcW w:w="992" w:type="dxa"/>
            <w:tcBorders>
              <w:top w:val="nil"/>
              <w:left w:val="single" w:sz="4" w:space="0" w:color="auto"/>
              <w:bottom w:val="single" w:sz="4" w:space="0" w:color="auto"/>
              <w:right w:val="nil"/>
            </w:tcBorders>
            <w:shd w:val="clear" w:color="000000" w:fill="FFFFFF"/>
            <w:noWrap/>
            <w:vAlign w:val="center"/>
            <w:hideMark/>
          </w:tcPr>
          <w:p w14:paraId="15D9CF5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1,836,300</w:t>
            </w:r>
          </w:p>
        </w:tc>
        <w:tc>
          <w:tcPr>
            <w:tcW w:w="992" w:type="dxa"/>
            <w:tcBorders>
              <w:top w:val="nil"/>
              <w:left w:val="nil"/>
              <w:bottom w:val="single" w:sz="4" w:space="0" w:color="auto"/>
              <w:right w:val="single" w:sz="4" w:space="0" w:color="auto"/>
            </w:tcBorders>
            <w:shd w:val="clear" w:color="000000" w:fill="FFFFFF"/>
            <w:noWrap/>
            <w:vAlign w:val="center"/>
            <w:hideMark/>
          </w:tcPr>
          <w:p w14:paraId="5FF37D37"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95</w:t>
            </w:r>
          </w:p>
        </w:tc>
        <w:tc>
          <w:tcPr>
            <w:tcW w:w="850" w:type="dxa"/>
            <w:tcBorders>
              <w:top w:val="nil"/>
              <w:left w:val="nil"/>
              <w:bottom w:val="single" w:sz="4" w:space="0" w:color="auto"/>
              <w:right w:val="nil"/>
            </w:tcBorders>
            <w:shd w:val="clear" w:color="000000" w:fill="FFFFFF"/>
            <w:noWrap/>
            <w:vAlign w:val="center"/>
            <w:hideMark/>
          </w:tcPr>
          <w:p w14:paraId="1B178D8F"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176,700</w:t>
            </w:r>
          </w:p>
        </w:tc>
        <w:tc>
          <w:tcPr>
            <w:tcW w:w="851" w:type="dxa"/>
            <w:tcBorders>
              <w:top w:val="nil"/>
              <w:left w:val="nil"/>
              <w:bottom w:val="single" w:sz="4" w:space="0" w:color="auto"/>
              <w:right w:val="single" w:sz="4" w:space="0" w:color="auto"/>
            </w:tcBorders>
            <w:shd w:val="clear" w:color="000000" w:fill="FFFFFF"/>
            <w:noWrap/>
            <w:vAlign w:val="center"/>
            <w:hideMark/>
          </w:tcPr>
          <w:p w14:paraId="719E73F9"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w:t>
            </w:r>
          </w:p>
        </w:tc>
        <w:tc>
          <w:tcPr>
            <w:tcW w:w="993" w:type="dxa"/>
            <w:tcBorders>
              <w:top w:val="nil"/>
              <w:left w:val="nil"/>
              <w:bottom w:val="single" w:sz="4" w:space="0" w:color="auto"/>
              <w:right w:val="nil"/>
            </w:tcBorders>
            <w:shd w:val="clear" w:color="000000" w:fill="FFFFFF"/>
            <w:noWrap/>
            <w:vAlign w:val="center"/>
            <w:hideMark/>
          </w:tcPr>
          <w:p w14:paraId="700A123F"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1,880,800</w:t>
            </w:r>
          </w:p>
        </w:tc>
        <w:tc>
          <w:tcPr>
            <w:tcW w:w="850" w:type="dxa"/>
            <w:tcBorders>
              <w:top w:val="nil"/>
              <w:left w:val="nil"/>
              <w:bottom w:val="single" w:sz="4" w:space="0" w:color="auto"/>
              <w:right w:val="single" w:sz="4" w:space="0" w:color="auto"/>
            </w:tcBorders>
            <w:shd w:val="clear" w:color="000000" w:fill="FFFFFF"/>
            <w:noWrap/>
            <w:vAlign w:val="center"/>
            <w:hideMark/>
          </w:tcPr>
          <w:p w14:paraId="4D6ADCBE"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7A3478F"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44,500</w:t>
            </w:r>
          </w:p>
        </w:tc>
        <w:tc>
          <w:tcPr>
            <w:tcW w:w="993" w:type="dxa"/>
            <w:tcBorders>
              <w:top w:val="nil"/>
              <w:left w:val="nil"/>
              <w:bottom w:val="single" w:sz="4" w:space="0" w:color="auto"/>
            </w:tcBorders>
            <w:shd w:val="clear" w:color="000000" w:fill="FFFFFF"/>
            <w:noWrap/>
            <w:vAlign w:val="center"/>
            <w:hideMark/>
          </w:tcPr>
          <w:p w14:paraId="6DFCE6F4"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97</w:t>
            </w:r>
          </w:p>
        </w:tc>
      </w:tr>
      <w:tr w:rsidR="00E32701" w:rsidRPr="00E32701" w14:paraId="1DEA02CD" w14:textId="77777777" w:rsidTr="008354D7">
        <w:trPr>
          <w:trHeight w:val="170"/>
        </w:trPr>
        <w:tc>
          <w:tcPr>
            <w:tcW w:w="14459" w:type="dxa"/>
            <w:gridSpan w:val="14"/>
            <w:tcBorders>
              <w:top w:val="single" w:sz="4" w:space="0" w:color="auto"/>
              <w:bottom w:val="single" w:sz="4" w:space="0" w:color="auto"/>
            </w:tcBorders>
            <w:shd w:val="clear" w:color="auto" w:fill="auto"/>
            <w:vAlign w:val="center"/>
            <w:hideMark/>
          </w:tcPr>
          <w:p w14:paraId="00357584" w14:textId="77777777" w:rsidR="00E32701" w:rsidRPr="002F2D01" w:rsidRDefault="00E32701" w:rsidP="00CB0E93">
            <w:pPr>
              <w:spacing w:before="0" w:after="0"/>
              <w:rPr>
                <w:rFonts w:asciiTheme="majorHAnsi" w:hAnsiTheme="majorHAnsi" w:cs="Arial"/>
                <w:b/>
                <w:sz w:val="16"/>
                <w:szCs w:val="16"/>
                <w:lang w:eastAsia="en-AU"/>
              </w:rPr>
            </w:pPr>
            <w:r w:rsidRPr="002F2D01">
              <w:rPr>
                <w:rFonts w:asciiTheme="majorHAnsi" w:hAnsiTheme="majorHAnsi" w:cs="Arial"/>
                <w:b/>
                <w:sz w:val="16"/>
                <w:szCs w:val="16"/>
                <w:lang w:eastAsia="en-AU"/>
              </w:rPr>
              <w:t>Western Australia</w:t>
            </w:r>
          </w:p>
        </w:tc>
      </w:tr>
      <w:tr w:rsidR="008354D7" w:rsidRPr="00E32701" w14:paraId="7867FB74" w14:textId="77777777" w:rsidTr="008354D7">
        <w:trPr>
          <w:trHeight w:val="20"/>
        </w:trPr>
        <w:tc>
          <w:tcPr>
            <w:tcW w:w="1985" w:type="dxa"/>
            <w:tcBorders>
              <w:top w:val="nil"/>
              <w:bottom w:val="single" w:sz="4" w:space="0" w:color="auto"/>
              <w:right w:val="single" w:sz="4" w:space="0" w:color="auto"/>
            </w:tcBorders>
            <w:shd w:val="clear" w:color="000000" w:fill="FFFFFF"/>
            <w:noWrap/>
            <w:vAlign w:val="center"/>
            <w:hideMark/>
          </w:tcPr>
          <w:p w14:paraId="357A2EA4" w14:textId="77777777" w:rsidR="008354D7" w:rsidRPr="00CD538E" w:rsidRDefault="008354D7" w:rsidP="00CB0E93">
            <w:pPr>
              <w:spacing w:before="0" w:after="0"/>
              <w:rPr>
                <w:rFonts w:asciiTheme="majorHAnsi" w:hAnsiTheme="majorHAnsi" w:cs="Arial"/>
                <w:sz w:val="16"/>
                <w:szCs w:val="16"/>
                <w:lang w:eastAsia="en-AU"/>
              </w:rPr>
            </w:pPr>
            <w:r w:rsidRPr="00CD538E">
              <w:rPr>
                <w:rFonts w:asciiTheme="majorHAnsi" w:hAnsiTheme="majorHAnsi" w:cs="Arial"/>
                <w:sz w:val="16"/>
                <w:szCs w:val="16"/>
                <w:lang w:eastAsia="en-AU"/>
              </w:rPr>
              <w:t>South-West Forest Region of WA</w:t>
            </w:r>
          </w:p>
        </w:tc>
        <w:tc>
          <w:tcPr>
            <w:tcW w:w="992" w:type="dxa"/>
            <w:tcBorders>
              <w:top w:val="nil"/>
              <w:left w:val="nil"/>
              <w:bottom w:val="single" w:sz="4" w:space="0" w:color="auto"/>
              <w:right w:val="nil"/>
            </w:tcBorders>
            <w:shd w:val="clear" w:color="000000" w:fill="FFFFFF"/>
            <w:noWrap/>
            <w:vAlign w:val="center"/>
            <w:hideMark/>
          </w:tcPr>
          <w:p w14:paraId="2B5C2C56"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4,257,000</w:t>
            </w:r>
          </w:p>
        </w:tc>
        <w:tc>
          <w:tcPr>
            <w:tcW w:w="992" w:type="dxa"/>
            <w:tcBorders>
              <w:top w:val="nil"/>
              <w:left w:val="single" w:sz="4" w:space="0" w:color="auto"/>
              <w:bottom w:val="single" w:sz="4" w:space="0" w:color="auto"/>
              <w:right w:val="nil"/>
            </w:tcBorders>
            <w:shd w:val="clear" w:color="000000" w:fill="FFFFFF"/>
            <w:noWrap/>
            <w:vAlign w:val="center"/>
            <w:hideMark/>
          </w:tcPr>
          <w:p w14:paraId="0A1DA228"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2" w:type="dxa"/>
            <w:tcBorders>
              <w:top w:val="nil"/>
              <w:left w:val="nil"/>
              <w:bottom w:val="single" w:sz="4" w:space="0" w:color="auto"/>
              <w:right w:val="nil"/>
            </w:tcBorders>
            <w:shd w:val="clear" w:color="000000" w:fill="FFFFFF"/>
            <w:noWrap/>
            <w:vAlign w:val="center"/>
            <w:hideMark/>
          </w:tcPr>
          <w:p w14:paraId="2DE293E0"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1053" w:type="dxa"/>
            <w:tcBorders>
              <w:top w:val="nil"/>
              <w:left w:val="nil"/>
              <w:bottom w:val="single" w:sz="4" w:space="0" w:color="auto"/>
              <w:right w:val="nil"/>
            </w:tcBorders>
            <w:shd w:val="clear" w:color="000000" w:fill="FFFFFF"/>
            <w:noWrap/>
            <w:vAlign w:val="center"/>
            <w:hideMark/>
          </w:tcPr>
          <w:p w14:paraId="684FCCD1"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32" w:type="dxa"/>
            <w:tcBorders>
              <w:top w:val="nil"/>
              <w:left w:val="nil"/>
              <w:bottom w:val="single" w:sz="4" w:space="0" w:color="auto"/>
              <w:right w:val="nil"/>
            </w:tcBorders>
            <w:shd w:val="clear" w:color="000000" w:fill="FFFFFF"/>
            <w:noWrap/>
            <w:vAlign w:val="center"/>
            <w:hideMark/>
          </w:tcPr>
          <w:p w14:paraId="587162F6" w14:textId="66D56E1C"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992" w:type="dxa"/>
            <w:tcBorders>
              <w:top w:val="nil"/>
              <w:left w:val="single" w:sz="4" w:space="0" w:color="auto"/>
              <w:bottom w:val="single" w:sz="4" w:space="0" w:color="auto"/>
              <w:right w:val="nil"/>
            </w:tcBorders>
            <w:shd w:val="clear" w:color="000000" w:fill="FFFFFF"/>
            <w:noWrap/>
            <w:vAlign w:val="center"/>
            <w:hideMark/>
          </w:tcPr>
          <w:p w14:paraId="10EE6CEF"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5D5C014" w14:textId="5A87F67C"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850" w:type="dxa"/>
            <w:tcBorders>
              <w:top w:val="nil"/>
              <w:left w:val="nil"/>
              <w:bottom w:val="single" w:sz="4" w:space="0" w:color="auto"/>
              <w:right w:val="nil"/>
            </w:tcBorders>
            <w:shd w:val="clear" w:color="000000" w:fill="FFFFFF"/>
            <w:noWrap/>
            <w:vAlign w:val="center"/>
            <w:hideMark/>
          </w:tcPr>
          <w:p w14:paraId="14367C09"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094124AA" w14:textId="1FF2AAA3"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993" w:type="dxa"/>
            <w:tcBorders>
              <w:top w:val="nil"/>
              <w:left w:val="nil"/>
              <w:bottom w:val="single" w:sz="4" w:space="0" w:color="auto"/>
              <w:right w:val="nil"/>
            </w:tcBorders>
            <w:shd w:val="clear" w:color="000000" w:fill="FFFFFF"/>
            <w:noWrap/>
            <w:vAlign w:val="center"/>
            <w:hideMark/>
          </w:tcPr>
          <w:p w14:paraId="5872C274"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459ABF92" w14:textId="14807FBC"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992" w:type="dxa"/>
            <w:tcBorders>
              <w:top w:val="nil"/>
              <w:left w:val="nil"/>
              <w:bottom w:val="single" w:sz="4" w:space="0" w:color="auto"/>
              <w:right w:val="single" w:sz="4" w:space="0" w:color="auto"/>
            </w:tcBorders>
            <w:shd w:val="clear" w:color="auto" w:fill="auto"/>
            <w:noWrap/>
            <w:vAlign w:val="center"/>
            <w:hideMark/>
          </w:tcPr>
          <w:p w14:paraId="5CB41F4D" w14:textId="41DB3691" w:rsidR="008354D7" w:rsidRPr="002F2D01" w:rsidRDefault="008354D7" w:rsidP="00E915C7">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c>
          <w:tcPr>
            <w:tcW w:w="993" w:type="dxa"/>
            <w:tcBorders>
              <w:top w:val="nil"/>
              <w:left w:val="nil"/>
              <w:bottom w:val="single" w:sz="4" w:space="0" w:color="auto"/>
            </w:tcBorders>
            <w:shd w:val="clear" w:color="auto" w:fill="auto"/>
            <w:noWrap/>
            <w:vAlign w:val="center"/>
            <w:hideMark/>
          </w:tcPr>
          <w:p w14:paraId="0521AFF5" w14:textId="081452ED" w:rsidR="008354D7" w:rsidRPr="002F2D01" w:rsidRDefault="008354D7" w:rsidP="00E915C7">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na</w:t>
            </w:r>
          </w:p>
        </w:tc>
      </w:tr>
      <w:tr w:rsidR="00E32701" w:rsidRPr="00E32701" w14:paraId="09F6367B" w14:textId="77777777" w:rsidTr="008354D7">
        <w:trPr>
          <w:trHeight w:val="170"/>
        </w:trPr>
        <w:tc>
          <w:tcPr>
            <w:tcW w:w="14459" w:type="dxa"/>
            <w:gridSpan w:val="14"/>
            <w:tcBorders>
              <w:top w:val="single" w:sz="4" w:space="0" w:color="auto"/>
              <w:bottom w:val="single" w:sz="4" w:space="0" w:color="auto"/>
            </w:tcBorders>
            <w:shd w:val="clear" w:color="auto" w:fill="auto"/>
            <w:vAlign w:val="center"/>
            <w:hideMark/>
          </w:tcPr>
          <w:p w14:paraId="48268CD9" w14:textId="77777777" w:rsidR="00E32701" w:rsidRPr="002F2D01" w:rsidRDefault="00E32701" w:rsidP="00CB0E93">
            <w:pPr>
              <w:spacing w:before="0" w:after="0"/>
              <w:rPr>
                <w:rFonts w:asciiTheme="majorHAnsi" w:hAnsiTheme="majorHAnsi" w:cs="Arial"/>
                <w:b/>
                <w:sz w:val="16"/>
                <w:szCs w:val="16"/>
                <w:lang w:eastAsia="en-AU"/>
              </w:rPr>
            </w:pPr>
            <w:r w:rsidRPr="002F2D01">
              <w:rPr>
                <w:rFonts w:asciiTheme="majorHAnsi" w:hAnsiTheme="majorHAnsi" w:cs="Arial"/>
                <w:b/>
                <w:sz w:val="16"/>
                <w:szCs w:val="16"/>
                <w:lang w:eastAsia="en-AU"/>
              </w:rPr>
              <w:t>Total</w:t>
            </w:r>
          </w:p>
        </w:tc>
      </w:tr>
      <w:tr w:rsidR="008354D7" w:rsidRPr="00E32701" w14:paraId="3CD64F11" w14:textId="77777777" w:rsidTr="008354D7">
        <w:trPr>
          <w:trHeight w:val="340"/>
        </w:trPr>
        <w:tc>
          <w:tcPr>
            <w:tcW w:w="1985" w:type="dxa"/>
            <w:tcBorders>
              <w:top w:val="nil"/>
              <w:bottom w:val="single" w:sz="4" w:space="0" w:color="auto"/>
              <w:right w:val="single" w:sz="4" w:space="0" w:color="auto"/>
            </w:tcBorders>
            <w:shd w:val="clear" w:color="000000" w:fill="FFFFFF"/>
            <w:noWrap/>
            <w:vAlign w:val="center"/>
            <w:hideMark/>
          </w:tcPr>
          <w:p w14:paraId="4594B166" w14:textId="77777777" w:rsidR="008354D7" w:rsidRPr="002F2D01" w:rsidRDefault="008354D7" w:rsidP="00CB0E93">
            <w:pPr>
              <w:spacing w:before="0" w:after="0"/>
              <w:rPr>
                <w:rFonts w:asciiTheme="majorHAnsi" w:hAnsiTheme="majorHAnsi" w:cs="Arial"/>
                <w:b/>
                <w:sz w:val="16"/>
                <w:szCs w:val="16"/>
                <w:lang w:eastAsia="en-AU"/>
              </w:rPr>
            </w:pPr>
            <w:r w:rsidRPr="002F2D01">
              <w:rPr>
                <w:rFonts w:asciiTheme="majorHAnsi" w:hAnsiTheme="majorHAnsi" w:cs="Arial"/>
                <w:b/>
                <w:sz w:val="16"/>
                <w:szCs w:val="16"/>
                <w:lang w:eastAsia="en-AU"/>
              </w:rPr>
              <w:t>Total all RFA regions</w:t>
            </w:r>
          </w:p>
        </w:tc>
        <w:tc>
          <w:tcPr>
            <w:tcW w:w="992" w:type="dxa"/>
            <w:tcBorders>
              <w:top w:val="nil"/>
              <w:left w:val="nil"/>
              <w:bottom w:val="single" w:sz="4" w:space="0" w:color="auto"/>
              <w:right w:val="nil"/>
            </w:tcBorders>
            <w:shd w:val="clear" w:color="000000" w:fill="FFFFFF"/>
            <w:noWrap/>
            <w:vAlign w:val="center"/>
            <w:hideMark/>
          </w:tcPr>
          <w:p w14:paraId="7466700A"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39,190,000</w:t>
            </w:r>
          </w:p>
        </w:tc>
        <w:tc>
          <w:tcPr>
            <w:tcW w:w="992" w:type="dxa"/>
            <w:tcBorders>
              <w:top w:val="nil"/>
              <w:left w:val="single" w:sz="4" w:space="0" w:color="auto"/>
              <w:bottom w:val="single" w:sz="4" w:space="0" w:color="auto"/>
              <w:right w:val="nil"/>
            </w:tcBorders>
            <w:shd w:val="clear" w:color="000000" w:fill="FFFFFF"/>
            <w:noWrap/>
            <w:vAlign w:val="center"/>
            <w:hideMark/>
          </w:tcPr>
          <w:p w14:paraId="18E5359B"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4,124,901</w:t>
            </w:r>
          </w:p>
        </w:tc>
        <w:tc>
          <w:tcPr>
            <w:tcW w:w="992" w:type="dxa"/>
            <w:tcBorders>
              <w:top w:val="nil"/>
              <w:left w:val="nil"/>
              <w:bottom w:val="single" w:sz="4" w:space="0" w:color="auto"/>
              <w:right w:val="nil"/>
            </w:tcBorders>
            <w:shd w:val="clear" w:color="000000" w:fill="FFFFFF"/>
            <w:noWrap/>
            <w:vAlign w:val="center"/>
            <w:hideMark/>
          </w:tcPr>
          <w:p w14:paraId="2C464C75"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3,958,768</w:t>
            </w:r>
          </w:p>
        </w:tc>
        <w:tc>
          <w:tcPr>
            <w:tcW w:w="1053" w:type="dxa"/>
            <w:tcBorders>
              <w:top w:val="nil"/>
              <w:left w:val="nil"/>
              <w:bottom w:val="single" w:sz="4" w:space="0" w:color="auto"/>
              <w:right w:val="nil"/>
            </w:tcBorders>
            <w:shd w:val="clear" w:color="000000" w:fill="FFFFFF"/>
            <w:noWrap/>
            <w:vAlign w:val="center"/>
            <w:hideMark/>
          </w:tcPr>
          <w:p w14:paraId="1FEFF37B"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3,412,450</w:t>
            </w:r>
          </w:p>
        </w:tc>
        <w:tc>
          <w:tcPr>
            <w:tcW w:w="932" w:type="dxa"/>
            <w:tcBorders>
              <w:top w:val="nil"/>
              <w:left w:val="nil"/>
              <w:bottom w:val="single" w:sz="4" w:space="0" w:color="auto"/>
              <w:right w:val="nil"/>
            </w:tcBorders>
            <w:shd w:val="clear" w:color="000000" w:fill="FFFFFF"/>
            <w:noWrap/>
            <w:vAlign w:val="center"/>
            <w:hideMark/>
          </w:tcPr>
          <w:p w14:paraId="535C7A64"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83</w:t>
            </w:r>
          </w:p>
        </w:tc>
        <w:tc>
          <w:tcPr>
            <w:tcW w:w="992" w:type="dxa"/>
            <w:tcBorders>
              <w:top w:val="nil"/>
              <w:left w:val="single" w:sz="4" w:space="0" w:color="auto"/>
              <w:bottom w:val="single" w:sz="4" w:space="0" w:color="auto"/>
              <w:right w:val="nil"/>
            </w:tcBorders>
            <w:shd w:val="clear" w:color="000000" w:fill="FFFFFF"/>
            <w:noWrap/>
            <w:vAlign w:val="center"/>
            <w:hideMark/>
          </w:tcPr>
          <w:p w14:paraId="1DD03DD3"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3,741,676</w:t>
            </w:r>
          </w:p>
        </w:tc>
        <w:tc>
          <w:tcPr>
            <w:tcW w:w="992" w:type="dxa"/>
            <w:tcBorders>
              <w:top w:val="nil"/>
              <w:left w:val="nil"/>
              <w:bottom w:val="single" w:sz="4" w:space="0" w:color="auto"/>
              <w:right w:val="single" w:sz="4" w:space="0" w:color="auto"/>
            </w:tcBorders>
            <w:shd w:val="clear" w:color="000000" w:fill="FFFFFF"/>
            <w:noWrap/>
            <w:vAlign w:val="center"/>
            <w:hideMark/>
          </w:tcPr>
          <w:p w14:paraId="58E085EB"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91</w:t>
            </w:r>
          </w:p>
        </w:tc>
        <w:tc>
          <w:tcPr>
            <w:tcW w:w="850" w:type="dxa"/>
            <w:tcBorders>
              <w:top w:val="nil"/>
              <w:left w:val="nil"/>
              <w:bottom w:val="single" w:sz="4" w:space="0" w:color="auto"/>
              <w:right w:val="nil"/>
            </w:tcBorders>
            <w:shd w:val="clear" w:color="000000" w:fill="FFFFFF"/>
            <w:noWrap/>
            <w:vAlign w:val="center"/>
            <w:hideMark/>
          </w:tcPr>
          <w:p w14:paraId="387E600A"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329,226</w:t>
            </w:r>
          </w:p>
        </w:tc>
        <w:tc>
          <w:tcPr>
            <w:tcW w:w="851" w:type="dxa"/>
            <w:tcBorders>
              <w:top w:val="nil"/>
              <w:left w:val="nil"/>
              <w:bottom w:val="single" w:sz="4" w:space="0" w:color="auto"/>
              <w:right w:val="single" w:sz="4" w:space="0" w:color="auto"/>
            </w:tcBorders>
            <w:shd w:val="clear" w:color="000000" w:fill="FFFFFF"/>
            <w:noWrap/>
            <w:vAlign w:val="center"/>
            <w:hideMark/>
          </w:tcPr>
          <w:p w14:paraId="6337270A"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8</w:t>
            </w:r>
          </w:p>
        </w:tc>
        <w:tc>
          <w:tcPr>
            <w:tcW w:w="993" w:type="dxa"/>
            <w:tcBorders>
              <w:top w:val="nil"/>
              <w:left w:val="nil"/>
              <w:bottom w:val="single" w:sz="4" w:space="0" w:color="auto"/>
              <w:right w:val="nil"/>
            </w:tcBorders>
            <w:shd w:val="clear" w:color="auto" w:fill="FFFFFF" w:themeFill="background1"/>
            <w:noWrap/>
            <w:vAlign w:val="center"/>
            <w:hideMark/>
          </w:tcPr>
          <w:p w14:paraId="483C40C6"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3,786,176</w:t>
            </w:r>
          </w:p>
        </w:tc>
        <w:tc>
          <w:tcPr>
            <w:tcW w:w="850" w:type="dxa"/>
            <w:tcBorders>
              <w:top w:val="nil"/>
              <w:left w:val="nil"/>
              <w:bottom w:val="single" w:sz="4" w:space="0" w:color="auto"/>
              <w:right w:val="single" w:sz="4" w:space="0" w:color="auto"/>
            </w:tcBorders>
            <w:shd w:val="clear" w:color="000000" w:fill="FFFFFF"/>
            <w:noWrap/>
            <w:vAlign w:val="center"/>
            <w:hideMark/>
          </w:tcPr>
          <w:p w14:paraId="4A8DD115"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92</w:t>
            </w:r>
          </w:p>
        </w:tc>
        <w:tc>
          <w:tcPr>
            <w:tcW w:w="992" w:type="dxa"/>
            <w:tcBorders>
              <w:top w:val="nil"/>
              <w:left w:val="nil"/>
              <w:bottom w:val="single" w:sz="4" w:space="0" w:color="auto"/>
              <w:right w:val="single" w:sz="4" w:space="0" w:color="auto"/>
            </w:tcBorders>
            <w:shd w:val="clear" w:color="auto" w:fill="auto"/>
            <w:noWrap/>
            <w:vAlign w:val="center"/>
            <w:hideMark/>
          </w:tcPr>
          <w:p w14:paraId="3D9AF4B6" w14:textId="77777777" w:rsidR="008354D7" w:rsidRPr="002F2D01" w:rsidRDefault="008354D7" w:rsidP="00CB0E93">
            <w:pPr>
              <w:spacing w:before="0" w:after="0"/>
              <w:jc w:val="right"/>
              <w:rPr>
                <w:rFonts w:asciiTheme="majorHAnsi" w:hAnsiTheme="majorHAnsi" w:cs="Arial"/>
                <w:sz w:val="16"/>
                <w:szCs w:val="16"/>
                <w:lang w:eastAsia="en-AU"/>
              </w:rPr>
            </w:pPr>
            <w:r w:rsidRPr="002F2D01">
              <w:rPr>
                <w:rFonts w:asciiTheme="majorHAnsi" w:hAnsiTheme="majorHAnsi" w:cs="Arial"/>
                <w:sz w:val="16"/>
                <w:szCs w:val="16"/>
                <w:lang w:eastAsia="en-AU"/>
              </w:rPr>
              <w:t>44,500</w:t>
            </w:r>
          </w:p>
        </w:tc>
        <w:tc>
          <w:tcPr>
            <w:tcW w:w="993" w:type="dxa"/>
            <w:tcBorders>
              <w:top w:val="nil"/>
              <w:left w:val="nil"/>
              <w:bottom w:val="single" w:sz="4" w:space="0" w:color="auto"/>
            </w:tcBorders>
            <w:shd w:val="clear" w:color="000000" w:fill="FFFFFF"/>
            <w:noWrap/>
            <w:vAlign w:val="center"/>
            <w:hideMark/>
          </w:tcPr>
          <w:p w14:paraId="7CAABB09" w14:textId="77777777" w:rsidR="008354D7" w:rsidRPr="002F2D01" w:rsidRDefault="008354D7" w:rsidP="00CB0E93">
            <w:pPr>
              <w:spacing w:before="0" w:after="0"/>
              <w:ind w:firstLineChars="100" w:firstLine="160"/>
              <w:jc w:val="right"/>
              <w:rPr>
                <w:rFonts w:asciiTheme="majorHAnsi" w:hAnsiTheme="majorHAnsi" w:cs="Arial"/>
                <w:sz w:val="16"/>
                <w:szCs w:val="16"/>
                <w:lang w:eastAsia="en-AU"/>
              </w:rPr>
            </w:pPr>
            <w:r w:rsidRPr="002F2D01">
              <w:rPr>
                <w:rFonts w:asciiTheme="majorHAnsi" w:hAnsiTheme="majorHAnsi" w:cs="Arial"/>
                <w:sz w:val="16"/>
                <w:szCs w:val="16"/>
                <w:lang w:eastAsia="en-AU"/>
              </w:rPr>
              <w:t>96</w:t>
            </w:r>
          </w:p>
        </w:tc>
      </w:tr>
      <w:tr w:rsidR="00E32701" w:rsidRPr="00E32701" w14:paraId="25130F21" w14:textId="77777777" w:rsidTr="008354D7">
        <w:trPr>
          <w:trHeight w:val="1350"/>
        </w:trPr>
        <w:tc>
          <w:tcPr>
            <w:tcW w:w="14459" w:type="dxa"/>
            <w:gridSpan w:val="14"/>
            <w:tcBorders>
              <w:top w:val="single" w:sz="4" w:space="0" w:color="auto"/>
              <w:left w:val="nil"/>
              <w:bottom w:val="nil"/>
              <w:right w:val="nil"/>
            </w:tcBorders>
            <w:shd w:val="clear" w:color="000000" w:fill="FFFFFF"/>
            <w:hideMark/>
          </w:tcPr>
          <w:p w14:paraId="7C55C934" w14:textId="52580C27" w:rsidR="00295D6A" w:rsidRDefault="00E32701" w:rsidP="00CB0E93">
            <w:pPr>
              <w:spacing w:before="0" w:after="0"/>
              <w:rPr>
                <w:rFonts w:ascii="Calibri" w:hAnsi="Calibri" w:cs="Arial"/>
                <w:sz w:val="16"/>
                <w:szCs w:val="16"/>
                <w:lang w:eastAsia="en-AU"/>
              </w:rPr>
            </w:pPr>
            <w:r w:rsidRPr="00E32701">
              <w:rPr>
                <w:rFonts w:ascii="Calibri" w:hAnsi="Calibri" w:cs="Arial"/>
                <w:sz w:val="16"/>
                <w:szCs w:val="16"/>
                <w:lang w:eastAsia="en-AU"/>
              </w:rPr>
              <w:t xml:space="preserve">Source: Regional </w:t>
            </w:r>
            <w:r w:rsidR="003E2B29">
              <w:rPr>
                <w:rFonts w:ascii="Calibri" w:hAnsi="Calibri" w:cs="Arial"/>
                <w:sz w:val="16"/>
                <w:szCs w:val="16"/>
                <w:lang w:eastAsia="en-AU"/>
              </w:rPr>
              <w:t>Forest Agreements</w:t>
            </w:r>
            <w:r w:rsidRPr="00E32701">
              <w:rPr>
                <w:rFonts w:ascii="Calibri" w:hAnsi="Calibri" w:cs="Arial"/>
                <w:sz w:val="16"/>
                <w:szCs w:val="16"/>
                <w:lang w:eastAsia="en-AU"/>
              </w:rPr>
              <w:t>, and Australian and Tasmanian governments (2007).</w:t>
            </w:r>
            <w:r w:rsidRPr="00E32701">
              <w:rPr>
                <w:rFonts w:ascii="Calibri" w:hAnsi="Calibri" w:cs="Arial"/>
                <w:sz w:val="16"/>
                <w:szCs w:val="16"/>
                <w:lang w:eastAsia="en-AU"/>
              </w:rPr>
              <w:br/>
            </w:r>
            <w:r w:rsidR="00295D6A" w:rsidRPr="000B7359">
              <w:rPr>
                <w:rFonts w:ascii="Calibri" w:hAnsi="Calibri"/>
                <w:b/>
                <w:sz w:val="16"/>
              </w:rPr>
              <w:t>a</w:t>
            </w:r>
            <w:r w:rsidR="00295D6A">
              <w:rPr>
                <w:rFonts w:ascii="Calibri" w:hAnsi="Calibri" w:cs="Arial"/>
                <w:sz w:val="16"/>
                <w:szCs w:val="16"/>
                <w:lang w:eastAsia="en-AU"/>
              </w:rPr>
              <w:t xml:space="preserve"> Column code A is from Table </w:t>
            </w:r>
            <w:r w:rsidR="000429F0">
              <w:rPr>
                <w:rFonts w:ascii="Calibri" w:hAnsi="Calibri" w:cs="Arial"/>
                <w:sz w:val="16"/>
                <w:szCs w:val="16"/>
                <w:lang w:eastAsia="en-AU"/>
              </w:rPr>
              <w:t>A</w:t>
            </w:r>
            <w:r w:rsidR="00295D6A">
              <w:rPr>
                <w:rFonts w:ascii="Calibri" w:hAnsi="Calibri" w:cs="Arial"/>
                <w:sz w:val="16"/>
                <w:szCs w:val="16"/>
                <w:lang w:eastAsia="en-AU"/>
              </w:rPr>
              <w:t>1.</w:t>
            </w:r>
          </w:p>
          <w:p w14:paraId="7A106237" w14:textId="78460A29" w:rsidR="00E32701" w:rsidRDefault="001A74CF" w:rsidP="00CB0E93">
            <w:pPr>
              <w:spacing w:before="0" w:after="0"/>
              <w:rPr>
                <w:rFonts w:ascii="Calibri" w:hAnsi="Calibri" w:cs="Arial"/>
                <w:sz w:val="16"/>
                <w:szCs w:val="16"/>
                <w:lang w:eastAsia="en-AU"/>
              </w:rPr>
            </w:pPr>
            <w:r w:rsidRPr="009E58CE">
              <w:rPr>
                <w:rFonts w:ascii="Calibri" w:hAnsi="Calibri" w:cs="Arial"/>
                <w:sz w:val="16"/>
                <w:szCs w:val="16"/>
                <w:lang w:eastAsia="en-AU"/>
              </w:rPr>
              <w:t xml:space="preserve">‘Pre-RFA’ refers to </w:t>
            </w:r>
            <w:r w:rsidR="00E441F9">
              <w:rPr>
                <w:rFonts w:ascii="Calibri" w:hAnsi="Calibri" w:cs="Arial"/>
                <w:sz w:val="16"/>
                <w:szCs w:val="16"/>
                <w:lang w:eastAsia="en-AU"/>
              </w:rPr>
              <w:t xml:space="preserve">immediately prior to the </w:t>
            </w:r>
            <w:r w:rsidRPr="009E58CE">
              <w:rPr>
                <w:rFonts w:ascii="Calibri" w:hAnsi="Calibri" w:cs="Arial"/>
                <w:sz w:val="16"/>
                <w:szCs w:val="16"/>
                <w:lang w:eastAsia="en-AU"/>
              </w:rPr>
              <w:t xml:space="preserve">signing of the relevant RFA. At RFA’ refers to changes on signing of the relevant </w:t>
            </w:r>
            <w:r>
              <w:rPr>
                <w:rFonts w:ascii="Calibri" w:hAnsi="Calibri" w:cs="Arial"/>
                <w:sz w:val="16"/>
                <w:szCs w:val="16"/>
                <w:lang w:eastAsia="en-AU"/>
              </w:rPr>
              <w:t>RFA</w:t>
            </w:r>
            <w:r w:rsidRPr="009E58CE">
              <w:rPr>
                <w:rFonts w:ascii="Calibri" w:hAnsi="Calibri" w:cs="Arial"/>
                <w:sz w:val="16"/>
                <w:szCs w:val="16"/>
                <w:lang w:eastAsia="en-AU"/>
              </w:rPr>
              <w:t xml:space="preserve">. ‘Post-RFA’ refers to </w:t>
            </w:r>
            <w:r>
              <w:rPr>
                <w:rFonts w:ascii="Calibri" w:hAnsi="Calibri" w:cs="Arial"/>
                <w:sz w:val="16"/>
                <w:szCs w:val="16"/>
                <w:lang w:eastAsia="en-AU"/>
              </w:rPr>
              <w:t xml:space="preserve">immediately </w:t>
            </w:r>
            <w:r w:rsidRPr="009E58CE">
              <w:rPr>
                <w:rFonts w:ascii="Calibri" w:hAnsi="Calibri" w:cs="Arial"/>
                <w:sz w:val="16"/>
                <w:szCs w:val="16"/>
                <w:lang w:eastAsia="en-AU"/>
              </w:rPr>
              <w:t xml:space="preserve">after the date of signing of the relevant </w:t>
            </w:r>
            <w:r>
              <w:rPr>
                <w:rFonts w:ascii="Calibri" w:hAnsi="Calibri" w:cs="Arial"/>
                <w:sz w:val="16"/>
                <w:szCs w:val="16"/>
                <w:lang w:eastAsia="en-AU"/>
              </w:rPr>
              <w:t>RFA</w:t>
            </w:r>
            <w:r w:rsidRPr="009E58CE">
              <w:rPr>
                <w:rFonts w:ascii="Calibri" w:hAnsi="Calibri" w:cs="Arial"/>
                <w:sz w:val="16"/>
                <w:szCs w:val="16"/>
                <w:lang w:eastAsia="en-AU"/>
              </w:rPr>
              <w:t>.</w:t>
            </w:r>
            <w:r>
              <w:rPr>
                <w:rFonts w:ascii="Calibri" w:hAnsi="Calibri" w:cs="Arial"/>
                <w:sz w:val="16"/>
                <w:szCs w:val="16"/>
                <w:lang w:eastAsia="en-AU"/>
              </w:rPr>
              <w:t xml:space="preserve"> </w:t>
            </w:r>
            <w:r w:rsidR="00E32701" w:rsidRPr="00E32701">
              <w:rPr>
                <w:rFonts w:ascii="Calibri" w:hAnsi="Calibri" w:cs="Arial"/>
                <w:sz w:val="16"/>
                <w:szCs w:val="16"/>
                <w:lang w:eastAsia="en-AU"/>
              </w:rPr>
              <w:t>Area of wilderness on public land in most recent data is at RFA</w:t>
            </w:r>
            <w:r w:rsidR="00D02B78">
              <w:rPr>
                <w:rFonts w:ascii="Calibri" w:hAnsi="Calibri" w:cs="Arial"/>
                <w:sz w:val="16"/>
                <w:szCs w:val="16"/>
                <w:lang w:eastAsia="en-AU"/>
              </w:rPr>
              <w:t xml:space="preserve"> signing</w:t>
            </w:r>
            <w:r w:rsidR="00E32701" w:rsidRPr="00E32701">
              <w:rPr>
                <w:rFonts w:ascii="Calibri" w:hAnsi="Calibri" w:cs="Arial"/>
                <w:sz w:val="16"/>
                <w:szCs w:val="16"/>
                <w:lang w:eastAsia="en-AU"/>
              </w:rPr>
              <w:t xml:space="preserve"> excep</w:t>
            </w:r>
            <w:r w:rsidR="00D02B78">
              <w:rPr>
                <w:rFonts w:ascii="Calibri" w:hAnsi="Calibri" w:cs="Arial"/>
                <w:sz w:val="16"/>
                <w:szCs w:val="16"/>
                <w:lang w:eastAsia="en-AU"/>
              </w:rPr>
              <w:t>t Tasmania, which was updated in</w:t>
            </w:r>
            <w:r w:rsidR="00E32701" w:rsidRPr="00E32701">
              <w:rPr>
                <w:rFonts w:ascii="Calibri" w:hAnsi="Calibri" w:cs="Arial"/>
                <w:sz w:val="16"/>
                <w:szCs w:val="16"/>
                <w:lang w:eastAsia="en-AU"/>
              </w:rPr>
              <w:t xml:space="preserve"> 2006.</w:t>
            </w:r>
            <w:r w:rsidR="00E32701" w:rsidRPr="00E32701">
              <w:rPr>
                <w:rFonts w:ascii="Calibri" w:hAnsi="Calibri" w:cs="Arial"/>
                <w:sz w:val="16"/>
                <w:szCs w:val="16"/>
                <w:lang w:eastAsia="en-AU"/>
              </w:rPr>
              <w:br/>
              <w:t xml:space="preserve">Reserves are formal and informal reserves. </w:t>
            </w:r>
            <w:r w:rsidR="00E32701" w:rsidRPr="00E32701">
              <w:rPr>
                <w:rFonts w:ascii="Calibri" w:hAnsi="Calibri" w:cs="Arial"/>
                <w:sz w:val="16"/>
                <w:szCs w:val="16"/>
                <w:lang w:eastAsia="en-AU"/>
              </w:rPr>
              <w:br/>
              <w:t>Terrestrial and estuarine waterbodies are included in land area statement and wilderness area statements; marine waterbodies are excluded from</w:t>
            </w:r>
            <w:r w:rsidR="00E915C7">
              <w:rPr>
                <w:rFonts w:ascii="Calibri" w:hAnsi="Calibri" w:cs="Arial"/>
                <w:sz w:val="16"/>
                <w:szCs w:val="16"/>
                <w:lang w:eastAsia="en-AU"/>
              </w:rPr>
              <w:t xml:space="preserve"> land area statements and</w:t>
            </w:r>
            <w:r w:rsidR="00E32701" w:rsidRPr="00E32701">
              <w:rPr>
                <w:rFonts w:ascii="Calibri" w:hAnsi="Calibri" w:cs="Arial"/>
                <w:sz w:val="16"/>
                <w:szCs w:val="16"/>
                <w:lang w:eastAsia="en-AU"/>
              </w:rPr>
              <w:t xml:space="preserve"> wilderness area statements.</w:t>
            </w:r>
            <w:r w:rsidR="00E32701" w:rsidRPr="00E32701">
              <w:rPr>
                <w:rFonts w:ascii="Calibri" w:hAnsi="Calibri" w:cs="Arial"/>
                <w:sz w:val="16"/>
                <w:szCs w:val="16"/>
                <w:lang w:eastAsia="en-AU"/>
              </w:rPr>
              <w:br/>
            </w:r>
            <w:r w:rsidR="00E32701" w:rsidRPr="003B4E16">
              <w:rPr>
                <w:rFonts w:ascii="Calibri" w:hAnsi="Calibri" w:cs="Arial"/>
                <w:b/>
                <w:sz w:val="16"/>
                <w:szCs w:val="16"/>
                <w:lang w:eastAsia="en-AU"/>
              </w:rPr>
              <w:t>na</w:t>
            </w:r>
            <w:r w:rsidR="00E32701" w:rsidRPr="00E32701">
              <w:rPr>
                <w:rFonts w:ascii="Calibri" w:hAnsi="Calibri" w:cs="Arial"/>
                <w:sz w:val="16"/>
                <w:szCs w:val="16"/>
                <w:lang w:eastAsia="en-AU"/>
              </w:rPr>
              <w:t>, not applicable.</w:t>
            </w:r>
          </w:p>
          <w:p w14:paraId="04A41054" w14:textId="12062D53" w:rsidR="00447B1E" w:rsidRPr="00447B1E" w:rsidRDefault="00447B1E" w:rsidP="00DB0CD3">
            <w:pPr>
              <w:pStyle w:val="FootnoteText"/>
              <w:spacing w:before="0"/>
              <w:rPr>
                <w:rFonts w:asciiTheme="minorHAnsi" w:eastAsiaTheme="minorEastAsia" w:hAnsiTheme="minorHAnsi"/>
                <w:sz w:val="16"/>
              </w:rPr>
            </w:pPr>
            <w:r>
              <w:rPr>
                <w:rFonts w:asciiTheme="minorHAnsi" w:hAnsiTheme="minorHAnsi"/>
                <w:noProof/>
                <w:sz w:val="16"/>
              </w:rPr>
              <w:t>This table</w:t>
            </w:r>
            <w:r w:rsidRPr="00831C40">
              <w:rPr>
                <w:rFonts w:asciiTheme="minorHAnsi" w:hAnsiTheme="minorHAnsi"/>
                <w:noProof/>
                <w:sz w:val="16"/>
              </w:rPr>
              <w:t xml:space="preserve">, together with other data in this report, is available in Microsoft Excel </w:t>
            </w:r>
            <w:r w:rsidR="00DB0CD3">
              <w:rPr>
                <w:rFonts w:asciiTheme="minorHAnsi" w:hAnsiTheme="minorHAnsi"/>
                <w:noProof/>
                <w:sz w:val="16"/>
              </w:rPr>
              <w:t>at</w:t>
            </w:r>
            <w:r w:rsidRPr="00831C40">
              <w:rPr>
                <w:rFonts w:asciiTheme="minorHAnsi" w:hAnsiTheme="minorHAnsi"/>
                <w:noProof/>
                <w:sz w:val="16"/>
              </w:rPr>
              <w:t xml:space="preserve"> </w:t>
            </w:r>
            <w:hyperlink r:id="rId50" w:history="1">
              <w:r w:rsidR="00DD59DD" w:rsidRPr="0090070F">
                <w:rPr>
                  <w:rStyle w:val="Hyperlink"/>
                  <w:rFonts w:asciiTheme="minorHAnsi" w:hAnsiTheme="minorHAnsi"/>
                  <w:noProof/>
                  <w:color w:val="0070C0"/>
                  <w:sz w:val="16"/>
                </w:rPr>
                <w:t>doi.org/10.25814/pczx-xk66</w:t>
              </w:r>
            </w:hyperlink>
            <w:r w:rsidR="00DD59DD">
              <w:rPr>
                <w:rFonts w:asciiTheme="minorHAnsi" w:hAnsiTheme="minorHAnsi"/>
                <w:noProof/>
                <w:sz w:val="16"/>
              </w:rPr>
              <w:t>.</w:t>
            </w:r>
          </w:p>
        </w:tc>
      </w:tr>
    </w:tbl>
    <w:p w14:paraId="4E8033D5" w14:textId="77777777" w:rsidR="001D5C34" w:rsidRDefault="001D5C34" w:rsidP="004C0DDC">
      <w:pPr>
        <w:pStyle w:val="Caption"/>
      </w:pPr>
      <w:r>
        <w:br w:type="page"/>
      </w:r>
    </w:p>
    <w:p w14:paraId="473F3DF7" w14:textId="797C90A0" w:rsidR="002462EE" w:rsidRDefault="002462EE" w:rsidP="004C0DDC">
      <w:pPr>
        <w:pStyle w:val="Caption"/>
      </w:pPr>
      <w:bookmarkStart w:id="54" w:name="_Ref55396454"/>
      <w:bookmarkStart w:id="55" w:name="_Toc58234973"/>
      <w:r>
        <w:lastRenderedPageBreak/>
        <w:t xml:space="preserve">Table </w:t>
      </w:r>
      <w:r w:rsidR="00D15AE0">
        <w:t>A</w:t>
      </w:r>
      <w:r w:rsidR="00DD454E">
        <w:rPr>
          <w:noProof/>
        </w:rPr>
        <w:fldChar w:fldCharType="begin"/>
      </w:r>
      <w:r w:rsidR="00DD454E">
        <w:rPr>
          <w:noProof/>
        </w:rPr>
        <w:instrText xml:space="preserve"> SEQ Table \* ARABIC </w:instrText>
      </w:r>
      <w:r w:rsidR="00DD454E">
        <w:rPr>
          <w:noProof/>
        </w:rPr>
        <w:fldChar w:fldCharType="separate"/>
      </w:r>
      <w:r w:rsidR="00CC3B42">
        <w:rPr>
          <w:noProof/>
        </w:rPr>
        <w:t>10</w:t>
      </w:r>
      <w:r w:rsidR="00DD454E">
        <w:rPr>
          <w:noProof/>
        </w:rPr>
        <w:fldChar w:fldCharType="end"/>
      </w:r>
      <w:bookmarkEnd w:id="54"/>
      <w:r>
        <w:t xml:space="preserve"> Net harvestable areas (NHA) before and after RFAs</w:t>
      </w:r>
      <w:r w:rsidR="00361D8F">
        <w:t xml:space="preserve"> were signed</w:t>
      </w:r>
      <w:bookmarkEnd w:id="55"/>
    </w:p>
    <w:tbl>
      <w:tblPr>
        <w:tblW w:w="15734" w:type="dxa"/>
        <w:tblInd w:w="-709" w:type="dxa"/>
        <w:tblLayout w:type="fixed"/>
        <w:tblLook w:val="04A0" w:firstRow="1" w:lastRow="0" w:firstColumn="1" w:lastColumn="0" w:noHBand="0" w:noVBand="1"/>
      </w:tblPr>
      <w:tblGrid>
        <w:gridCol w:w="1843"/>
        <w:gridCol w:w="992"/>
        <w:gridCol w:w="851"/>
        <w:gridCol w:w="850"/>
        <w:gridCol w:w="851"/>
        <w:gridCol w:w="850"/>
        <w:gridCol w:w="850"/>
        <w:gridCol w:w="837"/>
        <w:gridCol w:w="864"/>
        <w:gridCol w:w="992"/>
        <w:gridCol w:w="850"/>
        <w:gridCol w:w="710"/>
        <w:gridCol w:w="993"/>
        <w:gridCol w:w="708"/>
        <w:gridCol w:w="972"/>
        <w:gridCol w:w="729"/>
        <w:gridCol w:w="992"/>
      </w:tblGrid>
      <w:tr w:rsidR="00E915C7" w:rsidRPr="003436D5" w14:paraId="2A280698" w14:textId="77777777" w:rsidTr="00447B1E">
        <w:trPr>
          <w:trHeight w:val="795"/>
        </w:trPr>
        <w:tc>
          <w:tcPr>
            <w:tcW w:w="1843" w:type="dxa"/>
            <w:vMerge w:val="restart"/>
            <w:tcBorders>
              <w:top w:val="single" w:sz="4" w:space="0" w:color="auto"/>
              <w:left w:val="nil"/>
              <w:bottom w:val="single" w:sz="4" w:space="0" w:color="000000"/>
              <w:right w:val="single" w:sz="4" w:space="0" w:color="auto"/>
            </w:tcBorders>
            <w:shd w:val="clear" w:color="000000" w:fill="FFFFFF"/>
            <w:noWrap/>
            <w:vAlign w:val="bottom"/>
            <w:hideMark/>
          </w:tcPr>
          <w:p w14:paraId="1A151AF9" w14:textId="77777777" w:rsidR="00E915C7" w:rsidRPr="003405E4" w:rsidRDefault="00E915C7" w:rsidP="007D3130">
            <w:pPr>
              <w:spacing w:before="0" w:after="0"/>
              <w:rPr>
                <w:rFonts w:asciiTheme="majorHAnsi" w:hAnsiTheme="majorHAnsi" w:cs="Arial"/>
                <w:b/>
                <w:bCs/>
                <w:sz w:val="16"/>
                <w:szCs w:val="16"/>
                <w:lang w:eastAsia="en-AU"/>
              </w:rPr>
            </w:pPr>
            <w:r w:rsidRPr="003405E4">
              <w:rPr>
                <w:rFonts w:asciiTheme="majorHAnsi" w:hAnsiTheme="majorHAnsi" w:cs="Arial"/>
                <w:b/>
                <w:bCs/>
                <w:sz w:val="16"/>
                <w:szCs w:val="16"/>
                <w:lang w:eastAsia="en-AU"/>
              </w:rPr>
              <w:t>Region</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36B87795" w14:textId="77777777" w:rsidR="00E915C7" w:rsidRPr="003405E4" w:rsidRDefault="00E915C7" w:rsidP="007D3130">
            <w:pPr>
              <w:spacing w:before="0" w:after="0"/>
              <w:jc w:val="right"/>
              <w:rPr>
                <w:rFonts w:asciiTheme="majorHAnsi" w:hAnsiTheme="majorHAnsi" w:cs="Arial"/>
                <w:b/>
                <w:bCs/>
                <w:sz w:val="16"/>
                <w:szCs w:val="16"/>
                <w:lang w:eastAsia="en-AU"/>
              </w:rPr>
            </w:pPr>
            <w:r w:rsidRPr="003405E4">
              <w:rPr>
                <w:rFonts w:asciiTheme="majorHAnsi" w:hAnsiTheme="majorHAnsi" w:cs="Arial"/>
                <w:b/>
                <w:bCs/>
                <w:sz w:val="16"/>
                <w:szCs w:val="16"/>
                <w:lang w:eastAsia="en-AU"/>
              </w:rPr>
              <w:t>Area of forest on public land pre-RFA (ha)</w:t>
            </w:r>
          </w:p>
        </w:tc>
        <w:tc>
          <w:tcPr>
            <w:tcW w:w="851" w:type="dxa"/>
            <w:vMerge w:val="restart"/>
            <w:tcBorders>
              <w:top w:val="single" w:sz="4" w:space="0" w:color="auto"/>
              <w:left w:val="single" w:sz="4" w:space="0" w:color="auto"/>
              <w:bottom w:val="single" w:sz="4" w:space="0" w:color="000000"/>
              <w:right w:val="nil"/>
            </w:tcBorders>
            <w:shd w:val="clear" w:color="000000" w:fill="FFFFFF"/>
            <w:vAlign w:val="bottom"/>
            <w:hideMark/>
          </w:tcPr>
          <w:p w14:paraId="5DD060A6" w14:textId="77777777" w:rsidR="00E915C7" w:rsidRPr="003405E4" w:rsidRDefault="00E915C7" w:rsidP="007D3130">
            <w:pPr>
              <w:spacing w:before="0" w:after="0"/>
              <w:jc w:val="right"/>
              <w:rPr>
                <w:rFonts w:asciiTheme="majorHAnsi" w:hAnsiTheme="majorHAnsi" w:cs="Arial"/>
                <w:b/>
                <w:bCs/>
                <w:sz w:val="16"/>
                <w:szCs w:val="16"/>
                <w:lang w:eastAsia="en-AU"/>
              </w:rPr>
            </w:pPr>
            <w:r w:rsidRPr="003405E4">
              <w:rPr>
                <w:rFonts w:asciiTheme="majorHAnsi" w:hAnsiTheme="majorHAnsi" w:cs="Arial"/>
                <w:b/>
                <w:bCs/>
                <w:sz w:val="16"/>
                <w:szCs w:val="16"/>
                <w:lang w:eastAsia="en-AU"/>
              </w:rPr>
              <w:t>NHA pre-RFA  (ha)</w:t>
            </w:r>
          </w:p>
        </w:tc>
        <w:tc>
          <w:tcPr>
            <w:tcW w:w="850" w:type="dxa"/>
            <w:vMerge w:val="restart"/>
            <w:tcBorders>
              <w:top w:val="single" w:sz="4" w:space="0" w:color="auto"/>
              <w:left w:val="nil"/>
              <w:bottom w:val="single" w:sz="4" w:space="0" w:color="000000"/>
              <w:right w:val="nil"/>
            </w:tcBorders>
            <w:shd w:val="clear" w:color="000000" w:fill="FFFFFF"/>
            <w:vAlign w:val="bottom"/>
            <w:hideMark/>
          </w:tcPr>
          <w:p w14:paraId="1E18B220" w14:textId="77777777" w:rsidR="00E915C7" w:rsidRPr="003405E4" w:rsidRDefault="00E915C7" w:rsidP="007D3130">
            <w:pPr>
              <w:spacing w:before="0" w:after="0"/>
              <w:jc w:val="right"/>
              <w:rPr>
                <w:rFonts w:asciiTheme="majorHAnsi" w:hAnsiTheme="majorHAnsi" w:cs="Arial"/>
                <w:b/>
                <w:bCs/>
                <w:sz w:val="16"/>
                <w:szCs w:val="16"/>
                <w:lang w:eastAsia="en-AU"/>
              </w:rPr>
            </w:pPr>
            <w:r w:rsidRPr="003405E4">
              <w:rPr>
                <w:rFonts w:asciiTheme="majorHAnsi" w:hAnsiTheme="majorHAnsi" w:cs="Arial"/>
                <w:b/>
                <w:bCs/>
                <w:sz w:val="16"/>
                <w:szCs w:val="16"/>
                <w:lang w:eastAsia="en-AU"/>
              </w:rPr>
              <w:t>NHA post-RFA (ha)</w:t>
            </w:r>
          </w:p>
        </w:tc>
        <w:tc>
          <w:tcPr>
            <w:tcW w:w="851" w:type="dxa"/>
            <w:vMerge w:val="restart"/>
            <w:tcBorders>
              <w:top w:val="single" w:sz="4" w:space="0" w:color="auto"/>
              <w:left w:val="nil"/>
              <w:bottom w:val="single" w:sz="4" w:space="0" w:color="000000"/>
              <w:right w:val="nil"/>
            </w:tcBorders>
            <w:shd w:val="clear" w:color="000000" w:fill="FFFFFF"/>
            <w:vAlign w:val="bottom"/>
            <w:hideMark/>
          </w:tcPr>
          <w:p w14:paraId="347625BB" w14:textId="77777777" w:rsidR="00E915C7" w:rsidRPr="003405E4" w:rsidRDefault="00E915C7" w:rsidP="007D3130">
            <w:pPr>
              <w:spacing w:before="0" w:after="0"/>
              <w:jc w:val="right"/>
              <w:rPr>
                <w:rFonts w:asciiTheme="majorHAnsi" w:hAnsiTheme="majorHAnsi" w:cs="Arial"/>
                <w:b/>
                <w:bCs/>
                <w:sz w:val="16"/>
                <w:szCs w:val="16"/>
                <w:lang w:eastAsia="en-AU"/>
              </w:rPr>
            </w:pPr>
            <w:r w:rsidRPr="003405E4">
              <w:rPr>
                <w:rFonts w:asciiTheme="majorHAnsi" w:hAnsiTheme="majorHAnsi" w:cs="Arial"/>
                <w:b/>
                <w:bCs/>
                <w:sz w:val="16"/>
                <w:szCs w:val="16"/>
                <w:lang w:eastAsia="en-AU"/>
              </w:rPr>
              <w:t>NHA at 2000–01 (ha)</w:t>
            </w:r>
          </w:p>
        </w:tc>
        <w:tc>
          <w:tcPr>
            <w:tcW w:w="850" w:type="dxa"/>
            <w:vMerge w:val="restart"/>
            <w:tcBorders>
              <w:top w:val="single" w:sz="4" w:space="0" w:color="auto"/>
              <w:left w:val="nil"/>
              <w:bottom w:val="single" w:sz="4" w:space="0" w:color="000000"/>
              <w:right w:val="nil"/>
            </w:tcBorders>
            <w:shd w:val="clear" w:color="000000" w:fill="FFFFFF"/>
            <w:vAlign w:val="bottom"/>
            <w:hideMark/>
          </w:tcPr>
          <w:p w14:paraId="339241F0" w14:textId="77777777" w:rsidR="00E915C7" w:rsidRPr="003405E4" w:rsidRDefault="00E915C7" w:rsidP="007D3130">
            <w:pPr>
              <w:spacing w:before="0" w:after="0"/>
              <w:jc w:val="right"/>
              <w:rPr>
                <w:rFonts w:asciiTheme="majorHAnsi" w:hAnsiTheme="majorHAnsi" w:cs="Arial"/>
                <w:b/>
                <w:bCs/>
                <w:sz w:val="16"/>
                <w:szCs w:val="16"/>
                <w:lang w:eastAsia="en-AU"/>
              </w:rPr>
            </w:pPr>
            <w:r w:rsidRPr="003405E4">
              <w:rPr>
                <w:rFonts w:asciiTheme="majorHAnsi" w:hAnsiTheme="majorHAnsi" w:cs="Arial"/>
                <w:b/>
                <w:bCs/>
                <w:sz w:val="16"/>
                <w:szCs w:val="16"/>
                <w:lang w:eastAsia="en-AU"/>
              </w:rPr>
              <w:t>NHA at 2005–06 (ha)</w:t>
            </w:r>
          </w:p>
        </w:tc>
        <w:tc>
          <w:tcPr>
            <w:tcW w:w="850" w:type="dxa"/>
            <w:vMerge w:val="restart"/>
            <w:tcBorders>
              <w:top w:val="single" w:sz="4" w:space="0" w:color="auto"/>
              <w:left w:val="nil"/>
              <w:bottom w:val="single" w:sz="4" w:space="0" w:color="000000"/>
              <w:right w:val="nil"/>
            </w:tcBorders>
            <w:shd w:val="clear" w:color="000000" w:fill="FFFFFF"/>
            <w:vAlign w:val="bottom"/>
            <w:hideMark/>
          </w:tcPr>
          <w:p w14:paraId="0CF86736" w14:textId="77777777" w:rsidR="00E915C7" w:rsidRPr="003405E4" w:rsidRDefault="00E915C7" w:rsidP="007D3130">
            <w:pPr>
              <w:spacing w:before="0" w:after="0"/>
              <w:jc w:val="right"/>
              <w:rPr>
                <w:rFonts w:asciiTheme="majorHAnsi" w:hAnsiTheme="majorHAnsi" w:cs="Arial"/>
                <w:b/>
                <w:bCs/>
                <w:sz w:val="16"/>
                <w:szCs w:val="16"/>
                <w:lang w:eastAsia="en-AU"/>
              </w:rPr>
            </w:pPr>
            <w:r w:rsidRPr="003405E4">
              <w:rPr>
                <w:rFonts w:asciiTheme="majorHAnsi" w:hAnsiTheme="majorHAnsi" w:cs="Arial"/>
                <w:b/>
                <w:bCs/>
                <w:sz w:val="16"/>
                <w:szCs w:val="16"/>
                <w:lang w:eastAsia="en-AU"/>
              </w:rPr>
              <w:t>NHA at 2010–11 (ha)</w:t>
            </w:r>
          </w:p>
        </w:tc>
        <w:tc>
          <w:tcPr>
            <w:tcW w:w="837" w:type="dxa"/>
            <w:vMerge w:val="restart"/>
            <w:tcBorders>
              <w:top w:val="single" w:sz="4" w:space="0" w:color="auto"/>
              <w:left w:val="nil"/>
              <w:bottom w:val="single" w:sz="4" w:space="0" w:color="000000"/>
            </w:tcBorders>
            <w:shd w:val="clear" w:color="000000" w:fill="FFFFFF"/>
            <w:vAlign w:val="bottom"/>
            <w:hideMark/>
          </w:tcPr>
          <w:p w14:paraId="309C3FFC" w14:textId="77777777" w:rsidR="00E915C7" w:rsidRPr="003405E4" w:rsidRDefault="00E915C7" w:rsidP="007D3130">
            <w:pPr>
              <w:spacing w:before="0" w:after="0"/>
              <w:jc w:val="right"/>
              <w:rPr>
                <w:rFonts w:asciiTheme="majorHAnsi" w:hAnsiTheme="majorHAnsi" w:cs="Arial"/>
                <w:b/>
                <w:bCs/>
                <w:sz w:val="16"/>
                <w:szCs w:val="16"/>
                <w:lang w:eastAsia="en-AU"/>
              </w:rPr>
            </w:pPr>
            <w:r w:rsidRPr="003405E4">
              <w:rPr>
                <w:rFonts w:asciiTheme="majorHAnsi" w:hAnsiTheme="majorHAnsi" w:cs="Arial"/>
                <w:b/>
                <w:bCs/>
                <w:sz w:val="16"/>
                <w:szCs w:val="16"/>
                <w:lang w:eastAsia="en-AU"/>
              </w:rPr>
              <w:t>NHA at 2015–16</w:t>
            </w:r>
            <w:r>
              <w:rPr>
                <w:rFonts w:asciiTheme="majorHAnsi" w:hAnsiTheme="majorHAnsi" w:cs="Arial"/>
                <w:b/>
                <w:bCs/>
                <w:sz w:val="16"/>
                <w:szCs w:val="16"/>
                <w:lang w:eastAsia="en-AU"/>
              </w:rPr>
              <w:t xml:space="preserve"> </w:t>
            </w:r>
            <w:r w:rsidRPr="005E47C4">
              <w:rPr>
                <w:rFonts w:asciiTheme="majorHAnsi" w:hAnsiTheme="majorHAnsi" w:cs="Arial"/>
                <w:b/>
                <w:bCs/>
                <w:position w:val="4"/>
                <w:sz w:val="16"/>
                <w:szCs w:val="16"/>
              </w:rPr>
              <w:t>a</w:t>
            </w:r>
            <w:r w:rsidRPr="003405E4">
              <w:rPr>
                <w:rFonts w:asciiTheme="majorHAnsi" w:hAnsiTheme="majorHAnsi" w:cs="Arial"/>
                <w:b/>
                <w:bCs/>
                <w:sz w:val="16"/>
                <w:szCs w:val="16"/>
                <w:lang w:eastAsia="en-AU"/>
              </w:rPr>
              <w:t xml:space="preserve"> (ha)</w:t>
            </w:r>
          </w:p>
        </w:tc>
        <w:tc>
          <w:tcPr>
            <w:tcW w:w="864" w:type="dxa"/>
            <w:vMerge w:val="restart"/>
            <w:tcBorders>
              <w:top w:val="single" w:sz="4" w:space="0" w:color="auto"/>
              <w:right w:val="single" w:sz="4" w:space="0" w:color="auto"/>
            </w:tcBorders>
            <w:shd w:val="clear" w:color="000000" w:fill="FFFFFF"/>
            <w:vAlign w:val="bottom"/>
          </w:tcPr>
          <w:p w14:paraId="754F7751" w14:textId="77777777" w:rsidR="00E915C7" w:rsidRPr="003405E4" w:rsidRDefault="00E915C7" w:rsidP="007D3130">
            <w:pPr>
              <w:spacing w:before="0" w:after="0"/>
              <w:jc w:val="right"/>
              <w:rPr>
                <w:rFonts w:asciiTheme="majorHAnsi" w:hAnsiTheme="majorHAnsi" w:cs="Arial"/>
                <w:b/>
                <w:bCs/>
                <w:sz w:val="16"/>
                <w:szCs w:val="16"/>
                <w:lang w:eastAsia="en-AU"/>
              </w:rPr>
            </w:pPr>
            <w:r w:rsidRPr="003405E4">
              <w:rPr>
                <w:rFonts w:asciiTheme="majorHAnsi" w:hAnsiTheme="majorHAnsi" w:cs="Arial"/>
                <w:b/>
                <w:bCs/>
                <w:sz w:val="16"/>
                <w:szCs w:val="16"/>
                <w:lang w:eastAsia="en-AU"/>
              </w:rPr>
              <w:t>NHA in most recent data</w:t>
            </w:r>
            <w:r>
              <w:rPr>
                <w:rFonts w:asciiTheme="majorHAnsi" w:hAnsiTheme="majorHAnsi" w:cs="Arial"/>
                <w:b/>
                <w:bCs/>
                <w:sz w:val="16"/>
                <w:szCs w:val="16"/>
                <w:lang w:eastAsia="en-AU"/>
              </w:rPr>
              <w:t xml:space="preserve"> </w:t>
            </w:r>
            <w:r w:rsidRPr="005E47C4">
              <w:rPr>
                <w:rFonts w:asciiTheme="majorHAnsi" w:hAnsiTheme="majorHAnsi" w:cs="Arial"/>
                <w:b/>
                <w:bCs/>
                <w:position w:val="4"/>
                <w:sz w:val="16"/>
                <w:szCs w:val="16"/>
              </w:rPr>
              <w:t>b</w:t>
            </w:r>
            <w:r w:rsidRPr="003405E4">
              <w:rPr>
                <w:rFonts w:asciiTheme="majorHAnsi" w:hAnsiTheme="majorHAnsi" w:cs="Arial"/>
                <w:b/>
                <w:bCs/>
                <w:sz w:val="16"/>
                <w:szCs w:val="16"/>
                <w:lang w:eastAsia="en-AU"/>
              </w:rPr>
              <w:t xml:space="preserve"> (ha)</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04A1574A" w14:textId="77777777" w:rsidR="00E915C7" w:rsidRPr="003405E4" w:rsidRDefault="00E915C7" w:rsidP="007D3130">
            <w:pPr>
              <w:spacing w:before="0" w:after="0"/>
              <w:jc w:val="right"/>
              <w:rPr>
                <w:rFonts w:asciiTheme="majorHAnsi" w:hAnsiTheme="majorHAnsi" w:cs="Arial"/>
                <w:b/>
                <w:bCs/>
                <w:spacing w:val="-10"/>
                <w:sz w:val="16"/>
                <w:szCs w:val="16"/>
                <w:lang w:eastAsia="en-AU"/>
              </w:rPr>
            </w:pPr>
            <w:r w:rsidRPr="003405E4">
              <w:rPr>
                <w:rFonts w:asciiTheme="majorHAnsi" w:hAnsiTheme="majorHAnsi" w:cs="Arial"/>
                <w:b/>
                <w:bCs/>
                <w:spacing w:val="-10"/>
                <w:sz w:val="16"/>
                <w:szCs w:val="16"/>
                <w:lang w:eastAsia="en-AU"/>
              </w:rPr>
              <w:t>NHA pre-RFA as proportion of forest on public land pre-RFA (%)</w:t>
            </w:r>
          </w:p>
        </w:tc>
        <w:tc>
          <w:tcPr>
            <w:tcW w:w="1560" w:type="dxa"/>
            <w:gridSpan w:val="2"/>
            <w:tcBorders>
              <w:top w:val="single" w:sz="4" w:space="0" w:color="auto"/>
              <w:left w:val="nil"/>
              <w:bottom w:val="single" w:sz="4" w:space="0" w:color="auto"/>
              <w:right w:val="single" w:sz="4" w:space="0" w:color="000000"/>
            </w:tcBorders>
            <w:shd w:val="clear" w:color="000000" w:fill="FFFFFF"/>
            <w:vAlign w:val="bottom"/>
            <w:hideMark/>
          </w:tcPr>
          <w:p w14:paraId="3C9E64E9" w14:textId="77777777" w:rsidR="00E915C7" w:rsidRPr="003405E4" w:rsidRDefault="00E915C7" w:rsidP="007D3130">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Change in NHA at RFA</w:t>
            </w:r>
          </w:p>
        </w:tc>
        <w:tc>
          <w:tcPr>
            <w:tcW w:w="1701" w:type="dxa"/>
            <w:gridSpan w:val="2"/>
            <w:tcBorders>
              <w:top w:val="single" w:sz="4" w:space="0" w:color="auto"/>
              <w:left w:val="nil"/>
              <w:bottom w:val="single" w:sz="4" w:space="0" w:color="auto"/>
              <w:right w:val="single" w:sz="4" w:space="0" w:color="000000"/>
            </w:tcBorders>
            <w:shd w:val="clear" w:color="000000" w:fill="FFFFFF"/>
            <w:vAlign w:val="bottom"/>
            <w:hideMark/>
          </w:tcPr>
          <w:p w14:paraId="23920CDF" w14:textId="53F8DC2F" w:rsidR="00E915C7" w:rsidRPr="003405E4" w:rsidRDefault="00E915C7" w:rsidP="007D3130">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Change in NHA between pre-RFA and most recent data</w:t>
            </w:r>
            <w:r>
              <w:rPr>
                <w:rFonts w:asciiTheme="majorHAnsi" w:hAnsiTheme="majorHAnsi" w:cs="Arial"/>
                <w:b/>
                <w:bCs/>
                <w:sz w:val="16"/>
                <w:szCs w:val="16"/>
                <w:lang w:eastAsia="en-AU"/>
              </w:rPr>
              <w:t xml:space="preserve"> </w:t>
            </w:r>
            <w:r w:rsidRPr="005E47C4">
              <w:rPr>
                <w:rFonts w:asciiTheme="majorHAnsi" w:hAnsiTheme="majorHAnsi" w:cs="Arial"/>
                <w:b/>
                <w:bCs/>
                <w:position w:val="4"/>
                <w:sz w:val="16"/>
                <w:szCs w:val="16"/>
              </w:rPr>
              <w:t>b</w:t>
            </w:r>
          </w:p>
        </w:tc>
        <w:tc>
          <w:tcPr>
            <w:tcW w:w="1701" w:type="dxa"/>
            <w:gridSpan w:val="2"/>
            <w:tcBorders>
              <w:top w:val="single" w:sz="4" w:space="0" w:color="auto"/>
              <w:left w:val="nil"/>
              <w:bottom w:val="single" w:sz="4" w:space="0" w:color="auto"/>
              <w:right w:val="single" w:sz="4" w:space="0" w:color="000000"/>
            </w:tcBorders>
            <w:shd w:val="clear" w:color="000000" w:fill="FFFFFF"/>
            <w:vAlign w:val="bottom"/>
            <w:hideMark/>
          </w:tcPr>
          <w:p w14:paraId="350492C4" w14:textId="0D23CAC6" w:rsidR="00E915C7" w:rsidRPr="003405E4" w:rsidRDefault="00E915C7" w:rsidP="007D3130">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Change in NHA between post-RFA and most recent data</w:t>
            </w:r>
            <w:r w:rsidRPr="005E47C4">
              <w:rPr>
                <w:rFonts w:asciiTheme="majorHAnsi" w:hAnsiTheme="majorHAnsi" w:cs="Arial"/>
                <w:b/>
                <w:bCs/>
                <w:position w:val="4"/>
                <w:sz w:val="16"/>
                <w:szCs w:val="16"/>
              </w:rPr>
              <w:t xml:space="preserve"> b</w:t>
            </w:r>
          </w:p>
        </w:tc>
        <w:tc>
          <w:tcPr>
            <w:tcW w:w="992" w:type="dxa"/>
            <w:vMerge w:val="restart"/>
            <w:tcBorders>
              <w:top w:val="single" w:sz="4" w:space="0" w:color="auto"/>
              <w:left w:val="single" w:sz="4" w:space="0" w:color="auto"/>
              <w:bottom w:val="single" w:sz="4" w:space="0" w:color="000000"/>
              <w:right w:val="nil"/>
            </w:tcBorders>
            <w:shd w:val="clear" w:color="000000" w:fill="FFFFFF"/>
            <w:vAlign w:val="bottom"/>
            <w:hideMark/>
          </w:tcPr>
          <w:p w14:paraId="0B7F352F" w14:textId="77777777" w:rsidR="00E915C7" w:rsidRPr="003405E4" w:rsidRDefault="00E915C7" w:rsidP="007D3130">
            <w:pPr>
              <w:spacing w:before="0" w:after="0"/>
              <w:jc w:val="right"/>
              <w:rPr>
                <w:rFonts w:asciiTheme="majorHAnsi" w:hAnsiTheme="majorHAnsi" w:cs="Arial"/>
                <w:b/>
                <w:bCs/>
                <w:spacing w:val="-10"/>
                <w:sz w:val="16"/>
                <w:szCs w:val="16"/>
                <w:lang w:eastAsia="en-AU"/>
              </w:rPr>
            </w:pPr>
            <w:r w:rsidRPr="003405E4">
              <w:rPr>
                <w:rFonts w:asciiTheme="majorHAnsi" w:hAnsiTheme="majorHAnsi" w:cs="Arial"/>
                <w:b/>
                <w:bCs/>
                <w:spacing w:val="-10"/>
                <w:sz w:val="16"/>
                <w:szCs w:val="16"/>
                <w:lang w:eastAsia="en-AU"/>
              </w:rPr>
              <w:t>NHA in most recent data as proportion of forest on public land (%)</w:t>
            </w:r>
          </w:p>
        </w:tc>
      </w:tr>
      <w:tr w:rsidR="00E915C7" w:rsidRPr="003436D5" w14:paraId="3ACA0034" w14:textId="77777777" w:rsidTr="00447B1E">
        <w:trPr>
          <w:trHeight w:val="270"/>
        </w:trPr>
        <w:tc>
          <w:tcPr>
            <w:tcW w:w="1843" w:type="dxa"/>
            <w:vMerge/>
            <w:tcBorders>
              <w:top w:val="single" w:sz="4" w:space="0" w:color="auto"/>
              <w:left w:val="nil"/>
              <w:bottom w:val="single" w:sz="4" w:space="0" w:color="000000"/>
              <w:right w:val="single" w:sz="4" w:space="0" w:color="auto"/>
            </w:tcBorders>
            <w:vAlign w:val="center"/>
            <w:hideMark/>
          </w:tcPr>
          <w:p w14:paraId="5C91C9BD" w14:textId="77777777" w:rsidR="00E915C7" w:rsidRPr="003436D5" w:rsidRDefault="00E915C7" w:rsidP="007D3130">
            <w:pPr>
              <w:spacing w:before="0" w:after="0"/>
              <w:rPr>
                <w:rFonts w:ascii="Calibri" w:hAnsi="Calibri" w:cs="Arial"/>
                <w:b/>
                <w:bCs/>
                <w:sz w:val="16"/>
                <w:szCs w:val="16"/>
                <w:lang w:eastAsia="en-A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FF52D4D" w14:textId="77777777" w:rsidR="00E915C7" w:rsidRPr="003436D5" w:rsidRDefault="00E915C7" w:rsidP="007D3130">
            <w:pPr>
              <w:spacing w:before="0" w:after="0"/>
              <w:rPr>
                <w:rFonts w:ascii="Calibri" w:hAnsi="Calibri" w:cs="Arial"/>
                <w:b/>
                <w:bCs/>
                <w:sz w:val="16"/>
                <w:szCs w:val="16"/>
                <w:lang w:eastAsia="en-AU"/>
              </w:rPr>
            </w:pPr>
          </w:p>
        </w:tc>
        <w:tc>
          <w:tcPr>
            <w:tcW w:w="851" w:type="dxa"/>
            <w:vMerge/>
            <w:tcBorders>
              <w:top w:val="single" w:sz="4" w:space="0" w:color="auto"/>
              <w:left w:val="single" w:sz="4" w:space="0" w:color="auto"/>
              <w:bottom w:val="single" w:sz="4" w:space="0" w:color="000000"/>
              <w:right w:val="nil"/>
            </w:tcBorders>
            <w:vAlign w:val="center"/>
            <w:hideMark/>
          </w:tcPr>
          <w:p w14:paraId="5BD7D46A" w14:textId="77777777" w:rsidR="00E915C7" w:rsidRPr="003436D5" w:rsidRDefault="00E915C7" w:rsidP="007D3130">
            <w:pPr>
              <w:spacing w:before="0" w:after="0"/>
              <w:rPr>
                <w:rFonts w:ascii="Calibri" w:hAnsi="Calibri" w:cs="Arial"/>
                <w:b/>
                <w:bCs/>
                <w:sz w:val="16"/>
                <w:szCs w:val="16"/>
                <w:lang w:eastAsia="en-AU"/>
              </w:rPr>
            </w:pPr>
          </w:p>
        </w:tc>
        <w:tc>
          <w:tcPr>
            <w:tcW w:w="850" w:type="dxa"/>
            <w:vMerge/>
            <w:tcBorders>
              <w:top w:val="single" w:sz="4" w:space="0" w:color="auto"/>
              <w:left w:val="nil"/>
              <w:bottom w:val="single" w:sz="4" w:space="0" w:color="000000"/>
              <w:right w:val="nil"/>
            </w:tcBorders>
            <w:vAlign w:val="center"/>
            <w:hideMark/>
          </w:tcPr>
          <w:p w14:paraId="01FCC080" w14:textId="77777777" w:rsidR="00E915C7" w:rsidRPr="003436D5" w:rsidRDefault="00E915C7" w:rsidP="007D3130">
            <w:pPr>
              <w:spacing w:before="0" w:after="0"/>
              <w:rPr>
                <w:rFonts w:ascii="Calibri" w:hAnsi="Calibri" w:cs="Arial"/>
                <w:b/>
                <w:bCs/>
                <w:sz w:val="16"/>
                <w:szCs w:val="16"/>
                <w:lang w:eastAsia="en-AU"/>
              </w:rPr>
            </w:pPr>
          </w:p>
        </w:tc>
        <w:tc>
          <w:tcPr>
            <w:tcW w:w="851" w:type="dxa"/>
            <w:vMerge/>
            <w:tcBorders>
              <w:top w:val="single" w:sz="4" w:space="0" w:color="auto"/>
              <w:left w:val="nil"/>
              <w:bottom w:val="single" w:sz="4" w:space="0" w:color="000000"/>
              <w:right w:val="nil"/>
            </w:tcBorders>
            <w:vAlign w:val="center"/>
            <w:hideMark/>
          </w:tcPr>
          <w:p w14:paraId="5871A7BE" w14:textId="77777777" w:rsidR="00E915C7" w:rsidRPr="003436D5" w:rsidRDefault="00E915C7" w:rsidP="007D3130">
            <w:pPr>
              <w:spacing w:before="0" w:after="0"/>
              <w:rPr>
                <w:rFonts w:ascii="Calibri" w:hAnsi="Calibri" w:cs="Arial"/>
                <w:b/>
                <w:bCs/>
                <w:sz w:val="16"/>
                <w:szCs w:val="16"/>
                <w:lang w:eastAsia="en-AU"/>
              </w:rPr>
            </w:pPr>
          </w:p>
        </w:tc>
        <w:tc>
          <w:tcPr>
            <w:tcW w:w="850" w:type="dxa"/>
            <w:vMerge/>
            <w:tcBorders>
              <w:top w:val="single" w:sz="4" w:space="0" w:color="auto"/>
              <w:left w:val="nil"/>
              <w:bottom w:val="single" w:sz="4" w:space="0" w:color="000000"/>
              <w:right w:val="nil"/>
            </w:tcBorders>
            <w:vAlign w:val="center"/>
            <w:hideMark/>
          </w:tcPr>
          <w:p w14:paraId="1B3D1B8A" w14:textId="77777777" w:rsidR="00E915C7" w:rsidRPr="003436D5" w:rsidRDefault="00E915C7" w:rsidP="007D3130">
            <w:pPr>
              <w:spacing w:before="0" w:after="0"/>
              <w:rPr>
                <w:rFonts w:ascii="Calibri" w:hAnsi="Calibri" w:cs="Arial"/>
                <w:b/>
                <w:bCs/>
                <w:sz w:val="16"/>
                <w:szCs w:val="16"/>
                <w:lang w:eastAsia="en-AU"/>
              </w:rPr>
            </w:pPr>
          </w:p>
        </w:tc>
        <w:tc>
          <w:tcPr>
            <w:tcW w:w="850" w:type="dxa"/>
            <w:vMerge/>
            <w:tcBorders>
              <w:top w:val="single" w:sz="4" w:space="0" w:color="auto"/>
              <w:left w:val="nil"/>
              <w:bottom w:val="single" w:sz="4" w:space="0" w:color="000000"/>
              <w:right w:val="nil"/>
            </w:tcBorders>
            <w:vAlign w:val="center"/>
            <w:hideMark/>
          </w:tcPr>
          <w:p w14:paraId="12563CC0" w14:textId="77777777" w:rsidR="00E915C7" w:rsidRPr="003436D5" w:rsidRDefault="00E915C7" w:rsidP="007D3130">
            <w:pPr>
              <w:spacing w:before="0" w:after="0"/>
              <w:rPr>
                <w:rFonts w:ascii="Calibri" w:hAnsi="Calibri" w:cs="Arial"/>
                <w:b/>
                <w:bCs/>
                <w:sz w:val="16"/>
                <w:szCs w:val="16"/>
                <w:lang w:eastAsia="en-AU"/>
              </w:rPr>
            </w:pPr>
          </w:p>
        </w:tc>
        <w:tc>
          <w:tcPr>
            <w:tcW w:w="837" w:type="dxa"/>
            <w:vMerge/>
            <w:tcBorders>
              <w:top w:val="single" w:sz="4" w:space="0" w:color="auto"/>
              <w:left w:val="nil"/>
              <w:bottom w:val="single" w:sz="4" w:space="0" w:color="000000"/>
            </w:tcBorders>
            <w:vAlign w:val="center"/>
            <w:hideMark/>
          </w:tcPr>
          <w:p w14:paraId="11654D65" w14:textId="77777777" w:rsidR="00E915C7" w:rsidRPr="003436D5" w:rsidRDefault="00E915C7" w:rsidP="007D3130">
            <w:pPr>
              <w:spacing w:before="0" w:after="0"/>
              <w:rPr>
                <w:rFonts w:ascii="Calibri" w:hAnsi="Calibri" w:cs="Arial"/>
                <w:b/>
                <w:bCs/>
                <w:sz w:val="16"/>
                <w:szCs w:val="16"/>
                <w:lang w:eastAsia="en-AU"/>
              </w:rPr>
            </w:pPr>
          </w:p>
        </w:tc>
        <w:tc>
          <w:tcPr>
            <w:tcW w:w="864" w:type="dxa"/>
            <w:vMerge/>
            <w:tcBorders>
              <w:bottom w:val="single" w:sz="4" w:space="0" w:color="000000"/>
              <w:right w:val="single" w:sz="4" w:space="0" w:color="auto"/>
            </w:tcBorders>
          </w:tcPr>
          <w:p w14:paraId="7656E5A5" w14:textId="77777777" w:rsidR="00E915C7" w:rsidRPr="003436D5" w:rsidRDefault="00E915C7" w:rsidP="007D3130">
            <w:pPr>
              <w:spacing w:before="0" w:after="0"/>
              <w:rPr>
                <w:rFonts w:ascii="Calibri" w:hAnsi="Calibri" w:cs="Arial"/>
                <w:b/>
                <w:bCs/>
                <w:sz w:val="16"/>
                <w:szCs w:val="16"/>
                <w:lang w:eastAsia="en-A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EB4CF7E" w14:textId="77777777" w:rsidR="00E915C7" w:rsidRPr="003436D5" w:rsidRDefault="00E915C7" w:rsidP="007D3130">
            <w:pPr>
              <w:spacing w:before="0" w:after="0"/>
              <w:rPr>
                <w:rFonts w:ascii="Calibri" w:hAnsi="Calibri" w:cs="Arial"/>
                <w:b/>
                <w:bCs/>
                <w:sz w:val="16"/>
                <w:szCs w:val="16"/>
                <w:lang w:eastAsia="en-AU"/>
              </w:rPr>
            </w:pPr>
          </w:p>
        </w:tc>
        <w:tc>
          <w:tcPr>
            <w:tcW w:w="850" w:type="dxa"/>
            <w:tcBorders>
              <w:top w:val="nil"/>
              <w:left w:val="nil"/>
              <w:bottom w:val="single" w:sz="4" w:space="0" w:color="auto"/>
              <w:right w:val="nil"/>
            </w:tcBorders>
            <w:shd w:val="clear" w:color="000000" w:fill="FFFFFF"/>
            <w:vAlign w:val="bottom"/>
            <w:hideMark/>
          </w:tcPr>
          <w:p w14:paraId="79890BFB" w14:textId="77777777" w:rsidR="00E915C7" w:rsidRPr="003436D5" w:rsidRDefault="00E915C7" w:rsidP="007D3130">
            <w:pPr>
              <w:spacing w:before="0" w:after="0"/>
              <w:jc w:val="right"/>
              <w:rPr>
                <w:rFonts w:ascii="Calibri" w:hAnsi="Calibri" w:cs="Arial"/>
                <w:b/>
                <w:bCs/>
                <w:sz w:val="16"/>
                <w:szCs w:val="16"/>
                <w:lang w:eastAsia="en-AU"/>
              </w:rPr>
            </w:pPr>
            <w:r w:rsidRPr="003436D5">
              <w:rPr>
                <w:rFonts w:ascii="Calibri" w:hAnsi="Calibri" w:cs="Arial"/>
                <w:b/>
                <w:bCs/>
                <w:sz w:val="16"/>
                <w:szCs w:val="16"/>
                <w:lang w:eastAsia="en-AU"/>
              </w:rPr>
              <w:t>(ha)</w:t>
            </w:r>
          </w:p>
        </w:tc>
        <w:tc>
          <w:tcPr>
            <w:tcW w:w="710" w:type="dxa"/>
            <w:tcBorders>
              <w:top w:val="nil"/>
              <w:left w:val="nil"/>
              <w:bottom w:val="single" w:sz="4" w:space="0" w:color="auto"/>
              <w:right w:val="single" w:sz="4" w:space="0" w:color="auto"/>
            </w:tcBorders>
            <w:shd w:val="clear" w:color="000000" w:fill="FFFFFF"/>
            <w:vAlign w:val="bottom"/>
            <w:hideMark/>
          </w:tcPr>
          <w:p w14:paraId="199D9C17" w14:textId="77777777" w:rsidR="00E915C7" w:rsidRPr="003436D5" w:rsidRDefault="00E915C7" w:rsidP="007D3130">
            <w:pPr>
              <w:spacing w:before="0" w:after="0"/>
              <w:jc w:val="right"/>
              <w:rPr>
                <w:rFonts w:ascii="Calibri" w:hAnsi="Calibri" w:cs="Arial"/>
                <w:b/>
                <w:bCs/>
                <w:sz w:val="16"/>
                <w:szCs w:val="16"/>
                <w:lang w:eastAsia="en-AU"/>
              </w:rPr>
            </w:pPr>
            <w:r w:rsidRPr="003436D5">
              <w:rPr>
                <w:rFonts w:ascii="Calibri" w:hAnsi="Calibri" w:cs="Arial"/>
                <w:b/>
                <w:bCs/>
                <w:sz w:val="16"/>
                <w:szCs w:val="16"/>
                <w:lang w:eastAsia="en-AU"/>
              </w:rPr>
              <w:t>(%)</w:t>
            </w:r>
          </w:p>
        </w:tc>
        <w:tc>
          <w:tcPr>
            <w:tcW w:w="993" w:type="dxa"/>
            <w:tcBorders>
              <w:top w:val="nil"/>
              <w:left w:val="nil"/>
              <w:bottom w:val="single" w:sz="4" w:space="0" w:color="auto"/>
              <w:right w:val="nil"/>
            </w:tcBorders>
            <w:shd w:val="clear" w:color="000000" w:fill="FFFFFF"/>
            <w:vAlign w:val="bottom"/>
            <w:hideMark/>
          </w:tcPr>
          <w:p w14:paraId="4E79D43A" w14:textId="77777777" w:rsidR="00E915C7" w:rsidRPr="003436D5" w:rsidRDefault="00E915C7" w:rsidP="007D3130">
            <w:pPr>
              <w:spacing w:before="0" w:after="0"/>
              <w:jc w:val="right"/>
              <w:rPr>
                <w:rFonts w:ascii="Calibri" w:hAnsi="Calibri" w:cs="Arial"/>
                <w:b/>
                <w:bCs/>
                <w:sz w:val="16"/>
                <w:szCs w:val="16"/>
                <w:lang w:eastAsia="en-AU"/>
              </w:rPr>
            </w:pPr>
            <w:r w:rsidRPr="003436D5">
              <w:rPr>
                <w:rFonts w:ascii="Calibri" w:hAnsi="Calibri" w:cs="Arial"/>
                <w:b/>
                <w:bCs/>
                <w:sz w:val="16"/>
                <w:szCs w:val="16"/>
                <w:lang w:eastAsia="en-AU"/>
              </w:rPr>
              <w:t>(ha)</w:t>
            </w:r>
          </w:p>
        </w:tc>
        <w:tc>
          <w:tcPr>
            <w:tcW w:w="708" w:type="dxa"/>
            <w:tcBorders>
              <w:top w:val="nil"/>
              <w:left w:val="nil"/>
              <w:bottom w:val="single" w:sz="4" w:space="0" w:color="auto"/>
              <w:right w:val="single" w:sz="4" w:space="0" w:color="auto"/>
            </w:tcBorders>
            <w:shd w:val="clear" w:color="000000" w:fill="FFFFFF"/>
            <w:vAlign w:val="bottom"/>
            <w:hideMark/>
          </w:tcPr>
          <w:p w14:paraId="32CFA5EA" w14:textId="77777777" w:rsidR="00E915C7" w:rsidRPr="003436D5" w:rsidRDefault="00E915C7" w:rsidP="007D3130">
            <w:pPr>
              <w:spacing w:before="0" w:after="0"/>
              <w:jc w:val="right"/>
              <w:rPr>
                <w:rFonts w:ascii="Calibri" w:hAnsi="Calibri" w:cs="Arial"/>
                <w:b/>
                <w:bCs/>
                <w:sz w:val="16"/>
                <w:szCs w:val="16"/>
                <w:lang w:eastAsia="en-AU"/>
              </w:rPr>
            </w:pPr>
            <w:r w:rsidRPr="003436D5">
              <w:rPr>
                <w:rFonts w:ascii="Calibri" w:hAnsi="Calibri" w:cs="Arial"/>
                <w:b/>
                <w:bCs/>
                <w:sz w:val="16"/>
                <w:szCs w:val="16"/>
                <w:lang w:eastAsia="en-AU"/>
              </w:rPr>
              <w:t>(%)</w:t>
            </w:r>
          </w:p>
        </w:tc>
        <w:tc>
          <w:tcPr>
            <w:tcW w:w="972" w:type="dxa"/>
            <w:tcBorders>
              <w:top w:val="nil"/>
              <w:left w:val="nil"/>
              <w:bottom w:val="single" w:sz="4" w:space="0" w:color="auto"/>
              <w:right w:val="nil"/>
            </w:tcBorders>
            <w:shd w:val="clear" w:color="000000" w:fill="FFFFFF"/>
            <w:vAlign w:val="bottom"/>
            <w:hideMark/>
          </w:tcPr>
          <w:p w14:paraId="631CCA9D" w14:textId="77777777" w:rsidR="00E915C7" w:rsidRPr="003436D5" w:rsidRDefault="00E915C7" w:rsidP="007D3130">
            <w:pPr>
              <w:spacing w:before="0" w:after="0"/>
              <w:jc w:val="right"/>
              <w:rPr>
                <w:rFonts w:ascii="Calibri" w:hAnsi="Calibri" w:cs="Arial"/>
                <w:b/>
                <w:bCs/>
                <w:sz w:val="16"/>
                <w:szCs w:val="16"/>
                <w:lang w:eastAsia="en-AU"/>
              </w:rPr>
            </w:pPr>
            <w:r w:rsidRPr="003436D5">
              <w:rPr>
                <w:rFonts w:ascii="Calibri" w:hAnsi="Calibri" w:cs="Arial"/>
                <w:b/>
                <w:bCs/>
                <w:sz w:val="16"/>
                <w:szCs w:val="16"/>
                <w:lang w:eastAsia="en-AU"/>
              </w:rPr>
              <w:t>(ha)</w:t>
            </w:r>
          </w:p>
        </w:tc>
        <w:tc>
          <w:tcPr>
            <w:tcW w:w="729" w:type="dxa"/>
            <w:tcBorders>
              <w:top w:val="nil"/>
              <w:left w:val="nil"/>
              <w:bottom w:val="single" w:sz="4" w:space="0" w:color="auto"/>
              <w:right w:val="single" w:sz="4" w:space="0" w:color="auto"/>
            </w:tcBorders>
            <w:shd w:val="clear" w:color="000000" w:fill="FFFFFF"/>
            <w:vAlign w:val="bottom"/>
            <w:hideMark/>
          </w:tcPr>
          <w:p w14:paraId="6295C33F" w14:textId="77777777" w:rsidR="00E915C7" w:rsidRPr="003436D5" w:rsidRDefault="00E915C7" w:rsidP="007D3130">
            <w:pPr>
              <w:spacing w:before="0" w:after="0"/>
              <w:jc w:val="right"/>
              <w:rPr>
                <w:rFonts w:ascii="Calibri" w:hAnsi="Calibri" w:cs="Arial"/>
                <w:b/>
                <w:bCs/>
                <w:sz w:val="16"/>
                <w:szCs w:val="16"/>
                <w:lang w:eastAsia="en-AU"/>
              </w:rPr>
            </w:pPr>
            <w:r w:rsidRPr="003436D5">
              <w:rPr>
                <w:rFonts w:ascii="Calibri" w:hAnsi="Calibri" w:cs="Arial"/>
                <w:b/>
                <w:bCs/>
                <w:sz w:val="16"/>
                <w:szCs w:val="16"/>
                <w:lang w:eastAsia="en-AU"/>
              </w:rPr>
              <w:t>(%)</w:t>
            </w:r>
          </w:p>
        </w:tc>
        <w:tc>
          <w:tcPr>
            <w:tcW w:w="992" w:type="dxa"/>
            <w:vMerge/>
            <w:tcBorders>
              <w:top w:val="single" w:sz="4" w:space="0" w:color="auto"/>
              <w:left w:val="single" w:sz="4" w:space="0" w:color="auto"/>
              <w:bottom w:val="single" w:sz="4" w:space="0" w:color="000000"/>
              <w:right w:val="nil"/>
            </w:tcBorders>
            <w:vAlign w:val="center"/>
            <w:hideMark/>
          </w:tcPr>
          <w:p w14:paraId="26703C67" w14:textId="77777777" w:rsidR="00E915C7" w:rsidRPr="003436D5" w:rsidRDefault="00E915C7" w:rsidP="007D3130">
            <w:pPr>
              <w:spacing w:before="0" w:after="0"/>
              <w:rPr>
                <w:rFonts w:ascii="Calibri" w:hAnsi="Calibri" w:cs="Arial"/>
                <w:b/>
                <w:bCs/>
                <w:sz w:val="16"/>
                <w:szCs w:val="16"/>
                <w:lang w:eastAsia="en-AU"/>
              </w:rPr>
            </w:pPr>
          </w:p>
        </w:tc>
      </w:tr>
      <w:tr w:rsidR="00E915C7" w:rsidRPr="003436D5" w14:paraId="0580F21A" w14:textId="77777777" w:rsidTr="00447B1E">
        <w:trPr>
          <w:trHeight w:val="480"/>
        </w:trPr>
        <w:tc>
          <w:tcPr>
            <w:tcW w:w="1843" w:type="dxa"/>
            <w:tcBorders>
              <w:top w:val="nil"/>
              <w:left w:val="nil"/>
              <w:bottom w:val="single" w:sz="4" w:space="0" w:color="auto"/>
              <w:right w:val="single" w:sz="4" w:space="0" w:color="auto"/>
            </w:tcBorders>
            <w:shd w:val="clear" w:color="000000" w:fill="FFFFFF"/>
            <w:vAlign w:val="center"/>
            <w:hideMark/>
          </w:tcPr>
          <w:p w14:paraId="72769AFC" w14:textId="04A89F6D" w:rsidR="00E915C7" w:rsidRPr="003405E4" w:rsidRDefault="00E915C7" w:rsidP="00611B91">
            <w:pPr>
              <w:spacing w:before="0" w:after="0"/>
              <w:rPr>
                <w:rFonts w:asciiTheme="majorHAnsi" w:hAnsiTheme="majorHAnsi" w:cs="Arial"/>
                <w:b/>
                <w:bCs/>
                <w:sz w:val="16"/>
                <w:szCs w:val="16"/>
                <w:lang w:eastAsia="en-AU"/>
              </w:rPr>
            </w:pPr>
            <w:r w:rsidRPr="003405E4">
              <w:rPr>
                <w:rFonts w:asciiTheme="majorHAnsi" w:hAnsiTheme="majorHAnsi" w:cs="Arial"/>
                <w:b/>
                <w:bCs/>
                <w:sz w:val="16"/>
                <w:szCs w:val="16"/>
                <w:lang w:eastAsia="en-AU"/>
              </w:rPr>
              <w:t xml:space="preserve">Column </w:t>
            </w:r>
            <w:r w:rsidR="001120D3" w:rsidRPr="003405E4">
              <w:rPr>
                <w:rFonts w:asciiTheme="majorHAnsi" w:hAnsiTheme="majorHAnsi" w:cs="Arial"/>
                <w:b/>
                <w:bCs/>
                <w:sz w:val="16"/>
                <w:szCs w:val="16"/>
                <w:lang w:eastAsia="en-AU"/>
              </w:rPr>
              <w:t>code</w:t>
            </w:r>
            <w:r w:rsidR="001120D3">
              <w:rPr>
                <w:rFonts w:asciiTheme="majorHAnsi" w:hAnsiTheme="majorHAnsi" w:cs="Arial"/>
                <w:b/>
                <w:bCs/>
                <w:sz w:val="16"/>
                <w:szCs w:val="16"/>
                <w:lang w:eastAsia="en-AU"/>
              </w:rPr>
              <w:t>,</w:t>
            </w:r>
            <w:r w:rsidR="001120D3" w:rsidRPr="003405E4">
              <w:rPr>
                <w:rFonts w:asciiTheme="majorHAnsi" w:hAnsiTheme="majorHAnsi" w:cs="Arial"/>
                <w:b/>
                <w:bCs/>
                <w:sz w:val="16"/>
                <w:szCs w:val="16"/>
                <w:lang w:eastAsia="en-AU"/>
              </w:rPr>
              <w:t xml:space="preserve"> continu</w:t>
            </w:r>
            <w:r w:rsidR="001120D3">
              <w:rPr>
                <w:rFonts w:asciiTheme="majorHAnsi" w:hAnsiTheme="majorHAnsi" w:cs="Arial"/>
                <w:b/>
                <w:bCs/>
                <w:sz w:val="16"/>
                <w:szCs w:val="16"/>
                <w:lang w:eastAsia="en-AU"/>
              </w:rPr>
              <w:t>ing</w:t>
            </w:r>
            <w:r w:rsidR="001120D3" w:rsidRPr="003405E4">
              <w:rPr>
                <w:rFonts w:asciiTheme="majorHAnsi" w:hAnsiTheme="majorHAnsi" w:cs="Arial"/>
                <w:b/>
                <w:bCs/>
                <w:sz w:val="16"/>
                <w:szCs w:val="16"/>
                <w:lang w:eastAsia="en-AU"/>
              </w:rPr>
              <w:t xml:space="preserve"> </w:t>
            </w:r>
            <w:r w:rsidRPr="003405E4">
              <w:rPr>
                <w:rFonts w:asciiTheme="majorHAnsi" w:hAnsiTheme="majorHAnsi" w:cs="Arial"/>
                <w:b/>
                <w:bCs/>
                <w:sz w:val="16"/>
                <w:szCs w:val="16"/>
                <w:lang w:eastAsia="en-AU"/>
              </w:rPr>
              <w:t xml:space="preserve">from </w:t>
            </w:r>
            <w:r w:rsidR="001120D3">
              <w:rPr>
                <w:rFonts w:asciiTheme="majorHAnsi" w:hAnsiTheme="majorHAnsi" w:cs="Arial"/>
                <w:b/>
                <w:bCs/>
                <w:sz w:val="16"/>
                <w:szCs w:val="16"/>
                <w:lang w:eastAsia="en-AU"/>
              </w:rPr>
              <w:t>previous tables</w:t>
            </w:r>
            <w:r>
              <w:rPr>
                <w:rFonts w:asciiTheme="majorHAnsi" w:hAnsiTheme="majorHAnsi" w:cs="Arial"/>
                <w:b/>
                <w:bCs/>
                <w:sz w:val="16"/>
                <w:szCs w:val="16"/>
                <w:lang w:eastAsia="en-AU"/>
              </w:rPr>
              <w:t xml:space="preserve"> </w:t>
            </w:r>
            <w:r w:rsidRPr="005E47C4">
              <w:rPr>
                <w:rFonts w:asciiTheme="majorHAnsi" w:hAnsiTheme="majorHAnsi" w:cs="Arial"/>
                <w:b/>
                <w:bCs/>
                <w:position w:val="4"/>
                <w:sz w:val="16"/>
                <w:szCs w:val="16"/>
              </w:rPr>
              <w:t>c</w:t>
            </w:r>
            <w:r w:rsidRPr="003405E4">
              <w:rPr>
                <w:rFonts w:asciiTheme="majorHAnsi" w:hAnsiTheme="majorHAnsi" w:cs="Arial"/>
                <w:sz w:val="16"/>
                <w:szCs w:val="16"/>
                <w:lang w:eastAsia="en-AU"/>
              </w:rPr>
              <w:t xml:space="preserve"> Derivations of figures</w:t>
            </w:r>
          </w:p>
        </w:tc>
        <w:tc>
          <w:tcPr>
            <w:tcW w:w="992" w:type="dxa"/>
            <w:tcBorders>
              <w:top w:val="nil"/>
              <w:left w:val="nil"/>
              <w:bottom w:val="single" w:sz="4" w:space="0" w:color="auto"/>
              <w:right w:val="single" w:sz="4" w:space="0" w:color="auto"/>
            </w:tcBorders>
            <w:shd w:val="clear" w:color="000000" w:fill="FFFFFF"/>
            <w:hideMark/>
          </w:tcPr>
          <w:p w14:paraId="4B24BC6B" w14:textId="77777777" w:rsidR="00E915C7" w:rsidRPr="003405E4" w:rsidRDefault="00E915C7" w:rsidP="007D3130">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D</w:t>
            </w:r>
          </w:p>
        </w:tc>
        <w:tc>
          <w:tcPr>
            <w:tcW w:w="851" w:type="dxa"/>
            <w:tcBorders>
              <w:top w:val="nil"/>
              <w:left w:val="nil"/>
              <w:bottom w:val="single" w:sz="4" w:space="0" w:color="auto"/>
              <w:right w:val="nil"/>
            </w:tcBorders>
            <w:shd w:val="clear" w:color="000000" w:fill="FFFFFF"/>
            <w:hideMark/>
          </w:tcPr>
          <w:p w14:paraId="5B5D2CE9" w14:textId="68F6779E"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A</w:t>
            </w:r>
            <w:r w:rsidR="0004079B">
              <w:rPr>
                <w:rFonts w:asciiTheme="majorHAnsi" w:hAnsiTheme="majorHAnsi" w:cs="Arial"/>
                <w:b/>
                <w:bCs/>
                <w:sz w:val="16"/>
                <w:szCs w:val="16"/>
                <w:lang w:eastAsia="en-AU"/>
              </w:rPr>
              <w:t>V</w:t>
            </w:r>
          </w:p>
        </w:tc>
        <w:tc>
          <w:tcPr>
            <w:tcW w:w="850" w:type="dxa"/>
            <w:tcBorders>
              <w:top w:val="nil"/>
              <w:left w:val="nil"/>
              <w:bottom w:val="single" w:sz="4" w:space="0" w:color="auto"/>
              <w:right w:val="nil"/>
            </w:tcBorders>
            <w:shd w:val="clear" w:color="000000" w:fill="FFFFFF"/>
            <w:hideMark/>
          </w:tcPr>
          <w:p w14:paraId="2090D0E5" w14:textId="5257C888"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A</w:t>
            </w:r>
            <w:r w:rsidR="0004079B">
              <w:rPr>
                <w:rFonts w:asciiTheme="majorHAnsi" w:hAnsiTheme="majorHAnsi" w:cs="Arial"/>
                <w:b/>
                <w:bCs/>
                <w:sz w:val="16"/>
                <w:szCs w:val="16"/>
                <w:lang w:eastAsia="en-AU"/>
              </w:rPr>
              <w:t>W</w:t>
            </w:r>
          </w:p>
        </w:tc>
        <w:tc>
          <w:tcPr>
            <w:tcW w:w="851" w:type="dxa"/>
            <w:tcBorders>
              <w:top w:val="nil"/>
              <w:left w:val="nil"/>
              <w:bottom w:val="single" w:sz="4" w:space="0" w:color="auto"/>
              <w:right w:val="nil"/>
            </w:tcBorders>
            <w:shd w:val="clear" w:color="000000" w:fill="FFFFFF"/>
            <w:hideMark/>
          </w:tcPr>
          <w:p w14:paraId="6EAAAA65" w14:textId="0CB4E4F9"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A</w:t>
            </w:r>
            <w:r w:rsidR="0004079B">
              <w:rPr>
                <w:rFonts w:asciiTheme="majorHAnsi" w:hAnsiTheme="majorHAnsi" w:cs="Arial"/>
                <w:b/>
                <w:bCs/>
                <w:sz w:val="16"/>
                <w:szCs w:val="16"/>
                <w:lang w:eastAsia="en-AU"/>
              </w:rPr>
              <w:t>X</w:t>
            </w:r>
          </w:p>
        </w:tc>
        <w:tc>
          <w:tcPr>
            <w:tcW w:w="850" w:type="dxa"/>
            <w:tcBorders>
              <w:top w:val="nil"/>
              <w:left w:val="nil"/>
              <w:bottom w:val="single" w:sz="4" w:space="0" w:color="auto"/>
              <w:right w:val="nil"/>
            </w:tcBorders>
            <w:shd w:val="clear" w:color="000000" w:fill="FFFFFF"/>
            <w:hideMark/>
          </w:tcPr>
          <w:p w14:paraId="2457D04A" w14:textId="12C0D696"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A</w:t>
            </w:r>
            <w:r w:rsidR="0004079B">
              <w:rPr>
                <w:rFonts w:asciiTheme="majorHAnsi" w:hAnsiTheme="majorHAnsi" w:cs="Arial"/>
                <w:b/>
                <w:bCs/>
                <w:sz w:val="16"/>
                <w:szCs w:val="16"/>
                <w:lang w:eastAsia="en-AU"/>
              </w:rPr>
              <w:t>Y</w:t>
            </w:r>
          </w:p>
        </w:tc>
        <w:tc>
          <w:tcPr>
            <w:tcW w:w="850" w:type="dxa"/>
            <w:tcBorders>
              <w:top w:val="nil"/>
              <w:left w:val="nil"/>
              <w:bottom w:val="single" w:sz="4" w:space="0" w:color="auto"/>
              <w:right w:val="nil"/>
            </w:tcBorders>
            <w:shd w:val="clear" w:color="000000" w:fill="FFFFFF"/>
            <w:hideMark/>
          </w:tcPr>
          <w:p w14:paraId="57DE7A6D" w14:textId="0AF4FFD4" w:rsidR="00E915C7" w:rsidRPr="003405E4" w:rsidRDefault="0004079B" w:rsidP="007D3130">
            <w:pPr>
              <w:spacing w:before="0" w:after="0"/>
              <w:jc w:val="center"/>
              <w:rPr>
                <w:rFonts w:asciiTheme="majorHAnsi" w:hAnsiTheme="majorHAnsi" w:cs="Arial"/>
                <w:b/>
                <w:bCs/>
                <w:sz w:val="16"/>
                <w:szCs w:val="16"/>
                <w:lang w:eastAsia="en-AU"/>
              </w:rPr>
            </w:pPr>
            <w:r>
              <w:rPr>
                <w:rFonts w:asciiTheme="majorHAnsi" w:hAnsiTheme="majorHAnsi" w:cs="Arial"/>
                <w:b/>
                <w:bCs/>
                <w:sz w:val="16"/>
                <w:szCs w:val="16"/>
                <w:lang w:eastAsia="en-AU"/>
              </w:rPr>
              <w:t>AZ</w:t>
            </w:r>
          </w:p>
        </w:tc>
        <w:tc>
          <w:tcPr>
            <w:tcW w:w="837" w:type="dxa"/>
            <w:tcBorders>
              <w:top w:val="nil"/>
              <w:left w:val="nil"/>
              <w:bottom w:val="single" w:sz="4" w:space="0" w:color="auto"/>
            </w:tcBorders>
            <w:shd w:val="clear" w:color="000000" w:fill="FFFFFF"/>
            <w:hideMark/>
          </w:tcPr>
          <w:p w14:paraId="0D0B95BF" w14:textId="7407187E"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04079B">
              <w:rPr>
                <w:rFonts w:asciiTheme="majorHAnsi" w:hAnsiTheme="majorHAnsi" w:cs="Arial"/>
                <w:b/>
                <w:bCs/>
                <w:sz w:val="16"/>
                <w:szCs w:val="16"/>
                <w:lang w:eastAsia="en-AU"/>
              </w:rPr>
              <w:t>A</w:t>
            </w:r>
          </w:p>
        </w:tc>
        <w:tc>
          <w:tcPr>
            <w:tcW w:w="864" w:type="dxa"/>
            <w:tcBorders>
              <w:top w:val="nil"/>
              <w:bottom w:val="single" w:sz="4" w:space="0" w:color="auto"/>
              <w:right w:val="single" w:sz="4" w:space="0" w:color="auto"/>
            </w:tcBorders>
            <w:shd w:val="clear" w:color="000000" w:fill="FFFFFF"/>
          </w:tcPr>
          <w:p w14:paraId="107C7451" w14:textId="4F43879E"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04079B">
              <w:rPr>
                <w:rFonts w:asciiTheme="majorHAnsi" w:hAnsiTheme="majorHAnsi" w:cs="Arial"/>
                <w:b/>
                <w:bCs/>
                <w:sz w:val="16"/>
                <w:szCs w:val="16"/>
                <w:lang w:eastAsia="en-AU"/>
              </w:rPr>
              <w:t>B</w:t>
            </w:r>
          </w:p>
        </w:tc>
        <w:tc>
          <w:tcPr>
            <w:tcW w:w="992" w:type="dxa"/>
            <w:tcBorders>
              <w:top w:val="nil"/>
              <w:left w:val="single" w:sz="4" w:space="0" w:color="auto"/>
              <w:bottom w:val="single" w:sz="4" w:space="0" w:color="auto"/>
              <w:right w:val="single" w:sz="4" w:space="0" w:color="auto"/>
            </w:tcBorders>
            <w:shd w:val="clear" w:color="000000" w:fill="FFFFFF"/>
            <w:hideMark/>
          </w:tcPr>
          <w:p w14:paraId="1186F62F" w14:textId="34BE6CB1"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04079B">
              <w:rPr>
                <w:rFonts w:asciiTheme="majorHAnsi" w:hAnsiTheme="majorHAnsi" w:cs="Arial"/>
                <w:b/>
                <w:bCs/>
                <w:sz w:val="16"/>
                <w:szCs w:val="16"/>
                <w:lang w:eastAsia="en-AU"/>
              </w:rPr>
              <w:t>C</w:t>
            </w:r>
            <w:r w:rsidRPr="003405E4">
              <w:rPr>
                <w:rFonts w:asciiTheme="majorHAnsi" w:hAnsiTheme="majorHAnsi" w:cs="Arial"/>
                <w:b/>
                <w:bCs/>
                <w:sz w:val="16"/>
                <w:szCs w:val="16"/>
                <w:lang w:eastAsia="en-AU"/>
              </w:rPr>
              <w:br/>
            </w:r>
            <w:r w:rsidRPr="003405E4">
              <w:rPr>
                <w:rFonts w:asciiTheme="majorHAnsi" w:hAnsiTheme="majorHAnsi" w:cs="Arial"/>
                <w:sz w:val="16"/>
                <w:szCs w:val="16"/>
                <w:lang w:eastAsia="en-AU"/>
              </w:rPr>
              <w:t>=A</w:t>
            </w:r>
            <w:r w:rsidR="0004079B">
              <w:rPr>
                <w:rFonts w:asciiTheme="majorHAnsi" w:hAnsiTheme="majorHAnsi" w:cs="Arial"/>
                <w:sz w:val="16"/>
                <w:szCs w:val="16"/>
                <w:lang w:eastAsia="en-AU"/>
              </w:rPr>
              <w:t>V</w:t>
            </w:r>
            <w:r w:rsidRPr="003405E4">
              <w:rPr>
                <w:rFonts w:asciiTheme="majorHAnsi" w:hAnsiTheme="majorHAnsi" w:cs="Arial"/>
                <w:sz w:val="16"/>
                <w:szCs w:val="16"/>
                <w:lang w:eastAsia="en-AU"/>
              </w:rPr>
              <w:t>/D</w:t>
            </w:r>
          </w:p>
        </w:tc>
        <w:tc>
          <w:tcPr>
            <w:tcW w:w="850" w:type="dxa"/>
            <w:tcBorders>
              <w:top w:val="nil"/>
              <w:left w:val="nil"/>
              <w:bottom w:val="single" w:sz="4" w:space="0" w:color="auto"/>
              <w:right w:val="nil"/>
            </w:tcBorders>
            <w:shd w:val="clear" w:color="000000" w:fill="FFFFFF"/>
            <w:hideMark/>
          </w:tcPr>
          <w:p w14:paraId="019F29BE" w14:textId="25E193E5"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04079B">
              <w:rPr>
                <w:rFonts w:asciiTheme="majorHAnsi" w:hAnsiTheme="majorHAnsi" w:cs="Arial"/>
                <w:b/>
                <w:bCs/>
                <w:sz w:val="16"/>
                <w:szCs w:val="16"/>
                <w:lang w:eastAsia="en-AU"/>
              </w:rPr>
              <w:t>D</w:t>
            </w:r>
            <w:r w:rsidRPr="003405E4">
              <w:rPr>
                <w:rFonts w:asciiTheme="majorHAnsi" w:hAnsiTheme="majorHAnsi" w:cs="Arial"/>
                <w:b/>
                <w:bCs/>
                <w:sz w:val="16"/>
                <w:szCs w:val="16"/>
                <w:lang w:eastAsia="en-AU"/>
              </w:rPr>
              <w:br/>
            </w:r>
            <w:r w:rsidR="00611B91">
              <w:rPr>
                <w:rFonts w:asciiTheme="majorHAnsi" w:hAnsiTheme="majorHAnsi" w:cs="Arial"/>
                <w:sz w:val="16"/>
                <w:szCs w:val="16"/>
                <w:lang w:eastAsia="en-AU"/>
              </w:rPr>
              <w:t>=A</w:t>
            </w:r>
            <w:r w:rsidR="0004079B">
              <w:rPr>
                <w:rFonts w:asciiTheme="majorHAnsi" w:hAnsiTheme="majorHAnsi" w:cs="Arial"/>
                <w:sz w:val="16"/>
                <w:szCs w:val="16"/>
                <w:lang w:eastAsia="en-AU"/>
              </w:rPr>
              <w:t>W</w:t>
            </w:r>
            <w:r w:rsidR="00611B91">
              <w:rPr>
                <w:rFonts w:asciiTheme="majorHAnsi" w:hAnsiTheme="majorHAnsi" w:cs="Arial"/>
                <w:sz w:val="16"/>
                <w:szCs w:val="16"/>
                <w:lang w:eastAsia="en-AU"/>
              </w:rPr>
              <w:t>-A</w:t>
            </w:r>
            <w:r w:rsidR="0004079B">
              <w:rPr>
                <w:rFonts w:asciiTheme="majorHAnsi" w:hAnsiTheme="majorHAnsi" w:cs="Arial"/>
                <w:sz w:val="16"/>
                <w:szCs w:val="16"/>
                <w:lang w:eastAsia="en-AU"/>
              </w:rPr>
              <w:t>V</w:t>
            </w:r>
          </w:p>
        </w:tc>
        <w:tc>
          <w:tcPr>
            <w:tcW w:w="710" w:type="dxa"/>
            <w:tcBorders>
              <w:top w:val="nil"/>
              <w:left w:val="nil"/>
              <w:bottom w:val="single" w:sz="4" w:space="0" w:color="auto"/>
              <w:right w:val="single" w:sz="4" w:space="0" w:color="auto"/>
            </w:tcBorders>
            <w:shd w:val="clear" w:color="000000" w:fill="FFFFFF"/>
            <w:hideMark/>
          </w:tcPr>
          <w:p w14:paraId="52110822" w14:textId="75677DD7"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04079B">
              <w:rPr>
                <w:rFonts w:asciiTheme="majorHAnsi" w:hAnsiTheme="majorHAnsi" w:cs="Arial"/>
                <w:b/>
                <w:bCs/>
                <w:sz w:val="16"/>
                <w:szCs w:val="16"/>
                <w:lang w:eastAsia="en-AU"/>
              </w:rPr>
              <w:t>E</w:t>
            </w:r>
            <w:r w:rsidRPr="003405E4">
              <w:rPr>
                <w:rFonts w:asciiTheme="majorHAnsi" w:hAnsiTheme="majorHAnsi" w:cs="Arial"/>
                <w:b/>
                <w:bCs/>
                <w:sz w:val="16"/>
                <w:szCs w:val="16"/>
                <w:lang w:eastAsia="en-AU"/>
              </w:rPr>
              <w:br/>
            </w:r>
            <w:r w:rsidR="00611B91">
              <w:rPr>
                <w:rFonts w:asciiTheme="majorHAnsi" w:hAnsiTheme="majorHAnsi" w:cs="Arial"/>
                <w:sz w:val="16"/>
                <w:szCs w:val="16"/>
                <w:lang w:eastAsia="en-AU"/>
              </w:rPr>
              <w:t>=B</w:t>
            </w:r>
            <w:r w:rsidR="0004079B">
              <w:rPr>
                <w:rFonts w:asciiTheme="majorHAnsi" w:hAnsiTheme="majorHAnsi" w:cs="Arial"/>
                <w:sz w:val="16"/>
                <w:szCs w:val="16"/>
                <w:lang w:eastAsia="en-AU"/>
              </w:rPr>
              <w:t>D</w:t>
            </w:r>
            <w:r w:rsidR="00611B91">
              <w:rPr>
                <w:rFonts w:asciiTheme="majorHAnsi" w:hAnsiTheme="majorHAnsi" w:cs="Arial"/>
                <w:sz w:val="16"/>
                <w:szCs w:val="16"/>
                <w:lang w:eastAsia="en-AU"/>
              </w:rPr>
              <w:t xml:space="preserve"> /A</w:t>
            </w:r>
            <w:r w:rsidR="0004079B">
              <w:rPr>
                <w:rFonts w:asciiTheme="majorHAnsi" w:hAnsiTheme="majorHAnsi" w:cs="Arial"/>
                <w:sz w:val="16"/>
                <w:szCs w:val="16"/>
                <w:lang w:eastAsia="en-AU"/>
              </w:rPr>
              <w:t>V</w:t>
            </w:r>
          </w:p>
        </w:tc>
        <w:tc>
          <w:tcPr>
            <w:tcW w:w="993" w:type="dxa"/>
            <w:tcBorders>
              <w:top w:val="nil"/>
              <w:left w:val="nil"/>
              <w:bottom w:val="single" w:sz="4" w:space="0" w:color="auto"/>
              <w:right w:val="nil"/>
            </w:tcBorders>
            <w:shd w:val="clear" w:color="000000" w:fill="FFFFFF"/>
            <w:hideMark/>
          </w:tcPr>
          <w:p w14:paraId="7271DD56" w14:textId="66862103"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04079B">
              <w:rPr>
                <w:rFonts w:asciiTheme="majorHAnsi" w:hAnsiTheme="majorHAnsi" w:cs="Arial"/>
                <w:b/>
                <w:bCs/>
                <w:sz w:val="16"/>
                <w:szCs w:val="16"/>
                <w:lang w:eastAsia="en-AU"/>
              </w:rPr>
              <w:t>F</w:t>
            </w:r>
            <w:r w:rsidRPr="003405E4">
              <w:rPr>
                <w:rFonts w:asciiTheme="majorHAnsi" w:hAnsiTheme="majorHAnsi" w:cs="Arial"/>
                <w:b/>
                <w:bCs/>
                <w:sz w:val="16"/>
                <w:szCs w:val="16"/>
                <w:lang w:eastAsia="en-AU"/>
              </w:rPr>
              <w:br/>
            </w:r>
            <w:r w:rsidRPr="003405E4">
              <w:rPr>
                <w:rFonts w:asciiTheme="majorHAnsi" w:hAnsiTheme="majorHAnsi" w:cs="Arial"/>
                <w:sz w:val="16"/>
                <w:szCs w:val="16"/>
                <w:lang w:eastAsia="en-AU"/>
              </w:rPr>
              <w:t>=B</w:t>
            </w:r>
            <w:r w:rsidR="0004079B">
              <w:rPr>
                <w:rFonts w:asciiTheme="majorHAnsi" w:hAnsiTheme="majorHAnsi" w:cs="Arial"/>
                <w:sz w:val="16"/>
                <w:szCs w:val="16"/>
                <w:lang w:eastAsia="en-AU"/>
              </w:rPr>
              <w:t>B</w:t>
            </w:r>
            <w:r w:rsidRPr="003405E4">
              <w:rPr>
                <w:rFonts w:asciiTheme="majorHAnsi" w:hAnsiTheme="majorHAnsi" w:cs="Arial"/>
                <w:sz w:val="16"/>
                <w:szCs w:val="16"/>
                <w:lang w:eastAsia="en-AU"/>
              </w:rPr>
              <w:t>-A</w:t>
            </w:r>
            <w:r w:rsidR="0004079B">
              <w:rPr>
                <w:rFonts w:asciiTheme="majorHAnsi" w:hAnsiTheme="majorHAnsi" w:cs="Arial"/>
                <w:sz w:val="16"/>
                <w:szCs w:val="16"/>
                <w:lang w:eastAsia="en-AU"/>
              </w:rPr>
              <w:t>V</w:t>
            </w:r>
          </w:p>
        </w:tc>
        <w:tc>
          <w:tcPr>
            <w:tcW w:w="708" w:type="dxa"/>
            <w:tcBorders>
              <w:top w:val="nil"/>
              <w:left w:val="nil"/>
              <w:bottom w:val="single" w:sz="4" w:space="0" w:color="auto"/>
              <w:right w:val="nil"/>
            </w:tcBorders>
            <w:shd w:val="clear" w:color="000000" w:fill="FFFFFF"/>
            <w:hideMark/>
          </w:tcPr>
          <w:p w14:paraId="15452182" w14:textId="34B26CF7"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04079B">
              <w:rPr>
                <w:rFonts w:asciiTheme="majorHAnsi" w:hAnsiTheme="majorHAnsi" w:cs="Arial"/>
                <w:b/>
                <w:bCs/>
                <w:sz w:val="16"/>
                <w:szCs w:val="16"/>
                <w:lang w:eastAsia="en-AU"/>
              </w:rPr>
              <w:t>H</w:t>
            </w:r>
            <w:r w:rsidRPr="003405E4">
              <w:rPr>
                <w:rFonts w:asciiTheme="majorHAnsi" w:hAnsiTheme="majorHAnsi" w:cs="Arial"/>
                <w:b/>
                <w:bCs/>
                <w:sz w:val="16"/>
                <w:szCs w:val="16"/>
                <w:lang w:eastAsia="en-AU"/>
              </w:rPr>
              <w:br/>
            </w:r>
            <w:r w:rsidR="00611B91">
              <w:rPr>
                <w:rFonts w:asciiTheme="majorHAnsi" w:hAnsiTheme="majorHAnsi" w:cs="Arial"/>
                <w:sz w:val="16"/>
                <w:szCs w:val="16"/>
                <w:lang w:eastAsia="en-AU"/>
              </w:rPr>
              <w:t>=B</w:t>
            </w:r>
            <w:r w:rsidR="0004079B">
              <w:rPr>
                <w:rFonts w:asciiTheme="majorHAnsi" w:hAnsiTheme="majorHAnsi" w:cs="Arial"/>
                <w:sz w:val="16"/>
                <w:szCs w:val="16"/>
                <w:lang w:eastAsia="en-AU"/>
              </w:rPr>
              <w:t>F</w:t>
            </w:r>
            <w:r w:rsidR="00611B91">
              <w:rPr>
                <w:rFonts w:asciiTheme="majorHAnsi" w:hAnsiTheme="majorHAnsi" w:cs="Arial"/>
                <w:sz w:val="16"/>
                <w:szCs w:val="16"/>
                <w:lang w:eastAsia="en-AU"/>
              </w:rPr>
              <w:t xml:space="preserve"> /A</w:t>
            </w:r>
            <w:r w:rsidR="0004079B">
              <w:rPr>
                <w:rFonts w:asciiTheme="majorHAnsi" w:hAnsiTheme="majorHAnsi" w:cs="Arial"/>
                <w:sz w:val="16"/>
                <w:szCs w:val="16"/>
                <w:lang w:eastAsia="en-AU"/>
              </w:rPr>
              <w:t>V</w:t>
            </w:r>
          </w:p>
        </w:tc>
        <w:tc>
          <w:tcPr>
            <w:tcW w:w="972" w:type="dxa"/>
            <w:tcBorders>
              <w:top w:val="nil"/>
              <w:left w:val="single" w:sz="4" w:space="0" w:color="auto"/>
              <w:bottom w:val="single" w:sz="4" w:space="0" w:color="auto"/>
              <w:right w:val="nil"/>
            </w:tcBorders>
            <w:shd w:val="clear" w:color="000000" w:fill="FFFFFF"/>
            <w:hideMark/>
          </w:tcPr>
          <w:p w14:paraId="1823360C" w14:textId="2A2D1C8E" w:rsidR="00E915C7" w:rsidRPr="003405E4" w:rsidRDefault="00E915C7" w:rsidP="0004079B">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04079B">
              <w:rPr>
                <w:rFonts w:asciiTheme="majorHAnsi" w:hAnsiTheme="majorHAnsi" w:cs="Arial"/>
                <w:b/>
                <w:bCs/>
                <w:sz w:val="16"/>
                <w:szCs w:val="16"/>
                <w:lang w:eastAsia="en-AU"/>
              </w:rPr>
              <w:t>H</w:t>
            </w:r>
            <w:r w:rsidRPr="003405E4">
              <w:rPr>
                <w:rFonts w:asciiTheme="majorHAnsi" w:hAnsiTheme="majorHAnsi" w:cs="Arial"/>
                <w:b/>
                <w:bCs/>
                <w:sz w:val="16"/>
                <w:szCs w:val="16"/>
                <w:lang w:eastAsia="en-AU"/>
              </w:rPr>
              <w:br/>
            </w:r>
            <w:r w:rsidR="00611B91">
              <w:rPr>
                <w:rFonts w:asciiTheme="majorHAnsi" w:hAnsiTheme="majorHAnsi" w:cs="Arial"/>
                <w:sz w:val="16"/>
                <w:szCs w:val="16"/>
                <w:lang w:eastAsia="en-AU"/>
              </w:rPr>
              <w:t>=B</w:t>
            </w:r>
            <w:r w:rsidR="0004079B">
              <w:rPr>
                <w:rFonts w:asciiTheme="majorHAnsi" w:hAnsiTheme="majorHAnsi" w:cs="Arial"/>
                <w:sz w:val="16"/>
                <w:szCs w:val="16"/>
                <w:lang w:eastAsia="en-AU"/>
              </w:rPr>
              <w:t>B</w:t>
            </w:r>
            <w:r w:rsidR="00611B91">
              <w:rPr>
                <w:rFonts w:asciiTheme="majorHAnsi" w:hAnsiTheme="majorHAnsi" w:cs="Arial"/>
                <w:sz w:val="16"/>
                <w:szCs w:val="16"/>
                <w:lang w:eastAsia="en-AU"/>
              </w:rPr>
              <w:t>-A</w:t>
            </w:r>
            <w:r w:rsidR="0004079B">
              <w:rPr>
                <w:rFonts w:asciiTheme="majorHAnsi" w:hAnsiTheme="majorHAnsi" w:cs="Arial"/>
                <w:sz w:val="16"/>
                <w:szCs w:val="16"/>
                <w:lang w:eastAsia="en-AU"/>
              </w:rPr>
              <w:t>W</w:t>
            </w:r>
          </w:p>
        </w:tc>
        <w:tc>
          <w:tcPr>
            <w:tcW w:w="729" w:type="dxa"/>
            <w:tcBorders>
              <w:top w:val="nil"/>
              <w:left w:val="nil"/>
              <w:bottom w:val="single" w:sz="4" w:space="0" w:color="auto"/>
              <w:right w:val="single" w:sz="4" w:space="0" w:color="auto"/>
            </w:tcBorders>
            <w:shd w:val="clear" w:color="000000" w:fill="FFFFFF"/>
            <w:hideMark/>
          </w:tcPr>
          <w:p w14:paraId="19DD1838" w14:textId="16DE2DA2" w:rsidR="00E915C7" w:rsidRPr="003405E4" w:rsidRDefault="00E915C7" w:rsidP="00E441F9">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E441F9">
              <w:rPr>
                <w:rFonts w:asciiTheme="majorHAnsi" w:hAnsiTheme="majorHAnsi" w:cs="Arial"/>
                <w:b/>
                <w:bCs/>
                <w:sz w:val="16"/>
                <w:szCs w:val="16"/>
                <w:lang w:eastAsia="en-AU"/>
              </w:rPr>
              <w:t>I</w:t>
            </w:r>
            <w:r w:rsidRPr="003405E4">
              <w:rPr>
                <w:rFonts w:asciiTheme="majorHAnsi" w:hAnsiTheme="majorHAnsi" w:cs="Arial"/>
                <w:b/>
                <w:bCs/>
                <w:sz w:val="16"/>
                <w:szCs w:val="16"/>
                <w:lang w:eastAsia="en-AU"/>
              </w:rPr>
              <w:br/>
            </w:r>
            <w:r w:rsidR="00611B91">
              <w:rPr>
                <w:rFonts w:asciiTheme="majorHAnsi" w:hAnsiTheme="majorHAnsi" w:cs="Arial"/>
                <w:sz w:val="16"/>
                <w:szCs w:val="16"/>
                <w:lang w:eastAsia="en-AU"/>
              </w:rPr>
              <w:t>=B</w:t>
            </w:r>
            <w:r w:rsidR="00E441F9">
              <w:rPr>
                <w:rFonts w:asciiTheme="majorHAnsi" w:hAnsiTheme="majorHAnsi" w:cs="Arial"/>
                <w:sz w:val="16"/>
                <w:szCs w:val="16"/>
                <w:lang w:eastAsia="en-AU"/>
              </w:rPr>
              <w:t>H</w:t>
            </w:r>
            <w:r w:rsidR="00611B91">
              <w:rPr>
                <w:rFonts w:asciiTheme="majorHAnsi" w:hAnsiTheme="majorHAnsi" w:cs="Arial"/>
                <w:sz w:val="16"/>
                <w:szCs w:val="16"/>
                <w:lang w:eastAsia="en-AU"/>
              </w:rPr>
              <w:t xml:space="preserve"> /A</w:t>
            </w:r>
            <w:r w:rsidR="00E441F9">
              <w:rPr>
                <w:rFonts w:asciiTheme="majorHAnsi" w:hAnsiTheme="majorHAnsi" w:cs="Arial"/>
                <w:sz w:val="16"/>
                <w:szCs w:val="16"/>
                <w:lang w:eastAsia="en-AU"/>
              </w:rPr>
              <w:t>W</w:t>
            </w:r>
          </w:p>
        </w:tc>
        <w:tc>
          <w:tcPr>
            <w:tcW w:w="992" w:type="dxa"/>
            <w:tcBorders>
              <w:top w:val="nil"/>
              <w:left w:val="nil"/>
              <w:bottom w:val="single" w:sz="4" w:space="0" w:color="auto"/>
              <w:right w:val="nil"/>
            </w:tcBorders>
            <w:shd w:val="clear" w:color="000000" w:fill="FFFFFF"/>
            <w:hideMark/>
          </w:tcPr>
          <w:p w14:paraId="51F6D61D" w14:textId="0579563B" w:rsidR="00E915C7" w:rsidRPr="003405E4" w:rsidRDefault="00E915C7" w:rsidP="00E441F9">
            <w:pPr>
              <w:spacing w:before="0" w:after="0"/>
              <w:jc w:val="center"/>
              <w:rPr>
                <w:rFonts w:asciiTheme="majorHAnsi" w:hAnsiTheme="majorHAnsi" w:cs="Arial"/>
                <w:b/>
                <w:bCs/>
                <w:sz w:val="16"/>
                <w:szCs w:val="16"/>
                <w:lang w:eastAsia="en-AU"/>
              </w:rPr>
            </w:pPr>
            <w:r w:rsidRPr="003405E4">
              <w:rPr>
                <w:rFonts w:asciiTheme="majorHAnsi" w:hAnsiTheme="majorHAnsi" w:cs="Arial"/>
                <w:b/>
                <w:bCs/>
                <w:sz w:val="16"/>
                <w:szCs w:val="16"/>
                <w:lang w:eastAsia="en-AU"/>
              </w:rPr>
              <w:t>B</w:t>
            </w:r>
            <w:r w:rsidR="00E441F9">
              <w:rPr>
                <w:rFonts w:asciiTheme="majorHAnsi" w:hAnsiTheme="majorHAnsi" w:cs="Arial"/>
                <w:b/>
                <w:bCs/>
                <w:sz w:val="16"/>
                <w:szCs w:val="16"/>
                <w:lang w:eastAsia="en-AU"/>
              </w:rPr>
              <w:t>J</w:t>
            </w:r>
            <w:r w:rsidRPr="003405E4">
              <w:rPr>
                <w:rFonts w:asciiTheme="majorHAnsi" w:hAnsiTheme="majorHAnsi" w:cs="Arial"/>
                <w:b/>
                <w:bCs/>
                <w:sz w:val="16"/>
                <w:szCs w:val="16"/>
                <w:lang w:eastAsia="en-AU"/>
              </w:rPr>
              <w:br/>
            </w:r>
            <w:r w:rsidR="00611B91">
              <w:rPr>
                <w:rFonts w:asciiTheme="majorHAnsi" w:hAnsiTheme="majorHAnsi" w:cs="Arial"/>
                <w:sz w:val="16"/>
                <w:szCs w:val="16"/>
                <w:lang w:eastAsia="en-AU"/>
              </w:rPr>
              <w:t>=B</w:t>
            </w:r>
            <w:r w:rsidR="00E441F9">
              <w:rPr>
                <w:rFonts w:asciiTheme="majorHAnsi" w:hAnsiTheme="majorHAnsi" w:cs="Arial"/>
                <w:sz w:val="16"/>
                <w:szCs w:val="16"/>
                <w:lang w:eastAsia="en-AU"/>
              </w:rPr>
              <w:t>B</w:t>
            </w:r>
            <w:r w:rsidR="00611B91">
              <w:rPr>
                <w:rFonts w:asciiTheme="majorHAnsi" w:hAnsiTheme="majorHAnsi" w:cs="Arial"/>
                <w:sz w:val="16"/>
                <w:szCs w:val="16"/>
                <w:lang w:eastAsia="en-AU"/>
              </w:rPr>
              <w:t>/D</w:t>
            </w:r>
          </w:p>
        </w:tc>
      </w:tr>
      <w:tr w:rsidR="00E915C7" w:rsidRPr="003436D5" w14:paraId="797BABBB" w14:textId="77777777" w:rsidTr="00447B1E">
        <w:trPr>
          <w:trHeight w:val="20"/>
        </w:trPr>
        <w:tc>
          <w:tcPr>
            <w:tcW w:w="15734" w:type="dxa"/>
            <w:gridSpan w:val="17"/>
            <w:tcBorders>
              <w:top w:val="nil"/>
              <w:left w:val="nil"/>
              <w:bottom w:val="single" w:sz="4" w:space="0" w:color="auto"/>
              <w:right w:val="single" w:sz="4" w:space="0" w:color="auto"/>
            </w:tcBorders>
            <w:shd w:val="clear" w:color="auto" w:fill="auto"/>
            <w:noWrap/>
            <w:vAlign w:val="center"/>
            <w:hideMark/>
          </w:tcPr>
          <w:p w14:paraId="3ED48193" w14:textId="77777777" w:rsidR="00E915C7" w:rsidRPr="003405E4" w:rsidRDefault="00E915C7" w:rsidP="007D3130">
            <w:pPr>
              <w:spacing w:before="0" w:after="0"/>
              <w:rPr>
                <w:rFonts w:asciiTheme="majorHAnsi" w:hAnsiTheme="majorHAnsi" w:cs="Arial"/>
                <w:b/>
                <w:bCs/>
                <w:sz w:val="16"/>
                <w:szCs w:val="16"/>
                <w:lang w:eastAsia="en-AU"/>
              </w:rPr>
            </w:pPr>
            <w:r w:rsidRPr="003405E4">
              <w:rPr>
                <w:rFonts w:asciiTheme="majorHAnsi" w:hAnsiTheme="majorHAnsi" w:cs="Arial"/>
                <w:b/>
                <w:bCs/>
                <w:sz w:val="16"/>
                <w:szCs w:val="16"/>
                <w:lang w:eastAsia="en-AU"/>
              </w:rPr>
              <w:t>New South Wales</w:t>
            </w:r>
          </w:p>
        </w:tc>
      </w:tr>
      <w:tr w:rsidR="00E915C7" w:rsidRPr="003436D5" w14:paraId="15343753"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18782224"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Eden</w:t>
            </w:r>
          </w:p>
        </w:tc>
        <w:tc>
          <w:tcPr>
            <w:tcW w:w="992" w:type="dxa"/>
            <w:tcBorders>
              <w:top w:val="nil"/>
              <w:left w:val="nil"/>
              <w:bottom w:val="nil"/>
              <w:right w:val="single" w:sz="4" w:space="0" w:color="auto"/>
            </w:tcBorders>
            <w:shd w:val="clear" w:color="000000" w:fill="FFFFFF"/>
            <w:noWrap/>
            <w:vAlign w:val="center"/>
            <w:hideMark/>
          </w:tcPr>
          <w:p w14:paraId="53C286A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408,298</w:t>
            </w:r>
          </w:p>
        </w:tc>
        <w:tc>
          <w:tcPr>
            <w:tcW w:w="851" w:type="dxa"/>
            <w:tcBorders>
              <w:top w:val="nil"/>
              <w:left w:val="nil"/>
              <w:bottom w:val="nil"/>
              <w:right w:val="nil"/>
            </w:tcBorders>
            <w:shd w:val="clear" w:color="000000" w:fill="FFFFFF"/>
            <w:noWrap/>
            <w:vAlign w:val="center"/>
            <w:hideMark/>
          </w:tcPr>
          <w:p w14:paraId="68B3E09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198,315</w:t>
            </w:r>
          </w:p>
        </w:tc>
        <w:tc>
          <w:tcPr>
            <w:tcW w:w="850" w:type="dxa"/>
            <w:tcBorders>
              <w:top w:val="nil"/>
              <w:left w:val="nil"/>
              <w:bottom w:val="nil"/>
              <w:right w:val="nil"/>
            </w:tcBorders>
            <w:shd w:val="clear" w:color="000000" w:fill="FFFFFF"/>
            <w:noWrap/>
            <w:vAlign w:val="center"/>
            <w:hideMark/>
          </w:tcPr>
          <w:p w14:paraId="57BC2F1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152,651</w:t>
            </w:r>
          </w:p>
        </w:tc>
        <w:tc>
          <w:tcPr>
            <w:tcW w:w="851" w:type="dxa"/>
            <w:tcBorders>
              <w:top w:val="nil"/>
              <w:left w:val="nil"/>
              <w:bottom w:val="nil"/>
              <w:right w:val="nil"/>
            </w:tcBorders>
            <w:shd w:val="clear" w:color="000000" w:fill="FFFFFF"/>
            <w:noWrap/>
            <w:vAlign w:val="center"/>
            <w:hideMark/>
          </w:tcPr>
          <w:p w14:paraId="69665EB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152,651</w:t>
            </w:r>
          </w:p>
        </w:tc>
        <w:tc>
          <w:tcPr>
            <w:tcW w:w="850" w:type="dxa"/>
            <w:tcBorders>
              <w:top w:val="nil"/>
              <w:left w:val="nil"/>
              <w:bottom w:val="nil"/>
              <w:right w:val="nil"/>
            </w:tcBorders>
            <w:shd w:val="clear" w:color="000000" w:fill="FFFFFF"/>
            <w:noWrap/>
            <w:vAlign w:val="center"/>
            <w:hideMark/>
          </w:tcPr>
          <w:p w14:paraId="174C6D85"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w:t>
            </w:r>
            <w:r w:rsidRPr="003405E4">
              <w:rPr>
                <w:rFonts w:asciiTheme="majorHAnsi" w:hAnsiTheme="majorHAnsi" w:cs="Arial"/>
                <w:spacing w:val="-6"/>
                <w:sz w:val="16"/>
                <w:szCs w:val="16"/>
                <w:lang w:eastAsia="en-AU"/>
              </w:rPr>
              <w:t>a</w:t>
            </w:r>
          </w:p>
        </w:tc>
        <w:tc>
          <w:tcPr>
            <w:tcW w:w="850" w:type="dxa"/>
            <w:tcBorders>
              <w:top w:val="nil"/>
              <w:left w:val="nil"/>
              <w:bottom w:val="nil"/>
              <w:right w:val="nil"/>
            </w:tcBorders>
            <w:shd w:val="clear" w:color="000000" w:fill="FFFFFF"/>
            <w:noWrap/>
            <w:vAlign w:val="center"/>
            <w:hideMark/>
          </w:tcPr>
          <w:p w14:paraId="6A12556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124,071</w:t>
            </w:r>
          </w:p>
        </w:tc>
        <w:tc>
          <w:tcPr>
            <w:tcW w:w="837" w:type="dxa"/>
            <w:tcBorders>
              <w:top w:val="nil"/>
              <w:left w:val="nil"/>
              <w:bottom w:val="nil"/>
            </w:tcBorders>
            <w:shd w:val="clear" w:color="000000" w:fill="FFFFFF"/>
            <w:noWrap/>
            <w:vAlign w:val="center"/>
            <w:hideMark/>
          </w:tcPr>
          <w:p w14:paraId="5C62C18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na</w:t>
            </w:r>
          </w:p>
        </w:tc>
        <w:tc>
          <w:tcPr>
            <w:tcW w:w="864" w:type="dxa"/>
            <w:tcBorders>
              <w:top w:val="nil"/>
              <w:bottom w:val="nil"/>
              <w:right w:val="single" w:sz="4" w:space="0" w:color="auto"/>
            </w:tcBorders>
            <w:shd w:val="clear" w:color="000000" w:fill="FFFFFF"/>
            <w:vAlign w:val="center"/>
          </w:tcPr>
          <w:p w14:paraId="53A66C7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124,071</w:t>
            </w:r>
          </w:p>
        </w:tc>
        <w:tc>
          <w:tcPr>
            <w:tcW w:w="992" w:type="dxa"/>
            <w:tcBorders>
              <w:top w:val="nil"/>
              <w:left w:val="single" w:sz="4" w:space="0" w:color="auto"/>
              <w:bottom w:val="nil"/>
              <w:right w:val="single" w:sz="4" w:space="0" w:color="auto"/>
            </w:tcBorders>
            <w:shd w:val="clear" w:color="000000" w:fill="FFFFFF"/>
            <w:noWrap/>
            <w:vAlign w:val="center"/>
            <w:hideMark/>
          </w:tcPr>
          <w:p w14:paraId="329B318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49</w:t>
            </w:r>
          </w:p>
        </w:tc>
        <w:tc>
          <w:tcPr>
            <w:tcW w:w="850" w:type="dxa"/>
            <w:tcBorders>
              <w:top w:val="nil"/>
              <w:left w:val="nil"/>
              <w:bottom w:val="nil"/>
              <w:right w:val="nil"/>
            </w:tcBorders>
            <w:shd w:val="clear" w:color="000000" w:fill="FFFFFF"/>
            <w:noWrap/>
            <w:vAlign w:val="center"/>
            <w:hideMark/>
          </w:tcPr>
          <w:p w14:paraId="06C8A36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-45,664</w:t>
            </w:r>
          </w:p>
        </w:tc>
        <w:tc>
          <w:tcPr>
            <w:tcW w:w="710" w:type="dxa"/>
            <w:tcBorders>
              <w:top w:val="nil"/>
              <w:left w:val="nil"/>
              <w:bottom w:val="nil"/>
              <w:right w:val="single" w:sz="4" w:space="0" w:color="auto"/>
            </w:tcBorders>
            <w:shd w:val="clear" w:color="auto" w:fill="FFFFFF" w:themeFill="background1"/>
            <w:noWrap/>
            <w:vAlign w:val="center"/>
            <w:hideMark/>
          </w:tcPr>
          <w:p w14:paraId="5A323EB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-23</w:t>
            </w:r>
          </w:p>
        </w:tc>
        <w:tc>
          <w:tcPr>
            <w:tcW w:w="993" w:type="dxa"/>
            <w:tcBorders>
              <w:top w:val="nil"/>
              <w:left w:val="nil"/>
              <w:bottom w:val="nil"/>
              <w:right w:val="nil"/>
            </w:tcBorders>
            <w:shd w:val="clear" w:color="000000" w:fill="FFFFFF"/>
            <w:noWrap/>
            <w:vAlign w:val="center"/>
            <w:hideMark/>
          </w:tcPr>
          <w:p w14:paraId="549D2CE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-74,244</w:t>
            </w:r>
          </w:p>
        </w:tc>
        <w:tc>
          <w:tcPr>
            <w:tcW w:w="708" w:type="dxa"/>
            <w:tcBorders>
              <w:top w:val="nil"/>
              <w:left w:val="nil"/>
              <w:bottom w:val="nil"/>
              <w:right w:val="nil"/>
            </w:tcBorders>
            <w:shd w:val="clear" w:color="000000" w:fill="FFFFFF"/>
            <w:noWrap/>
            <w:vAlign w:val="center"/>
            <w:hideMark/>
          </w:tcPr>
          <w:p w14:paraId="2CD070C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-37</w:t>
            </w:r>
          </w:p>
        </w:tc>
        <w:tc>
          <w:tcPr>
            <w:tcW w:w="972" w:type="dxa"/>
            <w:tcBorders>
              <w:top w:val="nil"/>
              <w:left w:val="single" w:sz="4" w:space="0" w:color="auto"/>
              <w:bottom w:val="nil"/>
              <w:right w:val="nil"/>
            </w:tcBorders>
            <w:shd w:val="clear" w:color="000000" w:fill="FFFFFF"/>
            <w:noWrap/>
            <w:vAlign w:val="center"/>
            <w:hideMark/>
          </w:tcPr>
          <w:p w14:paraId="5382B05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-28,580</w:t>
            </w:r>
          </w:p>
        </w:tc>
        <w:tc>
          <w:tcPr>
            <w:tcW w:w="729" w:type="dxa"/>
            <w:tcBorders>
              <w:top w:val="nil"/>
              <w:left w:val="nil"/>
              <w:bottom w:val="nil"/>
              <w:right w:val="single" w:sz="4" w:space="0" w:color="auto"/>
            </w:tcBorders>
            <w:shd w:val="clear" w:color="000000" w:fill="FFFFFF"/>
            <w:noWrap/>
            <w:vAlign w:val="center"/>
            <w:hideMark/>
          </w:tcPr>
          <w:p w14:paraId="57B31E9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-19</w:t>
            </w:r>
          </w:p>
        </w:tc>
        <w:tc>
          <w:tcPr>
            <w:tcW w:w="992" w:type="dxa"/>
            <w:tcBorders>
              <w:top w:val="nil"/>
              <w:left w:val="nil"/>
              <w:bottom w:val="nil"/>
              <w:right w:val="nil"/>
            </w:tcBorders>
            <w:shd w:val="clear" w:color="000000" w:fill="FFFFFF"/>
            <w:noWrap/>
            <w:vAlign w:val="center"/>
            <w:hideMark/>
          </w:tcPr>
          <w:p w14:paraId="0DA8864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30</w:t>
            </w:r>
          </w:p>
        </w:tc>
      </w:tr>
      <w:tr w:rsidR="00E915C7" w:rsidRPr="003436D5" w14:paraId="58ABACC8"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0F3B235A"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Upper North East</w:t>
            </w:r>
          </w:p>
        </w:tc>
        <w:tc>
          <w:tcPr>
            <w:tcW w:w="992" w:type="dxa"/>
            <w:tcBorders>
              <w:top w:val="nil"/>
              <w:left w:val="nil"/>
              <w:bottom w:val="nil"/>
              <w:right w:val="single" w:sz="4" w:space="0" w:color="auto"/>
            </w:tcBorders>
            <w:shd w:val="clear" w:color="000000" w:fill="FFFFFF"/>
            <w:noWrap/>
            <w:vAlign w:val="center"/>
            <w:hideMark/>
          </w:tcPr>
          <w:p w14:paraId="6AC7F00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972,796</w:t>
            </w:r>
          </w:p>
        </w:tc>
        <w:tc>
          <w:tcPr>
            <w:tcW w:w="851" w:type="dxa"/>
            <w:tcBorders>
              <w:top w:val="nil"/>
              <w:left w:val="nil"/>
              <w:bottom w:val="nil"/>
              <w:right w:val="nil"/>
            </w:tcBorders>
            <w:shd w:val="clear" w:color="000000" w:fill="FFFFFF"/>
            <w:noWrap/>
            <w:vAlign w:val="center"/>
            <w:hideMark/>
          </w:tcPr>
          <w:p w14:paraId="134F856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422,153</w:t>
            </w:r>
          </w:p>
        </w:tc>
        <w:tc>
          <w:tcPr>
            <w:tcW w:w="850" w:type="dxa"/>
            <w:tcBorders>
              <w:top w:val="nil"/>
              <w:left w:val="nil"/>
              <w:bottom w:val="nil"/>
              <w:right w:val="nil"/>
            </w:tcBorders>
            <w:shd w:val="clear" w:color="000000" w:fill="FFFFFF"/>
            <w:noWrap/>
            <w:vAlign w:val="center"/>
            <w:hideMark/>
          </w:tcPr>
          <w:p w14:paraId="6CBD598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177,847</w:t>
            </w:r>
          </w:p>
        </w:tc>
        <w:tc>
          <w:tcPr>
            <w:tcW w:w="851" w:type="dxa"/>
            <w:tcBorders>
              <w:top w:val="nil"/>
              <w:left w:val="nil"/>
              <w:bottom w:val="nil"/>
              <w:right w:val="nil"/>
            </w:tcBorders>
            <w:shd w:val="clear" w:color="000000" w:fill="FFFFFF"/>
            <w:noWrap/>
            <w:vAlign w:val="center"/>
            <w:hideMark/>
          </w:tcPr>
          <w:p w14:paraId="3720176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177,847</w:t>
            </w:r>
          </w:p>
        </w:tc>
        <w:tc>
          <w:tcPr>
            <w:tcW w:w="850" w:type="dxa"/>
            <w:tcBorders>
              <w:top w:val="nil"/>
              <w:left w:val="nil"/>
              <w:bottom w:val="nil"/>
              <w:right w:val="nil"/>
            </w:tcBorders>
            <w:shd w:val="clear" w:color="000000" w:fill="FFFFFF"/>
            <w:noWrap/>
            <w:vAlign w:val="center"/>
            <w:hideMark/>
          </w:tcPr>
          <w:p w14:paraId="652E034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n</w:t>
            </w:r>
            <w:r>
              <w:rPr>
                <w:rFonts w:asciiTheme="majorHAnsi" w:hAnsiTheme="majorHAnsi" w:cs="Arial"/>
                <w:spacing w:val="-6"/>
                <w:sz w:val="16"/>
                <w:szCs w:val="16"/>
                <w:lang w:eastAsia="en-AU"/>
              </w:rPr>
              <w:t>a</w:t>
            </w:r>
          </w:p>
        </w:tc>
        <w:tc>
          <w:tcPr>
            <w:tcW w:w="850" w:type="dxa"/>
            <w:tcBorders>
              <w:top w:val="nil"/>
              <w:left w:val="nil"/>
              <w:bottom w:val="nil"/>
              <w:right w:val="nil"/>
            </w:tcBorders>
            <w:shd w:val="clear" w:color="000000" w:fill="FFFFFF"/>
            <w:noWrap/>
            <w:vAlign w:val="center"/>
            <w:hideMark/>
          </w:tcPr>
          <w:p w14:paraId="3141DF7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158,285</w:t>
            </w:r>
          </w:p>
        </w:tc>
        <w:tc>
          <w:tcPr>
            <w:tcW w:w="837" w:type="dxa"/>
            <w:tcBorders>
              <w:top w:val="nil"/>
              <w:left w:val="nil"/>
              <w:bottom w:val="nil"/>
            </w:tcBorders>
            <w:shd w:val="clear" w:color="000000" w:fill="FFFFFF"/>
            <w:noWrap/>
            <w:vAlign w:val="center"/>
            <w:hideMark/>
          </w:tcPr>
          <w:p w14:paraId="4725C18D"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w:t>
            </w:r>
            <w:r w:rsidRPr="003405E4">
              <w:rPr>
                <w:rFonts w:asciiTheme="majorHAnsi" w:hAnsiTheme="majorHAnsi" w:cs="Arial"/>
                <w:spacing w:val="-6"/>
                <w:sz w:val="16"/>
                <w:szCs w:val="16"/>
                <w:lang w:eastAsia="en-AU"/>
              </w:rPr>
              <w:t>a</w:t>
            </w:r>
          </w:p>
        </w:tc>
        <w:tc>
          <w:tcPr>
            <w:tcW w:w="864" w:type="dxa"/>
            <w:tcBorders>
              <w:top w:val="nil"/>
              <w:bottom w:val="nil"/>
              <w:right w:val="single" w:sz="4" w:space="0" w:color="auto"/>
            </w:tcBorders>
            <w:shd w:val="clear" w:color="000000" w:fill="FFFFFF"/>
            <w:vAlign w:val="center"/>
          </w:tcPr>
          <w:p w14:paraId="0E7F0D5A"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158,285</w:t>
            </w:r>
          </w:p>
        </w:tc>
        <w:tc>
          <w:tcPr>
            <w:tcW w:w="992" w:type="dxa"/>
            <w:tcBorders>
              <w:top w:val="nil"/>
              <w:left w:val="single" w:sz="4" w:space="0" w:color="auto"/>
              <w:bottom w:val="nil"/>
              <w:right w:val="single" w:sz="4" w:space="0" w:color="auto"/>
            </w:tcBorders>
            <w:shd w:val="clear" w:color="000000" w:fill="FFFFFF"/>
            <w:noWrap/>
            <w:vAlign w:val="center"/>
            <w:hideMark/>
          </w:tcPr>
          <w:p w14:paraId="3B2FE1F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43</w:t>
            </w:r>
          </w:p>
        </w:tc>
        <w:tc>
          <w:tcPr>
            <w:tcW w:w="850" w:type="dxa"/>
            <w:tcBorders>
              <w:top w:val="nil"/>
              <w:left w:val="nil"/>
              <w:bottom w:val="nil"/>
              <w:right w:val="nil"/>
            </w:tcBorders>
            <w:shd w:val="clear" w:color="000000" w:fill="FFFFFF"/>
            <w:noWrap/>
            <w:vAlign w:val="center"/>
            <w:hideMark/>
          </w:tcPr>
          <w:p w14:paraId="36FD1B1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-244,306</w:t>
            </w:r>
          </w:p>
        </w:tc>
        <w:tc>
          <w:tcPr>
            <w:tcW w:w="710" w:type="dxa"/>
            <w:tcBorders>
              <w:top w:val="nil"/>
              <w:left w:val="nil"/>
              <w:bottom w:val="nil"/>
              <w:right w:val="single" w:sz="4" w:space="0" w:color="auto"/>
            </w:tcBorders>
            <w:shd w:val="clear" w:color="auto" w:fill="FFFFFF" w:themeFill="background1"/>
            <w:noWrap/>
            <w:vAlign w:val="center"/>
            <w:hideMark/>
          </w:tcPr>
          <w:p w14:paraId="270466E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-58</w:t>
            </w:r>
          </w:p>
        </w:tc>
        <w:tc>
          <w:tcPr>
            <w:tcW w:w="993" w:type="dxa"/>
            <w:tcBorders>
              <w:top w:val="nil"/>
              <w:left w:val="nil"/>
              <w:bottom w:val="nil"/>
              <w:right w:val="nil"/>
            </w:tcBorders>
            <w:shd w:val="clear" w:color="000000" w:fill="FFFFFF"/>
            <w:noWrap/>
            <w:vAlign w:val="center"/>
            <w:hideMark/>
          </w:tcPr>
          <w:p w14:paraId="6EED15FE"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-263,867</w:t>
            </w:r>
          </w:p>
        </w:tc>
        <w:tc>
          <w:tcPr>
            <w:tcW w:w="708" w:type="dxa"/>
            <w:tcBorders>
              <w:top w:val="nil"/>
              <w:left w:val="nil"/>
              <w:bottom w:val="nil"/>
              <w:right w:val="nil"/>
            </w:tcBorders>
            <w:shd w:val="clear" w:color="000000" w:fill="FFFFFF"/>
            <w:noWrap/>
            <w:vAlign w:val="center"/>
            <w:hideMark/>
          </w:tcPr>
          <w:p w14:paraId="18719C3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-63</w:t>
            </w:r>
          </w:p>
        </w:tc>
        <w:tc>
          <w:tcPr>
            <w:tcW w:w="972" w:type="dxa"/>
            <w:tcBorders>
              <w:top w:val="nil"/>
              <w:left w:val="single" w:sz="4" w:space="0" w:color="auto"/>
              <w:bottom w:val="nil"/>
              <w:right w:val="nil"/>
            </w:tcBorders>
            <w:shd w:val="clear" w:color="000000" w:fill="FFFFFF"/>
            <w:noWrap/>
            <w:vAlign w:val="center"/>
            <w:hideMark/>
          </w:tcPr>
          <w:p w14:paraId="59820BC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-19,562</w:t>
            </w:r>
          </w:p>
        </w:tc>
        <w:tc>
          <w:tcPr>
            <w:tcW w:w="729" w:type="dxa"/>
            <w:tcBorders>
              <w:top w:val="nil"/>
              <w:left w:val="nil"/>
              <w:bottom w:val="nil"/>
              <w:right w:val="single" w:sz="4" w:space="0" w:color="auto"/>
            </w:tcBorders>
            <w:shd w:val="clear" w:color="auto" w:fill="FFFFFF" w:themeFill="background1"/>
            <w:noWrap/>
            <w:vAlign w:val="center"/>
            <w:hideMark/>
          </w:tcPr>
          <w:p w14:paraId="6D0B5E9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-11</w:t>
            </w:r>
          </w:p>
        </w:tc>
        <w:tc>
          <w:tcPr>
            <w:tcW w:w="992" w:type="dxa"/>
            <w:tcBorders>
              <w:top w:val="nil"/>
              <w:left w:val="nil"/>
              <w:bottom w:val="nil"/>
              <w:right w:val="nil"/>
            </w:tcBorders>
            <w:shd w:val="clear" w:color="000000" w:fill="FFFFFF"/>
            <w:noWrap/>
            <w:vAlign w:val="center"/>
            <w:hideMark/>
          </w:tcPr>
          <w:p w14:paraId="6838734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16</w:t>
            </w:r>
          </w:p>
        </w:tc>
      </w:tr>
      <w:tr w:rsidR="00E915C7" w:rsidRPr="003436D5" w14:paraId="4712C045"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4D1058C3"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Lower North East</w:t>
            </w:r>
          </w:p>
        </w:tc>
        <w:tc>
          <w:tcPr>
            <w:tcW w:w="992" w:type="dxa"/>
            <w:tcBorders>
              <w:top w:val="nil"/>
              <w:left w:val="nil"/>
              <w:bottom w:val="nil"/>
              <w:right w:val="single" w:sz="4" w:space="0" w:color="auto"/>
            </w:tcBorders>
            <w:shd w:val="clear" w:color="000000" w:fill="FFFFFF"/>
            <w:noWrap/>
            <w:vAlign w:val="center"/>
            <w:hideMark/>
          </w:tcPr>
          <w:p w14:paraId="0729FE1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1,739,842</w:t>
            </w:r>
          </w:p>
        </w:tc>
        <w:tc>
          <w:tcPr>
            <w:tcW w:w="851" w:type="dxa"/>
            <w:tcBorders>
              <w:top w:val="nil"/>
              <w:left w:val="nil"/>
              <w:bottom w:val="nil"/>
              <w:right w:val="nil"/>
            </w:tcBorders>
            <w:shd w:val="clear" w:color="000000" w:fill="FFFFFF"/>
            <w:noWrap/>
            <w:vAlign w:val="center"/>
            <w:hideMark/>
          </w:tcPr>
          <w:p w14:paraId="71059C9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554,503</w:t>
            </w:r>
          </w:p>
        </w:tc>
        <w:tc>
          <w:tcPr>
            <w:tcW w:w="850" w:type="dxa"/>
            <w:tcBorders>
              <w:top w:val="nil"/>
              <w:left w:val="nil"/>
              <w:bottom w:val="nil"/>
              <w:right w:val="nil"/>
            </w:tcBorders>
            <w:shd w:val="clear" w:color="000000" w:fill="FFFFFF"/>
            <w:noWrap/>
            <w:vAlign w:val="center"/>
            <w:hideMark/>
          </w:tcPr>
          <w:p w14:paraId="7F55E7D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207,811</w:t>
            </w:r>
          </w:p>
        </w:tc>
        <w:tc>
          <w:tcPr>
            <w:tcW w:w="851" w:type="dxa"/>
            <w:tcBorders>
              <w:top w:val="nil"/>
              <w:left w:val="nil"/>
              <w:bottom w:val="nil"/>
              <w:right w:val="nil"/>
            </w:tcBorders>
            <w:shd w:val="clear" w:color="000000" w:fill="FFFFFF"/>
            <w:noWrap/>
            <w:vAlign w:val="center"/>
            <w:hideMark/>
          </w:tcPr>
          <w:p w14:paraId="1DACBF0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207,811</w:t>
            </w:r>
          </w:p>
        </w:tc>
        <w:tc>
          <w:tcPr>
            <w:tcW w:w="850" w:type="dxa"/>
            <w:tcBorders>
              <w:top w:val="nil"/>
              <w:left w:val="nil"/>
              <w:bottom w:val="nil"/>
              <w:right w:val="nil"/>
            </w:tcBorders>
            <w:shd w:val="clear" w:color="000000" w:fill="FFFFFF"/>
            <w:noWrap/>
            <w:vAlign w:val="center"/>
            <w:hideMark/>
          </w:tcPr>
          <w:p w14:paraId="072892B6"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na</w:t>
            </w:r>
          </w:p>
        </w:tc>
        <w:tc>
          <w:tcPr>
            <w:tcW w:w="850" w:type="dxa"/>
            <w:tcBorders>
              <w:top w:val="nil"/>
              <w:left w:val="nil"/>
              <w:bottom w:val="nil"/>
              <w:right w:val="nil"/>
            </w:tcBorders>
            <w:shd w:val="clear" w:color="000000" w:fill="FFFFFF"/>
            <w:noWrap/>
            <w:vAlign w:val="center"/>
            <w:hideMark/>
          </w:tcPr>
          <w:p w14:paraId="3A91019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155,751</w:t>
            </w:r>
          </w:p>
        </w:tc>
        <w:tc>
          <w:tcPr>
            <w:tcW w:w="837" w:type="dxa"/>
            <w:tcBorders>
              <w:top w:val="nil"/>
              <w:left w:val="nil"/>
              <w:bottom w:val="nil"/>
            </w:tcBorders>
            <w:shd w:val="clear" w:color="000000" w:fill="FFFFFF"/>
            <w:noWrap/>
            <w:vAlign w:val="center"/>
            <w:hideMark/>
          </w:tcPr>
          <w:p w14:paraId="67F61361"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w:t>
            </w:r>
            <w:r w:rsidRPr="003405E4">
              <w:rPr>
                <w:rFonts w:asciiTheme="majorHAnsi" w:hAnsiTheme="majorHAnsi" w:cs="Arial"/>
                <w:spacing w:val="-6"/>
                <w:sz w:val="16"/>
                <w:szCs w:val="16"/>
                <w:lang w:eastAsia="en-AU"/>
              </w:rPr>
              <w:t>a</w:t>
            </w:r>
          </w:p>
        </w:tc>
        <w:tc>
          <w:tcPr>
            <w:tcW w:w="864" w:type="dxa"/>
            <w:tcBorders>
              <w:top w:val="nil"/>
              <w:bottom w:val="nil"/>
              <w:right w:val="single" w:sz="4" w:space="0" w:color="auto"/>
            </w:tcBorders>
            <w:shd w:val="clear" w:color="000000" w:fill="FFFFFF"/>
            <w:vAlign w:val="center"/>
          </w:tcPr>
          <w:p w14:paraId="66526C2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155,751</w:t>
            </w:r>
          </w:p>
        </w:tc>
        <w:tc>
          <w:tcPr>
            <w:tcW w:w="992" w:type="dxa"/>
            <w:tcBorders>
              <w:top w:val="nil"/>
              <w:left w:val="single" w:sz="4" w:space="0" w:color="auto"/>
              <w:bottom w:val="nil"/>
              <w:right w:val="single" w:sz="4" w:space="0" w:color="auto"/>
            </w:tcBorders>
            <w:shd w:val="clear" w:color="000000" w:fill="FFFFFF"/>
            <w:noWrap/>
            <w:vAlign w:val="center"/>
            <w:hideMark/>
          </w:tcPr>
          <w:p w14:paraId="030C981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32</w:t>
            </w:r>
          </w:p>
        </w:tc>
        <w:tc>
          <w:tcPr>
            <w:tcW w:w="850" w:type="dxa"/>
            <w:tcBorders>
              <w:top w:val="nil"/>
              <w:left w:val="nil"/>
              <w:bottom w:val="nil"/>
              <w:right w:val="nil"/>
            </w:tcBorders>
            <w:shd w:val="clear" w:color="000000" w:fill="FFFFFF"/>
            <w:noWrap/>
            <w:vAlign w:val="center"/>
            <w:hideMark/>
          </w:tcPr>
          <w:p w14:paraId="1533AED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-346,692</w:t>
            </w:r>
          </w:p>
        </w:tc>
        <w:tc>
          <w:tcPr>
            <w:tcW w:w="710" w:type="dxa"/>
            <w:tcBorders>
              <w:top w:val="nil"/>
              <w:left w:val="nil"/>
              <w:bottom w:val="nil"/>
              <w:right w:val="single" w:sz="4" w:space="0" w:color="auto"/>
            </w:tcBorders>
            <w:shd w:val="clear" w:color="auto" w:fill="FFFFFF" w:themeFill="background1"/>
            <w:noWrap/>
            <w:vAlign w:val="center"/>
            <w:hideMark/>
          </w:tcPr>
          <w:p w14:paraId="7AC6DA4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-63</w:t>
            </w:r>
          </w:p>
        </w:tc>
        <w:tc>
          <w:tcPr>
            <w:tcW w:w="993" w:type="dxa"/>
            <w:tcBorders>
              <w:top w:val="nil"/>
              <w:left w:val="nil"/>
              <w:bottom w:val="nil"/>
              <w:right w:val="nil"/>
            </w:tcBorders>
            <w:shd w:val="clear" w:color="000000" w:fill="FFFFFF"/>
            <w:noWrap/>
            <w:vAlign w:val="center"/>
            <w:hideMark/>
          </w:tcPr>
          <w:p w14:paraId="39AFB4E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-398,752</w:t>
            </w:r>
          </w:p>
        </w:tc>
        <w:tc>
          <w:tcPr>
            <w:tcW w:w="708" w:type="dxa"/>
            <w:tcBorders>
              <w:top w:val="nil"/>
              <w:left w:val="nil"/>
              <w:bottom w:val="nil"/>
              <w:right w:val="nil"/>
            </w:tcBorders>
            <w:shd w:val="clear" w:color="000000" w:fill="FFFFFF"/>
            <w:noWrap/>
            <w:vAlign w:val="center"/>
            <w:hideMark/>
          </w:tcPr>
          <w:p w14:paraId="24BC9C5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-72</w:t>
            </w:r>
          </w:p>
        </w:tc>
        <w:tc>
          <w:tcPr>
            <w:tcW w:w="972" w:type="dxa"/>
            <w:tcBorders>
              <w:top w:val="nil"/>
              <w:left w:val="single" w:sz="4" w:space="0" w:color="auto"/>
              <w:bottom w:val="nil"/>
              <w:right w:val="nil"/>
            </w:tcBorders>
            <w:shd w:val="clear" w:color="000000" w:fill="FFFFFF"/>
            <w:noWrap/>
            <w:vAlign w:val="center"/>
            <w:hideMark/>
          </w:tcPr>
          <w:p w14:paraId="72C5E6C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-52,060</w:t>
            </w:r>
          </w:p>
        </w:tc>
        <w:tc>
          <w:tcPr>
            <w:tcW w:w="729" w:type="dxa"/>
            <w:tcBorders>
              <w:top w:val="nil"/>
              <w:left w:val="nil"/>
              <w:bottom w:val="nil"/>
              <w:right w:val="single" w:sz="4" w:space="0" w:color="auto"/>
            </w:tcBorders>
            <w:shd w:val="clear" w:color="auto" w:fill="FFFFFF" w:themeFill="background1"/>
            <w:noWrap/>
            <w:vAlign w:val="center"/>
            <w:hideMark/>
          </w:tcPr>
          <w:p w14:paraId="2D335D3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-25</w:t>
            </w:r>
          </w:p>
        </w:tc>
        <w:tc>
          <w:tcPr>
            <w:tcW w:w="992" w:type="dxa"/>
            <w:tcBorders>
              <w:top w:val="nil"/>
              <w:left w:val="nil"/>
              <w:bottom w:val="nil"/>
              <w:right w:val="nil"/>
            </w:tcBorders>
            <w:shd w:val="clear" w:color="000000" w:fill="FFFFFF"/>
            <w:noWrap/>
            <w:vAlign w:val="center"/>
            <w:hideMark/>
          </w:tcPr>
          <w:p w14:paraId="268B3F9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9</w:t>
            </w:r>
          </w:p>
        </w:tc>
      </w:tr>
      <w:tr w:rsidR="00E915C7" w:rsidRPr="003436D5" w14:paraId="490D7CB5"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3566F70D"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Southern NSW</w:t>
            </w:r>
          </w:p>
        </w:tc>
        <w:tc>
          <w:tcPr>
            <w:tcW w:w="992" w:type="dxa"/>
            <w:tcBorders>
              <w:top w:val="nil"/>
              <w:left w:val="nil"/>
              <w:bottom w:val="nil"/>
              <w:right w:val="single" w:sz="4" w:space="0" w:color="auto"/>
            </w:tcBorders>
            <w:shd w:val="clear" w:color="000000" w:fill="FFFFFF"/>
            <w:noWrap/>
            <w:vAlign w:val="center"/>
            <w:hideMark/>
          </w:tcPr>
          <w:p w14:paraId="4A207B5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1,617,725</w:t>
            </w:r>
          </w:p>
        </w:tc>
        <w:tc>
          <w:tcPr>
            <w:tcW w:w="851" w:type="dxa"/>
            <w:tcBorders>
              <w:top w:val="nil"/>
              <w:left w:val="nil"/>
              <w:bottom w:val="nil"/>
              <w:right w:val="nil"/>
            </w:tcBorders>
            <w:shd w:val="clear" w:color="000000" w:fill="FFFFFF"/>
            <w:noWrap/>
            <w:vAlign w:val="center"/>
            <w:hideMark/>
          </w:tcPr>
          <w:p w14:paraId="5B28E61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237,509</w:t>
            </w:r>
          </w:p>
        </w:tc>
        <w:tc>
          <w:tcPr>
            <w:tcW w:w="850" w:type="dxa"/>
            <w:tcBorders>
              <w:top w:val="nil"/>
              <w:left w:val="nil"/>
              <w:bottom w:val="nil"/>
              <w:right w:val="nil"/>
            </w:tcBorders>
            <w:shd w:val="clear" w:color="000000" w:fill="FFFFFF"/>
            <w:noWrap/>
            <w:vAlign w:val="center"/>
            <w:hideMark/>
          </w:tcPr>
          <w:p w14:paraId="4B0EE0C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137,602</w:t>
            </w:r>
          </w:p>
        </w:tc>
        <w:tc>
          <w:tcPr>
            <w:tcW w:w="851" w:type="dxa"/>
            <w:tcBorders>
              <w:top w:val="nil"/>
              <w:left w:val="nil"/>
              <w:bottom w:val="nil"/>
              <w:right w:val="nil"/>
            </w:tcBorders>
            <w:shd w:val="clear" w:color="000000" w:fill="FFFFFF"/>
            <w:noWrap/>
            <w:vAlign w:val="center"/>
            <w:hideMark/>
          </w:tcPr>
          <w:p w14:paraId="14D1505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137,602</w:t>
            </w:r>
          </w:p>
        </w:tc>
        <w:tc>
          <w:tcPr>
            <w:tcW w:w="850" w:type="dxa"/>
            <w:tcBorders>
              <w:top w:val="nil"/>
              <w:left w:val="nil"/>
              <w:bottom w:val="nil"/>
              <w:right w:val="nil"/>
            </w:tcBorders>
            <w:shd w:val="clear" w:color="000000" w:fill="FFFFFF"/>
            <w:noWrap/>
            <w:vAlign w:val="center"/>
            <w:hideMark/>
          </w:tcPr>
          <w:p w14:paraId="3D04CA1D"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na</w:t>
            </w:r>
          </w:p>
        </w:tc>
        <w:tc>
          <w:tcPr>
            <w:tcW w:w="850" w:type="dxa"/>
            <w:tcBorders>
              <w:top w:val="nil"/>
              <w:left w:val="nil"/>
              <w:bottom w:val="nil"/>
              <w:right w:val="nil"/>
            </w:tcBorders>
            <w:shd w:val="clear" w:color="000000" w:fill="FFFFFF"/>
            <w:noWrap/>
            <w:vAlign w:val="center"/>
            <w:hideMark/>
          </w:tcPr>
          <w:p w14:paraId="7BCA9B9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149,855</w:t>
            </w:r>
          </w:p>
        </w:tc>
        <w:tc>
          <w:tcPr>
            <w:tcW w:w="837" w:type="dxa"/>
            <w:tcBorders>
              <w:top w:val="nil"/>
              <w:left w:val="nil"/>
              <w:bottom w:val="nil"/>
            </w:tcBorders>
            <w:shd w:val="clear" w:color="000000" w:fill="FFFFFF"/>
            <w:noWrap/>
            <w:vAlign w:val="center"/>
            <w:hideMark/>
          </w:tcPr>
          <w:p w14:paraId="26BEEC22"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w:t>
            </w:r>
            <w:r w:rsidRPr="003405E4">
              <w:rPr>
                <w:rFonts w:asciiTheme="majorHAnsi" w:hAnsiTheme="majorHAnsi" w:cs="Arial"/>
                <w:spacing w:val="-6"/>
                <w:sz w:val="16"/>
                <w:szCs w:val="16"/>
                <w:lang w:eastAsia="en-AU"/>
              </w:rPr>
              <w:t>a</w:t>
            </w:r>
          </w:p>
        </w:tc>
        <w:tc>
          <w:tcPr>
            <w:tcW w:w="864" w:type="dxa"/>
            <w:tcBorders>
              <w:top w:val="nil"/>
              <w:bottom w:val="nil"/>
              <w:right w:val="single" w:sz="4" w:space="0" w:color="auto"/>
            </w:tcBorders>
            <w:shd w:val="clear" w:color="000000" w:fill="FFFFFF"/>
            <w:vAlign w:val="center"/>
          </w:tcPr>
          <w:p w14:paraId="0575A1E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149,855</w:t>
            </w:r>
          </w:p>
        </w:tc>
        <w:tc>
          <w:tcPr>
            <w:tcW w:w="992" w:type="dxa"/>
            <w:tcBorders>
              <w:top w:val="nil"/>
              <w:left w:val="single" w:sz="4" w:space="0" w:color="auto"/>
              <w:bottom w:val="nil"/>
              <w:right w:val="single" w:sz="4" w:space="0" w:color="auto"/>
            </w:tcBorders>
            <w:shd w:val="clear" w:color="000000" w:fill="FFFFFF"/>
            <w:noWrap/>
            <w:vAlign w:val="center"/>
            <w:hideMark/>
          </w:tcPr>
          <w:p w14:paraId="0CD0F4A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15</w:t>
            </w:r>
          </w:p>
        </w:tc>
        <w:tc>
          <w:tcPr>
            <w:tcW w:w="850" w:type="dxa"/>
            <w:tcBorders>
              <w:top w:val="nil"/>
              <w:left w:val="nil"/>
              <w:bottom w:val="nil"/>
              <w:right w:val="nil"/>
            </w:tcBorders>
            <w:shd w:val="clear" w:color="000000" w:fill="FFFFFF"/>
            <w:noWrap/>
            <w:vAlign w:val="center"/>
            <w:hideMark/>
          </w:tcPr>
          <w:p w14:paraId="4747A84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-99,907</w:t>
            </w:r>
          </w:p>
        </w:tc>
        <w:tc>
          <w:tcPr>
            <w:tcW w:w="710" w:type="dxa"/>
            <w:tcBorders>
              <w:top w:val="nil"/>
              <w:left w:val="nil"/>
              <w:bottom w:val="nil"/>
              <w:right w:val="single" w:sz="4" w:space="0" w:color="auto"/>
            </w:tcBorders>
            <w:shd w:val="clear" w:color="auto" w:fill="FFFFFF" w:themeFill="background1"/>
            <w:noWrap/>
            <w:vAlign w:val="center"/>
            <w:hideMark/>
          </w:tcPr>
          <w:p w14:paraId="230F894E"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-42</w:t>
            </w:r>
          </w:p>
        </w:tc>
        <w:tc>
          <w:tcPr>
            <w:tcW w:w="993" w:type="dxa"/>
            <w:tcBorders>
              <w:top w:val="nil"/>
              <w:left w:val="nil"/>
              <w:bottom w:val="nil"/>
              <w:right w:val="nil"/>
            </w:tcBorders>
            <w:shd w:val="clear" w:color="000000" w:fill="FFFFFF"/>
            <w:noWrap/>
            <w:vAlign w:val="center"/>
            <w:hideMark/>
          </w:tcPr>
          <w:p w14:paraId="2613433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-87,654</w:t>
            </w:r>
          </w:p>
        </w:tc>
        <w:tc>
          <w:tcPr>
            <w:tcW w:w="708" w:type="dxa"/>
            <w:tcBorders>
              <w:top w:val="nil"/>
              <w:left w:val="nil"/>
              <w:bottom w:val="nil"/>
              <w:right w:val="nil"/>
            </w:tcBorders>
            <w:shd w:val="clear" w:color="000000" w:fill="FFFFFF"/>
            <w:noWrap/>
            <w:vAlign w:val="center"/>
            <w:hideMark/>
          </w:tcPr>
          <w:p w14:paraId="4C0557B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-37</w:t>
            </w:r>
          </w:p>
        </w:tc>
        <w:tc>
          <w:tcPr>
            <w:tcW w:w="972" w:type="dxa"/>
            <w:tcBorders>
              <w:top w:val="nil"/>
              <w:left w:val="single" w:sz="4" w:space="0" w:color="auto"/>
              <w:bottom w:val="nil"/>
              <w:right w:val="nil"/>
            </w:tcBorders>
            <w:shd w:val="clear" w:color="000000" w:fill="FFFFFF"/>
            <w:noWrap/>
            <w:vAlign w:val="center"/>
            <w:hideMark/>
          </w:tcPr>
          <w:p w14:paraId="0402C1B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12,253</w:t>
            </w:r>
          </w:p>
        </w:tc>
        <w:tc>
          <w:tcPr>
            <w:tcW w:w="729" w:type="dxa"/>
            <w:tcBorders>
              <w:top w:val="nil"/>
              <w:left w:val="nil"/>
              <w:bottom w:val="nil"/>
              <w:right w:val="single" w:sz="4" w:space="0" w:color="auto"/>
            </w:tcBorders>
            <w:shd w:val="clear" w:color="auto" w:fill="FFFFFF" w:themeFill="background1"/>
            <w:noWrap/>
            <w:vAlign w:val="center"/>
            <w:hideMark/>
          </w:tcPr>
          <w:p w14:paraId="78CDCF0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9</w:t>
            </w:r>
          </w:p>
        </w:tc>
        <w:tc>
          <w:tcPr>
            <w:tcW w:w="992" w:type="dxa"/>
            <w:tcBorders>
              <w:top w:val="nil"/>
              <w:left w:val="nil"/>
              <w:bottom w:val="nil"/>
              <w:right w:val="nil"/>
            </w:tcBorders>
            <w:shd w:val="clear" w:color="000000" w:fill="FFFFFF"/>
            <w:noWrap/>
            <w:vAlign w:val="center"/>
            <w:hideMark/>
          </w:tcPr>
          <w:p w14:paraId="0A8C726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9</w:t>
            </w:r>
          </w:p>
        </w:tc>
      </w:tr>
      <w:tr w:rsidR="00E915C7" w:rsidRPr="003436D5" w14:paraId="79A21DA0"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25761ACD" w14:textId="77777777" w:rsidR="00E915C7" w:rsidRPr="003405E4" w:rsidRDefault="00E915C7" w:rsidP="007D3130">
            <w:pPr>
              <w:spacing w:before="0" w:after="0"/>
              <w:rPr>
                <w:rFonts w:asciiTheme="majorHAnsi" w:hAnsiTheme="majorHAnsi" w:cs="Arial"/>
                <w:b/>
                <w:bCs/>
                <w:sz w:val="16"/>
                <w:szCs w:val="16"/>
                <w:lang w:eastAsia="en-AU"/>
              </w:rPr>
            </w:pPr>
            <w:r w:rsidRPr="003405E4">
              <w:rPr>
                <w:rFonts w:asciiTheme="majorHAnsi" w:hAnsiTheme="majorHAnsi" w:cs="Arial"/>
                <w:b/>
                <w:bCs/>
                <w:sz w:val="16"/>
                <w:szCs w:val="16"/>
                <w:lang w:eastAsia="en-AU"/>
              </w:rPr>
              <w:t>Total New South Wales RFA regions</w:t>
            </w:r>
          </w:p>
        </w:tc>
        <w:tc>
          <w:tcPr>
            <w:tcW w:w="992" w:type="dxa"/>
            <w:tcBorders>
              <w:top w:val="nil"/>
              <w:left w:val="nil"/>
              <w:bottom w:val="nil"/>
              <w:right w:val="single" w:sz="4" w:space="0" w:color="auto"/>
            </w:tcBorders>
            <w:shd w:val="clear" w:color="000000" w:fill="FFFFFF"/>
            <w:noWrap/>
            <w:vAlign w:val="center"/>
            <w:hideMark/>
          </w:tcPr>
          <w:p w14:paraId="3EEEE54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4,738,661</w:t>
            </w:r>
          </w:p>
        </w:tc>
        <w:tc>
          <w:tcPr>
            <w:tcW w:w="851" w:type="dxa"/>
            <w:tcBorders>
              <w:top w:val="nil"/>
              <w:left w:val="nil"/>
              <w:bottom w:val="nil"/>
              <w:right w:val="nil"/>
            </w:tcBorders>
            <w:shd w:val="clear" w:color="000000" w:fill="FFFFFF"/>
            <w:noWrap/>
            <w:vAlign w:val="center"/>
            <w:hideMark/>
          </w:tcPr>
          <w:p w14:paraId="6DDF384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1,412,479</w:t>
            </w:r>
          </w:p>
        </w:tc>
        <w:tc>
          <w:tcPr>
            <w:tcW w:w="850" w:type="dxa"/>
            <w:tcBorders>
              <w:top w:val="nil"/>
              <w:left w:val="nil"/>
              <w:bottom w:val="nil"/>
              <w:right w:val="nil"/>
            </w:tcBorders>
            <w:shd w:val="clear" w:color="000000" w:fill="FFFFFF"/>
            <w:noWrap/>
            <w:vAlign w:val="center"/>
            <w:hideMark/>
          </w:tcPr>
          <w:p w14:paraId="277EC0F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675,911</w:t>
            </w:r>
          </w:p>
        </w:tc>
        <w:tc>
          <w:tcPr>
            <w:tcW w:w="851" w:type="dxa"/>
            <w:tcBorders>
              <w:top w:val="nil"/>
              <w:left w:val="nil"/>
              <w:bottom w:val="nil"/>
              <w:right w:val="nil"/>
            </w:tcBorders>
            <w:shd w:val="clear" w:color="000000" w:fill="FFFFFF"/>
            <w:noWrap/>
            <w:vAlign w:val="center"/>
            <w:hideMark/>
          </w:tcPr>
          <w:p w14:paraId="44BD1D4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675,911</w:t>
            </w:r>
          </w:p>
        </w:tc>
        <w:tc>
          <w:tcPr>
            <w:tcW w:w="850" w:type="dxa"/>
            <w:tcBorders>
              <w:top w:val="nil"/>
              <w:left w:val="nil"/>
              <w:bottom w:val="nil"/>
              <w:right w:val="nil"/>
            </w:tcBorders>
            <w:shd w:val="clear" w:color="000000" w:fill="FFFFFF"/>
            <w:noWrap/>
            <w:vAlign w:val="center"/>
            <w:hideMark/>
          </w:tcPr>
          <w:p w14:paraId="2619991E"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w:t>
            </w:r>
            <w:r w:rsidRPr="003405E4">
              <w:rPr>
                <w:rFonts w:asciiTheme="majorHAnsi" w:hAnsiTheme="majorHAnsi" w:cs="Arial"/>
                <w:spacing w:val="-6"/>
                <w:sz w:val="16"/>
                <w:szCs w:val="16"/>
                <w:lang w:eastAsia="en-AU"/>
              </w:rPr>
              <w:t>a</w:t>
            </w:r>
          </w:p>
        </w:tc>
        <w:tc>
          <w:tcPr>
            <w:tcW w:w="850" w:type="dxa"/>
            <w:tcBorders>
              <w:top w:val="nil"/>
              <w:left w:val="nil"/>
              <w:bottom w:val="nil"/>
              <w:right w:val="nil"/>
            </w:tcBorders>
            <w:shd w:val="clear" w:color="000000" w:fill="FFFFFF"/>
            <w:noWrap/>
            <w:vAlign w:val="center"/>
            <w:hideMark/>
          </w:tcPr>
          <w:p w14:paraId="3F13E9B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587,962</w:t>
            </w:r>
          </w:p>
        </w:tc>
        <w:tc>
          <w:tcPr>
            <w:tcW w:w="837" w:type="dxa"/>
            <w:tcBorders>
              <w:top w:val="nil"/>
              <w:left w:val="nil"/>
              <w:bottom w:val="nil"/>
            </w:tcBorders>
            <w:shd w:val="clear" w:color="000000" w:fill="FFFFFF"/>
            <w:noWrap/>
            <w:vAlign w:val="center"/>
            <w:hideMark/>
          </w:tcPr>
          <w:p w14:paraId="79F90450"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w:t>
            </w:r>
            <w:r w:rsidRPr="003405E4">
              <w:rPr>
                <w:rFonts w:asciiTheme="majorHAnsi" w:hAnsiTheme="majorHAnsi" w:cs="Arial"/>
                <w:spacing w:val="-6"/>
                <w:sz w:val="16"/>
                <w:szCs w:val="16"/>
                <w:lang w:eastAsia="en-AU"/>
              </w:rPr>
              <w:t>a</w:t>
            </w:r>
          </w:p>
        </w:tc>
        <w:tc>
          <w:tcPr>
            <w:tcW w:w="864" w:type="dxa"/>
            <w:tcBorders>
              <w:top w:val="nil"/>
              <w:bottom w:val="nil"/>
              <w:right w:val="single" w:sz="4" w:space="0" w:color="auto"/>
            </w:tcBorders>
            <w:shd w:val="clear" w:color="000000" w:fill="FFFFFF"/>
            <w:vAlign w:val="center"/>
          </w:tcPr>
          <w:p w14:paraId="6127692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587,962</w:t>
            </w:r>
          </w:p>
        </w:tc>
        <w:tc>
          <w:tcPr>
            <w:tcW w:w="992" w:type="dxa"/>
            <w:tcBorders>
              <w:top w:val="nil"/>
              <w:left w:val="single" w:sz="4" w:space="0" w:color="auto"/>
              <w:bottom w:val="nil"/>
              <w:right w:val="single" w:sz="4" w:space="0" w:color="auto"/>
            </w:tcBorders>
            <w:shd w:val="clear" w:color="000000" w:fill="FFFFFF"/>
            <w:noWrap/>
            <w:vAlign w:val="center"/>
            <w:hideMark/>
          </w:tcPr>
          <w:p w14:paraId="3FFA9D6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30</w:t>
            </w:r>
          </w:p>
        </w:tc>
        <w:tc>
          <w:tcPr>
            <w:tcW w:w="850" w:type="dxa"/>
            <w:tcBorders>
              <w:top w:val="nil"/>
              <w:left w:val="nil"/>
              <w:bottom w:val="nil"/>
              <w:right w:val="nil"/>
            </w:tcBorders>
            <w:shd w:val="clear" w:color="000000" w:fill="FFFFFF"/>
            <w:noWrap/>
            <w:vAlign w:val="center"/>
            <w:hideMark/>
          </w:tcPr>
          <w:p w14:paraId="0C75E2F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-736,568</w:t>
            </w:r>
          </w:p>
        </w:tc>
        <w:tc>
          <w:tcPr>
            <w:tcW w:w="710" w:type="dxa"/>
            <w:tcBorders>
              <w:top w:val="nil"/>
              <w:left w:val="nil"/>
              <w:bottom w:val="nil"/>
              <w:right w:val="single" w:sz="4" w:space="0" w:color="auto"/>
            </w:tcBorders>
            <w:shd w:val="clear" w:color="auto" w:fill="FFFFFF" w:themeFill="background1"/>
            <w:noWrap/>
            <w:vAlign w:val="center"/>
            <w:hideMark/>
          </w:tcPr>
          <w:p w14:paraId="219025E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-52</w:t>
            </w:r>
          </w:p>
        </w:tc>
        <w:tc>
          <w:tcPr>
            <w:tcW w:w="993" w:type="dxa"/>
            <w:tcBorders>
              <w:top w:val="nil"/>
              <w:left w:val="nil"/>
              <w:bottom w:val="nil"/>
              <w:right w:val="nil"/>
            </w:tcBorders>
            <w:shd w:val="clear" w:color="000000" w:fill="FFFFFF"/>
            <w:noWrap/>
            <w:vAlign w:val="center"/>
            <w:hideMark/>
          </w:tcPr>
          <w:p w14:paraId="320B979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-824,517</w:t>
            </w:r>
          </w:p>
        </w:tc>
        <w:tc>
          <w:tcPr>
            <w:tcW w:w="708" w:type="dxa"/>
            <w:tcBorders>
              <w:top w:val="nil"/>
              <w:left w:val="nil"/>
              <w:bottom w:val="nil"/>
              <w:right w:val="nil"/>
            </w:tcBorders>
            <w:shd w:val="clear" w:color="000000" w:fill="FFFFFF"/>
            <w:noWrap/>
            <w:vAlign w:val="center"/>
            <w:hideMark/>
          </w:tcPr>
          <w:p w14:paraId="01C25E6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-58</w:t>
            </w:r>
          </w:p>
        </w:tc>
        <w:tc>
          <w:tcPr>
            <w:tcW w:w="972" w:type="dxa"/>
            <w:tcBorders>
              <w:top w:val="nil"/>
              <w:left w:val="single" w:sz="4" w:space="0" w:color="auto"/>
              <w:bottom w:val="nil"/>
              <w:right w:val="nil"/>
            </w:tcBorders>
            <w:shd w:val="clear" w:color="000000" w:fill="FFFFFF"/>
            <w:noWrap/>
            <w:vAlign w:val="center"/>
            <w:hideMark/>
          </w:tcPr>
          <w:p w14:paraId="18AD8A1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-87,949</w:t>
            </w:r>
          </w:p>
        </w:tc>
        <w:tc>
          <w:tcPr>
            <w:tcW w:w="729" w:type="dxa"/>
            <w:tcBorders>
              <w:top w:val="nil"/>
              <w:left w:val="nil"/>
              <w:bottom w:val="nil"/>
              <w:right w:val="single" w:sz="4" w:space="0" w:color="auto"/>
            </w:tcBorders>
            <w:shd w:val="clear" w:color="000000" w:fill="FFFFFF"/>
            <w:noWrap/>
            <w:vAlign w:val="center"/>
            <w:hideMark/>
          </w:tcPr>
          <w:p w14:paraId="5498407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-13</w:t>
            </w:r>
          </w:p>
        </w:tc>
        <w:tc>
          <w:tcPr>
            <w:tcW w:w="992" w:type="dxa"/>
            <w:tcBorders>
              <w:top w:val="nil"/>
              <w:left w:val="nil"/>
              <w:bottom w:val="nil"/>
              <w:right w:val="nil"/>
            </w:tcBorders>
            <w:shd w:val="clear" w:color="000000" w:fill="FFFFFF"/>
            <w:noWrap/>
            <w:vAlign w:val="center"/>
            <w:hideMark/>
          </w:tcPr>
          <w:p w14:paraId="6FED31F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12</w:t>
            </w:r>
          </w:p>
        </w:tc>
      </w:tr>
      <w:tr w:rsidR="00E915C7" w:rsidRPr="003436D5" w14:paraId="480DF6FC" w14:textId="77777777" w:rsidTr="00447B1E">
        <w:trPr>
          <w:trHeight w:val="20"/>
        </w:trPr>
        <w:tc>
          <w:tcPr>
            <w:tcW w:w="15734" w:type="dxa"/>
            <w:gridSpan w:val="17"/>
            <w:tcBorders>
              <w:top w:val="single" w:sz="4" w:space="0" w:color="auto"/>
              <w:left w:val="nil"/>
              <w:bottom w:val="single" w:sz="4" w:space="0" w:color="auto"/>
              <w:right w:val="single" w:sz="4" w:space="0" w:color="auto"/>
            </w:tcBorders>
            <w:shd w:val="clear" w:color="auto" w:fill="auto"/>
            <w:noWrap/>
            <w:vAlign w:val="center"/>
            <w:hideMark/>
          </w:tcPr>
          <w:p w14:paraId="5B57881F" w14:textId="77777777" w:rsidR="00E915C7" w:rsidRPr="00CD538E" w:rsidRDefault="00E915C7" w:rsidP="007D3130">
            <w:pPr>
              <w:spacing w:before="0" w:after="0"/>
              <w:rPr>
                <w:rFonts w:asciiTheme="majorHAnsi" w:hAnsiTheme="majorHAnsi" w:cs="Arial"/>
                <w:b/>
                <w:bCs/>
                <w:sz w:val="16"/>
                <w:szCs w:val="16"/>
                <w:lang w:eastAsia="en-AU"/>
              </w:rPr>
            </w:pPr>
            <w:r w:rsidRPr="003405E4">
              <w:rPr>
                <w:rFonts w:asciiTheme="majorHAnsi" w:hAnsiTheme="majorHAnsi" w:cs="Arial"/>
                <w:b/>
                <w:bCs/>
                <w:sz w:val="16"/>
                <w:szCs w:val="16"/>
                <w:lang w:eastAsia="en-AU"/>
              </w:rPr>
              <w:t>Tasmania</w:t>
            </w:r>
          </w:p>
        </w:tc>
      </w:tr>
      <w:tr w:rsidR="00E915C7" w:rsidRPr="003436D5" w14:paraId="73B744CD"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5AC906B3"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Tasmanian</w:t>
            </w:r>
          </w:p>
        </w:tc>
        <w:tc>
          <w:tcPr>
            <w:tcW w:w="992" w:type="dxa"/>
            <w:tcBorders>
              <w:top w:val="nil"/>
              <w:left w:val="nil"/>
              <w:bottom w:val="nil"/>
              <w:right w:val="single" w:sz="4" w:space="0" w:color="auto"/>
            </w:tcBorders>
            <w:shd w:val="clear" w:color="000000" w:fill="FFFFFF"/>
            <w:noWrap/>
            <w:vAlign w:val="center"/>
            <w:hideMark/>
          </w:tcPr>
          <w:p w14:paraId="6D12E31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2,261,880</w:t>
            </w:r>
          </w:p>
        </w:tc>
        <w:tc>
          <w:tcPr>
            <w:tcW w:w="851" w:type="dxa"/>
            <w:tcBorders>
              <w:top w:val="nil"/>
              <w:left w:val="nil"/>
              <w:bottom w:val="nil"/>
              <w:right w:val="nil"/>
            </w:tcBorders>
            <w:shd w:val="clear" w:color="000000" w:fill="FFFFFF"/>
            <w:noWrap/>
            <w:vAlign w:val="center"/>
            <w:hideMark/>
          </w:tcPr>
          <w:p w14:paraId="089F7A1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811,000</w:t>
            </w:r>
          </w:p>
        </w:tc>
        <w:tc>
          <w:tcPr>
            <w:tcW w:w="850" w:type="dxa"/>
            <w:tcBorders>
              <w:top w:val="nil"/>
              <w:left w:val="nil"/>
              <w:bottom w:val="nil"/>
              <w:right w:val="nil"/>
            </w:tcBorders>
            <w:shd w:val="clear" w:color="000000" w:fill="FFFFFF"/>
            <w:noWrap/>
            <w:vAlign w:val="center"/>
            <w:hideMark/>
          </w:tcPr>
          <w:p w14:paraId="691BCB2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787,000</w:t>
            </w:r>
          </w:p>
        </w:tc>
        <w:tc>
          <w:tcPr>
            <w:tcW w:w="851" w:type="dxa"/>
            <w:tcBorders>
              <w:top w:val="nil"/>
              <w:left w:val="nil"/>
              <w:bottom w:val="nil"/>
              <w:right w:val="nil"/>
            </w:tcBorders>
            <w:shd w:val="clear" w:color="000000" w:fill="FFFFFF"/>
            <w:noWrap/>
            <w:vAlign w:val="center"/>
            <w:hideMark/>
          </w:tcPr>
          <w:p w14:paraId="6A4D683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787,000</w:t>
            </w:r>
          </w:p>
        </w:tc>
        <w:tc>
          <w:tcPr>
            <w:tcW w:w="850" w:type="dxa"/>
            <w:tcBorders>
              <w:top w:val="nil"/>
              <w:left w:val="nil"/>
              <w:bottom w:val="nil"/>
              <w:right w:val="nil"/>
            </w:tcBorders>
            <w:shd w:val="clear" w:color="000000" w:fill="FFFFFF"/>
            <w:noWrap/>
            <w:vAlign w:val="center"/>
            <w:hideMark/>
          </w:tcPr>
          <w:p w14:paraId="36A4DA8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607,000</w:t>
            </w:r>
          </w:p>
        </w:tc>
        <w:tc>
          <w:tcPr>
            <w:tcW w:w="850" w:type="dxa"/>
            <w:tcBorders>
              <w:top w:val="nil"/>
              <w:left w:val="nil"/>
              <w:bottom w:val="nil"/>
              <w:right w:val="nil"/>
            </w:tcBorders>
            <w:shd w:val="clear" w:color="000000" w:fill="FFFFFF"/>
            <w:noWrap/>
            <w:vAlign w:val="center"/>
            <w:hideMark/>
          </w:tcPr>
          <w:p w14:paraId="6D605C3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563,000</w:t>
            </w:r>
          </w:p>
        </w:tc>
        <w:tc>
          <w:tcPr>
            <w:tcW w:w="837" w:type="dxa"/>
            <w:tcBorders>
              <w:top w:val="nil"/>
              <w:left w:val="nil"/>
              <w:bottom w:val="nil"/>
            </w:tcBorders>
            <w:shd w:val="clear" w:color="000000" w:fill="FFFFFF"/>
            <w:noWrap/>
            <w:vAlign w:val="center"/>
            <w:hideMark/>
          </w:tcPr>
          <w:p w14:paraId="24BF58E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376,000</w:t>
            </w:r>
          </w:p>
        </w:tc>
        <w:tc>
          <w:tcPr>
            <w:tcW w:w="864" w:type="dxa"/>
            <w:tcBorders>
              <w:top w:val="nil"/>
              <w:bottom w:val="nil"/>
              <w:right w:val="single" w:sz="4" w:space="0" w:color="auto"/>
            </w:tcBorders>
            <w:shd w:val="clear" w:color="000000" w:fill="FFFFFF"/>
            <w:vAlign w:val="center"/>
          </w:tcPr>
          <w:p w14:paraId="5BC2F13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376,000</w:t>
            </w:r>
          </w:p>
        </w:tc>
        <w:tc>
          <w:tcPr>
            <w:tcW w:w="992" w:type="dxa"/>
            <w:tcBorders>
              <w:top w:val="nil"/>
              <w:left w:val="single" w:sz="4" w:space="0" w:color="auto"/>
              <w:bottom w:val="nil"/>
              <w:right w:val="single" w:sz="4" w:space="0" w:color="auto"/>
            </w:tcBorders>
            <w:shd w:val="clear" w:color="000000" w:fill="FFFFFF"/>
            <w:noWrap/>
            <w:vAlign w:val="center"/>
            <w:hideMark/>
          </w:tcPr>
          <w:p w14:paraId="60AD57A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36</w:t>
            </w:r>
          </w:p>
        </w:tc>
        <w:tc>
          <w:tcPr>
            <w:tcW w:w="850" w:type="dxa"/>
            <w:tcBorders>
              <w:top w:val="nil"/>
              <w:left w:val="nil"/>
              <w:bottom w:val="nil"/>
              <w:right w:val="nil"/>
            </w:tcBorders>
            <w:shd w:val="clear" w:color="000000" w:fill="FFFFFF"/>
            <w:noWrap/>
            <w:vAlign w:val="center"/>
            <w:hideMark/>
          </w:tcPr>
          <w:p w14:paraId="7509494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-24,000</w:t>
            </w:r>
          </w:p>
        </w:tc>
        <w:tc>
          <w:tcPr>
            <w:tcW w:w="710" w:type="dxa"/>
            <w:tcBorders>
              <w:top w:val="nil"/>
              <w:left w:val="nil"/>
              <w:bottom w:val="nil"/>
              <w:right w:val="single" w:sz="4" w:space="0" w:color="auto"/>
            </w:tcBorders>
            <w:shd w:val="clear" w:color="000000" w:fill="FFFFFF"/>
            <w:noWrap/>
            <w:vAlign w:val="center"/>
            <w:hideMark/>
          </w:tcPr>
          <w:p w14:paraId="004C58C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w:t>
            </w:r>
          </w:p>
        </w:tc>
        <w:tc>
          <w:tcPr>
            <w:tcW w:w="993" w:type="dxa"/>
            <w:tcBorders>
              <w:top w:val="nil"/>
              <w:left w:val="nil"/>
              <w:bottom w:val="nil"/>
              <w:right w:val="nil"/>
            </w:tcBorders>
            <w:shd w:val="clear" w:color="000000" w:fill="FFFFFF"/>
            <w:noWrap/>
            <w:vAlign w:val="center"/>
            <w:hideMark/>
          </w:tcPr>
          <w:p w14:paraId="0BF657B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-435,000</w:t>
            </w:r>
          </w:p>
        </w:tc>
        <w:tc>
          <w:tcPr>
            <w:tcW w:w="708" w:type="dxa"/>
            <w:tcBorders>
              <w:top w:val="nil"/>
              <w:left w:val="nil"/>
              <w:bottom w:val="nil"/>
              <w:right w:val="nil"/>
            </w:tcBorders>
            <w:shd w:val="clear" w:color="000000" w:fill="FFFFFF"/>
            <w:noWrap/>
            <w:vAlign w:val="center"/>
            <w:hideMark/>
          </w:tcPr>
          <w:p w14:paraId="048F81F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-54</w:t>
            </w:r>
          </w:p>
        </w:tc>
        <w:tc>
          <w:tcPr>
            <w:tcW w:w="972" w:type="dxa"/>
            <w:tcBorders>
              <w:top w:val="nil"/>
              <w:left w:val="single" w:sz="4" w:space="0" w:color="auto"/>
              <w:bottom w:val="nil"/>
              <w:right w:val="nil"/>
            </w:tcBorders>
            <w:shd w:val="clear" w:color="000000" w:fill="FFFFFF"/>
            <w:noWrap/>
            <w:vAlign w:val="center"/>
            <w:hideMark/>
          </w:tcPr>
          <w:p w14:paraId="1078AB7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-411,000</w:t>
            </w:r>
          </w:p>
        </w:tc>
        <w:tc>
          <w:tcPr>
            <w:tcW w:w="729" w:type="dxa"/>
            <w:tcBorders>
              <w:top w:val="nil"/>
              <w:left w:val="nil"/>
              <w:bottom w:val="nil"/>
              <w:right w:val="single" w:sz="4" w:space="0" w:color="auto"/>
            </w:tcBorders>
            <w:shd w:val="clear" w:color="000000" w:fill="FFFFFF"/>
            <w:noWrap/>
            <w:vAlign w:val="center"/>
            <w:hideMark/>
          </w:tcPr>
          <w:p w14:paraId="0056FCA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-52</w:t>
            </w:r>
          </w:p>
        </w:tc>
        <w:tc>
          <w:tcPr>
            <w:tcW w:w="992" w:type="dxa"/>
            <w:tcBorders>
              <w:top w:val="nil"/>
              <w:left w:val="nil"/>
              <w:bottom w:val="nil"/>
              <w:right w:val="nil"/>
            </w:tcBorders>
            <w:shd w:val="clear" w:color="000000" w:fill="FFFFFF"/>
            <w:noWrap/>
            <w:vAlign w:val="center"/>
            <w:hideMark/>
          </w:tcPr>
          <w:p w14:paraId="24267DD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17</w:t>
            </w:r>
          </w:p>
        </w:tc>
      </w:tr>
      <w:tr w:rsidR="00E915C7" w:rsidRPr="003436D5" w14:paraId="5893FB7F" w14:textId="77777777" w:rsidTr="00447B1E">
        <w:trPr>
          <w:trHeight w:val="20"/>
        </w:trPr>
        <w:tc>
          <w:tcPr>
            <w:tcW w:w="15734" w:type="dxa"/>
            <w:gridSpan w:val="17"/>
            <w:tcBorders>
              <w:top w:val="single" w:sz="4" w:space="0" w:color="auto"/>
              <w:left w:val="nil"/>
              <w:bottom w:val="single" w:sz="4" w:space="0" w:color="auto"/>
              <w:right w:val="single" w:sz="4" w:space="0" w:color="auto"/>
            </w:tcBorders>
            <w:shd w:val="clear" w:color="auto" w:fill="auto"/>
            <w:noWrap/>
            <w:vAlign w:val="center"/>
            <w:hideMark/>
          </w:tcPr>
          <w:p w14:paraId="58D75991" w14:textId="77777777" w:rsidR="00E915C7" w:rsidRPr="00CD538E" w:rsidRDefault="00E915C7" w:rsidP="007D3130">
            <w:pPr>
              <w:spacing w:before="0" w:after="0"/>
              <w:rPr>
                <w:rFonts w:asciiTheme="majorHAnsi" w:hAnsiTheme="majorHAnsi" w:cs="Arial"/>
                <w:b/>
                <w:bCs/>
                <w:sz w:val="16"/>
                <w:szCs w:val="16"/>
                <w:lang w:eastAsia="en-AU"/>
              </w:rPr>
            </w:pPr>
            <w:r w:rsidRPr="003405E4">
              <w:rPr>
                <w:rFonts w:asciiTheme="majorHAnsi" w:hAnsiTheme="majorHAnsi" w:cs="Arial"/>
                <w:b/>
                <w:bCs/>
                <w:sz w:val="16"/>
                <w:szCs w:val="16"/>
                <w:lang w:eastAsia="en-AU"/>
              </w:rPr>
              <w:t>Victoria</w:t>
            </w:r>
            <w:r w:rsidRPr="003405E4">
              <w:rPr>
                <w:rFonts w:asciiTheme="majorHAnsi" w:hAnsiTheme="majorHAnsi" w:cs="Arial"/>
                <w:b/>
                <w:bCs/>
                <w:spacing w:val="-6"/>
                <w:sz w:val="16"/>
                <w:szCs w:val="16"/>
                <w:lang w:eastAsia="en-AU"/>
              </w:rPr>
              <w:t> </w:t>
            </w:r>
          </w:p>
        </w:tc>
      </w:tr>
      <w:tr w:rsidR="00E915C7" w:rsidRPr="003436D5" w14:paraId="5709E85C"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40241F96"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East Gippsland</w:t>
            </w:r>
          </w:p>
        </w:tc>
        <w:tc>
          <w:tcPr>
            <w:tcW w:w="992" w:type="dxa"/>
            <w:tcBorders>
              <w:top w:val="nil"/>
              <w:left w:val="nil"/>
              <w:bottom w:val="nil"/>
              <w:right w:val="single" w:sz="4" w:space="0" w:color="auto"/>
            </w:tcBorders>
            <w:shd w:val="clear" w:color="000000" w:fill="FFFFFF"/>
            <w:noWrap/>
            <w:vAlign w:val="center"/>
            <w:hideMark/>
          </w:tcPr>
          <w:p w14:paraId="44DC9F4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1,014,040</w:t>
            </w:r>
          </w:p>
        </w:tc>
        <w:tc>
          <w:tcPr>
            <w:tcW w:w="851" w:type="dxa"/>
            <w:tcBorders>
              <w:top w:val="nil"/>
              <w:left w:val="nil"/>
              <w:bottom w:val="nil"/>
              <w:right w:val="nil"/>
            </w:tcBorders>
            <w:shd w:val="clear" w:color="000000" w:fill="FFFFFF"/>
            <w:noWrap/>
            <w:vAlign w:val="center"/>
            <w:hideMark/>
          </w:tcPr>
          <w:p w14:paraId="5ED71BD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344,696</w:t>
            </w:r>
          </w:p>
        </w:tc>
        <w:tc>
          <w:tcPr>
            <w:tcW w:w="850" w:type="dxa"/>
            <w:tcBorders>
              <w:top w:val="nil"/>
              <w:left w:val="nil"/>
              <w:bottom w:val="nil"/>
              <w:right w:val="nil"/>
            </w:tcBorders>
            <w:shd w:val="clear" w:color="000000" w:fill="FFFFFF"/>
            <w:noWrap/>
            <w:vAlign w:val="center"/>
            <w:hideMark/>
          </w:tcPr>
          <w:p w14:paraId="7D53F80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340,000</w:t>
            </w:r>
          </w:p>
        </w:tc>
        <w:tc>
          <w:tcPr>
            <w:tcW w:w="851" w:type="dxa"/>
            <w:tcBorders>
              <w:top w:val="nil"/>
              <w:left w:val="nil"/>
              <w:bottom w:val="nil"/>
              <w:right w:val="nil"/>
            </w:tcBorders>
            <w:shd w:val="clear" w:color="000000" w:fill="FFFFFF"/>
            <w:noWrap/>
            <w:vAlign w:val="center"/>
            <w:hideMark/>
          </w:tcPr>
          <w:p w14:paraId="195ECDC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340,000</w:t>
            </w:r>
          </w:p>
        </w:tc>
        <w:tc>
          <w:tcPr>
            <w:tcW w:w="850" w:type="dxa"/>
            <w:tcBorders>
              <w:top w:val="nil"/>
              <w:left w:val="nil"/>
              <w:bottom w:val="nil"/>
              <w:right w:val="nil"/>
            </w:tcBorders>
            <w:shd w:val="clear" w:color="000000" w:fill="FFFFFF"/>
            <w:noWrap/>
            <w:vAlign w:val="center"/>
            <w:hideMark/>
          </w:tcPr>
          <w:p w14:paraId="65083B5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302,500</w:t>
            </w:r>
          </w:p>
        </w:tc>
        <w:tc>
          <w:tcPr>
            <w:tcW w:w="850" w:type="dxa"/>
            <w:tcBorders>
              <w:top w:val="nil"/>
              <w:left w:val="nil"/>
              <w:bottom w:val="nil"/>
              <w:right w:val="nil"/>
            </w:tcBorders>
            <w:shd w:val="clear" w:color="000000" w:fill="FFFFFF"/>
            <w:noWrap/>
            <w:vAlign w:val="center"/>
            <w:hideMark/>
          </w:tcPr>
          <w:p w14:paraId="07D9EE8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250,000</w:t>
            </w:r>
          </w:p>
        </w:tc>
        <w:tc>
          <w:tcPr>
            <w:tcW w:w="837" w:type="dxa"/>
            <w:tcBorders>
              <w:top w:val="nil"/>
              <w:left w:val="nil"/>
              <w:bottom w:val="nil"/>
            </w:tcBorders>
            <w:shd w:val="clear" w:color="000000" w:fill="FFFFFF"/>
            <w:noWrap/>
            <w:vAlign w:val="center"/>
            <w:hideMark/>
          </w:tcPr>
          <w:p w14:paraId="4EA043B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226,000</w:t>
            </w:r>
          </w:p>
        </w:tc>
        <w:tc>
          <w:tcPr>
            <w:tcW w:w="864" w:type="dxa"/>
            <w:tcBorders>
              <w:top w:val="nil"/>
              <w:bottom w:val="nil"/>
              <w:right w:val="single" w:sz="4" w:space="0" w:color="auto"/>
            </w:tcBorders>
            <w:shd w:val="clear" w:color="000000" w:fill="FFFFFF"/>
            <w:vAlign w:val="center"/>
          </w:tcPr>
          <w:p w14:paraId="75520CA1" w14:textId="77777777" w:rsidR="00E915C7" w:rsidRPr="003405E4" w:rsidRDefault="00E915C7" w:rsidP="007D3130">
            <w:pPr>
              <w:spacing w:before="0" w:after="0"/>
              <w:jc w:val="right"/>
              <w:rPr>
                <w:rFonts w:asciiTheme="majorHAnsi" w:hAnsiTheme="majorHAnsi" w:cs="Arial"/>
                <w:spacing w:val="-6"/>
                <w:sz w:val="16"/>
                <w:szCs w:val="16"/>
              </w:rPr>
            </w:pPr>
            <w:r w:rsidRPr="003405E4">
              <w:rPr>
                <w:rFonts w:asciiTheme="majorHAnsi" w:hAnsiTheme="majorHAnsi" w:cs="Arial"/>
                <w:spacing w:val="-6"/>
                <w:sz w:val="16"/>
                <w:szCs w:val="16"/>
              </w:rPr>
              <w:t>226,000</w:t>
            </w:r>
          </w:p>
        </w:tc>
        <w:tc>
          <w:tcPr>
            <w:tcW w:w="992" w:type="dxa"/>
            <w:tcBorders>
              <w:top w:val="nil"/>
              <w:left w:val="single" w:sz="4" w:space="0" w:color="auto"/>
              <w:bottom w:val="nil"/>
              <w:right w:val="single" w:sz="4" w:space="0" w:color="auto"/>
            </w:tcBorders>
            <w:shd w:val="clear" w:color="000000" w:fill="FFFFFF"/>
            <w:noWrap/>
            <w:vAlign w:val="center"/>
            <w:hideMark/>
          </w:tcPr>
          <w:p w14:paraId="67BB7E3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34</w:t>
            </w:r>
          </w:p>
        </w:tc>
        <w:tc>
          <w:tcPr>
            <w:tcW w:w="850" w:type="dxa"/>
            <w:tcBorders>
              <w:top w:val="nil"/>
              <w:left w:val="nil"/>
              <w:bottom w:val="nil"/>
              <w:right w:val="nil"/>
            </w:tcBorders>
            <w:shd w:val="clear" w:color="000000" w:fill="FFFFFF"/>
            <w:noWrap/>
            <w:vAlign w:val="center"/>
            <w:hideMark/>
          </w:tcPr>
          <w:p w14:paraId="1EE4E17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-4,696</w:t>
            </w:r>
          </w:p>
        </w:tc>
        <w:tc>
          <w:tcPr>
            <w:tcW w:w="710" w:type="dxa"/>
            <w:tcBorders>
              <w:top w:val="nil"/>
              <w:left w:val="nil"/>
              <w:bottom w:val="nil"/>
              <w:right w:val="single" w:sz="4" w:space="0" w:color="auto"/>
            </w:tcBorders>
            <w:shd w:val="clear" w:color="000000" w:fill="FFFFFF"/>
            <w:noWrap/>
            <w:vAlign w:val="center"/>
            <w:hideMark/>
          </w:tcPr>
          <w:p w14:paraId="4DAA468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w:t>
            </w:r>
          </w:p>
        </w:tc>
        <w:tc>
          <w:tcPr>
            <w:tcW w:w="993" w:type="dxa"/>
            <w:tcBorders>
              <w:top w:val="nil"/>
              <w:left w:val="nil"/>
              <w:bottom w:val="nil"/>
              <w:right w:val="nil"/>
            </w:tcBorders>
            <w:shd w:val="clear" w:color="000000" w:fill="FFFFFF"/>
            <w:noWrap/>
            <w:vAlign w:val="center"/>
            <w:hideMark/>
          </w:tcPr>
          <w:p w14:paraId="1860A10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-118,696</w:t>
            </w:r>
          </w:p>
        </w:tc>
        <w:tc>
          <w:tcPr>
            <w:tcW w:w="708" w:type="dxa"/>
            <w:tcBorders>
              <w:top w:val="nil"/>
              <w:left w:val="nil"/>
              <w:bottom w:val="nil"/>
              <w:right w:val="nil"/>
            </w:tcBorders>
            <w:shd w:val="clear" w:color="000000" w:fill="FFFFFF"/>
            <w:noWrap/>
            <w:vAlign w:val="center"/>
            <w:hideMark/>
          </w:tcPr>
          <w:p w14:paraId="4E0D75C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-34</w:t>
            </w:r>
          </w:p>
        </w:tc>
        <w:tc>
          <w:tcPr>
            <w:tcW w:w="972" w:type="dxa"/>
            <w:tcBorders>
              <w:top w:val="nil"/>
              <w:left w:val="single" w:sz="4" w:space="0" w:color="auto"/>
              <w:bottom w:val="nil"/>
              <w:right w:val="nil"/>
            </w:tcBorders>
            <w:shd w:val="clear" w:color="000000" w:fill="FFFFFF"/>
            <w:noWrap/>
            <w:vAlign w:val="center"/>
            <w:hideMark/>
          </w:tcPr>
          <w:p w14:paraId="756C725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-114,000</w:t>
            </w:r>
          </w:p>
        </w:tc>
        <w:tc>
          <w:tcPr>
            <w:tcW w:w="729" w:type="dxa"/>
            <w:tcBorders>
              <w:top w:val="nil"/>
              <w:left w:val="nil"/>
              <w:bottom w:val="nil"/>
              <w:right w:val="single" w:sz="4" w:space="0" w:color="auto"/>
            </w:tcBorders>
            <w:shd w:val="clear" w:color="000000" w:fill="FFFFFF"/>
            <w:noWrap/>
            <w:vAlign w:val="center"/>
            <w:hideMark/>
          </w:tcPr>
          <w:p w14:paraId="5C6C4B8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-34</w:t>
            </w:r>
          </w:p>
        </w:tc>
        <w:tc>
          <w:tcPr>
            <w:tcW w:w="992" w:type="dxa"/>
            <w:tcBorders>
              <w:top w:val="nil"/>
              <w:left w:val="nil"/>
              <w:bottom w:val="nil"/>
              <w:right w:val="nil"/>
            </w:tcBorders>
            <w:shd w:val="clear" w:color="000000" w:fill="FFFFFF"/>
            <w:noWrap/>
            <w:vAlign w:val="center"/>
            <w:hideMark/>
          </w:tcPr>
          <w:p w14:paraId="419A49B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22</w:t>
            </w:r>
          </w:p>
        </w:tc>
      </w:tr>
      <w:tr w:rsidR="00E915C7" w:rsidRPr="003436D5" w14:paraId="53EC7384"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32240231"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Central Highlands</w:t>
            </w:r>
          </w:p>
        </w:tc>
        <w:tc>
          <w:tcPr>
            <w:tcW w:w="992" w:type="dxa"/>
            <w:tcBorders>
              <w:top w:val="nil"/>
              <w:left w:val="nil"/>
              <w:bottom w:val="nil"/>
              <w:right w:val="single" w:sz="4" w:space="0" w:color="auto"/>
            </w:tcBorders>
            <w:shd w:val="clear" w:color="000000" w:fill="FFFFFF"/>
            <w:noWrap/>
            <w:vAlign w:val="center"/>
            <w:hideMark/>
          </w:tcPr>
          <w:p w14:paraId="2A74D37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584,676</w:t>
            </w:r>
          </w:p>
        </w:tc>
        <w:tc>
          <w:tcPr>
            <w:tcW w:w="851" w:type="dxa"/>
            <w:tcBorders>
              <w:top w:val="nil"/>
              <w:left w:val="nil"/>
              <w:bottom w:val="nil"/>
              <w:right w:val="nil"/>
            </w:tcBorders>
            <w:shd w:val="clear" w:color="000000" w:fill="FFFFFF"/>
            <w:noWrap/>
            <w:vAlign w:val="center"/>
            <w:hideMark/>
          </w:tcPr>
          <w:p w14:paraId="5EE04E0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207,700</w:t>
            </w:r>
          </w:p>
        </w:tc>
        <w:tc>
          <w:tcPr>
            <w:tcW w:w="850" w:type="dxa"/>
            <w:tcBorders>
              <w:top w:val="nil"/>
              <w:left w:val="nil"/>
              <w:bottom w:val="nil"/>
              <w:right w:val="nil"/>
            </w:tcBorders>
            <w:shd w:val="clear" w:color="000000" w:fill="FFFFFF"/>
            <w:noWrap/>
            <w:vAlign w:val="center"/>
            <w:hideMark/>
          </w:tcPr>
          <w:p w14:paraId="5E1E09F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190,000</w:t>
            </w:r>
          </w:p>
        </w:tc>
        <w:tc>
          <w:tcPr>
            <w:tcW w:w="851" w:type="dxa"/>
            <w:tcBorders>
              <w:top w:val="nil"/>
              <w:left w:val="nil"/>
              <w:bottom w:val="nil"/>
              <w:right w:val="nil"/>
            </w:tcBorders>
            <w:shd w:val="clear" w:color="000000" w:fill="FFFFFF"/>
            <w:noWrap/>
            <w:vAlign w:val="center"/>
            <w:hideMark/>
          </w:tcPr>
          <w:p w14:paraId="4170C44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190,000</w:t>
            </w:r>
          </w:p>
        </w:tc>
        <w:tc>
          <w:tcPr>
            <w:tcW w:w="850" w:type="dxa"/>
            <w:tcBorders>
              <w:top w:val="nil"/>
              <w:left w:val="nil"/>
              <w:bottom w:val="nil"/>
              <w:right w:val="nil"/>
            </w:tcBorders>
            <w:shd w:val="clear" w:color="000000" w:fill="FFFFFF"/>
            <w:noWrap/>
            <w:vAlign w:val="center"/>
            <w:hideMark/>
          </w:tcPr>
          <w:p w14:paraId="1E27EF6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184,000</w:t>
            </w:r>
          </w:p>
        </w:tc>
        <w:tc>
          <w:tcPr>
            <w:tcW w:w="850" w:type="dxa"/>
            <w:tcBorders>
              <w:top w:val="nil"/>
              <w:left w:val="nil"/>
              <w:bottom w:val="nil"/>
              <w:right w:val="nil"/>
            </w:tcBorders>
            <w:shd w:val="clear" w:color="000000" w:fill="FFFFFF"/>
            <w:noWrap/>
            <w:vAlign w:val="center"/>
            <w:hideMark/>
          </w:tcPr>
          <w:p w14:paraId="7D18210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184,000</w:t>
            </w:r>
          </w:p>
        </w:tc>
        <w:tc>
          <w:tcPr>
            <w:tcW w:w="837" w:type="dxa"/>
            <w:tcBorders>
              <w:top w:val="nil"/>
              <w:left w:val="nil"/>
              <w:bottom w:val="nil"/>
            </w:tcBorders>
            <w:shd w:val="clear" w:color="000000" w:fill="FFFFFF"/>
            <w:noWrap/>
            <w:vAlign w:val="center"/>
            <w:hideMark/>
          </w:tcPr>
          <w:p w14:paraId="21B8D96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115,000</w:t>
            </w:r>
          </w:p>
        </w:tc>
        <w:tc>
          <w:tcPr>
            <w:tcW w:w="864" w:type="dxa"/>
            <w:tcBorders>
              <w:top w:val="nil"/>
              <w:bottom w:val="nil"/>
              <w:right w:val="single" w:sz="4" w:space="0" w:color="auto"/>
            </w:tcBorders>
            <w:shd w:val="clear" w:color="000000" w:fill="FFFFFF"/>
            <w:vAlign w:val="center"/>
          </w:tcPr>
          <w:p w14:paraId="4B77EFD9" w14:textId="77777777" w:rsidR="00E915C7" w:rsidRPr="003405E4" w:rsidRDefault="00E915C7" w:rsidP="007D3130">
            <w:pPr>
              <w:spacing w:before="0" w:after="0"/>
              <w:jc w:val="right"/>
              <w:rPr>
                <w:rFonts w:asciiTheme="majorHAnsi" w:hAnsiTheme="majorHAnsi" w:cs="Arial"/>
                <w:spacing w:val="-6"/>
                <w:sz w:val="16"/>
                <w:szCs w:val="16"/>
              </w:rPr>
            </w:pPr>
            <w:r w:rsidRPr="003405E4">
              <w:rPr>
                <w:rFonts w:asciiTheme="majorHAnsi" w:hAnsiTheme="majorHAnsi" w:cs="Arial"/>
                <w:spacing w:val="-6"/>
                <w:sz w:val="16"/>
                <w:szCs w:val="16"/>
              </w:rPr>
              <w:t>115,000</w:t>
            </w:r>
          </w:p>
        </w:tc>
        <w:tc>
          <w:tcPr>
            <w:tcW w:w="992" w:type="dxa"/>
            <w:tcBorders>
              <w:top w:val="nil"/>
              <w:left w:val="single" w:sz="4" w:space="0" w:color="auto"/>
              <w:bottom w:val="nil"/>
              <w:right w:val="single" w:sz="4" w:space="0" w:color="auto"/>
            </w:tcBorders>
            <w:shd w:val="clear" w:color="000000" w:fill="FFFFFF"/>
            <w:noWrap/>
            <w:vAlign w:val="center"/>
            <w:hideMark/>
          </w:tcPr>
          <w:p w14:paraId="5339259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36</w:t>
            </w:r>
          </w:p>
        </w:tc>
        <w:tc>
          <w:tcPr>
            <w:tcW w:w="850" w:type="dxa"/>
            <w:tcBorders>
              <w:top w:val="nil"/>
              <w:left w:val="nil"/>
              <w:bottom w:val="nil"/>
              <w:right w:val="nil"/>
            </w:tcBorders>
            <w:shd w:val="clear" w:color="000000" w:fill="FFFFFF"/>
            <w:noWrap/>
            <w:vAlign w:val="center"/>
            <w:hideMark/>
          </w:tcPr>
          <w:p w14:paraId="526499FA"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-17,700</w:t>
            </w:r>
          </w:p>
        </w:tc>
        <w:tc>
          <w:tcPr>
            <w:tcW w:w="710" w:type="dxa"/>
            <w:tcBorders>
              <w:top w:val="nil"/>
              <w:left w:val="nil"/>
              <w:bottom w:val="nil"/>
              <w:right w:val="single" w:sz="4" w:space="0" w:color="auto"/>
            </w:tcBorders>
            <w:shd w:val="clear" w:color="000000" w:fill="FFFFFF"/>
            <w:noWrap/>
            <w:vAlign w:val="center"/>
            <w:hideMark/>
          </w:tcPr>
          <w:p w14:paraId="7873F08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-9</w:t>
            </w:r>
          </w:p>
        </w:tc>
        <w:tc>
          <w:tcPr>
            <w:tcW w:w="993" w:type="dxa"/>
            <w:tcBorders>
              <w:top w:val="nil"/>
              <w:left w:val="nil"/>
              <w:bottom w:val="nil"/>
              <w:right w:val="nil"/>
            </w:tcBorders>
            <w:shd w:val="clear" w:color="000000" w:fill="FFFFFF"/>
            <w:noWrap/>
            <w:vAlign w:val="center"/>
            <w:hideMark/>
          </w:tcPr>
          <w:p w14:paraId="12DF235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-92,700</w:t>
            </w:r>
          </w:p>
        </w:tc>
        <w:tc>
          <w:tcPr>
            <w:tcW w:w="708" w:type="dxa"/>
            <w:tcBorders>
              <w:top w:val="nil"/>
              <w:left w:val="nil"/>
              <w:bottom w:val="nil"/>
              <w:right w:val="nil"/>
            </w:tcBorders>
            <w:shd w:val="clear" w:color="000000" w:fill="FFFFFF"/>
            <w:noWrap/>
            <w:vAlign w:val="center"/>
            <w:hideMark/>
          </w:tcPr>
          <w:p w14:paraId="155A9DCA"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-45</w:t>
            </w:r>
          </w:p>
        </w:tc>
        <w:tc>
          <w:tcPr>
            <w:tcW w:w="972" w:type="dxa"/>
            <w:tcBorders>
              <w:top w:val="nil"/>
              <w:left w:val="single" w:sz="4" w:space="0" w:color="auto"/>
              <w:bottom w:val="nil"/>
              <w:right w:val="nil"/>
            </w:tcBorders>
            <w:shd w:val="clear" w:color="000000" w:fill="FFFFFF"/>
            <w:noWrap/>
            <w:vAlign w:val="center"/>
            <w:hideMark/>
          </w:tcPr>
          <w:p w14:paraId="50640D2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-75,000</w:t>
            </w:r>
          </w:p>
        </w:tc>
        <w:tc>
          <w:tcPr>
            <w:tcW w:w="729" w:type="dxa"/>
            <w:tcBorders>
              <w:top w:val="nil"/>
              <w:left w:val="nil"/>
              <w:bottom w:val="nil"/>
              <w:right w:val="single" w:sz="4" w:space="0" w:color="auto"/>
            </w:tcBorders>
            <w:shd w:val="clear" w:color="000000" w:fill="FFFFFF"/>
            <w:noWrap/>
            <w:vAlign w:val="center"/>
            <w:hideMark/>
          </w:tcPr>
          <w:p w14:paraId="295A331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-39</w:t>
            </w:r>
          </w:p>
        </w:tc>
        <w:tc>
          <w:tcPr>
            <w:tcW w:w="992" w:type="dxa"/>
            <w:tcBorders>
              <w:top w:val="nil"/>
              <w:left w:val="nil"/>
              <w:bottom w:val="nil"/>
              <w:right w:val="nil"/>
            </w:tcBorders>
            <w:shd w:val="clear" w:color="000000" w:fill="FFFFFF"/>
            <w:noWrap/>
            <w:vAlign w:val="center"/>
            <w:hideMark/>
          </w:tcPr>
          <w:p w14:paraId="0465E41A"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20</w:t>
            </w:r>
          </w:p>
        </w:tc>
      </w:tr>
      <w:tr w:rsidR="00E915C7" w:rsidRPr="003436D5" w14:paraId="78E701A4"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31186007"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North East</w:t>
            </w:r>
          </w:p>
        </w:tc>
        <w:tc>
          <w:tcPr>
            <w:tcW w:w="992" w:type="dxa"/>
            <w:tcBorders>
              <w:top w:val="nil"/>
              <w:left w:val="nil"/>
              <w:bottom w:val="nil"/>
              <w:right w:val="single" w:sz="4" w:space="0" w:color="auto"/>
            </w:tcBorders>
            <w:shd w:val="clear" w:color="000000" w:fill="FFFFFF"/>
            <w:noWrap/>
            <w:vAlign w:val="center"/>
            <w:hideMark/>
          </w:tcPr>
          <w:p w14:paraId="0F28B48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1,077,910</w:t>
            </w:r>
          </w:p>
        </w:tc>
        <w:tc>
          <w:tcPr>
            <w:tcW w:w="851" w:type="dxa"/>
            <w:tcBorders>
              <w:top w:val="nil"/>
              <w:left w:val="nil"/>
              <w:bottom w:val="nil"/>
              <w:right w:val="nil"/>
            </w:tcBorders>
            <w:shd w:val="clear" w:color="000000" w:fill="FFFFFF"/>
            <w:noWrap/>
            <w:vAlign w:val="center"/>
            <w:hideMark/>
          </w:tcPr>
          <w:p w14:paraId="27A34E0E"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120,050</w:t>
            </w:r>
          </w:p>
        </w:tc>
        <w:tc>
          <w:tcPr>
            <w:tcW w:w="850" w:type="dxa"/>
            <w:tcBorders>
              <w:top w:val="nil"/>
              <w:left w:val="nil"/>
              <w:bottom w:val="nil"/>
              <w:right w:val="nil"/>
            </w:tcBorders>
            <w:shd w:val="clear" w:color="000000" w:fill="FFFFFF"/>
            <w:noWrap/>
            <w:vAlign w:val="center"/>
            <w:hideMark/>
          </w:tcPr>
          <w:p w14:paraId="3EF637D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100,000</w:t>
            </w:r>
          </w:p>
        </w:tc>
        <w:tc>
          <w:tcPr>
            <w:tcW w:w="851" w:type="dxa"/>
            <w:tcBorders>
              <w:top w:val="nil"/>
              <w:left w:val="nil"/>
              <w:bottom w:val="nil"/>
              <w:right w:val="nil"/>
            </w:tcBorders>
            <w:shd w:val="clear" w:color="000000" w:fill="FFFFFF"/>
            <w:noWrap/>
            <w:vAlign w:val="center"/>
            <w:hideMark/>
          </w:tcPr>
          <w:p w14:paraId="06C91B4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100,000</w:t>
            </w:r>
          </w:p>
        </w:tc>
        <w:tc>
          <w:tcPr>
            <w:tcW w:w="850" w:type="dxa"/>
            <w:tcBorders>
              <w:top w:val="nil"/>
              <w:left w:val="nil"/>
              <w:bottom w:val="nil"/>
              <w:right w:val="nil"/>
            </w:tcBorders>
            <w:shd w:val="clear" w:color="000000" w:fill="FFFFFF"/>
            <w:noWrap/>
            <w:vAlign w:val="center"/>
            <w:hideMark/>
          </w:tcPr>
          <w:p w14:paraId="6C2778E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75,500</w:t>
            </w:r>
          </w:p>
        </w:tc>
        <w:tc>
          <w:tcPr>
            <w:tcW w:w="850" w:type="dxa"/>
            <w:tcBorders>
              <w:top w:val="nil"/>
              <w:left w:val="nil"/>
              <w:bottom w:val="nil"/>
              <w:right w:val="nil"/>
            </w:tcBorders>
            <w:shd w:val="clear" w:color="000000" w:fill="FFFFFF"/>
            <w:noWrap/>
            <w:vAlign w:val="center"/>
            <w:hideMark/>
          </w:tcPr>
          <w:p w14:paraId="4155620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75,000</w:t>
            </w:r>
          </w:p>
        </w:tc>
        <w:tc>
          <w:tcPr>
            <w:tcW w:w="837" w:type="dxa"/>
            <w:tcBorders>
              <w:top w:val="nil"/>
              <w:left w:val="nil"/>
              <w:bottom w:val="nil"/>
            </w:tcBorders>
            <w:shd w:val="clear" w:color="000000" w:fill="FFFFFF"/>
            <w:noWrap/>
            <w:vAlign w:val="center"/>
            <w:hideMark/>
          </w:tcPr>
          <w:p w14:paraId="039D630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38,000</w:t>
            </w:r>
          </w:p>
        </w:tc>
        <w:tc>
          <w:tcPr>
            <w:tcW w:w="864" w:type="dxa"/>
            <w:tcBorders>
              <w:top w:val="nil"/>
              <w:bottom w:val="nil"/>
              <w:right w:val="single" w:sz="4" w:space="0" w:color="auto"/>
            </w:tcBorders>
            <w:shd w:val="clear" w:color="000000" w:fill="FFFFFF"/>
            <w:vAlign w:val="center"/>
          </w:tcPr>
          <w:p w14:paraId="47EDEDBF" w14:textId="77777777" w:rsidR="00E915C7" w:rsidRPr="003405E4" w:rsidRDefault="00E915C7" w:rsidP="007D3130">
            <w:pPr>
              <w:spacing w:before="0" w:after="0"/>
              <w:jc w:val="right"/>
              <w:rPr>
                <w:rFonts w:asciiTheme="majorHAnsi" w:hAnsiTheme="majorHAnsi" w:cs="Arial"/>
                <w:spacing w:val="-6"/>
                <w:sz w:val="16"/>
                <w:szCs w:val="16"/>
              </w:rPr>
            </w:pPr>
            <w:r w:rsidRPr="003405E4">
              <w:rPr>
                <w:rFonts w:asciiTheme="majorHAnsi" w:hAnsiTheme="majorHAnsi" w:cs="Arial"/>
                <w:spacing w:val="-6"/>
                <w:sz w:val="16"/>
                <w:szCs w:val="16"/>
              </w:rPr>
              <w:t>38,000</w:t>
            </w:r>
          </w:p>
        </w:tc>
        <w:tc>
          <w:tcPr>
            <w:tcW w:w="992" w:type="dxa"/>
            <w:tcBorders>
              <w:top w:val="nil"/>
              <w:left w:val="single" w:sz="4" w:space="0" w:color="auto"/>
              <w:bottom w:val="nil"/>
              <w:right w:val="single" w:sz="4" w:space="0" w:color="auto"/>
            </w:tcBorders>
            <w:shd w:val="clear" w:color="000000" w:fill="FFFFFF"/>
            <w:noWrap/>
            <w:vAlign w:val="center"/>
            <w:hideMark/>
          </w:tcPr>
          <w:p w14:paraId="0DC6942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11</w:t>
            </w:r>
          </w:p>
        </w:tc>
        <w:tc>
          <w:tcPr>
            <w:tcW w:w="850" w:type="dxa"/>
            <w:tcBorders>
              <w:top w:val="nil"/>
              <w:left w:val="nil"/>
              <w:bottom w:val="nil"/>
              <w:right w:val="nil"/>
            </w:tcBorders>
            <w:shd w:val="clear" w:color="000000" w:fill="FFFFFF"/>
            <w:noWrap/>
            <w:vAlign w:val="center"/>
            <w:hideMark/>
          </w:tcPr>
          <w:p w14:paraId="162F496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-20,050</w:t>
            </w:r>
          </w:p>
        </w:tc>
        <w:tc>
          <w:tcPr>
            <w:tcW w:w="710" w:type="dxa"/>
            <w:tcBorders>
              <w:top w:val="nil"/>
              <w:left w:val="nil"/>
              <w:bottom w:val="nil"/>
              <w:right w:val="single" w:sz="4" w:space="0" w:color="auto"/>
            </w:tcBorders>
            <w:shd w:val="clear" w:color="000000" w:fill="FFFFFF"/>
            <w:noWrap/>
            <w:vAlign w:val="center"/>
            <w:hideMark/>
          </w:tcPr>
          <w:p w14:paraId="2F1EEF9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-17</w:t>
            </w:r>
          </w:p>
        </w:tc>
        <w:tc>
          <w:tcPr>
            <w:tcW w:w="993" w:type="dxa"/>
            <w:tcBorders>
              <w:top w:val="nil"/>
              <w:left w:val="nil"/>
              <w:bottom w:val="nil"/>
              <w:right w:val="nil"/>
            </w:tcBorders>
            <w:shd w:val="clear" w:color="000000" w:fill="FFFFFF"/>
            <w:noWrap/>
            <w:vAlign w:val="center"/>
            <w:hideMark/>
          </w:tcPr>
          <w:p w14:paraId="50D98C0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-82,050</w:t>
            </w:r>
          </w:p>
        </w:tc>
        <w:tc>
          <w:tcPr>
            <w:tcW w:w="708" w:type="dxa"/>
            <w:tcBorders>
              <w:top w:val="nil"/>
              <w:left w:val="nil"/>
              <w:bottom w:val="nil"/>
              <w:right w:val="nil"/>
            </w:tcBorders>
            <w:shd w:val="clear" w:color="000000" w:fill="FFFFFF"/>
            <w:noWrap/>
            <w:vAlign w:val="center"/>
            <w:hideMark/>
          </w:tcPr>
          <w:p w14:paraId="44DCE5A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-68</w:t>
            </w:r>
          </w:p>
        </w:tc>
        <w:tc>
          <w:tcPr>
            <w:tcW w:w="972" w:type="dxa"/>
            <w:tcBorders>
              <w:top w:val="nil"/>
              <w:left w:val="single" w:sz="4" w:space="0" w:color="auto"/>
              <w:bottom w:val="nil"/>
              <w:right w:val="nil"/>
            </w:tcBorders>
            <w:shd w:val="clear" w:color="000000" w:fill="FFFFFF"/>
            <w:noWrap/>
            <w:vAlign w:val="center"/>
            <w:hideMark/>
          </w:tcPr>
          <w:p w14:paraId="6962B84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-62,000</w:t>
            </w:r>
          </w:p>
        </w:tc>
        <w:tc>
          <w:tcPr>
            <w:tcW w:w="729" w:type="dxa"/>
            <w:tcBorders>
              <w:top w:val="nil"/>
              <w:left w:val="nil"/>
              <w:bottom w:val="nil"/>
              <w:right w:val="single" w:sz="4" w:space="0" w:color="auto"/>
            </w:tcBorders>
            <w:shd w:val="clear" w:color="000000" w:fill="FFFFFF"/>
            <w:noWrap/>
            <w:vAlign w:val="center"/>
            <w:hideMark/>
          </w:tcPr>
          <w:p w14:paraId="0B43F3EE"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-62</w:t>
            </w:r>
          </w:p>
        </w:tc>
        <w:tc>
          <w:tcPr>
            <w:tcW w:w="992" w:type="dxa"/>
            <w:tcBorders>
              <w:top w:val="nil"/>
              <w:left w:val="nil"/>
              <w:bottom w:val="nil"/>
              <w:right w:val="nil"/>
            </w:tcBorders>
            <w:shd w:val="clear" w:color="000000" w:fill="FFFFFF"/>
            <w:noWrap/>
            <w:vAlign w:val="center"/>
            <w:hideMark/>
          </w:tcPr>
          <w:p w14:paraId="48F1A22A"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4</w:t>
            </w:r>
          </w:p>
        </w:tc>
      </w:tr>
      <w:tr w:rsidR="00E915C7" w:rsidRPr="003436D5" w14:paraId="085B2A08"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5136EF5B"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Gippsland</w:t>
            </w:r>
          </w:p>
        </w:tc>
        <w:tc>
          <w:tcPr>
            <w:tcW w:w="992" w:type="dxa"/>
            <w:tcBorders>
              <w:top w:val="nil"/>
              <w:left w:val="nil"/>
              <w:bottom w:val="nil"/>
              <w:right w:val="single" w:sz="4" w:space="0" w:color="auto"/>
            </w:tcBorders>
            <w:shd w:val="clear" w:color="000000" w:fill="FFFFFF"/>
            <w:noWrap/>
            <w:vAlign w:val="center"/>
            <w:hideMark/>
          </w:tcPr>
          <w:p w14:paraId="43895CC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1,246,320</w:t>
            </w:r>
          </w:p>
        </w:tc>
        <w:tc>
          <w:tcPr>
            <w:tcW w:w="851" w:type="dxa"/>
            <w:tcBorders>
              <w:top w:val="nil"/>
              <w:left w:val="nil"/>
              <w:bottom w:val="nil"/>
              <w:right w:val="nil"/>
            </w:tcBorders>
            <w:shd w:val="clear" w:color="000000" w:fill="FFFFFF"/>
            <w:noWrap/>
            <w:vAlign w:val="center"/>
            <w:hideMark/>
          </w:tcPr>
          <w:p w14:paraId="07B965F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253,810</w:t>
            </w:r>
          </w:p>
        </w:tc>
        <w:tc>
          <w:tcPr>
            <w:tcW w:w="850" w:type="dxa"/>
            <w:tcBorders>
              <w:top w:val="nil"/>
              <w:left w:val="nil"/>
              <w:bottom w:val="nil"/>
              <w:right w:val="nil"/>
            </w:tcBorders>
            <w:shd w:val="clear" w:color="000000" w:fill="FFFFFF"/>
            <w:noWrap/>
            <w:vAlign w:val="center"/>
            <w:hideMark/>
          </w:tcPr>
          <w:p w14:paraId="6E8A3BA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230,000</w:t>
            </w:r>
          </w:p>
        </w:tc>
        <w:tc>
          <w:tcPr>
            <w:tcW w:w="851" w:type="dxa"/>
            <w:tcBorders>
              <w:top w:val="nil"/>
              <w:left w:val="nil"/>
              <w:bottom w:val="nil"/>
              <w:right w:val="nil"/>
            </w:tcBorders>
            <w:shd w:val="clear" w:color="000000" w:fill="FFFFFF"/>
            <w:noWrap/>
            <w:vAlign w:val="center"/>
            <w:hideMark/>
          </w:tcPr>
          <w:p w14:paraId="481F5DF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230,000</w:t>
            </w:r>
          </w:p>
        </w:tc>
        <w:tc>
          <w:tcPr>
            <w:tcW w:w="850" w:type="dxa"/>
            <w:tcBorders>
              <w:top w:val="nil"/>
              <w:left w:val="nil"/>
              <w:bottom w:val="nil"/>
              <w:right w:val="nil"/>
            </w:tcBorders>
            <w:shd w:val="clear" w:color="000000" w:fill="FFFFFF"/>
            <w:noWrap/>
            <w:vAlign w:val="center"/>
            <w:hideMark/>
          </w:tcPr>
          <w:p w14:paraId="7664C6E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230,000</w:t>
            </w:r>
          </w:p>
        </w:tc>
        <w:tc>
          <w:tcPr>
            <w:tcW w:w="850" w:type="dxa"/>
            <w:tcBorders>
              <w:top w:val="nil"/>
              <w:left w:val="nil"/>
              <w:bottom w:val="nil"/>
              <w:right w:val="nil"/>
            </w:tcBorders>
            <w:shd w:val="clear" w:color="000000" w:fill="FFFFFF"/>
            <w:noWrap/>
            <w:vAlign w:val="center"/>
            <w:hideMark/>
          </w:tcPr>
          <w:p w14:paraId="1330C8D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230,000</w:t>
            </w:r>
          </w:p>
        </w:tc>
        <w:tc>
          <w:tcPr>
            <w:tcW w:w="837" w:type="dxa"/>
            <w:tcBorders>
              <w:top w:val="nil"/>
              <w:left w:val="nil"/>
              <w:bottom w:val="nil"/>
            </w:tcBorders>
            <w:shd w:val="clear" w:color="000000" w:fill="FFFFFF"/>
            <w:noWrap/>
            <w:vAlign w:val="center"/>
            <w:hideMark/>
          </w:tcPr>
          <w:p w14:paraId="5195D06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72,000</w:t>
            </w:r>
          </w:p>
        </w:tc>
        <w:tc>
          <w:tcPr>
            <w:tcW w:w="864" w:type="dxa"/>
            <w:tcBorders>
              <w:top w:val="nil"/>
              <w:bottom w:val="nil"/>
              <w:right w:val="single" w:sz="4" w:space="0" w:color="auto"/>
            </w:tcBorders>
            <w:shd w:val="clear" w:color="000000" w:fill="FFFFFF"/>
            <w:vAlign w:val="center"/>
          </w:tcPr>
          <w:p w14:paraId="7B69A3C9" w14:textId="77777777" w:rsidR="00E915C7" w:rsidRPr="003405E4" w:rsidRDefault="00E915C7" w:rsidP="007D3130">
            <w:pPr>
              <w:spacing w:before="0" w:after="0"/>
              <w:jc w:val="right"/>
              <w:rPr>
                <w:rFonts w:asciiTheme="majorHAnsi" w:hAnsiTheme="majorHAnsi" w:cs="Arial"/>
                <w:spacing w:val="-6"/>
                <w:sz w:val="16"/>
                <w:szCs w:val="16"/>
              </w:rPr>
            </w:pPr>
            <w:r w:rsidRPr="003405E4">
              <w:rPr>
                <w:rFonts w:asciiTheme="majorHAnsi" w:hAnsiTheme="majorHAnsi" w:cs="Arial"/>
                <w:spacing w:val="-6"/>
                <w:sz w:val="16"/>
                <w:szCs w:val="16"/>
              </w:rPr>
              <w:t>72,000</w:t>
            </w:r>
          </w:p>
        </w:tc>
        <w:tc>
          <w:tcPr>
            <w:tcW w:w="992" w:type="dxa"/>
            <w:tcBorders>
              <w:top w:val="nil"/>
              <w:left w:val="single" w:sz="4" w:space="0" w:color="auto"/>
              <w:bottom w:val="nil"/>
              <w:right w:val="single" w:sz="4" w:space="0" w:color="auto"/>
            </w:tcBorders>
            <w:shd w:val="clear" w:color="000000" w:fill="FFFFFF"/>
            <w:noWrap/>
            <w:vAlign w:val="center"/>
            <w:hideMark/>
          </w:tcPr>
          <w:p w14:paraId="1EBD4D1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20</w:t>
            </w:r>
          </w:p>
        </w:tc>
        <w:tc>
          <w:tcPr>
            <w:tcW w:w="850" w:type="dxa"/>
            <w:tcBorders>
              <w:top w:val="nil"/>
              <w:left w:val="nil"/>
              <w:bottom w:val="nil"/>
              <w:right w:val="nil"/>
            </w:tcBorders>
            <w:shd w:val="clear" w:color="000000" w:fill="FFFFFF"/>
            <w:noWrap/>
            <w:vAlign w:val="center"/>
            <w:hideMark/>
          </w:tcPr>
          <w:p w14:paraId="5F42EA3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-23,810</w:t>
            </w:r>
          </w:p>
        </w:tc>
        <w:tc>
          <w:tcPr>
            <w:tcW w:w="710" w:type="dxa"/>
            <w:tcBorders>
              <w:top w:val="nil"/>
              <w:left w:val="nil"/>
              <w:bottom w:val="nil"/>
              <w:right w:val="single" w:sz="4" w:space="0" w:color="auto"/>
            </w:tcBorders>
            <w:shd w:val="clear" w:color="000000" w:fill="FFFFFF"/>
            <w:noWrap/>
            <w:vAlign w:val="center"/>
            <w:hideMark/>
          </w:tcPr>
          <w:p w14:paraId="2520BDD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-9</w:t>
            </w:r>
          </w:p>
        </w:tc>
        <w:tc>
          <w:tcPr>
            <w:tcW w:w="993" w:type="dxa"/>
            <w:tcBorders>
              <w:top w:val="nil"/>
              <w:left w:val="nil"/>
              <w:bottom w:val="nil"/>
              <w:right w:val="nil"/>
            </w:tcBorders>
            <w:shd w:val="clear" w:color="000000" w:fill="FFFFFF"/>
            <w:noWrap/>
            <w:vAlign w:val="center"/>
            <w:hideMark/>
          </w:tcPr>
          <w:p w14:paraId="741FA3D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-181,810</w:t>
            </w:r>
          </w:p>
        </w:tc>
        <w:tc>
          <w:tcPr>
            <w:tcW w:w="708" w:type="dxa"/>
            <w:tcBorders>
              <w:top w:val="nil"/>
              <w:left w:val="nil"/>
              <w:bottom w:val="nil"/>
              <w:right w:val="nil"/>
            </w:tcBorders>
            <w:shd w:val="clear" w:color="000000" w:fill="FFFFFF"/>
            <w:noWrap/>
            <w:vAlign w:val="center"/>
            <w:hideMark/>
          </w:tcPr>
          <w:p w14:paraId="7CDE4F6A"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-72</w:t>
            </w:r>
          </w:p>
        </w:tc>
        <w:tc>
          <w:tcPr>
            <w:tcW w:w="972" w:type="dxa"/>
            <w:tcBorders>
              <w:top w:val="nil"/>
              <w:left w:val="single" w:sz="4" w:space="0" w:color="auto"/>
              <w:bottom w:val="nil"/>
              <w:right w:val="nil"/>
            </w:tcBorders>
            <w:shd w:val="clear" w:color="000000" w:fill="FFFFFF"/>
            <w:noWrap/>
            <w:vAlign w:val="center"/>
            <w:hideMark/>
          </w:tcPr>
          <w:p w14:paraId="779998B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-158,000</w:t>
            </w:r>
          </w:p>
        </w:tc>
        <w:tc>
          <w:tcPr>
            <w:tcW w:w="729" w:type="dxa"/>
            <w:tcBorders>
              <w:top w:val="nil"/>
              <w:left w:val="nil"/>
              <w:bottom w:val="nil"/>
              <w:right w:val="single" w:sz="4" w:space="0" w:color="auto"/>
            </w:tcBorders>
            <w:shd w:val="clear" w:color="auto" w:fill="FFFFFF" w:themeFill="background1"/>
            <w:noWrap/>
            <w:vAlign w:val="center"/>
            <w:hideMark/>
          </w:tcPr>
          <w:p w14:paraId="5A8433B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-69</w:t>
            </w:r>
          </w:p>
        </w:tc>
        <w:tc>
          <w:tcPr>
            <w:tcW w:w="992" w:type="dxa"/>
            <w:tcBorders>
              <w:top w:val="nil"/>
              <w:left w:val="nil"/>
              <w:bottom w:val="nil"/>
              <w:right w:val="nil"/>
            </w:tcBorders>
            <w:shd w:val="clear" w:color="000000" w:fill="FFFFFF"/>
            <w:noWrap/>
            <w:vAlign w:val="center"/>
            <w:hideMark/>
          </w:tcPr>
          <w:p w14:paraId="1CBFE25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6</w:t>
            </w:r>
          </w:p>
        </w:tc>
      </w:tr>
      <w:tr w:rsidR="00E915C7" w:rsidRPr="003436D5" w14:paraId="2EB17DEA"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2C682323"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West Victoria</w:t>
            </w:r>
          </w:p>
        </w:tc>
        <w:tc>
          <w:tcPr>
            <w:tcW w:w="992" w:type="dxa"/>
            <w:tcBorders>
              <w:top w:val="nil"/>
              <w:left w:val="nil"/>
              <w:bottom w:val="nil"/>
              <w:right w:val="single" w:sz="4" w:space="0" w:color="auto"/>
            </w:tcBorders>
            <w:shd w:val="clear" w:color="000000" w:fill="FFFFFF"/>
            <w:noWrap/>
            <w:vAlign w:val="center"/>
            <w:hideMark/>
          </w:tcPr>
          <w:p w14:paraId="3218D25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721,223</w:t>
            </w:r>
          </w:p>
        </w:tc>
        <w:tc>
          <w:tcPr>
            <w:tcW w:w="851" w:type="dxa"/>
            <w:tcBorders>
              <w:top w:val="nil"/>
              <w:left w:val="nil"/>
              <w:bottom w:val="nil"/>
              <w:right w:val="nil"/>
            </w:tcBorders>
            <w:shd w:val="clear" w:color="000000" w:fill="FFFFFF"/>
            <w:noWrap/>
            <w:vAlign w:val="center"/>
            <w:hideMark/>
          </w:tcPr>
          <w:p w14:paraId="7D49A77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174,600</w:t>
            </w:r>
          </w:p>
        </w:tc>
        <w:tc>
          <w:tcPr>
            <w:tcW w:w="850" w:type="dxa"/>
            <w:tcBorders>
              <w:top w:val="nil"/>
              <w:left w:val="nil"/>
              <w:bottom w:val="nil"/>
              <w:right w:val="nil"/>
            </w:tcBorders>
            <w:shd w:val="clear" w:color="000000" w:fill="FFFFFF"/>
            <w:noWrap/>
            <w:vAlign w:val="center"/>
            <w:hideMark/>
          </w:tcPr>
          <w:p w14:paraId="0DAAA75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150,000</w:t>
            </w:r>
          </w:p>
        </w:tc>
        <w:tc>
          <w:tcPr>
            <w:tcW w:w="851" w:type="dxa"/>
            <w:tcBorders>
              <w:top w:val="nil"/>
              <w:left w:val="nil"/>
              <w:bottom w:val="nil"/>
              <w:right w:val="nil"/>
            </w:tcBorders>
            <w:shd w:val="clear" w:color="000000" w:fill="FFFFFF"/>
            <w:noWrap/>
            <w:vAlign w:val="center"/>
            <w:hideMark/>
          </w:tcPr>
          <w:p w14:paraId="66E1D10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150,000</w:t>
            </w:r>
          </w:p>
        </w:tc>
        <w:tc>
          <w:tcPr>
            <w:tcW w:w="850" w:type="dxa"/>
            <w:tcBorders>
              <w:top w:val="nil"/>
              <w:left w:val="nil"/>
              <w:bottom w:val="nil"/>
              <w:right w:val="nil"/>
            </w:tcBorders>
            <w:shd w:val="clear" w:color="000000" w:fill="FFFFFF"/>
            <w:noWrap/>
            <w:vAlign w:val="center"/>
            <w:hideMark/>
          </w:tcPr>
          <w:p w14:paraId="001CC40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88,000</w:t>
            </w:r>
          </w:p>
        </w:tc>
        <w:tc>
          <w:tcPr>
            <w:tcW w:w="850" w:type="dxa"/>
            <w:tcBorders>
              <w:top w:val="nil"/>
              <w:left w:val="nil"/>
              <w:bottom w:val="nil"/>
              <w:right w:val="nil"/>
            </w:tcBorders>
            <w:shd w:val="clear" w:color="000000" w:fill="FFFFFF"/>
            <w:noWrap/>
            <w:vAlign w:val="center"/>
            <w:hideMark/>
          </w:tcPr>
          <w:p w14:paraId="6A98E2C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51,000</w:t>
            </w:r>
          </w:p>
        </w:tc>
        <w:tc>
          <w:tcPr>
            <w:tcW w:w="837" w:type="dxa"/>
            <w:tcBorders>
              <w:top w:val="nil"/>
              <w:left w:val="nil"/>
              <w:bottom w:val="nil"/>
            </w:tcBorders>
            <w:shd w:val="clear" w:color="000000" w:fill="FFFFFF"/>
            <w:noWrap/>
            <w:vAlign w:val="center"/>
            <w:hideMark/>
          </w:tcPr>
          <w:p w14:paraId="0641133D"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rPr>
              <w:t>na</w:t>
            </w:r>
          </w:p>
        </w:tc>
        <w:tc>
          <w:tcPr>
            <w:tcW w:w="864" w:type="dxa"/>
            <w:tcBorders>
              <w:top w:val="nil"/>
              <w:bottom w:val="nil"/>
              <w:right w:val="single" w:sz="4" w:space="0" w:color="auto"/>
            </w:tcBorders>
            <w:shd w:val="clear" w:color="000000" w:fill="FFFFFF"/>
            <w:vAlign w:val="center"/>
          </w:tcPr>
          <w:p w14:paraId="098BC156" w14:textId="77777777" w:rsidR="00E915C7" w:rsidRPr="003405E4" w:rsidRDefault="00E915C7" w:rsidP="007D3130">
            <w:pPr>
              <w:spacing w:before="0" w:after="0"/>
              <w:jc w:val="right"/>
              <w:rPr>
                <w:rFonts w:asciiTheme="majorHAnsi" w:hAnsiTheme="majorHAnsi" w:cs="Arial"/>
                <w:spacing w:val="-6"/>
                <w:sz w:val="16"/>
                <w:szCs w:val="16"/>
              </w:rPr>
            </w:pPr>
            <w:r w:rsidRPr="003405E4">
              <w:rPr>
                <w:rFonts w:asciiTheme="majorHAnsi" w:hAnsiTheme="majorHAnsi" w:cs="Arial"/>
                <w:spacing w:val="-6"/>
                <w:sz w:val="16"/>
                <w:szCs w:val="16"/>
              </w:rPr>
              <w:t>51,000</w:t>
            </w:r>
          </w:p>
        </w:tc>
        <w:tc>
          <w:tcPr>
            <w:tcW w:w="992" w:type="dxa"/>
            <w:tcBorders>
              <w:top w:val="nil"/>
              <w:left w:val="single" w:sz="4" w:space="0" w:color="auto"/>
              <w:bottom w:val="nil"/>
              <w:right w:val="single" w:sz="4" w:space="0" w:color="auto"/>
            </w:tcBorders>
            <w:shd w:val="clear" w:color="000000" w:fill="FFFFFF"/>
            <w:noWrap/>
            <w:vAlign w:val="center"/>
            <w:hideMark/>
          </w:tcPr>
          <w:p w14:paraId="5184C03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24</w:t>
            </w:r>
          </w:p>
        </w:tc>
        <w:tc>
          <w:tcPr>
            <w:tcW w:w="850" w:type="dxa"/>
            <w:tcBorders>
              <w:top w:val="nil"/>
              <w:left w:val="nil"/>
              <w:bottom w:val="nil"/>
              <w:right w:val="nil"/>
            </w:tcBorders>
            <w:shd w:val="clear" w:color="000000" w:fill="FFFFFF"/>
            <w:noWrap/>
            <w:vAlign w:val="center"/>
            <w:hideMark/>
          </w:tcPr>
          <w:p w14:paraId="6CCF75EA"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-24,600</w:t>
            </w:r>
          </w:p>
        </w:tc>
        <w:tc>
          <w:tcPr>
            <w:tcW w:w="710" w:type="dxa"/>
            <w:tcBorders>
              <w:top w:val="nil"/>
              <w:left w:val="nil"/>
              <w:bottom w:val="nil"/>
              <w:right w:val="single" w:sz="4" w:space="0" w:color="auto"/>
            </w:tcBorders>
            <w:shd w:val="clear" w:color="000000" w:fill="FFFFFF"/>
            <w:noWrap/>
            <w:vAlign w:val="center"/>
            <w:hideMark/>
          </w:tcPr>
          <w:p w14:paraId="6DEB941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-14</w:t>
            </w:r>
          </w:p>
        </w:tc>
        <w:tc>
          <w:tcPr>
            <w:tcW w:w="993" w:type="dxa"/>
            <w:tcBorders>
              <w:top w:val="nil"/>
              <w:left w:val="nil"/>
              <w:bottom w:val="nil"/>
              <w:right w:val="nil"/>
            </w:tcBorders>
            <w:shd w:val="clear" w:color="000000" w:fill="FFFFFF"/>
            <w:noWrap/>
            <w:vAlign w:val="center"/>
            <w:hideMark/>
          </w:tcPr>
          <w:p w14:paraId="019CD00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-123,600</w:t>
            </w:r>
          </w:p>
        </w:tc>
        <w:tc>
          <w:tcPr>
            <w:tcW w:w="708" w:type="dxa"/>
            <w:tcBorders>
              <w:top w:val="nil"/>
              <w:left w:val="nil"/>
              <w:bottom w:val="nil"/>
              <w:right w:val="nil"/>
            </w:tcBorders>
            <w:shd w:val="clear" w:color="000000" w:fill="FFFFFF"/>
            <w:noWrap/>
            <w:vAlign w:val="center"/>
            <w:hideMark/>
          </w:tcPr>
          <w:p w14:paraId="77E68E9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-71</w:t>
            </w:r>
          </w:p>
        </w:tc>
        <w:tc>
          <w:tcPr>
            <w:tcW w:w="972" w:type="dxa"/>
            <w:tcBorders>
              <w:top w:val="nil"/>
              <w:left w:val="single" w:sz="4" w:space="0" w:color="auto"/>
              <w:bottom w:val="nil"/>
              <w:right w:val="nil"/>
            </w:tcBorders>
            <w:shd w:val="clear" w:color="000000" w:fill="FFFFFF"/>
            <w:noWrap/>
            <w:vAlign w:val="center"/>
            <w:hideMark/>
          </w:tcPr>
          <w:p w14:paraId="62F9FB9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-99,000</w:t>
            </w:r>
          </w:p>
        </w:tc>
        <w:tc>
          <w:tcPr>
            <w:tcW w:w="729" w:type="dxa"/>
            <w:tcBorders>
              <w:top w:val="nil"/>
              <w:left w:val="nil"/>
              <w:bottom w:val="nil"/>
              <w:right w:val="single" w:sz="4" w:space="0" w:color="auto"/>
            </w:tcBorders>
            <w:shd w:val="clear" w:color="auto" w:fill="FFFFFF" w:themeFill="background1"/>
            <w:noWrap/>
            <w:vAlign w:val="center"/>
            <w:hideMark/>
          </w:tcPr>
          <w:p w14:paraId="2B35E47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-66</w:t>
            </w:r>
          </w:p>
        </w:tc>
        <w:tc>
          <w:tcPr>
            <w:tcW w:w="992" w:type="dxa"/>
            <w:tcBorders>
              <w:top w:val="nil"/>
              <w:left w:val="nil"/>
              <w:bottom w:val="nil"/>
              <w:right w:val="nil"/>
            </w:tcBorders>
            <w:shd w:val="clear" w:color="000000" w:fill="FFFFFF"/>
            <w:noWrap/>
            <w:vAlign w:val="center"/>
            <w:hideMark/>
          </w:tcPr>
          <w:p w14:paraId="4D897DF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7</w:t>
            </w:r>
          </w:p>
        </w:tc>
      </w:tr>
      <w:tr w:rsidR="00E915C7" w:rsidRPr="003436D5" w14:paraId="449FFF37"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6A383B0B" w14:textId="77777777" w:rsidR="00E915C7" w:rsidRPr="003405E4" w:rsidRDefault="00E915C7" w:rsidP="007D3130">
            <w:pPr>
              <w:spacing w:before="0" w:after="0"/>
              <w:rPr>
                <w:rFonts w:asciiTheme="majorHAnsi" w:hAnsiTheme="majorHAnsi" w:cs="Arial"/>
                <w:b/>
                <w:bCs/>
                <w:sz w:val="16"/>
                <w:szCs w:val="16"/>
                <w:lang w:eastAsia="en-AU"/>
              </w:rPr>
            </w:pPr>
            <w:r w:rsidRPr="003405E4">
              <w:rPr>
                <w:rFonts w:asciiTheme="majorHAnsi" w:hAnsiTheme="majorHAnsi" w:cs="Arial"/>
                <w:b/>
                <w:bCs/>
                <w:sz w:val="16"/>
                <w:szCs w:val="16"/>
                <w:lang w:eastAsia="en-AU"/>
              </w:rPr>
              <w:t>Total Victorian RFA regions</w:t>
            </w:r>
          </w:p>
        </w:tc>
        <w:tc>
          <w:tcPr>
            <w:tcW w:w="992" w:type="dxa"/>
            <w:tcBorders>
              <w:top w:val="nil"/>
              <w:left w:val="nil"/>
              <w:bottom w:val="nil"/>
              <w:right w:val="single" w:sz="4" w:space="0" w:color="auto"/>
            </w:tcBorders>
            <w:shd w:val="clear" w:color="000000" w:fill="FFFFFF"/>
            <w:noWrap/>
            <w:vAlign w:val="center"/>
            <w:hideMark/>
          </w:tcPr>
          <w:p w14:paraId="0A3E085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4,644,168</w:t>
            </w:r>
          </w:p>
        </w:tc>
        <w:tc>
          <w:tcPr>
            <w:tcW w:w="851" w:type="dxa"/>
            <w:tcBorders>
              <w:top w:val="nil"/>
              <w:left w:val="nil"/>
              <w:bottom w:val="nil"/>
              <w:right w:val="nil"/>
            </w:tcBorders>
            <w:shd w:val="clear" w:color="000000" w:fill="FFFFFF"/>
            <w:noWrap/>
            <w:vAlign w:val="center"/>
            <w:hideMark/>
          </w:tcPr>
          <w:p w14:paraId="08D1AD7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1,100,856</w:t>
            </w:r>
          </w:p>
        </w:tc>
        <w:tc>
          <w:tcPr>
            <w:tcW w:w="850" w:type="dxa"/>
            <w:tcBorders>
              <w:top w:val="nil"/>
              <w:left w:val="nil"/>
              <w:bottom w:val="nil"/>
              <w:right w:val="nil"/>
            </w:tcBorders>
            <w:shd w:val="clear" w:color="000000" w:fill="FFFFFF"/>
            <w:noWrap/>
            <w:vAlign w:val="center"/>
            <w:hideMark/>
          </w:tcPr>
          <w:p w14:paraId="6EF7B3B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1,010,000</w:t>
            </w:r>
          </w:p>
        </w:tc>
        <w:tc>
          <w:tcPr>
            <w:tcW w:w="851" w:type="dxa"/>
            <w:tcBorders>
              <w:top w:val="nil"/>
              <w:left w:val="nil"/>
              <w:bottom w:val="nil"/>
              <w:right w:val="nil"/>
            </w:tcBorders>
            <w:shd w:val="clear" w:color="000000" w:fill="FFFFFF"/>
            <w:noWrap/>
            <w:vAlign w:val="center"/>
            <w:hideMark/>
          </w:tcPr>
          <w:p w14:paraId="2FB69AB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1,010,000</w:t>
            </w:r>
          </w:p>
        </w:tc>
        <w:tc>
          <w:tcPr>
            <w:tcW w:w="850" w:type="dxa"/>
            <w:tcBorders>
              <w:top w:val="nil"/>
              <w:left w:val="nil"/>
              <w:bottom w:val="nil"/>
              <w:right w:val="nil"/>
            </w:tcBorders>
            <w:shd w:val="clear" w:color="000000" w:fill="FFFFFF"/>
            <w:noWrap/>
            <w:vAlign w:val="center"/>
            <w:hideMark/>
          </w:tcPr>
          <w:p w14:paraId="0B5A6ED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880,000</w:t>
            </w:r>
          </w:p>
        </w:tc>
        <w:tc>
          <w:tcPr>
            <w:tcW w:w="850" w:type="dxa"/>
            <w:tcBorders>
              <w:top w:val="nil"/>
              <w:left w:val="nil"/>
              <w:bottom w:val="nil"/>
              <w:right w:val="nil"/>
            </w:tcBorders>
            <w:shd w:val="clear" w:color="000000" w:fill="FFFFFF"/>
            <w:noWrap/>
            <w:vAlign w:val="center"/>
            <w:hideMark/>
          </w:tcPr>
          <w:p w14:paraId="275C155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790,000</w:t>
            </w:r>
          </w:p>
        </w:tc>
        <w:tc>
          <w:tcPr>
            <w:tcW w:w="837" w:type="dxa"/>
            <w:tcBorders>
              <w:top w:val="nil"/>
              <w:left w:val="nil"/>
              <w:bottom w:val="nil"/>
            </w:tcBorders>
            <w:shd w:val="clear" w:color="000000" w:fill="FFFFFF"/>
            <w:noWrap/>
            <w:vAlign w:val="center"/>
            <w:hideMark/>
          </w:tcPr>
          <w:p w14:paraId="12AA6FAA"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462,000</w:t>
            </w:r>
          </w:p>
        </w:tc>
        <w:tc>
          <w:tcPr>
            <w:tcW w:w="864" w:type="dxa"/>
            <w:tcBorders>
              <w:top w:val="nil"/>
              <w:bottom w:val="nil"/>
              <w:right w:val="single" w:sz="4" w:space="0" w:color="auto"/>
            </w:tcBorders>
            <w:shd w:val="clear" w:color="000000" w:fill="FFFFFF"/>
            <w:vAlign w:val="center"/>
          </w:tcPr>
          <w:p w14:paraId="2F8A78D1" w14:textId="77777777" w:rsidR="00E915C7" w:rsidRPr="003405E4" w:rsidRDefault="00E915C7" w:rsidP="007D3130">
            <w:pPr>
              <w:spacing w:before="0" w:after="0"/>
              <w:jc w:val="right"/>
              <w:rPr>
                <w:rFonts w:asciiTheme="majorHAnsi" w:hAnsiTheme="majorHAnsi" w:cs="Arial"/>
                <w:spacing w:val="-6"/>
                <w:sz w:val="16"/>
                <w:szCs w:val="16"/>
              </w:rPr>
            </w:pPr>
            <w:r w:rsidRPr="003405E4">
              <w:rPr>
                <w:rFonts w:asciiTheme="majorHAnsi" w:hAnsiTheme="majorHAnsi" w:cs="Arial"/>
                <w:spacing w:val="-6"/>
                <w:sz w:val="16"/>
                <w:szCs w:val="16"/>
              </w:rPr>
              <w:t>502,000</w:t>
            </w:r>
          </w:p>
        </w:tc>
        <w:tc>
          <w:tcPr>
            <w:tcW w:w="992" w:type="dxa"/>
            <w:tcBorders>
              <w:top w:val="nil"/>
              <w:left w:val="single" w:sz="4" w:space="0" w:color="auto"/>
              <w:bottom w:val="nil"/>
              <w:right w:val="single" w:sz="4" w:space="0" w:color="auto"/>
            </w:tcBorders>
            <w:shd w:val="clear" w:color="000000" w:fill="FFFFFF"/>
            <w:noWrap/>
            <w:vAlign w:val="center"/>
            <w:hideMark/>
          </w:tcPr>
          <w:p w14:paraId="6E49BC4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24</w:t>
            </w:r>
          </w:p>
        </w:tc>
        <w:tc>
          <w:tcPr>
            <w:tcW w:w="850" w:type="dxa"/>
            <w:tcBorders>
              <w:top w:val="nil"/>
              <w:left w:val="nil"/>
              <w:bottom w:val="nil"/>
              <w:right w:val="nil"/>
            </w:tcBorders>
            <w:shd w:val="clear" w:color="000000" w:fill="FFFFFF"/>
            <w:noWrap/>
            <w:vAlign w:val="center"/>
            <w:hideMark/>
          </w:tcPr>
          <w:p w14:paraId="1DC894C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-90,856</w:t>
            </w:r>
          </w:p>
        </w:tc>
        <w:tc>
          <w:tcPr>
            <w:tcW w:w="710" w:type="dxa"/>
            <w:tcBorders>
              <w:top w:val="nil"/>
              <w:left w:val="nil"/>
              <w:bottom w:val="nil"/>
              <w:right w:val="single" w:sz="4" w:space="0" w:color="auto"/>
            </w:tcBorders>
            <w:shd w:val="clear" w:color="000000" w:fill="FFFFFF"/>
            <w:noWrap/>
            <w:vAlign w:val="center"/>
            <w:hideMark/>
          </w:tcPr>
          <w:p w14:paraId="330198D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-8</w:t>
            </w:r>
          </w:p>
        </w:tc>
        <w:tc>
          <w:tcPr>
            <w:tcW w:w="993" w:type="dxa"/>
            <w:tcBorders>
              <w:top w:val="nil"/>
              <w:left w:val="nil"/>
              <w:bottom w:val="nil"/>
              <w:right w:val="nil"/>
            </w:tcBorders>
            <w:shd w:val="clear" w:color="000000" w:fill="FFFFFF"/>
            <w:noWrap/>
            <w:vAlign w:val="center"/>
            <w:hideMark/>
          </w:tcPr>
          <w:p w14:paraId="5F5199E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-598,856</w:t>
            </w:r>
          </w:p>
        </w:tc>
        <w:tc>
          <w:tcPr>
            <w:tcW w:w="708" w:type="dxa"/>
            <w:tcBorders>
              <w:top w:val="nil"/>
              <w:left w:val="nil"/>
              <w:bottom w:val="nil"/>
              <w:right w:val="nil"/>
            </w:tcBorders>
            <w:shd w:val="clear" w:color="000000" w:fill="FFFFFF"/>
            <w:noWrap/>
            <w:vAlign w:val="center"/>
            <w:hideMark/>
          </w:tcPr>
          <w:p w14:paraId="5889B09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-54</w:t>
            </w:r>
          </w:p>
        </w:tc>
        <w:tc>
          <w:tcPr>
            <w:tcW w:w="972" w:type="dxa"/>
            <w:tcBorders>
              <w:top w:val="nil"/>
              <w:left w:val="single" w:sz="4" w:space="0" w:color="auto"/>
              <w:bottom w:val="nil"/>
              <w:right w:val="nil"/>
            </w:tcBorders>
            <w:shd w:val="clear" w:color="000000" w:fill="FFFFFF"/>
            <w:noWrap/>
            <w:vAlign w:val="center"/>
            <w:hideMark/>
          </w:tcPr>
          <w:p w14:paraId="35489F3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-508,000</w:t>
            </w:r>
          </w:p>
        </w:tc>
        <w:tc>
          <w:tcPr>
            <w:tcW w:w="729" w:type="dxa"/>
            <w:tcBorders>
              <w:top w:val="nil"/>
              <w:left w:val="nil"/>
              <w:bottom w:val="nil"/>
              <w:right w:val="single" w:sz="4" w:space="0" w:color="auto"/>
            </w:tcBorders>
            <w:shd w:val="clear" w:color="000000" w:fill="FFFFFF"/>
            <w:noWrap/>
            <w:vAlign w:val="center"/>
            <w:hideMark/>
          </w:tcPr>
          <w:p w14:paraId="3E1105AE"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-50</w:t>
            </w:r>
          </w:p>
        </w:tc>
        <w:tc>
          <w:tcPr>
            <w:tcW w:w="992" w:type="dxa"/>
            <w:tcBorders>
              <w:top w:val="nil"/>
              <w:left w:val="nil"/>
              <w:bottom w:val="nil"/>
              <w:right w:val="nil"/>
            </w:tcBorders>
            <w:shd w:val="clear" w:color="000000" w:fill="FFFFFF"/>
            <w:noWrap/>
            <w:vAlign w:val="center"/>
            <w:hideMark/>
          </w:tcPr>
          <w:p w14:paraId="2E13B1F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11</w:t>
            </w:r>
          </w:p>
        </w:tc>
      </w:tr>
      <w:tr w:rsidR="00E915C7" w:rsidRPr="003436D5" w14:paraId="56C2A935" w14:textId="77777777" w:rsidTr="00447B1E">
        <w:trPr>
          <w:trHeight w:val="20"/>
        </w:trPr>
        <w:tc>
          <w:tcPr>
            <w:tcW w:w="15734" w:type="dxa"/>
            <w:gridSpan w:val="17"/>
            <w:tcBorders>
              <w:top w:val="single" w:sz="4" w:space="0" w:color="auto"/>
              <w:left w:val="nil"/>
              <w:bottom w:val="single" w:sz="4" w:space="0" w:color="auto"/>
              <w:right w:val="single" w:sz="4" w:space="0" w:color="auto"/>
            </w:tcBorders>
            <w:shd w:val="clear" w:color="auto" w:fill="auto"/>
            <w:noWrap/>
            <w:vAlign w:val="center"/>
            <w:hideMark/>
          </w:tcPr>
          <w:p w14:paraId="490EC5AF" w14:textId="77777777" w:rsidR="00E915C7" w:rsidRPr="003405E4" w:rsidRDefault="00E915C7" w:rsidP="007D3130">
            <w:pPr>
              <w:spacing w:before="0" w:after="0"/>
              <w:rPr>
                <w:rFonts w:asciiTheme="majorHAnsi" w:hAnsiTheme="majorHAnsi" w:cs="Arial"/>
                <w:b/>
                <w:bCs/>
                <w:spacing w:val="-6"/>
                <w:sz w:val="16"/>
                <w:szCs w:val="16"/>
                <w:lang w:eastAsia="en-AU"/>
              </w:rPr>
            </w:pPr>
            <w:r w:rsidRPr="003405E4">
              <w:rPr>
                <w:rFonts w:asciiTheme="majorHAnsi" w:hAnsiTheme="majorHAnsi" w:cs="Arial"/>
                <w:b/>
                <w:bCs/>
                <w:sz w:val="16"/>
                <w:szCs w:val="16"/>
                <w:lang w:eastAsia="en-AU"/>
              </w:rPr>
              <w:t>Western Australia</w:t>
            </w:r>
            <w:r w:rsidRPr="003405E4">
              <w:rPr>
                <w:rFonts w:asciiTheme="majorHAnsi" w:hAnsiTheme="majorHAnsi" w:cs="Arial"/>
                <w:b/>
                <w:bCs/>
                <w:spacing w:val="-6"/>
                <w:sz w:val="16"/>
                <w:szCs w:val="16"/>
                <w:lang w:eastAsia="en-AU"/>
              </w:rPr>
              <w:t>  </w:t>
            </w:r>
          </w:p>
        </w:tc>
      </w:tr>
      <w:tr w:rsidR="00E915C7" w:rsidRPr="003436D5" w14:paraId="525D4532" w14:textId="77777777" w:rsidTr="00447B1E">
        <w:trPr>
          <w:trHeight w:val="20"/>
        </w:trPr>
        <w:tc>
          <w:tcPr>
            <w:tcW w:w="1843" w:type="dxa"/>
            <w:tcBorders>
              <w:top w:val="nil"/>
              <w:left w:val="nil"/>
              <w:bottom w:val="nil"/>
              <w:right w:val="single" w:sz="4" w:space="0" w:color="auto"/>
            </w:tcBorders>
            <w:shd w:val="clear" w:color="000000" w:fill="FFFFFF"/>
            <w:noWrap/>
            <w:vAlign w:val="center"/>
            <w:hideMark/>
          </w:tcPr>
          <w:p w14:paraId="04E23FE8" w14:textId="77777777" w:rsidR="00E915C7" w:rsidRPr="00CD538E" w:rsidRDefault="00E915C7" w:rsidP="007D3130">
            <w:pPr>
              <w:spacing w:before="0" w:after="0"/>
              <w:rPr>
                <w:rFonts w:asciiTheme="majorHAnsi" w:hAnsiTheme="majorHAnsi" w:cs="Arial"/>
                <w:bCs/>
                <w:sz w:val="16"/>
                <w:szCs w:val="16"/>
                <w:lang w:eastAsia="en-AU"/>
              </w:rPr>
            </w:pPr>
            <w:r w:rsidRPr="00CD538E">
              <w:rPr>
                <w:rFonts w:asciiTheme="majorHAnsi" w:hAnsiTheme="majorHAnsi" w:cs="Arial"/>
                <w:bCs/>
                <w:sz w:val="16"/>
                <w:szCs w:val="16"/>
                <w:lang w:eastAsia="en-AU"/>
              </w:rPr>
              <w:t>South-West Forest Region of WA</w:t>
            </w:r>
          </w:p>
        </w:tc>
        <w:tc>
          <w:tcPr>
            <w:tcW w:w="992" w:type="dxa"/>
            <w:tcBorders>
              <w:top w:val="nil"/>
              <w:left w:val="nil"/>
              <w:bottom w:val="nil"/>
              <w:right w:val="single" w:sz="4" w:space="0" w:color="auto"/>
            </w:tcBorders>
            <w:shd w:val="clear" w:color="000000" w:fill="FFFFFF"/>
            <w:noWrap/>
            <w:vAlign w:val="center"/>
            <w:hideMark/>
          </w:tcPr>
          <w:p w14:paraId="76BA5F1A"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1,932,279</w:t>
            </w:r>
          </w:p>
        </w:tc>
        <w:tc>
          <w:tcPr>
            <w:tcW w:w="851" w:type="dxa"/>
            <w:tcBorders>
              <w:top w:val="nil"/>
              <w:left w:val="nil"/>
              <w:bottom w:val="nil"/>
              <w:right w:val="nil"/>
            </w:tcBorders>
            <w:shd w:val="clear" w:color="000000" w:fill="FFFFFF"/>
            <w:noWrap/>
            <w:vAlign w:val="center"/>
            <w:hideMark/>
          </w:tcPr>
          <w:p w14:paraId="66DF4EA5"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1,157,000</w:t>
            </w:r>
          </w:p>
        </w:tc>
        <w:tc>
          <w:tcPr>
            <w:tcW w:w="850" w:type="dxa"/>
            <w:tcBorders>
              <w:top w:val="nil"/>
              <w:left w:val="nil"/>
              <w:bottom w:val="nil"/>
              <w:right w:val="nil"/>
            </w:tcBorders>
            <w:shd w:val="clear" w:color="000000" w:fill="FFFFFF"/>
            <w:noWrap/>
            <w:vAlign w:val="center"/>
            <w:hideMark/>
          </w:tcPr>
          <w:p w14:paraId="1FD906D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1,095,692</w:t>
            </w:r>
          </w:p>
        </w:tc>
        <w:tc>
          <w:tcPr>
            <w:tcW w:w="851" w:type="dxa"/>
            <w:tcBorders>
              <w:top w:val="nil"/>
              <w:left w:val="nil"/>
              <w:bottom w:val="nil"/>
              <w:right w:val="nil"/>
            </w:tcBorders>
            <w:shd w:val="clear" w:color="000000" w:fill="FFFFFF"/>
            <w:noWrap/>
            <w:vAlign w:val="center"/>
            <w:hideMark/>
          </w:tcPr>
          <w:p w14:paraId="63E8BD2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904,000</w:t>
            </w:r>
          </w:p>
        </w:tc>
        <w:tc>
          <w:tcPr>
            <w:tcW w:w="850" w:type="dxa"/>
            <w:tcBorders>
              <w:top w:val="nil"/>
              <w:left w:val="nil"/>
              <w:bottom w:val="nil"/>
              <w:right w:val="nil"/>
            </w:tcBorders>
            <w:shd w:val="clear" w:color="000000" w:fill="FFFFFF"/>
            <w:noWrap/>
            <w:vAlign w:val="center"/>
            <w:hideMark/>
          </w:tcPr>
          <w:p w14:paraId="72AD407B"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848,140</w:t>
            </w:r>
          </w:p>
        </w:tc>
        <w:tc>
          <w:tcPr>
            <w:tcW w:w="850" w:type="dxa"/>
            <w:tcBorders>
              <w:top w:val="nil"/>
              <w:left w:val="nil"/>
              <w:bottom w:val="nil"/>
              <w:right w:val="nil"/>
            </w:tcBorders>
            <w:shd w:val="clear" w:color="000000" w:fill="FFFFFF"/>
            <w:noWrap/>
            <w:vAlign w:val="center"/>
            <w:hideMark/>
          </w:tcPr>
          <w:p w14:paraId="7B8F9B2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848,140</w:t>
            </w:r>
          </w:p>
        </w:tc>
        <w:tc>
          <w:tcPr>
            <w:tcW w:w="837" w:type="dxa"/>
            <w:tcBorders>
              <w:top w:val="nil"/>
              <w:left w:val="nil"/>
              <w:bottom w:val="nil"/>
            </w:tcBorders>
            <w:shd w:val="clear" w:color="000000" w:fill="FFFFFF"/>
            <w:noWrap/>
            <w:vAlign w:val="center"/>
            <w:hideMark/>
          </w:tcPr>
          <w:p w14:paraId="4F410E26"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848,880</w:t>
            </w:r>
          </w:p>
        </w:tc>
        <w:tc>
          <w:tcPr>
            <w:tcW w:w="864" w:type="dxa"/>
            <w:tcBorders>
              <w:top w:val="nil"/>
              <w:bottom w:val="nil"/>
              <w:right w:val="single" w:sz="4" w:space="0" w:color="auto"/>
            </w:tcBorders>
            <w:shd w:val="clear" w:color="000000" w:fill="FFFFFF"/>
            <w:vAlign w:val="center"/>
          </w:tcPr>
          <w:p w14:paraId="0DC8AAF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848,880</w:t>
            </w:r>
          </w:p>
        </w:tc>
        <w:tc>
          <w:tcPr>
            <w:tcW w:w="992" w:type="dxa"/>
            <w:tcBorders>
              <w:top w:val="nil"/>
              <w:left w:val="single" w:sz="4" w:space="0" w:color="auto"/>
              <w:bottom w:val="nil"/>
              <w:right w:val="single" w:sz="4" w:space="0" w:color="auto"/>
            </w:tcBorders>
            <w:shd w:val="clear" w:color="000000" w:fill="FFFFFF"/>
            <w:noWrap/>
            <w:vAlign w:val="center"/>
            <w:hideMark/>
          </w:tcPr>
          <w:p w14:paraId="66527893"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60</w:t>
            </w:r>
          </w:p>
        </w:tc>
        <w:tc>
          <w:tcPr>
            <w:tcW w:w="850" w:type="dxa"/>
            <w:tcBorders>
              <w:top w:val="nil"/>
              <w:left w:val="nil"/>
              <w:bottom w:val="nil"/>
              <w:right w:val="nil"/>
            </w:tcBorders>
            <w:shd w:val="clear" w:color="000000" w:fill="FFFFFF"/>
            <w:noWrap/>
            <w:vAlign w:val="center"/>
            <w:hideMark/>
          </w:tcPr>
          <w:p w14:paraId="04E892D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-61,308</w:t>
            </w:r>
          </w:p>
        </w:tc>
        <w:tc>
          <w:tcPr>
            <w:tcW w:w="710" w:type="dxa"/>
            <w:tcBorders>
              <w:top w:val="nil"/>
              <w:left w:val="nil"/>
              <w:bottom w:val="nil"/>
              <w:right w:val="single" w:sz="4" w:space="0" w:color="auto"/>
            </w:tcBorders>
            <w:shd w:val="clear" w:color="000000" w:fill="FFFFFF"/>
            <w:noWrap/>
            <w:vAlign w:val="center"/>
            <w:hideMark/>
          </w:tcPr>
          <w:p w14:paraId="695724F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-5</w:t>
            </w:r>
          </w:p>
        </w:tc>
        <w:tc>
          <w:tcPr>
            <w:tcW w:w="993" w:type="dxa"/>
            <w:tcBorders>
              <w:top w:val="nil"/>
              <w:left w:val="nil"/>
              <w:bottom w:val="nil"/>
              <w:right w:val="nil"/>
            </w:tcBorders>
            <w:shd w:val="clear" w:color="000000" w:fill="FFFFFF"/>
            <w:noWrap/>
            <w:vAlign w:val="center"/>
            <w:hideMark/>
          </w:tcPr>
          <w:p w14:paraId="4F31FB2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-308,120</w:t>
            </w:r>
          </w:p>
        </w:tc>
        <w:tc>
          <w:tcPr>
            <w:tcW w:w="708" w:type="dxa"/>
            <w:tcBorders>
              <w:top w:val="nil"/>
              <w:left w:val="nil"/>
              <w:bottom w:val="nil"/>
              <w:right w:val="nil"/>
            </w:tcBorders>
            <w:shd w:val="clear" w:color="000000" w:fill="FFFFFF"/>
            <w:noWrap/>
            <w:vAlign w:val="center"/>
            <w:hideMark/>
          </w:tcPr>
          <w:p w14:paraId="4B7D2F2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-27</w:t>
            </w:r>
          </w:p>
        </w:tc>
        <w:tc>
          <w:tcPr>
            <w:tcW w:w="972" w:type="dxa"/>
            <w:tcBorders>
              <w:top w:val="nil"/>
              <w:left w:val="single" w:sz="4" w:space="0" w:color="auto"/>
              <w:bottom w:val="nil"/>
              <w:right w:val="nil"/>
            </w:tcBorders>
            <w:shd w:val="clear" w:color="000000" w:fill="FFFFFF"/>
            <w:noWrap/>
            <w:vAlign w:val="center"/>
            <w:hideMark/>
          </w:tcPr>
          <w:p w14:paraId="1C86F48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-246,812</w:t>
            </w:r>
          </w:p>
        </w:tc>
        <w:tc>
          <w:tcPr>
            <w:tcW w:w="729" w:type="dxa"/>
            <w:tcBorders>
              <w:top w:val="nil"/>
              <w:left w:val="nil"/>
              <w:bottom w:val="nil"/>
              <w:right w:val="single" w:sz="4" w:space="0" w:color="auto"/>
            </w:tcBorders>
            <w:shd w:val="clear" w:color="000000" w:fill="FFFFFF"/>
            <w:noWrap/>
            <w:vAlign w:val="center"/>
            <w:hideMark/>
          </w:tcPr>
          <w:p w14:paraId="005F1D6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-23</w:t>
            </w:r>
          </w:p>
        </w:tc>
        <w:tc>
          <w:tcPr>
            <w:tcW w:w="992" w:type="dxa"/>
            <w:tcBorders>
              <w:top w:val="nil"/>
              <w:left w:val="nil"/>
              <w:bottom w:val="nil"/>
              <w:right w:val="nil"/>
            </w:tcBorders>
            <w:shd w:val="clear" w:color="000000" w:fill="FFFFFF"/>
            <w:noWrap/>
            <w:vAlign w:val="center"/>
            <w:hideMark/>
          </w:tcPr>
          <w:p w14:paraId="5BF7F42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44</w:t>
            </w:r>
          </w:p>
        </w:tc>
      </w:tr>
      <w:tr w:rsidR="00E915C7" w:rsidRPr="003436D5" w14:paraId="779369B5" w14:textId="77777777" w:rsidTr="00447B1E">
        <w:trPr>
          <w:trHeight w:val="20"/>
        </w:trPr>
        <w:tc>
          <w:tcPr>
            <w:tcW w:w="15734" w:type="dxa"/>
            <w:gridSpan w:val="17"/>
            <w:tcBorders>
              <w:top w:val="single" w:sz="4" w:space="0" w:color="auto"/>
              <w:left w:val="nil"/>
              <w:bottom w:val="single" w:sz="4" w:space="0" w:color="auto"/>
              <w:right w:val="single" w:sz="4" w:space="0" w:color="auto"/>
            </w:tcBorders>
            <w:shd w:val="clear" w:color="auto" w:fill="auto"/>
            <w:noWrap/>
            <w:vAlign w:val="center"/>
            <w:hideMark/>
          </w:tcPr>
          <w:p w14:paraId="5F3461A9" w14:textId="77777777" w:rsidR="00E915C7" w:rsidRPr="003405E4" w:rsidRDefault="00E915C7" w:rsidP="007D3130">
            <w:pPr>
              <w:spacing w:before="0" w:after="0"/>
              <w:rPr>
                <w:rFonts w:asciiTheme="majorHAnsi" w:hAnsiTheme="majorHAnsi" w:cs="Arial"/>
                <w:b/>
                <w:bCs/>
                <w:spacing w:val="-6"/>
                <w:sz w:val="16"/>
                <w:szCs w:val="16"/>
                <w:lang w:eastAsia="en-AU"/>
              </w:rPr>
            </w:pPr>
            <w:r w:rsidRPr="003405E4">
              <w:rPr>
                <w:rFonts w:asciiTheme="majorHAnsi" w:hAnsiTheme="majorHAnsi" w:cs="Arial"/>
                <w:b/>
                <w:bCs/>
                <w:sz w:val="16"/>
                <w:szCs w:val="16"/>
                <w:lang w:eastAsia="en-AU"/>
              </w:rPr>
              <w:t>Total</w:t>
            </w:r>
            <w:r w:rsidRPr="003405E4">
              <w:rPr>
                <w:rFonts w:asciiTheme="majorHAnsi" w:hAnsiTheme="majorHAnsi" w:cs="Arial"/>
                <w:b/>
                <w:bCs/>
                <w:spacing w:val="-6"/>
                <w:sz w:val="16"/>
                <w:szCs w:val="16"/>
                <w:lang w:eastAsia="en-AU"/>
              </w:rPr>
              <w:t> </w:t>
            </w:r>
          </w:p>
        </w:tc>
      </w:tr>
      <w:tr w:rsidR="00E915C7" w:rsidRPr="003436D5" w14:paraId="565DBE15" w14:textId="77777777" w:rsidTr="00447B1E">
        <w:trPr>
          <w:trHeight w:val="20"/>
        </w:trPr>
        <w:tc>
          <w:tcPr>
            <w:tcW w:w="1843" w:type="dxa"/>
            <w:tcBorders>
              <w:top w:val="nil"/>
              <w:left w:val="nil"/>
              <w:bottom w:val="single" w:sz="4" w:space="0" w:color="auto"/>
              <w:right w:val="single" w:sz="4" w:space="0" w:color="auto"/>
            </w:tcBorders>
            <w:shd w:val="clear" w:color="000000" w:fill="FFFFFF"/>
            <w:noWrap/>
            <w:vAlign w:val="center"/>
            <w:hideMark/>
          </w:tcPr>
          <w:p w14:paraId="6D4B325F" w14:textId="77777777" w:rsidR="00E915C7" w:rsidRPr="005E47C4" w:rsidRDefault="00E915C7" w:rsidP="007D3130">
            <w:pPr>
              <w:spacing w:before="0" w:after="0"/>
              <w:rPr>
                <w:rFonts w:asciiTheme="majorHAnsi" w:hAnsiTheme="majorHAnsi" w:cs="Arial"/>
                <w:b/>
                <w:bCs/>
                <w:spacing w:val="-2"/>
                <w:sz w:val="16"/>
                <w:szCs w:val="16"/>
                <w:lang w:eastAsia="en-AU"/>
              </w:rPr>
            </w:pPr>
            <w:r w:rsidRPr="005E47C4">
              <w:rPr>
                <w:rFonts w:asciiTheme="majorHAnsi" w:hAnsiTheme="majorHAnsi" w:cs="Arial"/>
                <w:b/>
                <w:bCs/>
                <w:spacing w:val="-2"/>
                <w:sz w:val="16"/>
                <w:szCs w:val="16"/>
                <w:lang w:eastAsia="en-AU"/>
              </w:rPr>
              <w:t xml:space="preserve">Total all RFA regions </w:t>
            </w:r>
            <w:r>
              <w:rPr>
                <w:rFonts w:asciiTheme="majorHAnsi" w:hAnsiTheme="majorHAnsi" w:cs="Arial"/>
                <w:b/>
                <w:bCs/>
                <w:spacing w:val="-2"/>
                <w:position w:val="4"/>
                <w:sz w:val="16"/>
                <w:szCs w:val="16"/>
              </w:rPr>
              <w:t>d</w:t>
            </w:r>
          </w:p>
        </w:tc>
        <w:tc>
          <w:tcPr>
            <w:tcW w:w="992" w:type="dxa"/>
            <w:tcBorders>
              <w:top w:val="nil"/>
              <w:left w:val="nil"/>
              <w:bottom w:val="single" w:sz="4" w:space="0" w:color="auto"/>
              <w:right w:val="single" w:sz="4" w:space="0" w:color="auto"/>
            </w:tcBorders>
            <w:shd w:val="clear" w:color="000000" w:fill="FFFFFF"/>
            <w:noWrap/>
            <w:vAlign w:val="center"/>
            <w:hideMark/>
          </w:tcPr>
          <w:p w14:paraId="78D85CD2"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13,576,988</w:t>
            </w:r>
          </w:p>
        </w:tc>
        <w:tc>
          <w:tcPr>
            <w:tcW w:w="851" w:type="dxa"/>
            <w:tcBorders>
              <w:top w:val="nil"/>
              <w:left w:val="nil"/>
              <w:bottom w:val="single" w:sz="4" w:space="0" w:color="auto"/>
              <w:right w:val="nil"/>
            </w:tcBorders>
            <w:shd w:val="clear" w:color="000000" w:fill="FFFFFF"/>
            <w:noWrap/>
            <w:vAlign w:val="center"/>
            <w:hideMark/>
          </w:tcPr>
          <w:p w14:paraId="1F6DDD4D"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4,481,335</w:t>
            </w:r>
          </w:p>
        </w:tc>
        <w:tc>
          <w:tcPr>
            <w:tcW w:w="850" w:type="dxa"/>
            <w:tcBorders>
              <w:top w:val="nil"/>
              <w:left w:val="nil"/>
              <w:bottom w:val="single" w:sz="4" w:space="0" w:color="auto"/>
              <w:right w:val="nil"/>
            </w:tcBorders>
            <w:shd w:val="clear" w:color="000000" w:fill="FFFFFF"/>
            <w:noWrap/>
            <w:vAlign w:val="center"/>
            <w:hideMark/>
          </w:tcPr>
          <w:p w14:paraId="54CF93EF"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3,568,603</w:t>
            </w:r>
          </w:p>
        </w:tc>
        <w:tc>
          <w:tcPr>
            <w:tcW w:w="851" w:type="dxa"/>
            <w:tcBorders>
              <w:top w:val="nil"/>
              <w:left w:val="nil"/>
              <w:bottom w:val="single" w:sz="4" w:space="0" w:color="auto"/>
              <w:right w:val="nil"/>
            </w:tcBorders>
            <w:shd w:val="clear" w:color="000000" w:fill="FFFFFF"/>
            <w:noWrap/>
            <w:vAlign w:val="center"/>
            <w:hideMark/>
          </w:tcPr>
          <w:p w14:paraId="3A6B242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3,376,911</w:t>
            </w:r>
          </w:p>
        </w:tc>
        <w:tc>
          <w:tcPr>
            <w:tcW w:w="850" w:type="dxa"/>
            <w:tcBorders>
              <w:top w:val="nil"/>
              <w:left w:val="nil"/>
              <w:bottom w:val="single" w:sz="4" w:space="0" w:color="auto"/>
              <w:right w:val="nil"/>
            </w:tcBorders>
            <w:shd w:val="clear" w:color="000000" w:fill="FFFFFF"/>
            <w:noWrap/>
            <w:vAlign w:val="center"/>
            <w:hideMark/>
          </w:tcPr>
          <w:p w14:paraId="3B57787D"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na</w:t>
            </w:r>
          </w:p>
        </w:tc>
        <w:tc>
          <w:tcPr>
            <w:tcW w:w="850" w:type="dxa"/>
            <w:tcBorders>
              <w:top w:val="nil"/>
              <w:left w:val="nil"/>
              <w:bottom w:val="single" w:sz="4" w:space="0" w:color="auto"/>
              <w:right w:val="nil"/>
            </w:tcBorders>
            <w:shd w:val="clear" w:color="000000" w:fill="FFFFFF"/>
            <w:noWrap/>
            <w:vAlign w:val="center"/>
            <w:hideMark/>
          </w:tcPr>
          <w:p w14:paraId="25B6185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2,789,102</w:t>
            </w:r>
          </w:p>
        </w:tc>
        <w:tc>
          <w:tcPr>
            <w:tcW w:w="837" w:type="dxa"/>
            <w:tcBorders>
              <w:top w:val="nil"/>
              <w:left w:val="nil"/>
              <w:bottom w:val="single" w:sz="4" w:space="0" w:color="auto"/>
            </w:tcBorders>
            <w:shd w:val="clear" w:color="000000" w:fill="FFFFFF"/>
            <w:noWrap/>
            <w:vAlign w:val="center"/>
            <w:hideMark/>
          </w:tcPr>
          <w:p w14:paraId="55D0C601" w14:textId="77777777" w:rsidR="00E915C7" w:rsidRPr="003405E4" w:rsidRDefault="00E915C7" w:rsidP="007D3130">
            <w:pPr>
              <w:spacing w:before="0" w:after="0"/>
              <w:jc w:val="right"/>
              <w:rPr>
                <w:rFonts w:asciiTheme="majorHAnsi" w:hAnsiTheme="majorHAnsi" w:cs="Arial"/>
                <w:spacing w:val="-6"/>
                <w:sz w:val="16"/>
                <w:szCs w:val="16"/>
                <w:lang w:eastAsia="en-AU"/>
              </w:rPr>
            </w:pPr>
            <w:r>
              <w:rPr>
                <w:rFonts w:asciiTheme="majorHAnsi" w:hAnsiTheme="majorHAnsi" w:cs="Arial"/>
                <w:spacing w:val="-6"/>
                <w:sz w:val="16"/>
                <w:szCs w:val="16"/>
                <w:lang w:eastAsia="en-AU"/>
              </w:rPr>
              <w:t>na</w:t>
            </w:r>
          </w:p>
        </w:tc>
        <w:tc>
          <w:tcPr>
            <w:tcW w:w="864" w:type="dxa"/>
            <w:tcBorders>
              <w:top w:val="nil"/>
              <w:bottom w:val="single" w:sz="4" w:space="0" w:color="auto"/>
              <w:right w:val="single" w:sz="4" w:space="0" w:color="auto"/>
            </w:tcBorders>
            <w:shd w:val="clear" w:color="000000" w:fill="FFFFFF"/>
            <w:vAlign w:val="center"/>
          </w:tcPr>
          <w:p w14:paraId="4548ECA1"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2,314,842</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9AAB548"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33</w:t>
            </w:r>
          </w:p>
        </w:tc>
        <w:tc>
          <w:tcPr>
            <w:tcW w:w="850" w:type="dxa"/>
            <w:tcBorders>
              <w:top w:val="nil"/>
              <w:left w:val="nil"/>
              <w:bottom w:val="single" w:sz="4" w:space="0" w:color="auto"/>
              <w:right w:val="nil"/>
            </w:tcBorders>
            <w:shd w:val="clear" w:color="000000" w:fill="FFFFFF"/>
            <w:noWrap/>
            <w:vAlign w:val="center"/>
            <w:hideMark/>
          </w:tcPr>
          <w:p w14:paraId="44F9480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-912,732</w:t>
            </w:r>
          </w:p>
        </w:tc>
        <w:tc>
          <w:tcPr>
            <w:tcW w:w="710" w:type="dxa"/>
            <w:tcBorders>
              <w:top w:val="nil"/>
              <w:left w:val="nil"/>
              <w:bottom w:val="single" w:sz="4" w:space="0" w:color="auto"/>
              <w:right w:val="single" w:sz="4" w:space="0" w:color="auto"/>
            </w:tcBorders>
            <w:shd w:val="clear" w:color="auto" w:fill="FFFFFF" w:themeFill="background1"/>
            <w:noWrap/>
            <w:vAlign w:val="center"/>
            <w:hideMark/>
          </w:tcPr>
          <w:p w14:paraId="2A4BEE5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lang w:eastAsia="en-AU"/>
              </w:rPr>
              <w:t>-20</w:t>
            </w:r>
          </w:p>
        </w:tc>
        <w:tc>
          <w:tcPr>
            <w:tcW w:w="993" w:type="dxa"/>
            <w:tcBorders>
              <w:top w:val="nil"/>
              <w:left w:val="nil"/>
              <w:bottom w:val="single" w:sz="4" w:space="0" w:color="auto"/>
              <w:right w:val="nil"/>
            </w:tcBorders>
            <w:shd w:val="clear" w:color="auto" w:fill="FFFFFF" w:themeFill="background1"/>
            <w:noWrap/>
            <w:vAlign w:val="center"/>
            <w:hideMark/>
          </w:tcPr>
          <w:p w14:paraId="3E040867"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-2,166,493</w:t>
            </w:r>
          </w:p>
        </w:tc>
        <w:tc>
          <w:tcPr>
            <w:tcW w:w="708" w:type="dxa"/>
            <w:tcBorders>
              <w:top w:val="nil"/>
              <w:left w:val="nil"/>
              <w:bottom w:val="single" w:sz="4" w:space="0" w:color="auto"/>
              <w:right w:val="nil"/>
            </w:tcBorders>
            <w:shd w:val="clear" w:color="auto" w:fill="FFFFFF" w:themeFill="background1"/>
            <w:noWrap/>
            <w:vAlign w:val="center"/>
            <w:hideMark/>
          </w:tcPr>
          <w:p w14:paraId="3BC32E1C"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-48</w:t>
            </w:r>
          </w:p>
        </w:tc>
        <w:tc>
          <w:tcPr>
            <w:tcW w:w="972" w:type="dxa"/>
            <w:tcBorders>
              <w:top w:val="nil"/>
              <w:left w:val="single" w:sz="4" w:space="0" w:color="auto"/>
              <w:bottom w:val="single" w:sz="4" w:space="0" w:color="auto"/>
              <w:right w:val="nil"/>
            </w:tcBorders>
            <w:shd w:val="clear" w:color="auto" w:fill="FFFFFF" w:themeFill="background1"/>
            <w:noWrap/>
            <w:vAlign w:val="center"/>
            <w:hideMark/>
          </w:tcPr>
          <w:p w14:paraId="49CCC814"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-1,253,761</w:t>
            </w:r>
          </w:p>
        </w:tc>
        <w:tc>
          <w:tcPr>
            <w:tcW w:w="729" w:type="dxa"/>
            <w:tcBorders>
              <w:top w:val="nil"/>
              <w:left w:val="nil"/>
              <w:bottom w:val="single" w:sz="4" w:space="0" w:color="auto"/>
              <w:right w:val="single" w:sz="4" w:space="0" w:color="auto"/>
            </w:tcBorders>
            <w:shd w:val="clear" w:color="auto" w:fill="FFFFFF" w:themeFill="background1"/>
            <w:noWrap/>
            <w:vAlign w:val="center"/>
            <w:hideMark/>
          </w:tcPr>
          <w:p w14:paraId="50249449"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-35</w:t>
            </w:r>
          </w:p>
        </w:tc>
        <w:tc>
          <w:tcPr>
            <w:tcW w:w="992" w:type="dxa"/>
            <w:tcBorders>
              <w:top w:val="nil"/>
              <w:left w:val="nil"/>
              <w:bottom w:val="single" w:sz="4" w:space="0" w:color="auto"/>
              <w:right w:val="nil"/>
            </w:tcBorders>
            <w:shd w:val="clear" w:color="000000" w:fill="FFFFFF"/>
            <w:noWrap/>
            <w:vAlign w:val="center"/>
            <w:hideMark/>
          </w:tcPr>
          <w:p w14:paraId="26599960" w14:textId="77777777" w:rsidR="00E915C7" w:rsidRPr="003405E4" w:rsidRDefault="00E915C7" w:rsidP="007D3130">
            <w:pPr>
              <w:spacing w:before="0" w:after="0"/>
              <w:jc w:val="right"/>
              <w:rPr>
                <w:rFonts w:asciiTheme="majorHAnsi" w:hAnsiTheme="majorHAnsi" w:cs="Arial"/>
                <w:spacing w:val="-6"/>
                <w:sz w:val="16"/>
                <w:szCs w:val="16"/>
                <w:lang w:eastAsia="en-AU"/>
              </w:rPr>
            </w:pPr>
            <w:r w:rsidRPr="003405E4">
              <w:rPr>
                <w:rFonts w:asciiTheme="majorHAnsi" w:hAnsiTheme="majorHAnsi" w:cs="Arial"/>
                <w:spacing w:val="-6"/>
                <w:sz w:val="16"/>
                <w:szCs w:val="16"/>
              </w:rPr>
              <w:t>17</w:t>
            </w:r>
          </w:p>
        </w:tc>
      </w:tr>
      <w:tr w:rsidR="00E915C7" w:rsidRPr="003436D5" w14:paraId="20F305F0" w14:textId="77777777" w:rsidTr="00447B1E">
        <w:trPr>
          <w:trHeight w:val="1245"/>
        </w:trPr>
        <w:tc>
          <w:tcPr>
            <w:tcW w:w="15734" w:type="dxa"/>
            <w:gridSpan w:val="17"/>
            <w:tcBorders>
              <w:top w:val="single" w:sz="4" w:space="0" w:color="auto"/>
              <w:left w:val="nil"/>
              <w:bottom w:val="nil"/>
              <w:right w:val="nil"/>
            </w:tcBorders>
          </w:tcPr>
          <w:p w14:paraId="65520D09" w14:textId="000006F2" w:rsidR="00E915C7" w:rsidRPr="00F83815" w:rsidRDefault="00E915C7" w:rsidP="007D3130">
            <w:pPr>
              <w:spacing w:before="0" w:after="0"/>
              <w:rPr>
                <w:rFonts w:ascii="Calibri" w:hAnsi="Calibri" w:cs="Arial"/>
                <w:sz w:val="16"/>
                <w:szCs w:val="16"/>
                <w:lang w:eastAsia="en-AU"/>
              </w:rPr>
            </w:pPr>
            <w:r w:rsidRPr="00F83815">
              <w:rPr>
                <w:rFonts w:ascii="Calibri" w:hAnsi="Calibri" w:cs="Arial"/>
                <w:sz w:val="16"/>
                <w:szCs w:val="16"/>
                <w:lang w:eastAsia="en-AU"/>
              </w:rPr>
              <w:t xml:space="preserve">Source: Regional </w:t>
            </w:r>
            <w:r w:rsidR="003E2B29" w:rsidRPr="00F83815">
              <w:rPr>
                <w:rFonts w:ascii="Calibri" w:hAnsi="Calibri" w:cs="Arial"/>
                <w:sz w:val="16"/>
                <w:szCs w:val="16"/>
                <w:lang w:eastAsia="en-AU"/>
              </w:rPr>
              <w:t>Forest Agreements</w:t>
            </w:r>
            <w:r w:rsidRPr="00F83815">
              <w:rPr>
                <w:rFonts w:ascii="Calibri" w:hAnsi="Calibri" w:cs="Arial"/>
                <w:sz w:val="16"/>
                <w:szCs w:val="16"/>
                <w:lang w:eastAsia="en-AU"/>
              </w:rPr>
              <w:t xml:space="preserve"> and associated datasets derived from state and Australian government data.</w:t>
            </w:r>
            <w:r w:rsidRPr="00F83815">
              <w:rPr>
                <w:rFonts w:ascii="Calibri" w:hAnsi="Calibri" w:cs="Arial"/>
                <w:sz w:val="16"/>
                <w:szCs w:val="16"/>
                <w:lang w:eastAsia="en-AU"/>
              </w:rPr>
              <w:br/>
              <w:t xml:space="preserve">NHA, net harvestable area; </w:t>
            </w:r>
            <w:r w:rsidRPr="00F83815">
              <w:rPr>
                <w:rFonts w:ascii="Calibri" w:hAnsi="Calibri" w:cs="Arial"/>
                <w:b/>
                <w:sz w:val="16"/>
                <w:szCs w:val="16"/>
                <w:lang w:eastAsia="en-AU"/>
              </w:rPr>
              <w:t>na</w:t>
            </w:r>
            <w:r w:rsidRPr="00F83815">
              <w:rPr>
                <w:rFonts w:ascii="Calibri" w:hAnsi="Calibri" w:cs="Arial"/>
                <w:sz w:val="16"/>
                <w:szCs w:val="16"/>
                <w:lang w:eastAsia="en-AU"/>
              </w:rPr>
              <w:t>, not available.</w:t>
            </w:r>
          </w:p>
          <w:p w14:paraId="17CAF135" w14:textId="1AEDD2BA" w:rsidR="00E915C7" w:rsidRPr="00F83815" w:rsidRDefault="00E915C7" w:rsidP="007D3130">
            <w:pPr>
              <w:spacing w:before="0" w:after="0"/>
              <w:rPr>
                <w:rFonts w:ascii="Calibri" w:hAnsi="Calibri" w:cs="Arial"/>
                <w:sz w:val="16"/>
                <w:szCs w:val="16"/>
                <w:lang w:eastAsia="en-AU"/>
              </w:rPr>
            </w:pPr>
            <w:r w:rsidRPr="00F83815">
              <w:rPr>
                <w:rFonts w:ascii="Calibri" w:hAnsi="Calibri" w:cs="Arial"/>
                <w:sz w:val="16"/>
                <w:szCs w:val="16"/>
                <w:lang w:eastAsia="en-AU"/>
              </w:rPr>
              <w:t>‘Pre-RFA’ refers to</w:t>
            </w:r>
            <w:r w:rsidR="00E441F9" w:rsidRPr="00F83815">
              <w:rPr>
                <w:rFonts w:ascii="Calibri" w:hAnsi="Calibri" w:cs="Arial"/>
                <w:sz w:val="16"/>
                <w:szCs w:val="16"/>
                <w:lang w:eastAsia="en-AU"/>
              </w:rPr>
              <w:t xml:space="preserve"> immediately prior to the </w:t>
            </w:r>
            <w:r w:rsidRPr="00F83815">
              <w:rPr>
                <w:rFonts w:ascii="Calibri" w:hAnsi="Calibri" w:cs="Arial"/>
                <w:sz w:val="16"/>
                <w:szCs w:val="16"/>
                <w:lang w:eastAsia="en-AU"/>
              </w:rPr>
              <w:t>signing of the relevant RFA. At RFA’ refers to changes on signing of the relevant RFA. ‘Post-RFA’ refers to immediately after the date of signing of the relevant RFA.</w:t>
            </w:r>
            <w:r w:rsidRPr="00F83815">
              <w:rPr>
                <w:rFonts w:ascii="Calibri" w:hAnsi="Calibri" w:cs="Arial"/>
                <w:sz w:val="16"/>
                <w:szCs w:val="16"/>
                <w:lang w:eastAsia="en-AU"/>
              </w:rPr>
              <w:br/>
            </w:r>
            <w:r w:rsidRPr="00F83815">
              <w:rPr>
                <w:rFonts w:ascii="Calibri" w:hAnsi="Calibri" w:cs="Arial"/>
                <w:b/>
                <w:sz w:val="16"/>
                <w:szCs w:val="16"/>
                <w:lang w:eastAsia="en-AU"/>
              </w:rPr>
              <w:t>a</w:t>
            </w:r>
            <w:r w:rsidRPr="00F83815">
              <w:rPr>
                <w:rFonts w:ascii="Calibri" w:hAnsi="Calibri" w:cs="Arial"/>
                <w:sz w:val="16"/>
                <w:szCs w:val="16"/>
                <w:lang w:eastAsia="en-AU"/>
              </w:rPr>
              <w:t xml:space="preserve"> Figures for Victorian RFA regions in column B</w:t>
            </w:r>
            <w:r w:rsidR="0004079B" w:rsidRPr="00F83815">
              <w:rPr>
                <w:rFonts w:ascii="Calibri" w:hAnsi="Calibri" w:cs="Arial"/>
                <w:sz w:val="16"/>
                <w:szCs w:val="16"/>
                <w:lang w:eastAsia="en-AU"/>
              </w:rPr>
              <w:t>A</w:t>
            </w:r>
            <w:r w:rsidRPr="00F83815">
              <w:rPr>
                <w:rFonts w:ascii="Calibri" w:hAnsi="Calibri" w:cs="Arial"/>
                <w:sz w:val="16"/>
                <w:szCs w:val="16"/>
                <w:lang w:eastAsia="en-AU"/>
              </w:rPr>
              <w:t xml:space="preserve"> are from 2019.</w:t>
            </w:r>
          </w:p>
          <w:p w14:paraId="5F94370C" w14:textId="6BD0032E" w:rsidR="00E915C7" w:rsidRPr="00F83815" w:rsidRDefault="00E915C7" w:rsidP="007D3130">
            <w:pPr>
              <w:spacing w:before="0" w:after="0"/>
              <w:rPr>
                <w:rFonts w:ascii="Calibri" w:hAnsi="Calibri" w:cs="Arial"/>
                <w:sz w:val="16"/>
                <w:szCs w:val="16"/>
                <w:lang w:eastAsia="en-AU"/>
              </w:rPr>
            </w:pPr>
            <w:r w:rsidRPr="00F83815">
              <w:rPr>
                <w:rFonts w:ascii="Calibri" w:hAnsi="Calibri" w:cs="Arial"/>
                <w:b/>
                <w:sz w:val="16"/>
                <w:szCs w:val="16"/>
                <w:lang w:eastAsia="en-AU"/>
              </w:rPr>
              <w:t>b</w:t>
            </w:r>
            <w:r w:rsidRPr="00F83815">
              <w:rPr>
                <w:rFonts w:ascii="Calibri" w:hAnsi="Calibri" w:cs="Arial"/>
                <w:sz w:val="16"/>
                <w:szCs w:val="16"/>
                <w:lang w:eastAsia="en-AU"/>
              </w:rPr>
              <w:t xml:space="preserve"> NHA in most recent data for RFA regions in New South Wales is as at 2010–11, for RFA regions in Tasmania and Western Australia is as at 2015–16 and for RFA regions in Victoria is as at 2019.</w:t>
            </w:r>
            <w:r w:rsidRPr="00F83815">
              <w:rPr>
                <w:rFonts w:ascii="Calibri" w:hAnsi="Calibri" w:cs="Arial"/>
                <w:sz w:val="16"/>
                <w:szCs w:val="16"/>
                <w:lang w:eastAsia="en-AU"/>
              </w:rPr>
              <w:br/>
            </w:r>
            <w:r w:rsidRPr="00F83815">
              <w:rPr>
                <w:rFonts w:ascii="Calibri" w:hAnsi="Calibri" w:cs="Arial"/>
                <w:b/>
                <w:sz w:val="16"/>
                <w:szCs w:val="16"/>
                <w:lang w:eastAsia="en-AU"/>
              </w:rPr>
              <w:t>c</w:t>
            </w:r>
            <w:r w:rsidRPr="00F83815">
              <w:rPr>
                <w:rFonts w:ascii="Calibri" w:hAnsi="Calibri" w:cs="Arial"/>
                <w:sz w:val="16"/>
                <w:szCs w:val="16"/>
                <w:lang w:eastAsia="en-AU"/>
              </w:rPr>
              <w:t xml:space="preserve"> Column code D from Table </w:t>
            </w:r>
            <w:r w:rsidR="00CD0907" w:rsidRPr="00F83815">
              <w:rPr>
                <w:rFonts w:ascii="Calibri" w:hAnsi="Calibri" w:cs="Arial"/>
                <w:sz w:val="16"/>
                <w:szCs w:val="16"/>
                <w:lang w:eastAsia="en-AU"/>
              </w:rPr>
              <w:t>A</w:t>
            </w:r>
            <w:r w:rsidRPr="00F83815">
              <w:rPr>
                <w:rFonts w:ascii="Calibri" w:hAnsi="Calibri" w:cs="Arial"/>
                <w:sz w:val="16"/>
                <w:szCs w:val="16"/>
                <w:lang w:eastAsia="en-AU"/>
              </w:rPr>
              <w:t>1.</w:t>
            </w:r>
          </w:p>
          <w:p w14:paraId="23E1AFF7" w14:textId="34D0DF60" w:rsidR="00E915C7" w:rsidRPr="00F83815" w:rsidRDefault="00E915C7" w:rsidP="007D3130">
            <w:pPr>
              <w:spacing w:before="0" w:after="0"/>
              <w:rPr>
                <w:rFonts w:ascii="Calibri" w:hAnsi="Calibri" w:cs="Arial"/>
                <w:sz w:val="16"/>
                <w:szCs w:val="16"/>
                <w:lang w:eastAsia="en-AU"/>
              </w:rPr>
            </w:pPr>
            <w:r w:rsidRPr="00F83815">
              <w:rPr>
                <w:rFonts w:ascii="Calibri" w:hAnsi="Calibri" w:cs="Arial"/>
                <w:b/>
                <w:sz w:val="16"/>
                <w:szCs w:val="16"/>
                <w:lang w:eastAsia="en-AU"/>
              </w:rPr>
              <w:t>d</w:t>
            </w:r>
            <w:r w:rsidRPr="00F83815">
              <w:rPr>
                <w:rFonts w:ascii="Calibri" w:hAnsi="Calibri" w:cs="Arial"/>
                <w:sz w:val="16"/>
                <w:szCs w:val="16"/>
                <w:lang w:eastAsia="en-AU"/>
              </w:rPr>
              <w:t xml:space="preserve"> </w:t>
            </w:r>
            <w:r w:rsidR="00BB00B9">
              <w:rPr>
                <w:rFonts w:ascii="Calibri" w:hAnsi="Calibri" w:cs="Arial"/>
                <w:sz w:val="16"/>
                <w:szCs w:val="16"/>
                <w:lang w:eastAsia="en-AU"/>
              </w:rPr>
              <w:t>A</w:t>
            </w:r>
            <w:r w:rsidRPr="00F83815">
              <w:rPr>
                <w:rFonts w:ascii="Calibri" w:hAnsi="Calibri" w:cs="Arial"/>
                <w:sz w:val="16"/>
                <w:szCs w:val="16"/>
                <w:lang w:eastAsia="en-AU"/>
              </w:rPr>
              <w:t>rea and proportion figures for the change in NHA using most recent data for all RFA regions (column codes B</w:t>
            </w:r>
            <w:r w:rsidR="0004079B" w:rsidRPr="00F83815">
              <w:rPr>
                <w:rFonts w:ascii="Calibri" w:hAnsi="Calibri" w:cs="Arial"/>
                <w:sz w:val="16"/>
                <w:szCs w:val="16"/>
                <w:lang w:eastAsia="en-AU"/>
              </w:rPr>
              <w:t>D</w:t>
            </w:r>
            <w:r w:rsidRPr="00F83815">
              <w:rPr>
                <w:rFonts w:ascii="Calibri" w:hAnsi="Calibri" w:cs="Arial"/>
                <w:sz w:val="16"/>
                <w:szCs w:val="16"/>
                <w:lang w:eastAsia="en-AU"/>
              </w:rPr>
              <w:t xml:space="preserve"> through B</w:t>
            </w:r>
            <w:r w:rsidR="0004079B" w:rsidRPr="00F83815">
              <w:rPr>
                <w:rFonts w:ascii="Calibri" w:hAnsi="Calibri" w:cs="Arial"/>
                <w:sz w:val="16"/>
                <w:szCs w:val="16"/>
                <w:lang w:eastAsia="en-AU"/>
              </w:rPr>
              <w:t>I</w:t>
            </w:r>
            <w:r w:rsidRPr="00F83815">
              <w:rPr>
                <w:rFonts w:ascii="Calibri" w:hAnsi="Calibri" w:cs="Arial"/>
                <w:sz w:val="16"/>
                <w:szCs w:val="16"/>
                <w:lang w:eastAsia="en-AU"/>
              </w:rPr>
              <w:t xml:space="preserve">) use a combination of NHA at 2010–11 (column </w:t>
            </w:r>
            <w:r w:rsidR="0004079B" w:rsidRPr="00F83815">
              <w:rPr>
                <w:rFonts w:ascii="Calibri" w:hAnsi="Calibri" w:cs="Arial"/>
                <w:sz w:val="16"/>
                <w:szCs w:val="16"/>
                <w:lang w:eastAsia="en-AU"/>
              </w:rPr>
              <w:t>AZ</w:t>
            </w:r>
            <w:r w:rsidRPr="00F83815">
              <w:rPr>
                <w:rFonts w:ascii="Calibri" w:hAnsi="Calibri" w:cs="Arial"/>
                <w:sz w:val="16"/>
                <w:szCs w:val="16"/>
                <w:lang w:eastAsia="en-AU"/>
              </w:rPr>
              <w:t>) and NHA at 2015–16 (column B</w:t>
            </w:r>
            <w:r w:rsidR="0004079B" w:rsidRPr="00F83815">
              <w:rPr>
                <w:rFonts w:ascii="Calibri" w:hAnsi="Calibri" w:cs="Arial"/>
                <w:sz w:val="16"/>
                <w:szCs w:val="16"/>
                <w:lang w:eastAsia="en-AU"/>
              </w:rPr>
              <w:t>A</w:t>
            </w:r>
            <w:r w:rsidRPr="00F83815">
              <w:rPr>
                <w:rFonts w:ascii="Calibri" w:hAnsi="Calibri" w:cs="Arial"/>
                <w:sz w:val="16"/>
                <w:szCs w:val="16"/>
                <w:lang w:eastAsia="en-AU"/>
              </w:rPr>
              <w:t xml:space="preserve">). See footnotes </w:t>
            </w:r>
            <w:r w:rsidRPr="00F83815">
              <w:rPr>
                <w:rFonts w:ascii="Calibri" w:hAnsi="Calibri" w:cs="Arial"/>
                <w:b/>
                <w:sz w:val="16"/>
                <w:szCs w:val="16"/>
                <w:lang w:eastAsia="en-AU"/>
              </w:rPr>
              <w:t>a</w:t>
            </w:r>
            <w:r w:rsidRPr="00F83815">
              <w:rPr>
                <w:rFonts w:ascii="Calibri" w:hAnsi="Calibri" w:cs="Arial"/>
                <w:sz w:val="16"/>
                <w:szCs w:val="16"/>
                <w:lang w:eastAsia="en-AU"/>
              </w:rPr>
              <w:t xml:space="preserve"> and </w:t>
            </w:r>
            <w:r w:rsidRPr="00F83815">
              <w:rPr>
                <w:rFonts w:ascii="Calibri" w:hAnsi="Calibri" w:cs="Arial"/>
                <w:b/>
                <w:sz w:val="16"/>
                <w:szCs w:val="16"/>
                <w:lang w:eastAsia="en-AU"/>
              </w:rPr>
              <w:t>b</w:t>
            </w:r>
            <w:r w:rsidRPr="00F83815">
              <w:rPr>
                <w:rFonts w:ascii="Calibri" w:hAnsi="Calibri" w:cs="Arial"/>
                <w:sz w:val="16"/>
                <w:szCs w:val="16"/>
                <w:lang w:eastAsia="en-AU"/>
              </w:rPr>
              <w:t xml:space="preserve">. </w:t>
            </w:r>
            <w:r w:rsidRPr="00F83815">
              <w:rPr>
                <w:rFonts w:ascii="Calibri" w:hAnsi="Calibri" w:cs="Arial"/>
                <w:sz w:val="16"/>
                <w:szCs w:val="16"/>
                <w:lang w:eastAsia="en-AU"/>
              </w:rPr>
              <w:br/>
              <w:t>Totals may not tally due to rounding.</w:t>
            </w:r>
          </w:p>
          <w:p w14:paraId="5410BB6C" w14:textId="5D2DCB3A" w:rsidR="00447B1E" w:rsidRPr="00447B1E" w:rsidRDefault="00447B1E" w:rsidP="00DB0CD3">
            <w:pPr>
              <w:pStyle w:val="FootnoteText"/>
              <w:spacing w:before="0"/>
              <w:rPr>
                <w:rFonts w:asciiTheme="minorHAnsi" w:eastAsiaTheme="minorEastAsia" w:hAnsiTheme="minorHAnsi"/>
                <w:sz w:val="14"/>
                <w:szCs w:val="14"/>
              </w:rPr>
            </w:pPr>
            <w:r w:rsidRPr="00F83815">
              <w:rPr>
                <w:rFonts w:asciiTheme="minorHAnsi" w:hAnsiTheme="minorHAnsi"/>
                <w:noProof/>
                <w:sz w:val="16"/>
                <w:szCs w:val="14"/>
              </w:rPr>
              <w:t xml:space="preserve">This table, together with other data in this report, is available in Microsoft Excel </w:t>
            </w:r>
            <w:r w:rsidR="00DB0CD3">
              <w:rPr>
                <w:rFonts w:asciiTheme="minorHAnsi" w:hAnsiTheme="minorHAnsi"/>
                <w:noProof/>
                <w:sz w:val="16"/>
                <w:szCs w:val="14"/>
              </w:rPr>
              <w:t>at</w:t>
            </w:r>
            <w:r w:rsidRPr="00F83815">
              <w:rPr>
                <w:rFonts w:asciiTheme="minorHAnsi" w:hAnsiTheme="minorHAnsi"/>
                <w:noProof/>
                <w:sz w:val="16"/>
                <w:szCs w:val="14"/>
              </w:rPr>
              <w:t xml:space="preserve"> </w:t>
            </w:r>
            <w:hyperlink r:id="rId51" w:history="1">
              <w:r w:rsidR="00DD59DD" w:rsidRPr="0090070F">
                <w:rPr>
                  <w:rStyle w:val="Hyperlink"/>
                  <w:rFonts w:asciiTheme="minorHAnsi" w:hAnsiTheme="minorHAnsi"/>
                  <w:noProof/>
                  <w:color w:val="0070C0"/>
                  <w:sz w:val="16"/>
                </w:rPr>
                <w:t>doi.org/10.25814/pczx-xk66</w:t>
              </w:r>
            </w:hyperlink>
            <w:r w:rsidR="00DD59DD">
              <w:rPr>
                <w:rFonts w:asciiTheme="minorHAnsi" w:hAnsiTheme="minorHAnsi"/>
                <w:noProof/>
                <w:sz w:val="16"/>
              </w:rPr>
              <w:t>.</w:t>
            </w:r>
          </w:p>
        </w:tc>
      </w:tr>
    </w:tbl>
    <w:p w14:paraId="350C0EFD" w14:textId="77777777" w:rsidR="00E24F56" w:rsidRDefault="00E24F56" w:rsidP="004C0DDC">
      <w:pPr>
        <w:pStyle w:val="Caption"/>
      </w:pPr>
      <w:r>
        <w:br w:type="page"/>
      </w:r>
    </w:p>
    <w:p w14:paraId="63F4CF12" w14:textId="766920FE" w:rsidR="003405E4" w:rsidRDefault="003405E4" w:rsidP="004C0DDC">
      <w:pPr>
        <w:pStyle w:val="Caption"/>
      </w:pPr>
      <w:bookmarkStart w:id="56" w:name="_Ref55396506"/>
      <w:bookmarkStart w:id="57" w:name="_Toc58234974"/>
      <w:r>
        <w:lastRenderedPageBreak/>
        <w:t xml:space="preserve">Table </w:t>
      </w:r>
      <w:r w:rsidR="00D15AE0">
        <w:t>A</w:t>
      </w:r>
      <w:r>
        <w:rPr>
          <w:noProof/>
        </w:rPr>
        <w:fldChar w:fldCharType="begin"/>
      </w:r>
      <w:r>
        <w:rPr>
          <w:noProof/>
        </w:rPr>
        <w:instrText xml:space="preserve"> SEQ Table \* ARABIC </w:instrText>
      </w:r>
      <w:r>
        <w:rPr>
          <w:noProof/>
        </w:rPr>
        <w:fldChar w:fldCharType="separate"/>
      </w:r>
      <w:r w:rsidR="00CC3B42">
        <w:rPr>
          <w:noProof/>
        </w:rPr>
        <w:t>11</w:t>
      </w:r>
      <w:r>
        <w:rPr>
          <w:noProof/>
        </w:rPr>
        <w:fldChar w:fldCharType="end"/>
      </w:r>
      <w:bookmarkEnd w:id="56"/>
      <w:r w:rsidRPr="004C0DDC">
        <w:rPr>
          <w:spacing w:val="-4"/>
        </w:rPr>
        <w:t xml:space="preserve"> Average annual harvest and sustainable yield for multiple-use public forests in areas covered by </w:t>
      </w:r>
      <w:r w:rsidR="00361D8F" w:rsidRPr="004C0DDC">
        <w:rPr>
          <w:spacing w:val="-4"/>
        </w:rPr>
        <w:t>RFA</w:t>
      </w:r>
      <w:r w:rsidRPr="004C0DDC">
        <w:rPr>
          <w:spacing w:val="-4"/>
        </w:rPr>
        <w:t>s, by state and five-yearly reporting periods between 1992 and 2016</w:t>
      </w:r>
      <w:bookmarkEnd w:id="57"/>
    </w:p>
    <w:tbl>
      <w:tblPr>
        <w:tblW w:w="13704" w:type="dxa"/>
        <w:tblInd w:w="-426" w:type="dxa"/>
        <w:tblLook w:val="04A0" w:firstRow="1" w:lastRow="0" w:firstColumn="1" w:lastColumn="0" w:noHBand="0" w:noVBand="1"/>
      </w:tblPr>
      <w:tblGrid>
        <w:gridCol w:w="1418"/>
        <w:gridCol w:w="992"/>
        <w:gridCol w:w="1276"/>
        <w:gridCol w:w="1140"/>
        <w:gridCol w:w="1173"/>
        <w:gridCol w:w="1372"/>
        <w:gridCol w:w="1418"/>
        <w:gridCol w:w="1088"/>
        <w:gridCol w:w="1276"/>
        <w:gridCol w:w="1276"/>
        <w:gridCol w:w="1275"/>
      </w:tblGrid>
      <w:tr w:rsidR="003405E4" w:rsidRPr="00C523EF" w14:paraId="3C0A8310" w14:textId="77777777" w:rsidTr="004C0DDC">
        <w:trPr>
          <w:trHeight w:val="288"/>
        </w:trPr>
        <w:tc>
          <w:tcPr>
            <w:tcW w:w="1418" w:type="dxa"/>
            <w:vMerge w:val="restart"/>
            <w:tcBorders>
              <w:top w:val="single" w:sz="4" w:space="0" w:color="auto"/>
              <w:left w:val="nil"/>
              <w:bottom w:val="single" w:sz="4" w:space="0" w:color="000000"/>
              <w:right w:val="single" w:sz="4" w:space="0" w:color="auto"/>
            </w:tcBorders>
            <w:shd w:val="clear" w:color="000000" w:fill="FFFFFF"/>
            <w:noWrap/>
            <w:vAlign w:val="bottom"/>
            <w:hideMark/>
          </w:tcPr>
          <w:p w14:paraId="41B8D808" w14:textId="77777777" w:rsidR="003405E4" w:rsidRPr="003405E4" w:rsidRDefault="003405E4" w:rsidP="00F435C6">
            <w:pPr>
              <w:spacing w:before="0" w:after="0"/>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Period</w:t>
            </w:r>
          </w:p>
        </w:tc>
        <w:tc>
          <w:tcPr>
            <w:tcW w:w="12286" w:type="dxa"/>
            <w:gridSpan w:val="10"/>
            <w:tcBorders>
              <w:top w:val="single" w:sz="4" w:space="0" w:color="auto"/>
              <w:left w:val="nil"/>
              <w:bottom w:val="single" w:sz="4" w:space="0" w:color="auto"/>
              <w:right w:val="nil"/>
            </w:tcBorders>
            <w:shd w:val="clear" w:color="000000" w:fill="FFFFFF"/>
            <w:noWrap/>
            <w:vAlign w:val="bottom"/>
            <w:hideMark/>
          </w:tcPr>
          <w:p w14:paraId="6B44735C" w14:textId="77777777" w:rsidR="003405E4" w:rsidRPr="003405E4" w:rsidRDefault="003405E4" w:rsidP="00F435C6">
            <w:pPr>
              <w:spacing w:before="0" w:after="0"/>
              <w:jc w:val="center"/>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Average annual sawlog harvest ('000 cubic metres)</w:t>
            </w:r>
          </w:p>
        </w:tc>
      </w:tr>
      <w:tr w:rsidR="00D3131B" w:rsidRPr="00C523EF" w14:paraId="47522A47" w14:textId="77777777" w:rsidTr="004C0DDC">
        <w:trPr>
          <w:trHeight w:val="288"/>
        </w:trPr>
        <w:tc>
          <w:tcPr>
            <w:tcW w:w="1418" w:type="dxa"/>
            <w:vMerge/>
            <w:tcBorders>
              <w:top w:val="single" w:sz="4" w:space="0" w:color="auto"/>
              <w:left w:val="nil"/>
              <w:bottom w:val="single" w:sz="4" w:space="0" w:color="000000"/>
              <w:right w:val="single" w:sz="4" w:space="0" w:color="auto"/>
            </w:tcBorders>
            <w:vAlign w:val="center"/>
            <w:hideMark/>
          </w:tcPr>
          <w:p w14:paraId="7A52D35A" w14:textId="77777777" w:rsidR="003405E4" w:rsidRPr="003405E4" w:rsidRDefault="003405E4" w:rsidP="00F435C6">
            <w:pPr>
              <w:spacing w:before="0" w:after="0"/>
              <w:rPr>
                <w:rFonts w:asciiTheme="majorHAnsi" w:hAnsiTheme="majorHAnsi"/>
                <w:b/>
                <w:bCs/>
                <w:color w:val="000000"/>
                <w:sz w:val="16"/>
                <w:szCs w:val="16"/>
                <w:lang w:eastAsia="en-AU"/>
              </w:rPr>
            </w:pPr>
          </w:p>
        </w:tc>
        <w:tc>
          <w:tcPr>
            <w:tcW w:w="2268" w:type="dxa"/>
            <w:gridSpan w:val="2"/>
            <w:tcBorders>
              <w:top w:val="single" w:sz="4" w:space="0" w:color="auto"/>
              <w:left w:val="nil"/>
              <w:bottom w:val="single" w:sz="4" w:space="0" w:color="auto"/>
              <w:right w:val="nil"/>
            </w:tcBorders>
            <w:shd w:val="clear" w:color="000000" w:fill="FFFFFF"/>
            <w:noWrap/>
            <w:vAlign w:val="bottom"/>
            <w:hideMark/>
          </w:tcPr>
          <w:p w14:paraId="56831C07" w14:textId="77777777" w:rsidR="003405E4" w:rsidRPr="003405E4" w:rsidRDefault="003405E4" w:rsidP="00F435C6">
            <w:pPr>
              <w:spacing w:before="0" w:after="0"/>
              <w:jc w:val="center"/>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NSW combined RFA regions</w:t>
            </w:r>
          </w:p>
        </w:tc>
        <w:tc>
          <w:tcPr>
            <w:tcW w:w="23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ED72DF4" w14:textId="77777777" w:rsidR="003405E4" w:rsidRPr="003405E4" w:rsidRDefault="003405E4" w:rsidP="00F435C6">
            <w:pPr>
              <w:spacing w:before="0" w:after="0"/>
              <w:jc w:val="center"/>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Tasmanian RFA region</w:t>
            </w:r>
          </w:p>
        </w:tc>
        <w:tc>
          <w:tcPr>
            <w:tcW w:w="2790" w:type="dxa"/>
            <w:gridSpan w:val="2"/>
            <w:tcBorders>
              <w:top w:val="single" w:sz="4" w:space="0" w:color="auto"/>
              <w:left w:val="nil"/>
              <w:bottom w:val="single" w:sz="4" w:space="0" w:color="auto"/>
              <w:right w:val="nil"/>
            </w:tcBorders>
            <w:shd w:val="clear" w:color="000000" w:fill="FFFFFF"/>
            <w:noWrap/>
            <w:vAlign w:val="bottom"/>
            <w:hideMark/>
          </w:tcPr>
          <w:p w14:paraId="200ADBAF" w14:textId="1B5E5DE9" w:rsidR="003405E4" w:rsidRPr="003405E4" w:rsidRDefault="003405E4" w:rsidP="00F435C6">
            <w:pPr>
              <w:spacing w:before="0" w:after="0"/>
              <w:jc w:val="center"/>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Victorian</w:t>
            </w:r>
            <w:r w:rsidR="00164299">
              <w:rPr>
                <w:rFonts w:asciiTheme="majorHAnsi" w:hAnsiTheme="majorHAnsi"/>
                <w:b/>
                <w:bCs/>
                <w:color w:val="000000"/>
                <w:sz w:val="16"/>
                <w:szCs w:val="16"/>
                <w:lang w:eastAsia="en-AU"/>
              </w:rPr>
              <w:t xml:space="preserve"> combined</w:t>
            </w:r>
            <w:r w:rsidRPr="003405E4">
              <w:rPr>
                <w:rFonts w:asciiTheme="majorHAnsi" w:hAnsiTheme="majorHAnsi"/>
                <w:b/>
                <w:bCs/>
                <w:color w:val="000000"/>
                <w:sz w:val="16"/>
                <w:szCs w:val="16"/>
                <w:lang w:eastAsia="en-AU"/>
              </w:rPr>
              <w:t xml:space="preserve"> RFA regions</w:t>
            </w:r>
          </w:p>
        </w:tc>
        <w:tc>
          <w:tcPr>
            <w:tcW w:w="2364"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5B9A8DBB" w14:textId="77777777" w:rsidR="003405E4" w:rsidRPr="003405E4" w:rsidRDefault="003405E4" w:rsidP="00F435C6">
            <w:pPr>
              <w:spacing w:before="0" w:after="0"/>
              <w:jc w:val="center"/>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South-West WA RFA region</w:t>
            </w:r>
          </w:p>
        </w:tc>
        <w:tc>
          <w:tcPr>
            <w:tcW w:w="2551"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533C31DF" w14:textId="77777777" w:rsidR="003405E4" w:rsidRPr="003405E4" w:rsidRDefault="003405E4" w:rsidP="00F435C6">
            <w:pPr>
              <w:spacing w:before="0" w:after="0"/>
              <w:jc w:val="center"/>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Total all RFA regions</w:t>
            </w:r>
          </w:p>
        </w:tc>
      </w:tr>
      <w:tr w:rsidR="00D3131B" w:rsidRPr="00C523EF" w14:paraId="7D7C7599" w14:textId="77777777" w:rsidTr="004C0DDC">
        <w:trPr>
          <w:trHeight w:val="408"/>
        </w:trPr>
        <w:tc>
          <w:tcPr>
            <w:tcW w:w="1418" w:type="dxa"/>
            <w:vMerge/>
            <w:tcBorders>
              <w:top w:val="single" w:sz="4" w:space="0" w:color="auto"/>
              <w:left w:val="nil"/>
              <w:bottom w:val="single" w:sz="4" w:space="0" w:color="000000"/>
              <w:right w:val="single" w:sz="4" w:space="0" w:color="auto"/>
            </w:tcBorders>
            <w:vAlign w:val="center"/>
            <w:hideMark/>
          </w:tcPr>
          <w:p w14:paraId="362CBFB5" w14:textId="77777777" w:rsidR="003405E4" w:rsidRPr="003405E4" w:rsidRDefault="003405E4" w:rsidP="00F435C6">
            <w:pPr>
              <w:spacing w:before="0" w:after="0"/>
              <w:rPr>
                <w:rFonts w:asciiTheme="majorHAnsi" w:hAnsiTheme="majorHAnsi"/>
                <w:b/>
                <w:bCs/>
                <w:color w:val="000000"/>
                <w:sz w:val="16"/>
                <w:szCs w:val="16"/>
                <w:lang w:eastAsia="en-AU"/>
              </w:rPr>
            </w:pPr>
          </w:p>
        </w:tc>
        <w:tc>
          <w:tcPr>
            <w:tcW w:w="992" w:type="dxa"/>
            <w:tcBorders>
              <w:top w:val="nil"/>
              <w:left w:val="nil"/>
              <w:bottom w:val="single" w:sz="4" w:space="0" w:color="auto"/>
              <w:right w:val="nil"/>
            </w:tcBorders>
            <w:shd w:val="clear" w:color="000000" w:fill="FFFFFF"/>
            <w:vAlign w:val="center"/>
            <w:hideMark/>
          </w:tcPr>
          <w:p w14:paraId="6DC35B64"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 xml:space="preserve">Actual </w:t>
            </w:r>
            <w:r w:rsidRPr="003405E4">
              <w:rPr>
                <w:rFonts w:asciiTheme="majorHAnsi" w:hAnsiTheme="majorHAnsi"/>
                <w:b/>
                <w:bCs/>
                <w:color w:val="000000"/>
                <w:sz w:val="16"/>
                <w:szCs w:val="16"/>
                <w:lang w:eastAsia="en-AU"/>
              </w:rPr>
              <w:br/>
              <w:t>harvest</w:t>
            </w:r>
          </w:p>
        </w:tc>
        <w:tc>
          <w:tcPr>
            <w:tcW w:w="1276" w:type="dxa"/>
            <w:tcBorders>
              <w:top w:val="nil"/>
              <w:left w:val="nil"/>
              <w:bottom w:val="single" w:sz="4" w:space="0" w:color="auto"/>
              <w:right w:val="single" w:sz="4" w:space="0" w:color="auto"/>
            </w:tcBorders>
            <w:shd w:val="clear" w:color="000000" w:fill="FFFFFF"/>
            <w:vAlign w:val="center"/>
            <w:hideMark/>
          </w:tcPr>
          <w:p w14:paraId="7A9606F5"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Sustainable yield</w:t>
            </w:r>
          </w:p>
        </w:tc>
        <w:tc>
          <w:tcPr>
            <w:tcW w:w="1140" w:type="dxa"/>
            <w:tcBorders>
              <w:top w:val="nil"/>
              <w:left w:val="nil"/>
              <w:bottom w:val="single" w:sz="4" w:space="0" w:color="auto"/>
              <w:right w:val="nil"/>
            </w:tcBorders>
            <w:shd w:val="clear" w:color="000000" w:fill="FFFFFF"/>
            <w:vAlign w:val="center"/>
            <w:hideMark/>
          </w:tcPr>
          <w:p w14:paraId="6895DA1D"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 xml:space="preserve">Actual </w:t>
            </w:r>
            <w:r w:rsidRPr="003405E4">
              <w:rPr>
                <w:rFonts w:asciiTheme="majorHAnsi" w:hAnsiTheme="majorHAnsi"/>
                <w:b/>
                <w:bCs/>
                <w:color w:val="000000"/>
                <w:sz w:val="16"/>
                <w:szCs w:val="16"/>
                <w:lang w:eastAsia="en-AU"/>
              </w:rPr>
              <w:br/>
              <w:t>harvest</w:t>
            </w:r>
          </w:p>
        </w:tc>
        <w:tc>
          <w:tcPr>
            <w:tcW w:w="1173" w:type="dxa"/>
            <w:tcBorders>
              <w:top w:val="nil"/>
              <w:left w:val="nil"/>
              <w:bottom w:val="single" w:sz="4" w:space="0" w:color="auto"/>
              <w:right w:val="single" w:sz="4" w:space="0" w:color="auto"/>
            </w:tcBorders>
            <w:shd w:val="clear" w:color="000000" w:fill="FFFFFF"/>
            <w:vAlign w:val="center"/>
            <w:hideMark/>
          </w:tcPr>
          <w:p w14:paraId="57DD8724"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Sustainable yield</w:t>
            </w:r>
          </w:p>
        </w:tc>
        <w:tc>
          <w:tcPr>
            <w:tcW w:w="1372" w:type="dxa"/>
            <w:tcBorders>
              <w:top w:val="nil"/>
              <w:left w:val="nil"/>
              <w:bottom w:val="single" w:sz="4" w:space="0" w:color="auto"/>
              <w:right w:val="nil"/>
            </w:tcBorders>
            <w:shd w:val="clear" w:color="000000" w:fill="FFFFFF"/>
            <w:vAlign w:val="center"/>
            <w:hideMark/>
          </w:tcPr>
          <w:p w14:paraId="68964C8A"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 xml:space="preserve">Actual </w:t>
            </w:r>
            <w:r w:rsidRPr="003405E4">
              <w:rPr>
                <w:rFonts w:asciiTheme="majorHAnsi" w:hAnsiTheme="majorHAnsi"/>
                <w:b/>
                <w:bCs/>
                <w:color w:val="000000"/>
                <w:sz w:val="16"/>
                <w:szCs w:val="16"/>
                <w:lang w:eastAsia="en-AU"/>
              </w:rPr>
              <w:br/>
              <w:t>harvest</w:t>
            </w:r>
          </w:p>
        </w:tc>
        <w:tc>
          <w:tcPr>
            <w:tcW w:w="1418" w:type="dxa"/>
            <w:tcBorders>
              <w:top w:val="nil"/>
              <w:left w:val="nil"/>
              <w:bottom w:val="single" w:sz="4" w:space="0" w:color="auto"/>
              <w:right w:val="single" w:sz="4" w:space="0" w:color="auto"/>
            </w:tcBorders>
            <w:shd w:val="clear" w:color="000000" w:fill="FFFFFF"/>
            <w:vAlign w:val="center"/>
            <w:hideMark/>
          </w:tcPr>
          <w:p w14:paraId="69032984"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Sustainable yield</w:t>
            </w:r>
          </w:p>
        </w:tc>
        <w:tc>
          <w:tcPr>
            <w:tcW w:w="1088" w:type="dxa"/>
            <w:tcBorders>
              <w:top w:val="nil"/>
              <w:left w:val="nil"/>
              <w:bottom w:val="single" w:sz="4" w:space="0" w:color="auto"/>
              <w:right w:val="nil"/>
            </w:tcBorders>
            <w:shd w:val="clear" w:color="000000" w:fill="FFFFFF"/>
            <w:vAlign w:val="center"/>
            <w:hideMark/>
          </w:tcPr>
          <w:p w14:paraId="395C8F8F"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 xml:space="preserve">Actual </w:t>
            </w:r>
            <w:r w:rsidRPr="003405E4">
              <w:rPr>
                <w:rFonts w:asciiTheme="majorHAnsi" w:hAnsiTheme="majorHAnsi"/>
                <w:b/>
                <w:bCs/>
                <w:color w:val="000000"/>
                <w:sz w:val="16"/>
                <w:szCs w:val="16"/>
                <w:lang w:eastAsia="en-AU"/>
              </w:rPr>
              <w:br/>
              <w:t>harvest</w:t>
            </w:r>
          </w:p>
        </w:tc>
        <w:tc>
          <w:tcPr>
            <w:tcW w:w="1276" w:type="dxa"/>
            <w:tcBorders>
              <w:top w:val="nil"/>
              <w:left w:val="nil"/>
              <w:bottom w:val="single" w:sz="4" w:space="0" w:color="auto"/>
              <w:right w:val="single" w:sz="4" w:space="0" w:color="auto"/>
            </w:tcBorders>
            <w:shd w:val="clear" w:color="000000" w:fill="FFFFFF"/>
            <w:vAlign w:val="center"/>
            <w:hideMark/>
          </w:tcPr>
          <w:p w14:paraId="2EFC3C4A"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Sustainable yield</w:t>
            </w:r>
          </w:p>
        </w:tc>
        <w:tc>
          <w:tcPr>
            <w:tcW w:w="1276" w:type="dxa"/>
            <w:tcBorders>
              <w:top w:val="nil"/>
              <w:left w:val="nil"/>
              <w:bottom w:val="single" w:sz="4" w:space="0" w:color="auto"/>
              <w:right w:val="nil"/>
            </w:tcBorders>
            <w:shd w:val="clear" w:color="000000" w:fill="FFFFFF"/>
            <w:vAlign w:val="center"/>
            <w:hideMark/>
          </w:tcPr>
          <w:p w14:paraId="1DA1A678"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 xml:space="preserve">Actual </w:t>
            </w:r>
            <w:r w:rsidRPr="003405E4">
              <w:rPr>
                <w:rFonts w:asciiTheme="majorHAnsi" w:hAnsiTheme="majorHAnsi"/>
                <w:b/>
                <w:bCs/>
                <w:color w:val="000000"/>
                <w:sz w:val="16"/>
                <w:szCs w:val="16"/>
                <w:lang w:eastAsia="en-AU"/>
              </w:rPr>
              <w:br/>
              <w:t>harvest</w:t>
            </w:r>
          </w:p>
        </w:tc>
        <w:tc>
          <w:tcPr>
            <w:tcW w:w="1275" w:type="dxa"/>
            <w:tcBorders>
              <w:top w:val="nil"/>
              <w:left w:val="nil"/>
              <w:bottom w:val="single" w:sz="4" w:space="0" w:color="auto"/>
              <w:right w:val="nil"/>
            </w:tcBorders>
            <w:shd w:val="clear" w:color="000000" w:fill="FFFFFF"/>
            <w:vAlign w:val="center"/>
            <w:hideMark/>
          </w:tcPr>
          <w:p w14:paraId="5D7C1D4A" w14:textId="77777777" w:rsidR="003405E4" w:rsidRPr="003405E4" w:rsidRDefault="003405E4" w:rsidP="00F435C6">
            <w:pPr>
              <w:spacing w:before="0" w:after="0"/>
              <w:jc w:val="right"/>
              <w:rPr>
                <w:rFonts w:asciiTheme="majorHAnsi" w:hAnsiTheme="majorHAnsi"/>
                <w:b/>
                <w:bCs/>
                <w:color w:val="000000"/>
                <w:sz w:val="16"/>
                <w:szCs w:val="16"/>
                <w:lang w:eastAsia="en-AU"/>
              </w:rPr>
            </w:pPr>
            <w:r w:rsidRPr="003405E4">
              <w:rPr>
                <w:rFonts w:asciiTheme="majorHAnsi" w:hAnsiTheme="majorHAnsi"/>
                <w:b/>
                <w:bCs/>
                <w:color w:val="000000"/>
                <w:sz w:val="16"/>
                <w:szCs w:val="16"/>
                <w:lang w:eastAsia="en-AU"/>
              </w:rPr>
              <w:t>Sustainable yield</w:t>
            </w:r>
          </w:p>
        </w:tc>
      </w:tr>
      <w:tr w:rsidR="00D3131B" w:rsidRPr="00C523EF" w14:paraId="111B4D03" w14:textId="77777777" w:rsidTr="004C0DDC">
        <w:trPr>
          <w:trHeight w:val="288"/>
        </w:trPr>
        <w:tc>
          <w:tcPr>
            <w:tcW w:w="1418" w:type="dxa"/>
            <w:tcBorders>
              <w:top w:val="nil"/>
              <w:left w:val="nil"/>
              <w:bottom w:val="nil"/>
              <w:right w:val="single" w:sz="4" w:space="0" w:color="auto"/>
            </w:tcBorders>
            <w:shd w:val="clear" w:color="000000" w:fill="FFFFFF"/>
            <w:noWrap/>
            <w:vAlign w:val="center"/>
            <w:hideMark/>
          </w:tcPr>
          <w:p w14:paraId="2AB866FE" w14:textId="774DC205" w:rsidR="003405E4" w:rsidRPr="00CD538E" w:rsidRDefault="003405E4" w:rsidP="00F435C6">
            <w:pPr>
              <w:spacing w:before="0" w:after="0"/>
              <w:rPr>
                <w:rFonts w:asciiTheme="majorHAnsi" w:hAnsiTheme="majorHAnsi"/>
                <w:bCs/>
                <w:color w:val="000000"/>
                <w:sz w:val="16"/>
                <w:szCs w:val="16"/>
                <w:lang w:eastAsia="en-AU"/>
              </w:rPr>
            </w:pPr>
            <w:r w:rsidRPr="00CD538E">
              <w:rPr>
                <w:rFonts w:asciiTheme="majorHAnsi" w:hAnsiTheme="majorHAnsi"/>
                <w:bCs/>
                <w:color w:val="000000"/>
                <w:sz w:val="16"/>
                <w:szCs w:val="16"/>
                <w:lang w:eastAsia="en-AU"/>
              </w:rPr>
              <w:t>1992–96</w:t>
            </w:r>
          </w:p>
        </w:tc>
        <w:tc>
          <w:tcPr>
            <w:tcW w:w="992" w:type="dxa"/>
            <w:tcBorders>
              <w:top w:val="nil"/>
              <w:left w:val="nil"/>
              <w:bottom w:val="nil"/>
              <w:right w:val="nil"/>
            </w:tcBorders>
            <w:shd w:val="clear" w:color="000000" w:fill="FFFFFF"/>
            <w:noWrap/>
            <w:vAlign w:val="center"/>
            <w:hideMark/>
          </w:tcPr>
          <w:p w14:paraId="7F53F436"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658</w:t>
            </w:r>
          </w:p>
        </w:tc>
        <w:tc>
          <w:tcPr>
            <w:tcW w:w="1276" w:type="dxa"/>
            <w:tcBorders>
              <w:top w:val="nil"/>
              <w:left w:val="nil"/>
              <w:bottom w:val="nil"/>
              <w:right w:val="nil"/>
            </w:tcBorders>
            <w:shd w:val="clear" w:color="000000" w:fill="FFFFFF"/>
            <w:noWrap/>
            <w:vAlign w:val="center"/>
            <w:hideMark/>
          </w:tcPr>
          <w:p w14:paraId="52CCC8EE"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686</w:t>
            </w:r>
          </w:p>
        </w:tc>
        <w:tc>
          <w:tcPr>
            <w:tcW w:w="1140" w:type="dxa"/>
            <w:tcBorders>
              <w:top w:val="nil"/>
              <w:left w:val="single" w:sz="4" w:space="0" w:color="auto"/>
              <w:bottom w:val="nil"/>
              <w:right w:val="nil"/>
            </w:tcBorders>
            <w:shd w:val="clear" w:color="000000" w:fill="FFFFFF"/>
            <w:noWrap/>
            <w:vAlign w:val="center"/>
            <w:hideMark/>
          </w:tcPr>
          <w:p w14:paraId="1545427B"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272</w:t>
            </w:r>
          </w:p>
        </w:tc>
        <w:tc>
          <w:tcPr>
            <w:tcW w:w="1173" w:type="dxa"/>
            <w:tcBorders>
              <w:top w:val="nil"/>
              <w:left w:val="nil"/>
              <w:bottom w:val="nil"/>
              <w:right w:val="single" w:sz="4" w:space="0" w:color="auto"/>
            </w:tcBorders>
            <w:shd w:val="clear" w:color="000000" w:fill="FFFFFF"/>
            <w:noWrap/>
            <w:vAlign w:val="center"/>
            <w:hideMark/>
          </w:tcPr>
          <w:p w14:paraId="1D14315E"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301</w:t>
            </w:r>
          </w:p>
        </w:tc>
        <w:tc>
          <w:tcPr>
            <w:tcW w:w="1372" w:type="dxa"/>
            <w:tcBorders>
              <w:top w:val="nil"/>
              <w:left w:val="nil"/>
              <w:bottom w:val="nil"/>
              <w:right w:val="nil"/>
            </w:tcBorders>
            <w:shd w:val="clear" w:color="000000" w:fill="FFFFFF"/>
            <w:noWrap/>
            <w:vAlign w:val="center"/>
            <w:hideMark/>
          </w:tcPr>
          <w:p w14:paraId="2AB69DF8"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801</w:t>
            </w:r>
          </w:p>
        </w:tc>
        <w:tc>
          <w:tcPr>
            <w:tcW w:w="1418" w:type="dxa"/>
            <w:tcBorders>
              <w:top w:val="nil"/>
              <w:left w:val="nil"/>
              <w:bottom w:val="nil"/>
              <w:right w:val="nil"/>
            </w:tcBorders>
            <w:shd w:val="clear" w:color="000000" w:fill="FFFFFF"/>
            <w:noWrap/>
            <w:vAlign w:val="center"/>
            <w:hideMark/>
          </w:tcPr>
          <w:p w14:paraId="3AD6FD20"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937</w:t>
            </w:r>
          </w:p>
        </w:tc>
        <w:tc>
          <w:tcPr>
            <w:tcW w:w="1088" w:type="dxa"/>
            <w:tcBorders>
              <w:top w:val="nil"/>
              <w:left w:val="single" w:sz="4" w:space="0" w:color="auto"/>
              <w:bottom w:val="nil"/>
              <w:right w:val="nil"/>
            </w:tcBorders>
            <w:shd w:val="clear" w:color="000000" w:fill="FFFFFF"/>
            <w:noWrap/>
            <w:vAlign w:val="center"/>
            <w:hideMark/>
          </w:tcPr>
          <w:p w14:paraId="64B979C8"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622</w:t>
            </w:r>
          </w:p>
        </w:tc>
        <w:tc>
          <w:tcPr>
            <w:tcW w:w="1276" w:type="dxa"/>
            <w:tcBorders>
              <w:top w:val="nil"/>
              <w:left w:val="nil"/>
              <w:bottom w:val="nil"/>
              <w:right w:val="nil"/>
            </w:tcBorders>
            <w:shd w:val="clear" w:color="000000" w:fill="FFFFFF"/>
            <w:noWrap/>
            <w:vAlign w:val="center"/>
            <w:hideMark/>
          </w:tcPr>
          <w:p w14:paraId="3A81E099"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758</w:t>
            </w:r>
          </w:p>
        </w:tc>
        <w:tc>
          <w:tcPr>
            <w:tcW w:w="1276" w:type="dxa"/>
            <w:tcBorders>
              <w:top w:val="nil"/>
              <w:left w:val="single" w:sz="4" w:space="0" w:color="auto"/>
              <w:bottom w:val="nil"/>
              <w:right w:val="nil"/>
            </w:tcBorders>
            <w:shd w:val="clear" w:color="000000" w:fill="FFFFFF"/>
            <w:noWrap/>
            <w:vAlign w:val="center"/>
            <w:hideMark/>
          </w:tcPr>
          <w:p w14:paraId="2392197D"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2,353</w:t>
            </w:r>
          </w:p>
        </w:tc>
        <w:tc>
          <w:tcPr>
            <w:tcW w:w="1275" w:type="dxa"/>
            <w:tcBorders>
              <w:top w:val="nil"/>
              <w:left w:val="nil"/>
              <w:bottom w:val="nil"/>
              <w:right w:val="nil"/>
            </w:tcBorders>
            <w:shd w:val="clear" w:color="000000" w:fill="FFFFFF"/>
            <w:noWrap/>
            <w:vAlign w:val="center"/>
            <w:hideMark/>
          </w:tcPr>
          <w:p w14:paraId="36E883F6"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2,682</w:t>
            </w:r>
          </w:p>
        </w:tc>
      </w:tr>
      <w:tr w:rsidR="00D3131B" w:rsidRPr="00C523EF" w14:paraId="6644B23B" w14:textId="77777777" w:rsidTr="004C0DDC">
        <w:trPr>
          <w:trHeight w:val="288"/>
        </w:trPr>
        <w:tc>
          <w:tcPr>
            <w:tcW w:w="1418" w:type="dxa"/>
            <w:tcBorders>
              <w:top w:val="nil"/>
              <w:left w:val="nil"/>
              <w:bottom w:val="nil"/>
              <w:right w:val="single" w:sz="4" w:space="0" w:color="auto"/>
            </w:tcBorders>
            <w:shd w:val="clear" w:color="000000" w:fill="FFFFFF"/>
            <w:noWrap/>
            <w:vAlign w:val="center"/>
            <w:hideMark/>
          </w:tcPr>
          <w:p w14:paraId="5F661AFE" w14:textId="060B8D94" w:rsidR="003405E4" w:rsidRPr="00CD538E" w:rsidRDefault="003405E4" w:rsidP="00F435C6">
            <w:pPr>
              <w:spacing w:before="0" w:after="0"/>
              <w:rPr>
                <w:rFonts w:asciiTheme="majorHAnsi" w:hAnsiTheme="majorHAnsi"/>
                <w:bCs/>
                <w:color w:val="000000"/>
                <w:sz w:val="16"/>
                <w:szCs w:val="16"/>
                <w:lang w:eastAsia="en-AU"/>
              </w:rPr>
            </w:pPr>
            <w:r w:rsidRPr="00CD538E">
              <w:rPr>
                <w:rFonts w:asciiTheme="majorHAnsi" w:hAnsiTheme="majorHAnsi"/>
                <w:bCs/>
                <w:color w:val="000000"/>
                <w:sz w:val="16"/>
                <w:szCs w:val="16"/>
                <w:lang w:eastAsia="en-AU"/>
              </w:rPr>
              <w:t>1996–2001</w:t>
            </w:r>
          </w:p>
        </w:tc>
        <w:tc>
          <w:tcPr>
            <w:tcW w:w="992" w:type="dxa"/>
            <w:tcBorders>
              <w:top w:val="nil"/>
              <w:left w:val="nil"/>
              <w:bottom w:val="nil"/>
              <w:right w:val="nil"/>
            </w:tcBorders>
            <w:shd w:val="clear" w:color="000000" w:fill="FFFFFF"/>
            <w:noWrap/>
            <w:vAlign w:val="center"/>
            <w:hideMark/>
          </w:tcPr>
          <w:p w14:paraId="6B26773C"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480</w:t>
            </w:r>
          </w:p>
        </w:tc>
        <w:tc>
          <w:tcPr>
            <w:tcW w:w="1276" w:type="dxa"/>
            <w:tcBorders>
              <w:top w:val="nil"/>
              <w:left w:val="nil"/>
              <w:bottom w:val="nil"/>
              <w:right w:val="nil"/>
            </w:tcBorders>
            <w:shd w:val="clear" w:color="000000" w:fill="FFFFFF"/>
            <w:noWrap/>
            <w:vAlign w:val="center"/>
            <w:hideMark/>
          </w:tcPr>
          <w:p w14:paraId="3DB92764"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575</w:t>
            </w:r>
          </w:p>
        </w:tc>
        <w:tc>
          <w:tcPr>
            <w:tcW w:w="1140" w:type="dxa"/>
            <w:tcBorders>
              <w:top w:val="nil"/>
              <w:left w:val="single" w:sz="4" w:space="0" w:color="auto"/>
              <w:bottom w:val="nil"/>
              <w:right w:val="nil"/>
            </w:tcBorders>
            <w:shd w:val="clear" w:color="000000" w:fill="FFFFFF"/>
            <w:noWrap/>
            <w:vAlign w:val="center"/>
            <w:hideMark/>
          </w:tcPr>
          <w:p w14:paraId="03290511"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275</w:t>
            </w:r>
          </w:p>
        </w:tc>
        <w:tc>
          <w:tcPr>
            <w:tcW w:w="1173" w:type="dxa"/>
            <w:tcBorders>
              <w:top w:val="nil"/>
              <w:left w:val="nil"/>
              <w:bottom w:val="nil"/>
              <w:right w:val="single" w:sz="4" w:space="0" w:color="auto"/>
            </w:tcBorders>
            <w:shd w:val="clear" w:color="000000" w:fill="FFFFFF"/>
            <w:noWrap/>
            <w:vAlign w:val="center"/>
            <w:hideMark/>
          </w:tcPr>
          <w:p w14:paraId="57B41991"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360</w:t>
            </w:r>
          </w:p>
        </w:tc>
        <w:tc>
          <w:tcPr>
            <w:tcW w:w="1372" w:type="dxa"/>
            <w:tcBorders>
              <w:top w:val="nil"/>
              <w:left w:val="nil"/>
              <w:bottom w:val="nil"/>
              <w:right w:val="nil"/>
            </w:tcBorders>
            <w:shd w:val="clear" w:color="000000" w:fill="FFFFFF"/>
            <w:noWrap/>
            <w:vAlign w:val="center"/>
            <w:hideMark/>
          </w:tcPr>
          <w:p w14:paraId="3345B8F4"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761</w:t>
            </w:r>
          </w:p>
        </w:tc>
        <w:tc>
          <w:tcPr>
            <w:tcW w:w="1418" w:type="dxa"/>
            <w:tcBorders>
              <w:top w:val="nil"/>
              <w:left w:val="nil"/>
              <w:bottom w:val="nil"/>
              <w:right w:val="nil"/>
            </w:tcBorders>
            <w:shd w:val="clear" w:color="000000" w:fill="FFFFFF"/>
            <w:noWrap/>
            <w:vAlign w:val="center"/>
            <w:hideMark/>
          </w:tcPr>
          <w:p w14:paraId="14D53AFD"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914</w:t>
            </w:r>
          </w:p>
        </w:tc>
        <w:tc>
          <w:tcPr>
            <w:tcW w:w="1088" w:type="dxa"/>
            <w:tcBorders>
              <w:top w:val="nil"/>
              <w:left w:val="single" w:sz="4" w:space="0" w:color="auto"/>
              <w:bottom w:val="nil"/>
              <w:right w:val="nil"/>
            </w:tcBorders>
            <w:shd w:val="clear" w:color="000000" w:fill="FFFFFF"/>
            <w:noWrap/>
            <w:vAlign w:val="center"/>
            <w:hideMark/>
          </w:tcPr>
          <w:p w14:paraId="5344C74A"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527</w:t>
            </w:r>
          </w:p>
        </w:tc>
        <w:tc>
          <w:tcPr>
            <w:tcW w:w="1276" w:type="dxa"/>
            <w:tcBorders>
              <w:top w:val="nil"/>
              <w:left w:val="nil"/>
              <w:bottom w:val="nil"/>
              <w:right w:val="nil"/>
            </w:tcBorders>
            <w:shd w:val="clear" w:color="000000" w:fill="FFFFFF"/>
            <w:noWrap/>
            <w:vAlign w:val="center"/>
            <w:hideMark/>
          </w:tcPr>
          <w:p w14:paraId="109E3163"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627</w:t>
            </w:r>
          </w:p>
        </w:tc>
        <w:tc>
          <w:tcPr>
            <w:tcW w:w="1276" w:type="dxa"/>
            <w:tcBorders>
              <w:top w:val="nil"/>
              <w:left w:val="single" w:sz="4" w:space="0" w:color="auto"/>
              <w:bottom w:val="nil"/>
              <w:right w:val="nil"/>
            </w:tcBorders>
            <w:shd w:val="clear" w:color="000000" w:fill="FFFFFF"/>
            <w:noWrap/>
            <w:vAlign w:val="center"/>
            <w:hideMark/>
          </w:tcPr>
          <w:p w14:paraId="1FD94BBA"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2,043</w:t>
            </w:r>
          </w:p>
        </w:tc>
        <w:tc>
          <w:tcPr>
            <w:tcW w:w="1275" w:type="dxa"/>
            <w:tcBorders>
              <w:top w:val="nil"/>
              <w:left w:val="nil"/>
              <w:bottom w:val="nil"/>
              <w:right w:val="nil"/>
            </w:tcBorders>
            <w:shd w:val="clear" w:color="000000" w:fill="FFFFFF"/>
            <w:noWrap/>
            <w:vAlign w:val="center"/>
            <w:hideMark/>
          </w:tcPr>
          <w:p w14:paraId="6E3AF137"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2,476</w:t>
            </w:r>
          </w:p>
        </w:tc>
      </w:tr>
      <w:tr w:rsidR="00D3131B" w:rsidRPr="00C523EF" w14:paraId="0CB932EB" w14:textId="77777777" w:rsidTr="004C0DDC">
        <w:trPr>
          <w:trHeight w:val="288"/>
        </w:trPr>
        <w:tc>
          <w:tcPr>
            <w:tcW w:w="1418" w:type="dxa"/>
            <w:tcBorders>
              <w:top w:val="nil"/>
              <w:left w:val="nil"/>
              <w:bottom w:val="nil"/>
              <w:right w:val="single" w:sz="4" w:space="0" w:color="auto"/>
            </w:tcBorders>
            <w:shd w:val="clear" w:color="000000" w:fill="FFFFFF"/>
            <w:noWrap/>
            <w:vAlign w:val="center"/>
            <w:hideMark/>
          </w:tcPr>
          <w:p w14:paraId="747666F5" w14:textId="186F1194" w:rsidR="003405E4" w:rsidRPr="00CD538E" w:rsidRDefault="003405E4" w:rsidP="00F435C6">
            <w:pPr>
              <w:spacing w:before="0" w:after="0"/>
              <w:rPr>
                <w:rFonts w:asciiTheme="majorHAnsi" w:hAnsiTheme="majorHAnsi"/>
                <w:bCs/>
                <w:color w:val="000000"/>
                <w:sz w:val="16"/>
                <w:szCs w:val="16"/>
                <w:lang w:eastAsia="en-AU"/>
              </w:rPr>
            </w:pPr>
            <w:r w:rsidRPr="00CD538E">
              <w:rPr>
                <w:rFonts w:asciiTheme="majorHAnsi" w:hAnsiTheme="majorHAnsi"/>
                <w:bCs/>
                <w:color w:val="000000"/>
                <w:sz w:val="16"/>
                <w:szCs w:val="16"/>
                <w:lang w:eastAsia="en-AU"/>
              </w:rPr>
              <w:t>2001–06</w:t>
            </w:r>
          </w:p>
        </w:tc>
        <w:tc>
          <w:tcPr>
            <w:tcW w:w="992" w:type="dxa"/>
            <w:tcBorders>
              <w:top w:val="nil"/>
              <w:left w:val="nil"/>
              <w:bottom w:val="nil"/>
              <w:right w:val="nil"/>
            </w:tcBorders>
            <w:shd w:val="clear" w:color="000000" w:fill="FFFFFF"/>
            <w:noWrap/>
            <w:vAlign w:val="center"/>
            <w:hideMark/>
          </w:tcPr>
          <w:p w14:paraId="7D58C9EC"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430</w:t>
            </w:r>
          </w:p>
        </w:tc>
        <w:tc>
          <w:tcPr>
            <w:tcW w:w="1276" w:type="dxa"/>
            <w:tcBorders>
              <w:top w:val="nil"/>
              <w:left w:val="nil"/>
              <w:bottom w:val="nil"/>
              <w:right w:val="nil"/>
            </w:tcBorders>
            <w:shd w:val="clear" w:color="000000" w:fill="FFFFFF"/>
            <w:noWrap/>
            <w:vAlign w:val="center"/>
            <w:hideMark/>
          </w:tcPr>
          <w:p w14:paraId="52476BED"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457</w:t>
            </w:r>
          </w:p>
        </w:tc>
        <w:tc>
          <w:tcPr>
            <w:tcW w:w="1140" w:type="dxa"/>
            <w:tcBorders>
              <w:top w:val="nil"/>
              <w:left w:val="single" w:sz="4" w:space="0" w:color="auto"/>
              <w:bottom w:val="nil"/>
              <w:right w:val="nil"/>
            </w:tcBorders>
            <w:shd w:val="clear" w:color="000000" w:fill="FFFFFF"/>
            <w:noWrap/>
            <w:vAlign w:val="center"/>
            <w:hideMark/>
          </w:tcPr>
          <w:p w14:paraId="1904536B"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334</w:t>
            </w:r>
          </w:p>
        </w:tc>
        <w:tc>
          <w:tcPr>
            <w:tcW w:w="1173" w:type="dxa"/>
            <w:tcBorders>
              <w:top w:val="nil"/>
              <w:left w:val="nil"/>
              <w:bottom w:val="nil"/>
              <w:right w:val="single" w:sz="4" w:space="0" w:color="auto"/>
            </w:tcBorders>
            <w:shd w:val="clear" w:color="000000" w:fill="FFFFFF"/>
            <w:noWrap/>
            <w:vAlign w:val="center"/>
            <w:hideMark/>
          </w:tcPr>
          <w:p w14:paraId="5600EE10"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350</w:t>
            </w:r>
          </w:p>
        </w:tc>
        <w:tc>
          <w:tcPr>
            <w:tcW w:w="1372" w:type="dxa"/>
            <w:tcBorders>
              <w:top w:val="nil"/>
              <w:left w:val="nil"/>
              <w:bottom w:val="nil"/>
              <w:right w:val="nil"/>
            </w:tcBorders>
            <w:shd w:val="clear" w:color="000000" w:fill="FFFFFF"/>
            <w:noWrap/>
            <w:vAlign w:val="center"/>
            <w:hideMark/>
          </w:tcPr>
          <w:p w14:paraId="7CB9AC82"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580</w:t>
            </w:r>
          </w:p>
        </w:tc>
        <w:tc>
          <w:tcPr>
            <w:tcW w:w="1418" w:type="dxa"/>
            <w:tcBorders>
              <w:top w:val="nil"/>
              <w:left w:val="nil"/>
              <w:bottom w:val="nil"/>
              <w:right w:val="nil"/>
            </w:tcBorders>
            <w:shd w:val="clear" w:color="000000" w:fill="FFFFFF"/>
            <w:noWrap/>
            <w:vAlign w:val="center"/>
            <w:hideMark/>
          </w:tcPr>
          <w:p w14:paraId="7A1BE91D"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625</w:t>
            </w:r>
          </w:p>
        </w:tc>
        <w:tc>
          <w:tcPr>
            <w:tcW w:w="1088" w:type="dxa"/>
            <w:tcBorders>
              <w:top w:val="nil"/>
              <w:left w:val="single" w:sz="4" w:space="0" w:color="auto"/>
              <w:bottom w:val="nil"/>
              <w:right w:val="nil"/>
            </w:tcBorders>
            <w:shd w:val="clear" w:color="000000" w:fill="FFFFFF"/>
            <w:noWrap/>
            <w:vAlign w:val="center"/>
            <w:hideMark/>
          </w:tcPr>
          <w:p w14:paraId="1BCB0156"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225</w:t>
            </w:r>
          </w:p>
        </w:tc>
        <w:tc>
          <w:tcPr>
            <w:tcW w:w="1276" w:type="dxa"/>
            <w:tcBorders>
              <w:top w:val="nil"/>
              <w:left w:val="nil"/>
              <w:bottom w:val="nil"/>
              <w:right w:val="nil"/>
            </w:tcBorders>
            <w:shd w:val="clear" w:color="000000" w:fill="FFFFFF"/>
            <w:noWrap/>
            <w:vAlign w:val="center"/>
            <w:hideMark/>
          </w:tcPr>
          <w:p w14:paraId="55FF0733"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300</w:t>
            </w:r>
          </w:p>
        </w:tc>
        <w:tc>
          <w:tcPr>
            <w:tcW w:w="1276" w:type="dxa"/>
            <w:tcBorders>
              <w:top w:val="nil"/>
              <w:left w:val="single" w:sz="4" w:space="0" w:color="auto"/>
              <w:bottom w:val="nil"/>
              <w:right w:val="nil"/>
            </w:tcBorders>
            <w:shd w:val="clear" w:color="000000" w:fill="FFFFFF"/>
            <w:noWrap/>
            <w:vAlign w:val="center"/>
            <w:hideMark/>
          </w:tcPr>
          <w:p w14:paraId="33C409E4"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1,569</w:t>
            </w:r>
          </w:p>
        </w:tc>
        <w:tc>
          <w:tcPr>
            <w:tcW w:w="1275" w:type="dxa"/>
            <w:tcBorders>
              <w:top w:val="nil"/>
              <w:left w:val="nil"/>
              <w:bottom w:val="nil"/>
              <w:right w:val="nil"/>
            </w:tcBorders>
            <w:shd w:val="clear" w:color="000000" w:fill="FFFFFF"/>
            <w:noWrap/>
            <w:vAlign w:val="center"/>
            <w:hideMark/>
          </w:tcPr>
          <w:p w14:paraId="02BC4BEB"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1,732</w:t>
            </w:r>
          </w:p>
        </w:tc>
      </w:tr>
      <w:tr w:rsidR="00D3131B" w:rsidRPr="00C523EF" w14:paraId="74E19562" w14:textId="77777777" w:rsidTr="004C0DDC">
        <w:trPr>
          <w:trHeight w:val="288"/>
        </w:trPr>
        <w:tc>
          <w:tcPr>
            <w:tcW w:w="1418" w:type="dxa"/>
            <w:tcBorders>
              <w:top w:val="nil"/>
              <w:left w:val="nil"/>
              <w:bottom w:val="nil"/>
              <w:right w:val="single" w:sz="4" w:space="0" w:color="auto"/>
            </w:tcBorders>
            <w:shd w:val="clear" w:color="000000" w:fill="FFFFFF"/>
            <w:noWrap/>
            <w:vAlign w:val="center"/>
            <w:hideMark/>
          </w:tcPr>
          <w:p w14:paraId="37E30BDC" w14:textId="032F509A" w:rsidR="003405E4" w:rsidRPr="00CD538E" w:rsidRDefault="003405E4" w:rsidP="00F435C6">
            <w:pPr>
              <w:spacing w:before="0" w:after="0"/>
              <w:rPr>
                <w:rFonts w:asciiTheme="majorHAnsi" w:hAnsiTheme="majorHAnsi"/>
                <w:bCs/>
                <w:color w:val="000000"/>
                <w:sz w:val="16"/>
                <w:szCs w:val="16"/>
                <w:lang w:eastAsia="en-AU"/>
              </w:rPr>
            </w:pPr>
            <w:r w:rsidRPr="00CD538E">
              <w:rPr>
                <w:rFonts w:asciiTheme="majorHAnsi" w:hAnsiTheme="majorHAnsi"/>
                <w:bCs/>
                <w:color w:val="000000"/>
                <w:sz w:val="16"/>
                <w:szCs w:val="16"/>
                <w:lang w:eastAsia="en-AU"/>
              </w:rPr>
              <w:t>2006–11</w:t>
            </w:r>
          </w:p>
        </w:tc>
        <w:tc>
          <w:tcPr>
            <w:tcW w:w="992" w:type="dxa"/>
            <w:tcBorders>
              <w:top w:val="nil"/>
              <w:left w:val="nil"/>
              <w:bottom w:val="nil"/>
              <w:right w:val="nil"/>
            </w:tcBorders>
            <w:shd w:val="clear" w:color="000000" w:fill="FFFFFF"/>
            <w:noWrap/>
            <w:vAlign w:val="center"/>
            <w:hideMark/>
          </w:tcPr>
          <w:p w14:paraId="1C4AC105"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339</w:t>
            </w:r>
          </w:p>
        </w:tc>
        <w:tc>
          <w:tcPr>
            <w:tcW w:w="1276" w:type="dxa"/>
            <w:tcBorders>
              <w:top w:val="nil"/>
              <w:left w:val="nil"/>
              <w:bottom w:val="nil"/>
              <w:right w:val="nil"/>
            </w:tcBorders>
            <w:shd w:val="clear" w:color="000000" w:fill="FFFFFF"/>
            <w:noWrap/>
            <w:vAlign w:val="center"/>
            <w:hideMark/>
          </w:tcPr>
          <w:p w14:paraId="7ADB99A8"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456</w:t>
            </w:r>
          </w:p>
        </w:tc>
        <w:tc>
          <w:tcPr>
            <w:tcW w:w="1140" w:type="dxa"/>
            <w:tcBorders>
              <w:top w:val="nil"/>
              <w:left w:val="single" w:sz="4" w:space="0" w:color="auto"/>
              <w:bottom w:val="nil"/>
              <w:right w:val="nil"/>
            </w:tcBorders>
            <w:shd w:val="clear" w:color="000000" w:fill="FFFFFF"/>
            <w:noWrap/>
            <w:vAlign w:val="center"/>
            <w:hideMark/>
          </w:tcPr>
          <w:p w14:paraId="55A2AEC0"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252</w:t>
            </w:r>
          </w:p>
        </w:tc>
        <w:tc>
          <w:tcPr>
            <w:tcW w:w="1173" w:type="dxa"/>
            <w:tcBorders>
              <w:top w:val="nil"/>
              <w:left w:val="nil"/>
              <w:bottom w:val="nil"/>
              <w:right w:val="single" w:sz="4" w:space="0" w:color="auto"/>
            </w:tcBorders>
            <w:shd w:val="clear" w:color="000000" w:fill="FFFFFF"/>
            <w:noWrap/>
            <w:vAlign w:val="center"/>
            <w:hideMark/>
          </w:tcPr>
          <w:p w14:paraId="5D16EB2B"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319</w:t>
            </w:r>
          </w:p>
        </w:tc>
        <w:tc>
          <w:tcPr>
            <w:tcW w:w="1372" w:type="dxa"/>
            <w:tcBorders>
              <w:top w:val="nil"/>
              <w:left w:val="nil"/>
              <w:bottom w:val="nil"/>
              <w:right w:val="nil"/>
            </w:tcBorders>
            <w:shd w:val="clear" w:color="000000" w:fill="FFFFFF"/>
            <w:noWrap/>
            <w:vAlign w:val="center"/>
            <w:hideMark/>
          </w:tcPr>
          <w:p w14:paraId="5348AE48"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387</w:t>
            </w:r>
          </w:p>
        </w:tc>
        <w:tc>
          <w:tcPr>
            <w:tcW w:w="1418" w:type="dxa"/>
            <w:tcBorders>
              <w:top w:val="nil"/>
              <w:left w:val="nil"/>
              <w:bottom w:val="nil"/>
              <w:right w:val="nil"/>
            </w:tcBorders>
            <w:shd w:val="clear" w:color="000000" w:fill="FFFFFF"/>
            <w:noWrap/>
            <w:vAlign w:val="center"/>
            <w:hideMark/>
          </w:tcPr>
          <w:p w14:paraId="2652DBF2"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484</w:t>
            </w:r>
          </w:p>
        </w:tc>
        <w:tc>
          <w:tcPr>
            <w:tcW w:w="1088" w:type="dxa"/>
            <w:tcBorders>
              <w:top w:val="nil"/>
              <w:left w:val="single" w:sz="4" w:space="0" w:color="auto"/>
              <w:bottom w:val="nil"/>
              <w:right w:val="nil"/>
            </w:tcBorders>
            <w:shd w:val="clear" w:color="000000" w:fill="FFFFFF"/>
            <w:noWrap/>
            <w:vAlign w:val="center"/>
            <w:hideMark/>
          </w:tcPr>
          <w:p w14:paraId="53CC99F2"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131</w:t>
            </w:r>
          </w:p>
        </w:tc>
        <w:tc>
          <w:tcPr>
            <w:tcW w:w="1276" w:type="dxa"/>
            <w:tcBorders>
              <w:top w:val="nil"/>
              <w:left w:val="nil"/>
              <w:bottom w:val="nil"/>
              <w:right w:val="nil"/>
            </w:tcBorders>
            <w:shd w:val="clear" w:color="000000" w:fill="FFFFFF"/>
            <w:noWrap/>
            <w:vAlign w:val="center"/>
            <w:hideMark/>
          </w:tcPr>
          <w:p w14:paraId="6B3ABA3E"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185</w:t>
            </w:r>
          </w:p>
        </w:tc>
        <w:tc>
          <w:tcPr>
            <w:tcW w:w="1276" w:type="dxa"/>
            <w:tcBorders>
              <w:top w:val="nil"/>
              <w:left w:val="single" w:sz="4" w:space="0" w:color="auto"/>
              <w:bottom w:val="nil"/>
              <w:right w:val="nil"/>
            </w:tcBorders>
            <w:shd w:val="clear" w:color="000000" w:fill="FFFFFF"/>
            <w:noWrap/>
            <w:vAlign w:val="center"/>
            <w:hideMark/>
          </w:tcPr>
          <w:p w14:paraId="4707DADA"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1,109</w:t>
            </w:r>
          </w:p>
        </w:tc>
        <w:tc>
          <w:tcPr>
            <w:tcW w:w="1275" w:type="dxa"/>
            <w:tcBorders>
              <w:top w:val="nil"/>
              <w:left w:val="nil"/>
              <w:bottom w:val="nil"/>
              <w:right w:val="nil"/>
            </w:tcBorders>
            <w:shd w:val="clear" w:color="000000" w:fill="FFFFFF"/>
            <w:noWrap/>
            <w:vAlign w:val="center"/>
            <w:hideMark/>
          </w:tcPr>
          <w:p w14:paraId="1363C0A1"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1,444</w:t>
            </w:r>
          </w:p>
        </w:tc>
      </w:tr>
      <w:tr w:rsidR="00D3131B" w:rsidRPr="00C523EF" w14:paraId="1CC014C9" w14:textId="77777777" w:rsidTr="004C0DDC">
        <w:trPr>
          <w:trHeight w:val="288"/>
        </w:trPr>
        <w:tc>
          <w:tcPr>
            <w:tcW w:w="1418" w:type="dxa"/>
            <w:tcBorders>
              <w:top w:val="nil"/>
              <w:left w:val="nil"/>
              <w:bottom w:val="single" w:sz="4" w:space="0" w:color="auto"/>
              <w:right w:val="single" w:sz="4" w:space="0" w:color="auto"/>
            </w:tcBorders>
            <w:shd w:val="clear" w:color="000000" w:fill="FFFFFF"/>
            <w:noWrap/>
            <w:vAlign w:val="center"/>
            <w:hideMark/>
          </w:tcPr>
          <w:p w14:paraId="0D2CD9F3" w14:textId="7CE119C8" w:rsidR="003405E4" w:rsidRPr="00CD538E" w:rsidRDefault="003405E4" w:rsidP="00F435C6">
            <w:pPr>
              <w:spacing w:before="0" w:after="0"/>
              <w:rPr>
                <w:rFonts w:asciiTheme="majorHAnsi" w:hAnsiTheme="majorHAnsi"/>
                <w:bCs/>
                <w:color w:val="000000"/>
                <w:sz w:val="16"/>
                <w:szCs w:val="16"/>
                <w:lang w:eastAsia="en-AU"/>
              </w:rPr>
            </w:pPr>
            <w:r w:rsidRPr="00CD538E">
              <w:rPr>
                <w:rFonts w:asciiTheme="majorHAnsi" w:hAnsiTheme="majorHAnsi"/>
                <w:bCs/>
                <w:color w:val="000000"/>
                <w:sz w:val="16"/>
                <w:szCs w:val="16"/>
                <w:lang w:eastAsia="en-AU"/>
              </w:rPr>
              <w:t>2011–16</w:t>
            </w:r>
          </w:p>
        </w:tc>
        <w:tc>
          <w:tcPr>
            <w:tcW w:w="992" w:type="dxa"/>
            <w:tcBorders>
              <w:top w:val="nil"/>
              <w:left w:val="nil"/>
              <w:bottom w:val="single" w:sz="4" w:space="0" w:color="auto"/>
              <w:right w:val="nil"/>
            </w:tcBorders>
            <w:shd w:val="clear" w:color="000000" w:fill="FFFFFF"/>
            <w:noWrap/>
            <w:vAlign w:val="center"/>
            <w:hideMark/>
          </w:tcPr>
          <w:p w14:paraId="0CB1F0CF"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311</w:t>
            </w:r>
          </w:p>
        </w:tc>
        <w:tc>
          <w:tcPr>
            <w:tcW w:w="1276" w:type="dxa"/>
            <w:tcBorders>
              <w:top w:val="nil"/>
              <w:left w:val="nil"/>
              <w:bottom w:val="single" w:sz="4" w:space="0" w:color="auto"/>
              <w:right w:val="nil"/>
            </w:tcBorders>
            <w:shd w:val="clear" w:color="000000" w:fill="FFFFFF"/>
            <w:noWrap/>
            <w:vAlign w:val="center"/>
            <w:hideMark/>
          </w:tcPr>
          <w:p w14:paraId="216FEB26"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359</w:t>
            </w:r>
          </w:p>
        </w:tc>
        <w:tc>
          <w:tcPr>
            <w:tcW w:w="1140" w:type="dxa"/>
            <w:tcBorders>
              <w:top w:val="nil"/>
              <w:left w:val="single" w:sz="4" w:space="0" w:color="auto"/>
              <w:bottom w:val="single" w:sz="4" w:space="0" w:color="auto"/>
              <w:right w:val="nil"/>
            </w:tcBorders>
            <w:shd w:val="clear" w:color="000000" w:fill="FFFFFF"/>
            <w:noWrap/>
            <w:vAlign w:val="center"/>
            <w:hideMark/>
          </w:tcPr>
          <w:p w14:paraId="5D9CE240"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121</w:t>
            </w:r>
          </w:p>
        </w:tc>
        <w:tc>
          <w:tcPr>
            <w:tcW w:w="1173" w:type="dxa"/>
            <w:tcBorders>
              <w:top w:val="nil"/>
              <w:left w:val="nil"/>
              <w:bottom w:val="single" w:sz="4" w:space="0" w:color="auto"/>
              <w:right w:val="single" w:sz="4" w:space="0" w:color="auto"/>
            </w:tcBorders>
            <w:shd w:val="clear" w:color="000000" w:fill="FFFFFF"/>
            <w:noWrap/>
            <w:vAlign w:val="center"/>
            <w:hideMark/>
          </w:tcPr>
          <w:p w14:paraId="66A09C19"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210</w:t>
            </w:r>
          </w:p>
        </w:tc>
        <w:tc>
          <w:tcPr>
            <w:tcW w:w="1372" w:type="dxa"/>
            <w:tcBorders>
              <w:top w:val="nil"/>
              <w:left w:val="nil"/>
              <w:bottom w:val="single" w:sz="4" w:space="0" w:color="auto"/>
              <w:right w:val="nil"/>
            </w:tcBorders>
            <w:shd w:val="clear" w:color="000000" w:fill="FFFFFF"/>
            <w:noWrap/>
            <w:vAlign w:val="center"/>
            <w:hideMark/>
          </w:tcPr>
          <w:p w14:paraId="3A9145AC"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307</w:t>
            </w:r>
          </w:p>
        </w:tc>
        <w:tc>
          <w:tcPr>
            <w:tcW w:w="1418" w:type="dxa"/>
            <w:tcBorders>
              <w:top w:val="nil"/>
              <w:left w:val="nil"/>
              <w:bottom w:val="single" w:sz="4" w:space="0" w:color="auto"/>
              <w:right w:val="nil"/>
            </w:tcBorders>
            <w:shd w:val="clear" w:color="000000" w:fill="FFFFFF"/>
            <w:noWrap/>
            <w:vAlign w:val="center"/>
            <w:hideMark/>
          </w:tcPr>
          <w:p w14:paraId="722AA21C"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450</w:t>
            </w:r>
          </w:p>
        </w:tc>
        <w:tc>
          <w:tcPr>
            <w:tcW w:w="1088" w:type="dxa"/>
            <w:tcBorders>
              <w:top w:val="nil"/>
              <w:left w:val="single" w:sz="4" w:space="0" w:color="auto"/>
              <w:bottom w:val="single" w:sz="4" w:space="0" w:color="auto"/>
              <w:right w:val="nil"/>
            </w:tcBorders>
            <w:shd w:val="clear" w:color="000000" w:fill="FFFFFF"/>
            <w:noWrap/>
            <w:vAlign w:val="center"/>
            <w:hideMark/>
          </w:tcPr>
          <w:p w14:paraId="689A0913"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139</w:t>
            </w:r>
          </w:p>
        </w:tc>
        <w:tc>
          <w:tcPr>
            <w:tcW w:w="1276" w:type="dxa"/>
            <w:tcBorders>
              <w:top w:val="nil"/>
              <w:left w:val="nil"/>
              <w:bottom w:val="single" w:sz="4" w:space="0" w:color="auto"/>
              <w:right w:val="nil"/>
            </w:tcBorders>
            <w:shd w:val="clear" w:color="000000" w:fill="FFFFFF"/>
            <w:noWrap/>
            <w:vAlign w:val="center"/>
            <w:hideMark/>
          </w:tcPr>
          <w:p w14:paraId="785B164F"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188</w:t>
            </w:r>
          </w:p>
        </w:tc>
        <w:tc>
          <w:tcPr>
            <w:tcW w:w="1276" w:type="dxa"/>
            <w:tcBorders>
              <w:top w:val="nil"/>
              <w:left w:val="single" w:sz="4" w:space="0" w:color="auto"/>
              <w:bottom w:val="single" w:sz="4" w:space="0" w:color="auto"/>
              <w:right w:val="nil"/>
            </w:tcBorders>
            <w:shd w:val="clear" w:color="000000" w:fill="FFFFFF"/>
            <w:noWrap/>
            <w:vAlign w:val="center"/>
            <w:hideMark/>
          </w:tcPr>
          <w:p w14:paraId="5973D0EE"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878</w:t>
            </w:r>
          </w:p>
        </w:tc>
        <w:tc>
          <w:tcPr>
            <w:tcW w:w="1275" w:type="dxa"/>
            <w:tcBorders>
              <w:top w:val="nil"/>
              <w:left w:val="nil"/>
              <w:bottom w:val="single" w:sz="4" w:space="0" w:color="auto"/>
              <w:right w:val="nil"/>
            </w:tcBorders>
            <w:shd w:val="clear" w:color="000000" w:fill="FFFFFF"/>
            <w:noWrap/>
            <w:vAlign w:val="center"/>
            <w:hideMark/>
          </w:tcPr>
          <w:p w14:paraId="4B231A98" w14:textId="77777777" w:rsidR="003405E4" w:rsidRPr="003405E4" w:rsidRDefault="003405E4" w:rsidP="00F435C6">
            <w:pPr>
              <w:spacing w:before="0" w:after="0"/>
              <w:jc w:val="right"/>
              <w:rPr>
                <w:rFonts w:asciiTheme="majorHAnsi" w:hAnsiTheme="majorHAnsi"/>
                <w:color w:val="000000"/>
                <w:sz w:val="16"/>
                <w:szCs w:val="16"/>
                <w:lang w:eastAsia="en-AU"/>
              </w:rPr>
            </w:pPr>
            <w:r w:rsidRPr="003405E4">
              <w:rPr>
                <w:rFonts w:asciiTheme="majorHAnsi" w:hAnsiTheme="majorHAnsi"/>
                <w:color w:val="000000"/>
                <w:sz w:val="16"/>
                <w:szCs w:val="16"/>
                <w:lang w:eastAsia="en-AU"/>
              </w:rPr>
              <w:t>1,207</w:t>
            </w:r>
          </w:p>
        </w:tc>
      </w:tr>
      <w:tr w:rsidR="003405E4" w:rsidRPr="00C523EF" w14:paraId="2A09878F" w14:textId="77777777" w:rsidTr="004C0DDC">
        <w:trPr>
          <w:trHeight w:val="720"/>
        </w:trPr>
        <w:tc>
          <w:tcPr>
            <w:tcW w:w="13704" w:type="dxa"/>
            <w:gridSpan w:val="11"/>
            <w:tcBorders>
              <w:top w:val="single" w:sz="4" w:space="0" w:color="auto"/>
              <w:left w:val="nil"/>
              <w:bottom w:val="nil"/>
              <w:right w:val="nil"/>
            </w:tcBorders>
            <w:shd w:val="clear" w:color="000000" w:fill="FFFFFF"/>
            <w:hideMark/>
          </w:tcPr>
          <w:p w14:paraId="0FEA1526" w14:textId="77777777" w:rsidR="003405E4" w:rsidRDefault="003405E4" w:rsidP="00F435C6">
            <w:pPr>
              <w:spacing w:before="0" w:after="0"/>
              <w:rPr>
                <w:rFonts w:ascii="Calibri" w:hAnsi="Calibri"/>
                <w:color w:val="000000"/>
                <w:sz w:val="16"/>
                <w:szCs w:val="16"/>
                <w:lang w:eastAsia="en-AU"/>
              </w:rPr>
            </w:pPr>
            <w:r w:rsidRPr="00C523EF">
              <w:rPr>
                <w:rFonts w:ascii="Calibri" w:hAnsi="Calibri"/>
                <w:color w:val="000000"/>
                <w:sz w:val="16"/>
                <w:szCs w:val="16"/>
                <w:lang w:eastAsia="en-AU"/>
              </w:rPr>
              <w:t>Source: National Forest Inventory databases.</w:t>
            </w:r>
          </w:p>
          <w:p w14:paraId="34D8DF8F" w14:textId="305D783C" w:rsidR="003405E4" w:rsidRDefault="003405E4" w:rsidP="00164299">
            <w:pPr>
              <w:spacing w:before="0" w:after="0"/>
              <w:rPr>
                <w:rFonts w:ascii="Calibri" w:hAnsi="Calibri"/>
                <w:color w:val="000000"/>
                <w:sz w:val="16"/>
                <w:szCs w:val="16"/>
                <w:lang w:eastAsia="en-AU"/>
              </w:rPr>
            </w:pPr>
            <w:r>
              <w:rPr>
                <w:rFonts w:ascii="Calibri" w:hAnsi="Calibri"/>
                <w:color w:val="000000"/>
                <w:sz w:val="16"/>
                <w:szCs w:val="16"/>
                <w:lang w:eastAsia="en-AU"/>
              </w:rPr>
              <w:t>Data are for multiple-use public native forests</w:t>
            </w:r>
            <w:r w:rsidR="004B2E11">
              <w:rPr>
                <w:rFonts w:ascii="Calibri" w:hAnsi="Calibri"/>
                <w:color w:val="000000"/>
                <w:sz w:val="16"/>
                <w:szCs w:val="16"/>
                <w:lang w:eastAsia="en-AU"/>
              </w:rPr>
              <w:t xml:space="preserve"> as defined by the states</w:t>
            </w:r>
            <w:r w:rsidR="004E152E">
              <w:rPr>
                <w:rFonts w:ascii="Calibri" w:hAnsi="Calibri"/>
                <w:color w:val="000000"/>
                <w:sz w:val="16"/>
                <w:szCs w:val="16"/>
                <w:lang w:eastAsia="en-AU"/>
              </w:rPr>
              <w:t>. F</w:t>
            </w:r>
            <w:r w:rsidR="00817987">
              <w:rPr>
                <w:rFonts w:ascii="Calibri" w:hAnsi="Calibri"/>
                <w:color w:val="000000"/>
                <w:sz w:val="16"/>
                <w:szCs w:val="16"/>
                <w:lang w:eastAsia="en-AU"/>
              </w:rPr>
              <w:t xml:space="preserve">igures for sustainable yield are </w:t>
            </w:r>
            <w:r>
              <w:rPr>
                <w:rFonts w:ascii="Calibri" w:hAnsi="Calibri"/>
                <w:color w:val="000000"/>
                <w:sz w:val="16"/>
                <w:szCs w:val="16"/>
                <w:lang w:eastAsia="en-AU"/>
              </w:rPr>
              <w:t xml:space="preserve">supplemented with supply </w:t>
            </w:r>
            <w:r w:rsidRPr="00AE7189">
              <w:rPr>
                <w:rFonts w:ascii="Calibri" w:hAnsi="Calibri"/>
                <w:color w:val="000000"/>
                <w:sz w:val="16"/>
                <w:szCs w:val="16"/>
                <w:lang w:eastAsia="en-AU"/>
              </w:rPr>
              <w:t xml:space="preserve">of products deemed to meet equivalent quality standards </w:t>
            </w:r>
            <w:r>
              <w:rPr>
                <w:rFonts w:ascii="Calibri" w:hAnsi="Calibri"/>
                <w:color w:val="000000"/>
                <w:sz w:val="16"/>
                <w:szCs w:val="16"/>
                <w:lang w:eastAsia="en-AU"/>
              </w:rPr>
              <w:t xml:space="preserve">from </w:t>
            </w:r>
            <w:r w:rsidRPr="00AE7189">
              <w:rPr>
                <w:rFonts w:ascii="Calibri" w:hAnsi="Calibri"/>
                <w:color w:val="000000"/>
                <w:sz w:val="16"/>
                <w:szCs w:val="16"/>
                <w:lang w:eastAsia="en-AU"/>
              </w:rPr>
              <w:t>public hardwood plantations for north-eastern New South Wales and Tasmania</w:t>
            </w:r>
            <w:r>
              <w:rPr>
                <w:rFonts w:ascii="Calibri" w:hAnsi="Calibri"/>
                <w:color w:val="000000"/>
                <w:sz w:val="16"/>
                <w:szCs w:val="16"/>
                <w:lang w:eastAsia="en-AU"/>
              </w:rPr>
              <w:t>.</w:t>
            </w:r>
            <w:r w:rsidR="00817987">
              <w:rPr>
                <w:rStyle w:val="CommentReference"/>
              </w:rPr>
              <w:t xml:space="preserve"> Actual </w:t>
            </w:r>
            <w:r w:rsidR="00164299">
              <w:rPr>
                <w:rStyle w:val="CommentReference"/>
              </w:rPr>
              <w:t>harvest</w:t>
            </w:r>
            <w:r w:rsidR="00817987">
              <w:rPr>
                <w:rStyle w:val="CommentReference"/>
              </w:rPr>
              <w:t xml:space="preserve"> </w:t>
            </w:r>
            <w:r w:rsidR="004E152E">
              <w:rPr>
                <w:rStyle w:val="CommentReference"/>
              </w:rPr>
              <w:t xml:space="preserve">data </w:t>
            </w:r>
            <w:r w:rsidR="00817987">
              <w:rPr>
                <w:rStyle w:val="CommentReference"/>
              </w:rPr>
              <w:t>in these states do not include supplementation</w:t>
            </w:r>
            <w:r w:rsidR="00913256">
              <w:rPr>
                <w:rStyle w:val="CommentReference"/>
              </w:rPr>
              <w:t>;</w:t>
            </w:r>
            <w:r w:rsidR="00817987">
              <w:rPr>
                <w:rStyle w:val="CommentReference"/>
              </w:rPr>
              <w:t xml:space="preserve"> </w:t>
            </w:r>
            <w:r w:rsidR="00817987">
              <w:rPr>
                <w:rFonts w:ascii="Calibri" w:hAnsi="Calibri"/>
                <w:color w:val="000000"/>
                <w:sz w:val="16"/>
                <w:szCs w:val="16"/>
                <w:lang w:eastAsia="en-AU"/>
              </w:rPr>
              <w:t>q</w:t>
            </w:r>
            <w:r w:rsidR="00D62EED">
              <w:rPr>
                <w:rFonts w:ascii="Calibri" w:hAnsi="Calibri"/>
                <w:color w:val="000000"/>
                <w:sz w:val="16"/>
                <w:szCs w:val="16"/>
                <w:lang w:eastAsia="en-AU"/>
              </w:rPr>
              <w:t xml:space="preserve">uantities </w:t>
            </w:r>
            <w:r w:rsidR="00817987">
              <w:rPr>
                <w:rFonts w:ascii="Calibri" w:hAnsi="Calibri"/>
                <w:color w:val="000000"/>
                <w:sz w:val="16"/>
                <w:szCs w:val="16"/>
                <w:lang w:eastAsia="en-AU"/>
              </w:rPr>
              <w:t>from</w:t>
            </w:r>
            <w:r w:rsidR="00D62EED">
              <w:rPr>
                <w:rFonts w:ascii="Calibri" w:hAnsi="Calibri"/>
                <w:color w:val="000000"/>
                <w:sz w:val="16"/>
                <w:szCs w:val="16"/>
                <w:lang w:eastAsia="en-AU"/>
              </w:rPr>
              <w:t xml:space="preserve"> public hardwood supplementation are reported in MIG and NFISC (2018).</w:t>
            </w:r>
            <w:r w:rsidRPr="00C523EF">
              <w:rPr>
                <w:rFonts w:ascii="Calibri" w:hAnsi="Calibri"/>
                <w:color w:val="000000"/>
                <w:sz w:val="16"/>
                <w:szCs w:val="16"/>
                <w:lang w:eastAsia="en-AU"/>
              </w:rPr>
              <w:br/>
              <w:t>Years are for financial years, i.e. the period 1992–96 includes 1992–93 to 1995–96 etc.</w:t>
            </w:r>
            <w:r w:rsidRPr="00C523EF">
              <w:rPr>
                <w:rFonts w:ascii="Calibri" w:hAnsi="Calibri"/>
                <w:color w:val="000000"/>
                <w:sz w:val="16"/>
                <w:szCs w:val="16"/>
                <w:lang w:eastAsia="en-AU"/>
              </w:rPr>
              <w:br/>
              <w:t xml:space="preserve">Reporting periods align with the reporting periods for reports in the </w:t>
            </w:r>
            <w:r w:rsidRPr="00C523EF">
              <w:rPr>
                <w:rFonts w:ascii="Calibri" w:hAnsi="Calibri"/>
                <w:i/>
                <w:iCs/>
                <w:color w:val="000000"/>
                <w:sz w:val="16"/>
                <w:szCs w:val="16"/>
                <w:lang w:eastAsia="en-AU"/>
              </w:rPr>
              <w:t>Australia</w:t>
            </w:r>
            <w:r>
              <w:rPr>
                <w:rFonts w:ascii="Calibri" w:hAnsi="Calibri"/>
                <w:i/>
                <w:iCs/>
                <w:color w:val="000000"/>
                <w:sz w:val="16"/>
                <w:szCs w:val="16"/>
                <w:lang w:eastAsia="en-AU"/>
              </w:rPr>
              <w:t>’s</w:t>
            </w:r>
            <w:r w:rsidRPr="00C523EF">
              <w:rPr>
                <w:rFonts w:ascii="Calibri" w:hAnsi="Calibri"/>
                <w:i/>
                <w:iCs/>
                <w:color w:val="000000"/>
                <w:sz w:val="16"/>
                <w:szCs w:val="16"/>
                <w:lang w:eastAsia="en-AU"/>
              </w:rPr>
              <w:t xml:space="preserve"> State of the Forests Report</w:t>
            </w:r>
            <w:r w:rsidRPr="00C523EF">
              <w:rPr>
                <w:rFonts w:ascii="Calibri" w:hAnsi="Calibri"/>
                <w:color w:val="000000"/>
                <w:sz w:val="16"/>
                <w:szCs w:val="16"/>
                <w:lang w:eastAsia="en-AU"/>
              </w:rPr>
              <w:t xml:space="preserve"> series.</w:t>
            </w:r>
          </w:p>
          <w:p w14:paraId="223A1A23" w14:textId="36FBC15A" w:rsidR="001821CF" w:rsidRPr="001821CF" w:rsidRDefault="001821CF" w:rsidP="00DB0CD3">
            <w:pPr>
              <w:pStyle w:val="FootnoteText"/>
              <w:spacing w:before="0"/>
              <w:rPr>
                <w:rFonts w:asciiTheme="minorHAnsi" w:eastAsiaTheme="minorEastAsia" w:hAnsiTheme="minorHAnsi"/>
                <w:sz w:val="16"/>
              </w:rPr>
            </w:pPr>
            <w:r>
              <w:rPr>
                <w:rFonts w:asciiTheme="minorHAnsi" w:hAnsiTheme="minorHAnsi"/>
                <w:noProof/>
                <w:sz w:val="16"/>
              </w:rPr>
              <w:t>This table</w:t>
            </w:r>
            <w:r w:rsidRPr="00831C40">
              <w:rPr>
                <w:rFonts w:asciiTheme="minorHAnsi" w:hAnsiTheme="minorHAnsi"/>
                <w:noProof/>
                <w:sz w:val="16"/>
              </w:rPr>
              <w:t xml:space="preserve">, together with other data in this report, is available in Microsoft Excel </w:t>
            </w:r>
            <w:r w:rsidR="00DB0CD3">
              <w:rPr>
                <w:rFonts w:asciiTheme="minorHAnsi" w:hAnsiTheme="minorHAnsi"/>
                <w:noProof/>
                <w:sz w:val="16"/>
              </w:rPr>
              <w:t>at</w:t>
            </w:r>
            <w:r w:rsidRPr="00831C40">
              <w:rPr>
                <w:rFonts w:asciiTheme="minorHAnsi" w:hAnsiTheme="minorHAnsi"/>
                <w:noProof/>
                <w:sz w:val="16"/>
              </w:rPr>
              <w:t xml:space="preserve"> </w:t>
            </w:r>
            <w:hyperlink r:id="rId52" w:history="1">
              <w:r w:rsidR="00DD59DD" w:rsidRPr="0090070F">
                <w:rPr>
                  <w:rStyle w:val="Hyperlink"/>
                  <w:rFonts w:asciiTheme="minorHAnsi" w:hAnsiTheme="minorHAnsi"/>
                  <w:noProof/>
                  <w:color w:val="0070C0"/>
                  <w:sz w:val="16"/>
                </w:rPr>
                <w:t>doi.org/10.25814/pczx-xk66</w:t>
              </w:r>
            </w:hyperlink>
            <w:r w:rsidR="00DD59DD">
              <w:rPr>
                <w:rFonts w:asciiTheme="minorHAnsi" w:hAnsiTheme="minorHAnsi"/>
                <w:noProof/>
                <w:sz w:val="16"/>
              </w:rPr>
              <w:t>.</w:t>
            </w:r>
          </w:p>
        </w:tc>
      </w:tr>
    </w:tbl>
    <w:p w14:paraId="435448FD" w14:textId="76D47270" w:rsidR="000E2D33" w:rsidRDefault="000E2D33" w:rsidP="00CB0E93">
      <w:pPr>
        <w:spacing w:before="0" w:after="0"/>
        <w:rPr>
          <w:rFonts w:asciiTheme="minorHAnsi" w:hAnsiTheme="minorHAnsi"/>
          <w:b/>
          <w:szCs w:val="22"/>
        </w:rPr>
      </w:pPr>
      <w:r>
        <w:rPr>
          <w:rFonts w:asciiTheme="minorHAnsi" w:hAnsiTheme="minorHAnsi"/>
          <w:b/>
          <w:szCs w:val="22"/>
        </w:rPr>
        <w:br w:type="page"/>
      </w:r>
    </w:p>
    <w:p w14:paraId="6DD46058" w14:textId="77777777" w:rsidR="000E2D33" w:rsidRDefault="000E2D33" w:rsidP="00CB0E93">
      <w:pPr>
        <w:spacing w:before="0" w:after="0"/>
        <w:rPr>
          <w:rFonts w:asciiTheme="minorHAnsi" w:hAnsiTheme="minorHAnsi"/>
          <w:b/>
          <w:szCs w:val="22"/>
        </w:rPr>
        <w:sectPr w:rsidR="000E2D33" w:rsidSect="00DF46B5">
          <w:pgSz w:w="16838" w:h="11906" w:orient="landscape"/>
          <w:pgMar w:top="1440" w:right="1440" w:bottom="1440" w:left="1440" w:header="709" w:footer="709" w:gutter="0"/>
          <w:cols w:space="708"/>
          <w:docGrid w:linePitch="360"/>
        </w:sectPr>
      </w:pPr>
    </w:p>
    <w:p w14:paraId="444C425A" w14:textId="77777777" w:rsidR="000E2D33" w:rsidRPr="002E0A09" w:rsidRDefault="000E2D33" w:rsidP="0007398A">
      <w:pPr>
        <w:pStyle w:val="Heading2"/>
        <w:keepNext/>
        <w:spacing w:after="240"/>
        <w:jc w:val="left"/>
        <w:rPr>
          <w:rFonts w:ascii="Calibri" w:eastAsiaTheme="minorEastAsia" w:hAnsi="Calibri" w:cstheme="minorBidi"/>
          <w:b w:val="0"/>
          <w:color w:val="000000"/>
          <w:sz w:val="56"/>
          <w:szCs w:val="28"/>
          <w:lang w:eastAsia="ja-JP"/>
        </w:rPr>
      </w:pPr>
      <w:bookmarkStart w:id="58" w:name="_Toc58312596"/>
      <w:r w:rsidRPr="006274B1">
        <w:rPr>
          <w:rFonts w:ascii="Calibri" w:eastAsiaTheme="minorEastAsia" w:hAnsi="Calibri" w:cstheme="minorBidi"/>
          <w:b w:val="0"/>
          <w:color w:val="000000"/>
          <w:sz w:val="56"/>
          <w:szCs w:val="28"/>
          <w:lang w:eastAsia="ja-JP"/>
        </w:rPr>
        <w:lastRenderedPageBreak/>
        <w:t>References</w:t>
      </w:r>
      <w:bookmarkEnd w:id="58"/>
    </w:p>
    <w:p w14:paraId="3C9A412D" w14:textId="2854B52D" w:rsidR="000E2D33" w:rsidRDefault="000E2D33" w:rsidP="000E2D33">
      <w:pPr>
        <w:pStyle w:val="dot-dash"/>
        <w:spacing w:before="0"/>
        <w:ind w:left="0" w:right="0" w:firstLine="0"/>
        <w:jc w:val="left"/>
        <w:rPr>
          <w:rFonts w:asciiTheme="majorHAnsi" w:hAnsiTheme="majorHAnsi"/>
          <w:szCs w:val="22"/>
        </w:rPr>
      </w:pPr>
      <w:r>
        <w:rPr>
          <w:rFonts w:asciiTheme="majorHAnsi" w:hAnsiTheme="majorHAnsi"/>
          <w:szCs w:val="22"/>
        </w:rPr>
        <w:t xml:space="preserve">ABARES 2020, </w:t>
      </w:r>
      <w:hyperlink r:id="rId53" w:history="1">
        <w:r w:rsidRPr="00746FF7">
          <w:rPr>
            <w:rStyle w:val="Hyperlink"/>
            <w:rFonts w:asciiTheme="majorHAnsi" w:hAnsiTheme="majorHAnsi"/>
            <w:color w:val="165788"/>
            <w:szCs w:val="22"/>
          </w:rPr>
          <w:t>Australia’s forests and forestry glossary</w:t>
        </w:r>
      </w:hyperlink>
      <w:r>
        <w:rPr>
          <w:rFonts w:asciiTheme="majorHAnsi" w:hAnsiTheme="majorHAnsi"/>
          <w:szCs w:val="22"/>
        </w:rPr>
        <w:t>, Australian Bureau of Agricultural and Resource Economics and Sciences, Canberra, CC BY 4.0.</w:t>
      </w:r>
    </w:p>
    <w:p w14:paraId="04C323F5" w14:textId="77777777" w:rsidR="000E2D33" w:rsidRPr="007954F6" w:rsidRDefault="000E2D33" w:rsidP="000E2D33">
      <w:pPr>
        <w:pStyle w:val="dot-dash"/>
        <w:spacing w:before="0"/>
        <w:ind w:left="0" w:right="0" w:firstLine="0"/>
        <w:jc w:val="left"/>
        <w:rPr>
          <w:rFonts w:asciiTheme="majorHAnsi" w:hAnsiTheme="majorHAnsi"/>
          <w:szCs w:val="22"/>
        </w:rPr>
      </w:pPr>
      <w:r w:rsidRPr="007954F6">
        <w:rPr>
          <w:rFonts w:asciiTheme="majorHAnsi" w:hAnsiTheme="majorHAnsi"/>
          <w:szCs w:val="22"/>
        </w:rPr>
        <w:t xml:space="preserve">Australian and New South Wales Governments 2009, </w:t>
      </w:r>
      <w:hyperlink r:id="rId54" w:history="1">
        <w:r w:rsidRPr="007954F6">
          <w:rPr>
            <w:rStyle w:val="Hyperlink"/>
            <w:rFonts w:asciiTheme="majorHAnsi" w:hAnsiTheme="majorHAnsi"/>
            <w:color w:val="165788"/>
            <w:szCs w:val="22"/>
          </w:rPr>
          <w:t xml:space="preserve">A Draft Report on Progress with Implementation of the New South Wales Regional Forest </w:t>
        </w:r>
        <w:r w:rsidRPr="00746FF7">
          <w:rPr>
            <w:rStyle w:val="Hyperlink"/>
            <w:rFonts w:asciiTheme="majorHAnsi" w:hAnsiTheme="majorHAnsi"/>
            <w:color w:val="165788"/>
            <w:szCs w:val="22"/>
          </w:rPr>
          <w:t>Agreements</w:t>
        </w:r>
      </w:hyperlink>
      <w:r w:rsidRPr="007954F6">
        <w:rPr>
          <w:rFonts w:asciiTheme="majorHAnsi" w:hAnsiTheme="majorHAnsi"/>
          <w:szCs w:val="22"/>
        </w:rPr>
        <w:t>, Resource and Conservation Unit, NSW Department of Environment and Climate Change, Sydney.</w:t>
      </w:r>
    </w:p>
    <w:p w14:paraId="4D4721DB" w14:textId="77777777" w:rsidR="000E2D33" w:rsidRPr="007954F6" w:rsidRDefault="000E2D33" w:rsidP="000E2D33">
      <w:pPr>
        <w:pStyle w:val="dot-dash"/>
        <w:spacing w:before="0"/>
        <w:ind w:left="0" w:right="0" w:firstLine="0"/>
        <w:jc w:val="left"/>
        <w:rPr>
          <w:rStyle w:val="Hyperlink"/>
          <w:rFonts w:asciiTheme="majorHAnsi" w:hAnsiTheme="majorHAnsi"/>
          <w:szCs w:val="22"/>
        </w:rPr>
      </w:pPr>
      <w:r w:rsidRPr="007954F6">
        <w:rPr>
          <w:rFonts w:asciiTheme="majorHAnsi" w:hAnsiTheme="majorHAnsi"/>
          <w:szCs w:val="22"/>
        </w:rPr>
        <w:t xml:space="preserve">Australian and New South Wales Governments 2014, </w:t>
      </w:r>
      <w:hyperlink r:id="rId55" w:history="1">
        <w:r w:rsidRPr="000019A5">
          <w:rPr>
            <w:rStyle w:val="Hyperlink"/>
            <w:rFonts w:asciiTheme="majorHAnsi" w:hAnsiTheme="majorHAnsi"/>
            <w:color w:val="165788"/>
            <w:szCs w:val="22"/>
          </w:rPr>
          <w:t>Joint Australian and New South Wales Government response to the final report on progress with implementation of NSW regional forest agreements: report of independent assessor</w:t>
        </w:r>
      </w:hyperlink>
      <w:r>
        <w:rPr>
          <w:rFonts w:asciiTheme="majorHAnsi" w:hAnsiTheme="majorHAnsi"/>
          <w:szCs w:val="22"/>
        </w:rPr>
        <w:t>, Canberra</w:t>
      </w:r>
      <w:r w:rsidRPr="007954F6">
        <w:rPr>
          <w:rFonts w:asciiTheme="majorHAnsi" w:hAnsiTheme="majorHAnsi"/>
          <w:szCs w:val="22"/>
        </w:rPr>
        <w:t>.</w:t>
      </w:r>
      <w:r w:rsidRPr="007954F6">
        <w:rPr>
          <w:rStyle w:val="Hyperlink"/>
          <w:rFonts w:asciiTheme="majorHAnsi" w:hAnsiTheme="majorHAnsi"/>
          <w:szCs w:val="22"/>
        </w:rPr>
        <w:t xml:space="preserve"> </w:t>
      </w:r>
    </w:p>
    <w:p w14:paraId="3CEA9CB6" w14:textId="77777777" w:rsidR="000E2D33" w:rsidRDefault="000E2D33" w:rsidP="000E2D33">
      <w:pPr>
        <w:pStyle w:val="dot-dash"/>
        <w:spacing w:before="0"/>
        <w:ind w:left="0" w:right="0" w:firstLine="0"/>
        <w:jc w:val="left"/>
        <w:rPr>
          <w:rFonts w:asciiTheme="majorHAnsi" w:hAnsiTheme="majorHAnsi"/>
          <w:szCs w:val="22"/>
        </w:rPr>
      </w:pPr>
      <w:r w:rsidRPr="007954F6">
        <w:rPr>
          <w:rFonts w:asciiTheme="majorHAnsi" w:hAnsiTheme="majorHAnsi"/>
          <w:szCs w:val="22"/>
        </w:rPr>
        <w:t xml:space="preserve">Australian and New South Wales Governments 2017, </w:t>
      </w:r>
      <w:hyperlink r:id="rId56" w:history="1">
        <w:r w:rsidRPr="000019A5">
          <w:rPr>
            <w:rStyle w:val="Hyperlink"/>
            <w:rFonts w:asciiTheme="majorHAnsi" w:hAnsiTheme="majorHAnsi"/>
            <w:color w:val="165788"/>
            <w:szCs w:val="22"/>
          </w:rPr>
          <w:t>A Report on Progress with Implementation of the New South Wales Regional Forest Agreements: Second and third f</w:t>
        </w:r>
        <w:r>
          <w:rPr>
            <w:rStyle w:val="Hyperlink"/>
            <w:rFonts w:asciiTheme="majorHAnsi" w:hAnsiTheme="majorHAnsi"/>
            <w:color w:val="165788"/>
            <w:szCs w:val="22"/>
          </w:rPr>
          <w:t>ive-yearly reviews, July 2004 to</w:t>
        </w:r>
        <w:r w:rsidRPr="000019A5">
          <w:rPr>
            <w:rStyle w:val="Hyperlink"/>
            <w:rFonts w:asciiTheme="majorHAnsi" w:hAnsiTheme="majorHAnsi"/>
            <w:color w:val="165788"/>
            <w:szCs w:val="22"/>
          </w:rPr>
          <w:t xml:space="preserve"> June 2014</w:t>
        </w:r>
      </w:hyperlink>
      <w:r>
        <w:rPr>
          <w:rFonts w:asciiTheme="majorHAnsi" w:hAnsiTheme="majorHAnsi"/>
          <w:szCs w:val="22"/>
        </w:rPr>
        <w:t>,</w:t>
      </w:r>
      <w:r w:rsidRPr="007954F6">
        <w:rPr>
          <w:rFonts w:asciiTheme="majorHAnsi" w:hAnsiTheme="majorHAnsi"/>
          <w:szCs w:val="22"/>
        </w:rPr>
        <w:t xml:space="preserve"> NSW Environment Protection Authority, Sydney. </w:t>
      </w:r>
    </w:p>
    <w:p w14:paraId="0F8AB6E8" w14:textId="77777777" w:rsidR="000E2D33" w:rsidRPr="007954F6" w:rsidRDefault="000E2D33" w:rsidP="000E2D33">
      <w:pPr>
        <w:pStyle w:val="dot-dash"/>
        <w:spacing w:before="0"/>
        <w:ind w:left="0" w:right="0" w:firstLine="0"/>
        <w:jc w:val="left"/>
        <w:rPr>
          <w:rFonts w:asciiTheme="majorHAnsi" w:hAnsiTheme="majorHAnsi"/>
          <w:szCs w:val="22"/>
        </w:rPr>
      </w:pPr>
      <w:r w:rsidRPr="007954F6">
        <w:rPr>
          <w:rFonts w:asciiTheme="majorHAnsi" w:hAnsiTheme="majorHAnsi"/>
          <w:szCs w:val="22"/>
        </w:rPr>
        <w:t>Australian and New South Wales Governments</w:t>
      </w:r>
      <w:r>
        <w:rPr>
          <w:rFonts w:asciiTheme="majorHAnsi" w:hAnsiTheme="majorHAnsi"/>
          <w:szCs w:val="22"/>
        </w:rPr>
        <w:t xml:space="preserve"> 2018, </w:t>
      </w:r>
      <w:hyperlink r:id="rId57" w:history="1">
        <w:r w:rsidRPr="00272785">
          <w:rPr>
            <w:rStyle w:val="Hyperlink"/>
            <w:rFonts w:asciiTheme="majorHAnsi" w:hAnsiTheme="majorHAnsi"/>
            <w:color w:val="165788"/>
            <w:szCs w:val="22"/>
          </w:rPr>
          <w:t>Assessment of matters pertaining to renewal of Regional Forest Agreements</w:t>
        </w:r>
      </w:hyperlink>
      <w:r>
        <w:rPr>
          <w:rFonts w:asciiTheme="majorHAnsi" w:hAnsiTheme="majorHAnsi"/>
          <w:szCs w:val="22"/>
        </w:rPr>
        <w:t>, NSW Department of Primary Industries.</w:t>
      </w:r>
    </w:p>
    <w:p w14:paraId="57978C04" w14:textId="77777777" w:rsidR="000E2D33" w:rsidRPr="007954F6" w:rsidRDefault="000E2D33" w:rsidP="000E2D33">
      <w:pPr>
        <w:pStyle w:val="dot-dash"/>
        <w:spacing w:before="0"/>
        <w:ind w:left="0" w:right="0" w:firstLine="0"/>
        <w:jc w:val="left"/>
        <w:rPr>
          <w:rFonts w:asciiTheme="majorHAnsi" w:hAnsiTheme="majorHAnsi"/>
          <w:szCs w:val="22"/>
        </w:rPr>
      </w:pPr>
      <w:r w:rsidRPr="007954F6">
        <w:rPr>
          <w:rFonts w:asciiTheme="majorHAnsi" w:hAnsiTheme="majorHAnsi"/>
          <w:szCs w:val="22"/>
        </w:rPr>
        <w:t xml:space="preserve">Australian and Tasmanian Governments 2007, </w:t>
      </w:r>
      <w:hyperlink r:id="rId58" w:history="1">
        <w:r w:rsidRPr="000019A5">
          <w:rPr>
            <w:rStyle w:val="Hyperlink"/>
            <w:rFonts w:asciiTheme="majorHAnsi" w:hAnsiTheme="majorHAnsi"/>
            <w:color w:val="165788"/>
            <w:szCs w:val="22"/>
          </w:rPr>
          <w:t>Sustainability Indicators for Tasmanian Forests 2001 – 2006: Prepared by the Tasmanian and Australian Governments for the 2007 Ten Year Review of the Tasmanian Regional Forest Agreement</w:t>
        </w:r>
      </w:hyperlink>
      <w:r>
        <w:rPr>
          <w:rFonts w:asciiTheme="majorHAnsi" w:hAnsiTheme="majorHAnsi"/>
          <w:szCs w:val="22"/>
        </w:rPr>
        <w:t xml:space="preserve">, </w:t>
      </w:r>
      <w:r w:rsidRPr="007954F6">
        <w:rPr>
          <w:rFonts w:asciiTheme="majorHAnsi" w:hAnsiTheme="majorHAnsi"/>
          <w:szCs w:val="22"/>
        </w:rPr>
        <w:t>Australian and Tasmanian Governments</w:t>
      </w:r>
      <w:r>
        <w:rPr>
          <w:rFonts w:asciiTheme="majorHAnsi" w:hAnsiTheme="majorHAnsi"/>
          <w:szCs w:val="22"/>
        </w:rPr>
        <w:t>.</w:t>
      </w:r>
    </w:p>
    <w:p w14:paraId="6BE355F5" w14:textId="77777777" w:rsidR="000E2D33" w:rsidRDefault="000E2D33" w:rsidP="000E2D33">
      <w:pPr>
        <w:autoSpaceDE w:val="0"/>
        <w:autoSpaceDN w:val="0"/>
        <w:adjustRightInd w:val="0"/>
        <w:spacing w:before="0"/>
        <w:rPr>
          <w:rFonts w:asciiTheme="majorHAnsi" w:hAnsiTheme="majorHAnsi"/>
          <w:szCs w:val="22"/>
        </w:rPr>
      </w:pPr>
      <w:r w:rsidRPr="007954F6">
        <w:rPr>
          <w:rFonts w:asciiTheme="majorHAnsi" w:hAnsiTheme="majorHAnsi"/>
          <w:szCs w:val="22"/>
        </w:rPr>
        <w:t>Australian and Tasmanian Government</w:t>
      </w:r>
      <w:r>
        <w:rPr>
          <w:rFonts w:asciiTheme="majorHAnsi" w:hAnsiTheme="majorHAnsi"/>
          <w:szCs w:val="22"/>
        </w:rPr>
        <w:t>s</w:t>
      </w:r>
      <w:r w:rsidRPr="007954F6">
        <w:rPr>
          <w:rFonts w:asciiTheme="majorHAnsi" w:hAnsiTheme="majorHAnsi"/>
          <w:szCs w:val="22"/>
        </w:rPr>
        <w:t xml:space="preserve"> 2010, </w:t>
      </w:r>
      <w:hyperlink r:id="rId59" w:history="1">
        <w:r w:rsidRPr="000019A5">
          <w:rPr>
            <w:rStyle w:val="Hyperlink"/>
            <w:rFonts w:asciiTheme="majorHAnsi" w:hAnsiTheme="majorHAnsi"/>
            <w:color w:val="165788"/>
            <w:szCs w:val="22"/>
          </w:rPr>
          <w:t>Joint Australian and Tasmanian Government Response to the Second Five Yearly Review of Progress with Implementation of the Tasmanian Regional Forest Agreement</w:t>
        </w:r>
      </w:hyperlink>
      <w:r>
        <w:rPr>
          <w:rFonts w:asciiTheme="majorHAnsi" w:hAnsiTheme="majorHAnsi"/>
          <w:szCs w:val="22"/>
        </w:rPr>
        <w:t>, Canberra.</w:t>
      </w:r>
    </w:p>
    <w:p w14:paraId="0B659669" w14:textId="77777777" w:rsidR="000E2D33" w:rsidRPr="007954F6" w:rsidRDefault="000E2D33" w:rsidP="000E2D33">
      <w:pPr>
        <w:autoSpaceDE w:val="0"/>
        <w:autoSpaceDN w:val="0"/>
        <w:adjustRightInd w:val="0"/>
        <w:spacing w:before="0"/>
        <w:rPr>
          <w:rFonts w:asciiTheme="majorHAnsi" w:hAnsiTheme="majorHAnsi"/>
          <w:szCs w:val="22"/>
        </w:rPr>
      </w:pPr>
      <w:r w:rsidRPr="007954F6">
        <w:rPr>
          <w:rFonts w:asciiTheme="majorHAnsi" w:hAnsiTheme="majorHAnsi"/>
          <w:szCs w:val="22"/>
        </w:rPr>
        <w:t>Australian and Tasmanian Government</w:t>
      </w:r>
      <w:r>
        <w:rPr>
          <w:rFonts w:asciiTheme="majorHAnsi" w:hAnsiTheme="majorHAnsi"/>
          <w:szCs w:val="22"/>
        </w:rPr>
        <w:t xml:space="preserve">s 2017, </w:t>
      </w:r>
      <w:hyperlink r:id="rId60" w:history="1">
        <w:r w:rsidRPr="00272785">
          <w:rPr>
            <w:rStyle w:val="Hyperlink"/>
            <w:rFonts w:asciiTheme="majorHAnsi" w:hAnsiTheme="majorHAnsi"/>
            <w:color w:val="165788"/>
            <w:szCs w:val="22"/>
          </w:rPr>
          <w:t xml:space="preserve">Further assessment of matters under the </w:t>
        </w:r>
        <w:r w:rsidRPr="00272785">
          <w:rPr>
            <w:rStyle w:val="Hyperlink"/>
            <w:rFonts w:asciiTheme="majorHAnsi" w:hAnsiTheme="majorHAnsi"/>
            <w:i/>
            <w:color w:val="165788"/>
            <w:szCs w:val="22"/>
          </w:rPr>
          <w:t>Regional Forest Agreements Act 2002</w:t>
        </w:r>
        <w:r w:rsidRPr="00272785">
          <w:rPr>
            <w:rStyle w:val="Hyperlink"/>
            <w:rFonts w:asciiTheme="majorHAnsi" w:hAnsiTheme="majorHAnsi"/>
            <w:color w:val="165788"/>
            <w:szCs w:val="22"/>
          </w:rPr>
          <w:t xml:space="preserve"> (Cth) relating to the 2017 variation of the Tasmanian Regional Forest Agreement</w:t>
        </w:r>
      </w:hyperlink>
      <w:r>
        <w:rPr>
          <w:rFonts w:asciiTheme="majorHAnsi" w:hAnsiTheme="majorHAnsi"/>
          <w:szCs w:val="22"/>
        </w:rPr>
        <w:t>. Department of Agriculture and Water Resources.</w:t>
      </w:r>
    </w:p>
    <w:p w14:paraId="5347FE1B" w14:textId="77777777" w:rsidR="000E2D33" w:rsidRPr="007954F6" w:rsidRDefault="000E2D33" w:rsidP="000E2D33">
      <w:pPr>
        <w:autoSpaceDE w:val="0"/>
        <w:autoSpaceDN w:val="0"/>
        <w:adjustRightInd w:val="0"/>
        <w:spacing w:before="0"/>
        <w:rPr>
          <w:rFonts w:asciiTheme="majorHAnsi" w:hAnsiTheme="majorHAnsi"/>
          <w:szCs w:val="22"/>
        </w:rPr>
      </w:pPr>
      <w:r w:rsidRPr="007954F6">
        <w:rPr>
          <w:rFonts w:asciiTheme="majorHAnsi" w:hAnsiTheme="majorHAnsi"/>
          <w:szCs w:val="22"/>
        </w:rPr>
        <w:t xml:space="preserve">Australian and Victorian Governments 2009, </w:t>
      </w:r>
      <w:hyperlink r:id="rId61" w:history="1">
        <w:r w:rsidRPr="000019A5">
          <w:rPr>
            <w:rStyle w:val="Hyperlink"/>
            <w:rFonts w:asciiTheme="majorHAnsi" w:eastAsia="Calibri" w:hAnsiTheme="majorHAnsi"/>
            <w:color w:val="165788"/>
            <w:szCs w:val="22"/>
          </w:rPr>
          <w:t>A Draft Report on Progress with Implementation of the Victorian Regional Forest Agreement</w:t>
        </w:r>
        <w:r>
          <w:rPr>
            <w:rStyle w:val="Hyperlink"/>
            <w:rFonts w:asciiTheme="majorHAnsi" w:eastAsia="Calibri" w:hAnsiTheme="majorHAnsi"/>
            <w:color w:val="165788"/>
            <w:szCs w:val="22"/>
          </w:rPr>
          <w:t>s (RFA</w:t>
        </w:r>
        <w:r w:rsidRPr="000019A5">
          <w:rPr>
            <w:rStyle w:val="Hyperlink"/>
            <w:rFonts w:asciiTheme="majorHAnsi" w:eastAsia="Calibri" w:hAnsiTheme="majorHAnsi"/>
            <w:color w:val="165788"/>
            <w:szCs w:val="22"/>
          </w:rPr>
          <w:t>s</w:t>
        </w:r>
      </w:hyperlink>
      <w:r>
        <w:rPr>
          <w:rFonts w:asciiTheme="majorHAnsi" w:eastAsia="Calibri" w:hAnsiTheme="majorHAnsi"/>
          <w:color w:val="165788"/>
          <w:szCs w:val="22"/>
        </w:rPr>
        <w:t>)</w:t>
      </w:r>
      <w:r>
        <w:rPr>
          <w:rFonts w:asciiTheme="majorHAnsi" w:eastAsia="Calibri" w:hAnsiTheme="majorHAnsi"/>
          <w:color w:val="000000" w:themeColor="text1"/>
          <w:szCs w:val="22"/>
        </w:rPr>
        <w:t>,</w:t>
      </w:r>
      <w:r w:rsidRPr="007954F6">
        <w:rPr>
          <w:rFonts w:asciiTheme="majorHAnsi" w:eastAsia="Calibri" w:hAnsiTheme="majorHAnsi"/>
          <w:color w:val="000000" w:themeColor="text1"/>
          <w:szCs w:val="22"/>
        </w:rPr>
        <w:t xml:space="preserve"> </w:t>
      </w:r>
      <w:r>
        <w:rPr>
          <w:rFonts w:asciiTheme="majorHAnsi" w:eastAsia="Calibri" w:hAnsiTheme="majorHAnsi"/>
          <w:color w:val="000000" w:themeColor="text1"/>
          <w:szCs w:val="22"/>
        </w:rPr>
        <w:t xml:space="preserve">Victoria </w:t>
      </w:r>
      <w:r w:rsidRPr="007954F6">
        <w:rPr>
          <w:rFonts w:asciiTheme="majorHAnsi" w:eastAsia="Calibri" w:hAnsiTheme="majorHAnsi"/>
          <w:color w:val="000000" w:themeColor="text1"/>
          <w:szCs w:val="22"/>
        </w:rPr>
        <w:t>Department of Sustainability and Environment, Melbourne</w:t>
      </w:r>
      <w:r w:rsidRPr="007954F6">
        <w:rPr>
          <w:rFonts w:asciiTheme="majorHAnsi" w:hAnsiTheme="majorHAnsi"/>
          <w:szCs w:val="22"/>
        </w:rPr>
        <w:t xml:space="preserve">. </w:t>
      </w:r>
    </w:p>
    <w:p w14:paraId="0BEC21FC" w14:textId="77777777" w:rsidR="000E2D33" w:rsidRPr="007954F6" w:rsidRDefault="000E2D33" w:rsidP="000E2D33">
      <w:pPr>
        <w:pStyle w:val="dot-dash"/>
        <w:spacing w:before="0"/>
        <w:ind w:left="0" w:firstLine="20"/>
        <w:jc w:val="left"/>
        <w:rPr>
          <w:rFonts w:asciiTheme="majorHAnsi" w:hAnsiTheme="majorHAnsi"/>
          <w:szCs w:val="22"/>
        </w:rPr>
      </w:pPr>
      <w:r w:rsidRPr="007954F6">
        <w:rPr>
          <w:rFonts w:asciiTheme="majorHAnsi" w:hAnsiTheme="majorHAnsi"/>
          <w:szCs w:val="22"/>
        </w:rPr>
        <w:t>Australian and Victorian Government</w:t>
      </w:r>
      <w:r>
        <w:rPr>
          <w:rFonts w:asciiTheme="majorHAnsi" w:hAnsiTheme="majorHAnsi"/>
          <w:szCs w:val="22"/>
        </w:rPr>
        <w:t xml:space="preserve">s 2019, </w:t>
      </w:r>
      <w:hyperlink r:id="rId62" w:history="1">
        <w:r w:rsidRPr="0041658F">
          <w:rPr>
            <w:rStyle w:val="Hyperlink"/>
            <w:rFonts w:asciiTheme="majorHAnsi" w:hAnsiTheme="majorHAnsi"/>
            <w:color w:val="165788"/>
            <w:szCs w:val="22"/>
          </w:rPr>
          <w:t>Assessment of matters pertaining to the modernization of Victoria’s Regional Forest Agreements</w:t>
        </w:r>
      </w:hyperlink>
      <w:r>
        <w:rPr>
          <w:rFonts w:asciiTheme="majorHAnsi" w:hAnsiTheme="majorHAnsi"/>
          <w:szCs w:val="22"/>
        </w:rPr>
        <w:t>, Victoria Department of Environment, Land, Water and Planning.</w:t>
      </w:r>
    </w:p>
    <w:p w14:paraId="7CE081A8" w14:textId="77777777" w:rsidR="000E2D33" w:rsidRPr="007954F6" w:rsidRDefault="000E2D33" w:rsidP="000E2D33">
      <w:pPr>
        <w:pStyle w:val="dot-dash"/>
        <w:spacing w:before="0"/>
        <w:ind w:left="0" w:right="0" w:firstLine="0"/>
        <w:jc w:val="left"/>
        <w:rPr>
          <w:rFonts w:asciiTheme="majorHAnsi" w:hAnsiTheme="majorHAnsi"/>
          <w:szCs w:val="22"/>
        </w:rPr>
      </w:pPr>
      <w:r w:rsidRPr="007954F6">
        <w:rPr>
          <w:rFonts w:asciiTheme="majorHAnsi" w:hAnsiTheme="majorHAnsi"/>
          <w:szCs w:val="22"/>
        </w:rPr>
        <w:t xml:space="preserve">Australian and Western Australian Governments 2013, </w:t>
      </w:r>
      <w:hyperlink r:id="rId63" w:history="1">
        <w:r w:rsidRPr="009B709C">
          <w:rPr>
            <w:rStyle w:val="Hyperlink"/>
            <w:rFonts w:asciiTheme="majorHAnsi" w:hAnsiTheme="majorHAnsi"/>
            <w:color w:val="165788"/>
            <w:szCs w:val="22"/>
          </w:rPr>
          <w:t>A Report on Progress with Implementation of the Regional Forest Agreement for the South-West Forest Region of Western Australia</w:t>
        </w:r>
      </w:hyperlink>
      <w:r w:rsidRPr="007954F6">
        <w:rPr>
          <w:rFonts w:asciiTheme="majorHAnsi" w:hAnsiTheme="majorHAnsi"/>
          <w:szCs w:val="22"/>
        </w:rPr>
        <w:t>, WA De</w:t>
      </w:r>
      <w:r>
        <w:rPr>
          <w:rFonts w:asciiTheme="majorHAnsi" w:hAnsiTheme="majorHAnsi"/>
          <w:szCs w:val="22"/>
        </w:rPr>
        <w:t>partment of Parks and Wildlife, Perth.</w:t>
      </w:r>
    </w:p>
    <w:p w14:paraId="4BDB0450" w14:textId="77777777" w:rsidR="000E2D33" w:rsidRDefault="000E2D33" w:rsidP="000E2D33">
      <w:pPr>
        <w:pStyle w:val="dot-dash"/>
        <w:spacing w:before="0"/>
        <w:ind w:left="0" w:firstLine="20"/>
        <w:jc w:val="left"/>
        <w:rPr>
          <w:rFonts w:asciiTheme="majorHAnsi" w:hAnsiTheme="majorHAnsi"/>
          <w:szCs w:val="22"/>
        </w:rPr>
      </w:pPr>
      <w:r w:rsidRPr="007954F6">
        <w:rPr>
          <w:rFonts w:asciiTheme="majorHAnsi" w:hAnsiTheme="majorHAnsi"/>
          <w:szCs w:val="22"/>
        </w:rPr>
        <w:t xml:space="preserve">Australian and Western Australian Governments 2016, </w:t>
      </w:r>
      <w:hyperlink r:id="rId64" w:history="1">
        <w:r w:rsidRPr="009B709C">
          <w:rPr>
            <w:rStyle w:val="Hyperlink"/>
            <w:rFonts w:asciiTheme="majorHAnsi" w:hAnsiTheme="majorHAnsi"/>
            <w:color w:val="165788"/>
            <w:szCs w:val="22"/>
          </w:rPr>
          <w:t>A report on progress with the implementation of the Regional Forest Agreement for the South-West Forest Region of Western Australia Period 3: 2009 to 2014</w:t>
        </w:r>
      </w:hyperlink>
      <w:r w:rsidRPr="007954F6">
        <w:rPr>
          <w:rFonts w:asciiTheme="majorHAnsi" w:hAnsiTheme="majorHAnsi"/>
          <w:szCs w:val="22"/>
        </w:rPr>
        <w:t>, WA Department of Parks and Wildlife</w:t>
      </w:r>
      <w:r>
        <w:rPr>
          <w:rFonts w:asciiTheme="majorHAnsi" w:hAnsiTheme="majorHAnsi"/>
          <w:szCs w:val="22"/>
        </w:rPr>
        <w:t>, Perth.</w:t>
      </w:r>
      <w:r w:rsidRPr="007954F6">
        <w:rPr>
          <w:rFonts w:asciiTheme="majorHAnsi" w:hAnsiTheme="majorHAnsi"/>
          <w:szCs w:val="22"/>
        </w:rPr>
        <w:t xml:space="preserve"> </w:t>
      </w:r>
    </w:p>
    <w:p w14:paraId="2C415BB0" w14:textId="77777777" w:rsidR="000E2D33" w:rsidRPr="007954F6" w:rsidRDefault="000E2D33" w:rsidP="000E2D33">
      <w:pPr>
        <w:pStyle w:val="dot-dash"/>
        <w:spacing w:before="0"/>
        <w:ind w:left="0" w:firstLine="20"/>
        <w:jc w:val="left"/>
        <w:rPr>
          <w:rFonts w:asciiTheme="majorHAnsi" w:hAnsiTheme="majorHAnsi"/>
          <w:szCs w:val="22"/>
        </w:rPr>
      </w:pPr>
      <w:r w:rsidRPr="007954F6">
        <w:rPr>
          <w:rFonts w:asciiTheme="majorHAnsi" w:hAnsiTheme="majorHAnsi"/>
          <w:szCs w:val="22"/>
        </w:rPr>
        <w:t>Australian and Western Australian Governments</w:t>
      </w:r>
      <w:r>
        <w:rPr>
          <w:rFonts w:asciiTheme="majorHAnsi" w:hAnsiTheme="majorHAnsi"/>
          <w:szCs w:val="22"/>
        </w:rPr>
        <w:t xml:space="preserve"> 2019, </w:t>
      </w:r>
      <w:hyperlink r:id="rId65" w:history="1">
        <w:r w:rsidRPr="00272785">
          <w:rPr>
            <w:rStyle w:val="Hyperlink"/>
            <w:rFonts w:asciiTheme="majorHAnsi" w:hAnsiTheme="majorHAnsi"/>
            <w:color w:val="165788"/>
            <w:szCs w:val="22"/>
          </w:rPr>
          <w:t xml:space="preserve">Assessment of matters pertaining to the renewal of the </w:t>
        </w:r>
        <w:r w:rsidRPr="00272785">
          <w:rPr>
            <w:rStyle w:val="Hyperlink"/>
            <w:rFonts w:asciiTheme="majorHAnsi" w:hAnsiTheme="majorHAnsi"/>
            <w:i/>
            <w:color w:val="165788"/>
            <w:szCs w:val="22"/>
          </w:rPr>
          <w:t>Regional Forest Agreement for the South-West Forest Region of Western Australia</w:t>
        </w:r>
      </w:hyperlink>
      <w:r>
        <w:rPr>
          <w:rFonts w:asciiTheme="majorHAnsi" w:hAnsiTheme="majorHAnsi"/>
          <w:szCs w:val="22"/>
        </w:rPr>
        <w:t>. WA Department of Biodiversity, Conservation and Attractions.</w:t>
      </w:r>
    </w:p>
    <w:p w14:paraId="6267349E" w14:textId="77777777" w:rsidR="000E2D33" w:rsidRPr="007954F6" w:rsidRDefault="000E2D33" w:rsidP="000E2D33">
      <w:pPr>
        <w:pStyle w:val="dot-dash"/>
        <w:spacing w:before="0"/>
        <w:ind w:left="0" w:right="0" w:firstLine="0"/>
        <w:jc w:val="left"/>
        <w:rPr>
          <w:rFonts w:asciiTheme="majorHAnsi" w:hAnsiTheme="majorHAnsi"/>
          <w:szCs w:val="22"/>
        </w:rPr>
      </w:pPr>
      <w:r>
        <w:rPr>
          <w:rFonts w:asciiTheme="majorHAnsi" w:hAnsiTheme="majorHAnsi"/>
          <w:szCs w:val="22"/>
        </w:rPr>
        <w:lastRenderedPageBreak/>
        <w:t>Burgman, M</w:t>
      </w:r>
      <w:r w:rsidRPr="007954F6">
        <w:rPr>
          <w:rFonts w:asciiTheme="majorHAnsi" w:hAnsiTheme="majorHAnsi"/>
          <w:szCs w:val="22"/>
        </w:rPr>
        <w:t xml:space="preserve"> </w:t>
      </w:r>
      <w:r>
        <w:rPr>
          <w:rFonts w:asciiTheme="majorHAnsi" w:hAnsiTheme="majorHAnsi"/>
          <w:szCs w:val="22"/>
        </w:rPr>
        <w:t>&amp;</w:t>
      </w:r>
      <w:r w:rsidRPr="007954F6">
        <w:rPr>
          <w:rFonts w:asciiTheme="majorHAnsi" w:hAnsiTheme="majorHAnsi"/>
          <w:szCs w:val="22"/>
        </w:rPr>
        <w:t xml:space="preserve"> Robinson, AP 2012, </w:t>
      </w:r>
      <w:hyperlink r:id="rId66" w:history="1">
        <w:r w:rsidRPr="00BE6680">
          <w:rPr>
            <w:rStyle w:val="Hyperlink"/>
            <w:rFonts w:asciiTheme="majorHAnsi" w:hAnsiTheme="majorHAnsi"/>
            <w:color w:val="165788"/>
            <w:szCs w:val="22"/>
          </w:rPr>
          <w:t>Review of Tasmanian Forest Estate Wood Supply Scenarios Final Report to the Independent Verification Group, Intergovernmental Agreement, Version 9.9, March 7, 2012</w:t>
        </w:r>
      </w:hyperlink>
      <w:r>
        <w:rPr>
          <w:rFonts w:asciiTheme="majorHAnsi" w:hAnsiTheme="majorHAnsi"/>
          <w:szCs w:val="22"/>
        </w:rPr>
        <w:t>, University of Melbourne.</w:t>
      </w:r>
    </w:p>
    <w:p w14:paraId="2C5A8EC1"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 xml:space="preserve">Commonwealth of Australia 1992a, </w:t>
      </w:r>
      <w:hyperlink r:id="rId67" w:history="1">
        <w:r w:rsidRPr="00BE6680">
          <w:rPr>
            <w:rStyle w:val="Hyperlink"/>
            <w:rFonts w:asciiTheme="majorHAnsi" w:hAnsiTheme="majorHAnsi"/>
            <w:color w:val="165788"/>
            <w:szCs w:val="22"/>
          </w:rPr>
          <w:t>National Forest Policy Statement: A New Focus for Australia’s Forests</w:t>
        </w:r>
      </w:hyperlink>
      <w:r w:rsidRPr="007954F6">
        <w:rPr>
          <w:rFonts w:asciiTheme="majorHAnsi" w:hAnsiTheme="majorHAnsi"/>
          <w:szCs w:val="22"/>
        </w:rPr>
        <w:t>. Australian Governmen</w:t>
      </w:r>
      <w:r>
        <w:rPr>
          <w:rFonts w:asciiTheme="majorHAnsi" w:hAnsiTheme="majorHAnsi"/>
          <w:szCs w:val="22"/>
        </w:rPr>
        <w:t>t Publishing Service, Canberra.</w:t>
      </w:r>
    </w:p>
    <w:p w14:paraId="29235789"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 xml:space="preserve">Commonwealth of Australia 1992b, </w:t>
      </w:r>
      <w:hyperlink r:id="rId68" w:history="1">
        <w:r w:rsidRPr="00BE6680">
          <w:rPr>
            <w:rStyle w:val="Hyperlink"/>
            <w:rFonts w:asciiTheme="majorHAnsi" w:hAnsiTheme="majorHAnsi"/>
            <w:color w:val="165788"/>
            <w:szCs w:val="22"/>
          </w:rPr>
          <w:t>National Strategy for Ecologically Sustainable Development</w:t>
        </w:r>
      </w:hyperlink>
      <w:r w:rsidRPr="007954F6">
        <w:rPr>
          <w:rFonts w:asciiTheme="majorHAnsi" w:hAnsiTheme="majorHAnsi"/>
          <w:szCs w:val="22"/>
        </w:rPr>
        <w:t xml:space="preserve">. Australian Government Publishing Service, Canberra. </w:t>
      </w:r>
    </w:p>
    <w:p w14:paraId="4BE1D8F1" w14:textId="77777777" w:rsidR="000E2D33" w:rsidRPr="007954F6" w:rsidRDefault="000E2D33" w:rsidP="000E2D33">
      <w:pPr>
        <w:spacing w:before="0" w:line="280" w:lineRule="atLeast"/>
        <w:rPr>
          <w:rStyle w:val="Hyperlink"/>
          <w:rFonts w:asciiTheme="majorHAnsi" w:hAnsiTheme="majorHAnsi"/>
          <w:szCs w:val="22"/>
        </w:rPr>
      </w:pPr>
      <w:r w:rsidRPr="007954F6">
        <w:rPr>
          <w:rFonts w:asciiTheme="majorHAnsi" w:hAnsiTheme="majorHAnsi"/>
          <w:szCs w:val="22"/>
        </w:rPr>
        <w:t xml:space="preserve">Commonwealth of Australia 2005, </w:t>
      </w:r>
      <w:hyperlink r:id="rId69" w:history="1">
        <w:r w:rsidRPr="006C0271">
          <w:rPr>
            <w:rStyle w:val="Hyperlink"/>
            <w:rFonts w:asciiTheme="majorHAnsi" w:hAnsiTheme="majorHAnsi"/>
            <w:color w:val="165788"/>
            <w:szCs w:val="22"/>
          </w:rPr>
          <w:t>Australia’s Third National Report to the Convention on Biological Diversity</w:t>
        </w:r>
      </w:hyperlink>
      <w:r>
        <w:rPr>
          <w:rFonts w:asciiTheme="majorHAnsi" w:hAnsiTheme="majorHAnsi"/>
          <w:szCs w:val="22"/>
        </w:rPr>
        <w:t>,</w:t>
      </w:r>
      <w:r w:rsidRPr="007954F6">
        <w:rPr>
          <w:rFonts w:asciiTheme="majorHAnsi" w:hAnsiTheme="majorHAnsi"/>
          <w:szCs w:val="22"/>
        </w:rPr>
        <w:t xml:space="preserve"> Department of the Environment and Heritage, Canberra</w:t>
      </w:r>
      <w:r>
        <w:rPr>
          <w:rFonts w:asciiTheme="majorHAnsi" w:hAnsiTheme="majorHAnsi"/>
          <w:szCs w:val="22"/>
        </w:rPr>
        <w:t>.</w:t>
      </w:r>
    </w:p>
    <w:p w14:paraId="324C7BE7" w14:textId="77777777" w:rsidR="000E2D33" w:rsidRPr="007954F6" w:rsidRDefault="000E2D33" w:rsidP="000E2D33">
      <w:pPr>
        <w:spacing w:before="0" w:line="280" w:lineRule="atLeast"/>
        <w:rPr>
          <w:rFonts w:asciiTheme="majorHAnsi" w:hAnsiTheme="majorHAnsi" w:cs="Arial"/>
          <w:szCs w:val="22"/>
        </w:rPr>
      </w:pPr>
      <w:r w:rsidRPr="007954F6">
        <w:rPr>
          <w:rFonts w:asciiTheme="majorHAnsi" w:hAnsiTheme="majorHAnsi"/>
          <w:szCs w:val="22"/>
        </w:rPr>
        <w:t>Conservation Commission</w:t>
      </w:r>
      <w:r>
        <w:rPr>
          <w:rFonts w:asciiTheme="majorHAnsi" w:hAnsiTheme="majorHAnsi"/>
          <w:szCs w:val="22"/>
        </w:rPr>
        <w:t xml:space="preserve"> of Western Australia (CCWA)</w:t>
      </w:r>
      <w:r w:rsidRPr="007954F6">
        <w:rPr>
          <w:rFonts w:asciiTheme="majorHAnsi" w:hAnsiTheme="majorHAnsi"/>
          <w:szCs w:val="22"/>
        </w:rPr>
        <w:t xml:space="preserve"> 2004,</w:t>
      </w:r>
      <w:r>
        <w:rPr>
          <w:rFonts w:asciiTheme="majorHAnsi" w:hAnsiTheme="majorHAnsi"/>
          <w:szCs w:val="22"/>
        </w:rPr>
        <w:t xml:space="preserve"> </w:t>
      </w:r>
      <w:r w:rsidRPr="008671E3">
        <w:rPr>
          <w:rFonts w:asciiTheme="majorHAnsi" w:hAnsiTheme="majorHAnsi"/>
          <w:i/>
          <w:szCs w:val="22"/>
        </w:rPr>
        <w:t>Forest Management Plan 2004–2013</w:t>
      </w:r>
      <w:r w:rsidRPr="007954F6">
        <w:rPr>
          <w:rFonts w:asciiTheme="majorHAnsi" w:hAnsiTheme="majorHAnsi"/>
          <w:szCs w:val="22"/>
        </w:rPr>
        <w:t>. Conservation Commission of Western Australia, Perth.</w:t>
      </w:r>
      <w:r w:rsidRPr="007954F6">
        <w:rPr>
          <w:rFonts w:asciiTheme="majorHAnsi" w:hAnsiTheme="majorHAnsi" w:cs="Arial"/>
          <w:szCs w:val="22"/>
        </w:rPr>
        <w:t xml:space="preserve"> </w:t>
      </w:r>
    </w:p>
    <w:p w14:paraId="3B3A2B67" w14:textId="77777777" w:rsidR="000E2D33" w:rsidRPr="007954F6" w:rsidRDefault="000E2D33" w:rsidP="000E2D33">
      <w:pPr>
        <w:spacing w:before="0" w:line="280" w:lineRule="atLeast"/>
        <w:rPr>
          <w:rFonts w:asciiTheme="majorHAnsi" w:hAnsiTheme="majorHAnsi" w:cs="Arial"/>
          <w:szCs w:val="22"/>
        </w:rPr>
      </w:pPr>
      <w:r>
        <w:rPr>
          <w:rFonts w:asciiTheme="majorHAnsi" w:hAnsiTheme="majorHAnsi"/>
          <w:szCs w:val="22"/>
        </w:rPr>
        <w:t>CCWA</w:t>
      </w:r>
      <w:r w:rsidRPr="007954F6">
        <w:rPr>
          <w:rFonts w:asciiTheme="majorHAnsi" w:hAnsiTheme="majorHAnsi"/>
          <w:szCs w:val="22"/>
        </w:rPr>
        <w:t xml:space="preserve"> 2012, </w:t>
      </w:r>
      <w:hyperlink r:id="rId70" w:history="1">
        <w:r w:rsidRPr="006C0271">
          <w:rPr>
            <w:rStyle w:val="Hyperlink"/>
            <w:rFonts w:asciiTheme="majorHAnsi" w:hAnsiTheme="majorHAnsi"/>
            <w:color w:val="165788"/>
            <w:szCs w:val="22"/>
          </w:rPr>
          <w:t>Forest Management Plan 2004–2013 End-of-term audit of performance report</w:t>
        </w:r>
      </w:hyperlink>
      <w:r w:rsidRPr="007954F6">
        <w:rPr>
          <w:rFonts w:asciiTheme="majorHAnsi" w:hAnsiTheme="majorHAnsi"/>
          <w:szCs w:val="22"/>
        </w:rPr>
        <w:t>. Conservation Commiss</w:t>
      </w:r>
      <w:r>
        <w:rPr>
          <w:rFonts w:asciiTheme="majorHAnsi" w:hAnsiTheme="majorHAnsi"/>
          <w:szCs w:val="22"/>
        </w:rPr>
        <w:t>ion of Western Australia, Perth.</w:t>
      </w:r>
    </w:p>
    <w:p w14:paraId="419FEA21" w14:textId="77777777" w:rsidR="000E2D33" w:rsidRPr="007954F6" w:rsidRDefault="000E2D33" w:rsidP="000E2D33">
      <w:pPr>
        <w:spacing w:before="0" w:line="280" w:lineRule="atLeast"/>
        <w:rPr>
          <w:rFonts w:asciiTheme="majorHAnsi" w:hAnsiTheme="majorHAnsi"/>
          <w:szCs w:val="22"/>
        </w:rPr>
      </w:pPr>
      <w:r>
        <w:rPr>
          <w:rFonts w:asciiTheme="majorHAnsi" w:hAnsiTheme="majorHAnsi"/>
          <w:szCs w:val="22"/>
        </w:rPr>
        <w:t>CCWA</w:t>
      </w:r>
      <w:r w:rsidRPr="007954F6">
        <w:rPr>
          <w:rFonts w:asciiTheme="majorHAnsi" w:hAnsiTheme="majorHAnsi"/>
          <w:szCs w:val="22"/>
        </w:rPr>
        <w:t xml:space="preserve"> 2013, </w:t>
      </w:r>
      <w:hyperlink r:id="rId71" w:history="1">
        <w:r w:rsidRPr="006C0271">
          <w:rPr>
            <w:rStyle w:val="Hyperlink"/>
            <w:rFonts w:asciiTheme="majorHAnsi" w:hAnsiTheme="majorHAnsi"/>
            <w:color w:val="165788"/>
            <w:szCs w:val="22"/>
          </w:rPr>
          <w:t>Forest Management Plan 2014–2023</w:t>
        </w:r>
      </w:hyperlink>
      <w:r w:rsidRPr="007954F6">
        <w:rPr>
          <w:rFonts w:asciiTheme="majorHAnsi" w:hAnsiTheme="majorHAnsi"/>
          <w:szCs w:val="22"/>
        </w:rPr>
        <w:t>, Conservation Commiss</w:t>
      </w:r>
      <w:r>
        <w:rPr>
          <w:rFonts w:asciiTheme="majorHAnsi" w:hAnsiTheme="majorHAnsi"/>
          <w:szCs w:val="22"/>
        </w:rPr>
        <w:t>ion of Western Australia, Perth.</w:t>
      </w:r>
    </w:p>
    <w:p w14:paraId="2EE5DA6B"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Davey, SM 201</w:t>
      </w:r>
      <w:r>
        <w:rPr>
          <w:rFonts w:asciiTheme="majorHAnsi" w:hAnsiTheme="majorHAnsi"/>
          <w:szCs w:val="22"/>
        </w:rPr>
        <w:t>8</w:t>
      </w:r>
      <w:r w:rsidRPr="007954F6">
        <w:rPr>
          <w:rFonts w:asciiTheme="majorHAnsi" w:hAnsiTheme="majorHAnsi"/>
          <w:szCs w:val="22"/>
        </w:rPr>
        <w:t xml:space="preserve">, </w:t>
      </w:r>
      <w:hyperlink r:id="rId72" w:history="1">
        <w:r w:rsidRPr="006C0271">
          <w:rPr>
            <w:rStyle w:val="Hyperlink"/>
            <w:rFonts w:asciiTheme="majorHAnsi" w:hAnsiTheme="majorHAnsi"/>
            <w:color w:val="165788"/>
            <w:szCs w:val="22"/>
          </w:rPr>
          <w:t>Regional forest agreements: origins, development and contributions</w:t>
        </w:r>
      </w:hyperlink>
      <w:r>
        <w:rPr>
          <w:rFonts w:asciiTheme="majorHAnsi" w:hAnsiTheme="majorHAnsi"/>
          <w:szCs w:val="22"/>
        </w:rPr>
        <w:t xml:space="preserve">, </w:t>
      </w:r>
      <w:r w:rsidRPr="008F0F33">
        <w:rPr>
          <w:rFonts w:asciiTheme="majorHAnsi" w:hAnsiTheme="majorHAnsi"/>
          <w:i/>
          <w:szCs w:val="22"/>
        </w:rPr>
        <w:t>Australian Forestry</w:t>
      </w:r>
      <w:r>
        <w:rPr>
          <w:rFonts w:asciiTheme="majorHAnsi" w:hAnsiTheme="majorHAnsi"/>
          <w:szCs w:val="22"/>
        </w:rPr>
        <w:t>, vol. 81, no. 2, pp. 1–25, April 2018.</w:t>
      </w:r>
    </w:p>
    <w:p w14:paraId="42F8F9F6" w14:textId="77777777" w:rsidR="000E2D33" w:rsidRPr="00D4106B" w:rsidRDefault="000E2D33" w:rsidP="000E2D33">
      <w:pPr>
        <w:spacing w:before="0"/>
        <w:rPr>
          <w:rFonts w:asciiTheme="majorHAnsi" w:hAnsiTheme="majorHAnsi" w:cstheme="minorHAnsi"/>
          <w:szCs w:val="22"/>
        </w:rPr>
      </w:pPr>
      <w:r w:rsidRPr="00D4106B">
        <w:rPr>
          <w:rFonts w:asciiTheme="majorHAnsi" w:hAnsiTheme="majorHAnsi" w:cstheme="minorHAnsi"/>
          <w:szCs w:val="22"/>
        </w:rPr>
        <w:t>Davey</w:t>
      </w:r>
      <w:r>
        <w:rPr>
          <w:rFonts w:asciiTheme="majorHAnsi" w:hAnsiTheme="majorHAnsi" w:cstheme="minorHAnsi"/>
          <w:szCs w:val="22"/>
        </w:rPr>
        <w:t>,</w:t>
      </w:r>
      <w:r w:rsidRPr="00D4106B">
        <w:rPr>
          <w:rFonts w:asciiTheme="majorHAnsi" w:hAnsiTheme="majorHAnsi" w:cstheme="minorHAnsi"/>
          <w:szCs w:val="22"/>
        </w:rPr>
        <w:t xml:space="preserve"> SM, Hoare</w:t>
      </w:r>
      <w:r>
        <w:rPr>
          <w:rFonts w:asciiTheme="majorHAnsi" w:hAnsiTheme="majorHAnsi" w:cstheme="minorHAnsi"/>
          <w:szCs w:val="22"/>
        </w:rPr>
        <w:t>,</w:t>
      </w:r>
      <w:r w:rsidRPr="00D4106B">
        <w:rPr>
          <w:rFonts w:asciiTheme="majorHAnsi" w:hAnsiTheme="majorHAnsi" w:cstheme="minorHAnsi"/>
          <w:szCs w:val="22"/>
        </w:rPr>
        <w:t xml:space="preserve"> JRL, Rumba</w:t>
      </w:r>
      <w:r>
        <w:rPr>
          <w:rFonts w:asciiTheme="majorHAnsi" w:hAnsiTheme="majorHAnsi" w:cstheme="minorHAnsi"/>
          <w:szCs w:val="22"/>
        </w:rPr>
        <w:t>,</w:t>
      </w:r>
      <w:r w:rsidRPr="00D4106B">
        <w:rPr>
          <w:rFonts w:asciiTheme="majorHAnsi" w:hAnsiTheme="majorHAnsi" w:cstheme="minorHAnsi"/>
          <w:szCs w:val="22"/>
        </w:rPr>
        <w:t xml:space="preserve"> KE. 2002. Science and its role in Australian </w:t>
      </w:r>
      <w:r>
        <w:rPr>
          <w:rFonts w:asciiTheme="majorHAnsi" w:hAnsiTheme="majorHAnsi" w:cstheme="minorHAnsi"/>
          <w:szCs w:val="22"/>
        </w:rPr>
        <w:t>r</w:t>
      </w:r>
      <w:r w:rsidRPr="00D4106B">
        <w:rPr>
          <w:rFonts w:asciiTheme="majorHAnsi" w:hAnsiTheme="majorHAnsi" w:cstheme="minorHAnsi"/>
          <w:szCs w:val="22"/>
        </w:rPr>
        <w:t xml:space="preserve">egional </w:t>
      </w:r>
      <w:r>
        <w:rPr>
          <w:rFonts w:asciiTheme="majorHAnsi" w:hAnsiTheme="majorHAnsi" w:cstheme="minorHAnsi"/>
          <w:szCs w:val="22"/>
        </w:rPr>
        <w:t>f</w:t>
      </w:r>
      <w:r w:rsidRPr="00D4106B">
        <w:rPr>
          <w:rFonts w:asciiTheme="majorHAnsi" w:hAnsiTheme="majorHAnsi" w:cstheme="minorHAnsi"/>
          <w:szCs w:val="22"/>
        </w:rPr>
        <w:t xml:space="preserve">orest </w:t>
      </w:r>
      <w:r>
        <w:rPr>
          <w:rFonts w:asciiTheme="majorHAnsi" w:hAnsiTheme="majorHAnsi" w:cstheme="minorHAnsi"/>
          <w:szCs w:val="22"/>
        </w:rPr>
        <w:t>a</w:t>
      </w:r>
      <w:r w:rsidRPr="00D4106B">
        <w:rPr>
          <w:rFonts w:asciiTheme="majorHAnsi" w:hAnsiTheme="majorHAnsi" w:cstheme="minorHAnsi"/>
          <w:szCs w:val="22"/>
        </w:rPr>
        <w:t>greements</w:t>
      </w:r>
      <w:r>
        <w:rPr>
          <w:rFonts w:asciiTheme="majorHAnsi" w:hAnsiTheme="majorHAnsi" w:cstheme="minorHAnsi"/>
          <w:szCs w:val="22"/>
        </w:rPr>
        <w:t>,</w:t>
      </w:r>
      <w:r w:rsidRPr="00D4106B">
        <w:rPr>
          <w:rFonts w:asciiTheme="majorHAnsi" w:hAnsiTheme="majorHAnsi" w:cstheme="minorHAnsi"/>
          <w:szCs w:val="22"/>
        </w:rPr>
        <w:t xml:space="preserve"> </w:t>
      </w:r>
      <w:r w:rsidRPr="00D4106B">
        <w:rPr>
          <w:rFonts w:asciiTheme="majorHAnsi" w:hAnsiTheme="majorHAnsi" w:cstheme="minorHAnsi"/>
          <w:i/>
          <w:szCs w:val="22"/>
        </w:rPr>
        <w:t>International Forestry Review</w:t>
      </w:r>
      <w:r>
        <w:rPr>
          <w:rFonts w:asciiTheme="majorHAnsi" w:hAnsiTheme="majorHAnsi" w:cstheme="minorHAnsi"/>
          <w:szCs w:val="22"/>
        </w:rPr>
        <w:t>,</w:t>
      </w:r>
      <w:r w:rsidRPr="00D4106B">
        <w:rPr>
          <w:rFonts w:asciiTheme="majorHAnsi" w:hAnsiTheme="majorHAnsi" w:cstheme="minorHAnsi"/>
          <w:szCs w:val="22"/>
        </w:rPr>
        <w:t xml:space="preserve"> </w:t>
      </w:r>
      <w:r>
        <w:rPr>
          <w:rFonts w:asciiTheme="majorHAnsi" w:hAnsiTheme="majorHAnsi" w:cstheme="minorHAnsi"/>
          <w:szCs w:val="22"/>
        </w:rPr>
        <w:t xml:space="preserve">vol. </w:t>
      </w:r>
      <w:r w:rsidRPr="00D4106B">
        <w:rPr>
          <w:rFonts w:asciiTheme="majorHAnsi" w:hAnsiTheme="majorHAnsi" w:cstheme="minorHAnsi"/>
          <w:szCs w:val="22"/>
        </w:rPr>
        <w:t>4</w:t>
      </w:r>
      <w:r>
        <w:rPr>
          <w:rFonts w:asciiTheme="majorHAnsi" w:hAnsiTheme="majorHAnsi" w:cstheme="minorHAnsi"/>
          <w:szCs w:val="22"/>
        </w:rPr>
        <w:t xml:space="preserve">, no. 1, pp. </w:t>
      </w:r>
      <w:r w:rsidRPr="00D4106B">
        <w:rPr>
          <w:rFonts w:asciiTheme="majorHAnsi" w:hAnsiTheme="majorHAnsi" w:cstheme="minorHAnsi"/>
          <w:szCs w:val="22"/>
        </w:rPr>
        <w:t xml:space="preserve">39–55. </w:t>
      </w:r>
    </w:p>
    <w:p w14:paraId="649A29F5" w14:textId="77777777" w:rsidR="000E2D33" w:rsidRPr="007954F6" w:rsidRDefault="000E2D33" w:rsidP="000E2D33">
      <w:pPr>
        <w:spacing w:before="0"/>
        <w:rPr>
          <w:rFonts w:asciiTheme="majorHAnsi" w:hAnsiTheme="majorHAnsi"/>
          <w:szCs w:val="22"/>
        </w:rPr>
      </w:pPr>
      <w:r w:rsidRPr="007954F6">
        <w:rPr>
          <w:rFonts w:asciiTheme="majorHAnsi" w:hAnsiTheme="majorHAnsi"/>
          <w:szCs w:val="22"/>
        </w:rPr>
        <w:t>Davidson</w:t>
      </w:r>
      <w:r>
        <w:rPr>
          <w:rFonts w:asciiTheme="majorHAnsi" w:hAnsiTheme="majorHAnsi"/>
          <w:szCs w:val="22"/>
        </w:rPr>
        <w:t>,</w:t>
      </w:r>
      <w:r w:rsidRPr="007954F6">
        <w:rPr>
          <w:rFonts w:asciiTheme="majorHAnsi" w:hAnsiTheme="majorHAnsi"/>
          <w:szCs w:val="22"/>
        </w:rPr>
        <w:t xml:space="preserve"> J, Davey</w:t>
      </w:r>
      <w:r>
        <w:rPr>
          <w:rFonts w:asciiTheme="majorHAnsi" w:hAnsiTheme="majorHAnsi"/>
          <w:szCs w:val="22"/>
        </w:rPr>
        <w:t>,</w:t>
      </w:r>
      <w:r w:rsidRPr="007954F6">
        <w:rPr>
          <w:rFonts w:asciiTheme="majorHAnsi" w:hAnsiTheme="majorHAnsi"/>
          <w:szCs w:val="22"/>
        </w:rPr>
        <w:t xml:space="preserve"> S, Singh</w:t>
      </w:r>
      <w:r>
        <w:rPr>
          <w:rFonts w:asciiTheme="majorHAnsi" w:hAnsiTheme="majorHAnsi"/>
          <w:szCs w:val="22"/>
        </w:rPr>
        <w:t>,</w:t>
      </w:r>
      <w:r w:rsidRPr="007954F6">
        <w:rPr>
          <w:rFonts w:asciiTheme="majorHAnsi" w:hAnsiTheme="majorHAnsi"/>
          <w:szCs w:val="22"/>
        </w:rPr>
        <w:t xml:space="preserve"> S, Parsons</w:t>
      </w:r>
      <w:r>
        <w:rPr>
          <w:rFonts w:asciiTheme="majorHAnsi" w:hAnsiTheme="majorHAnsi"/>
          <w:szCs w:val="22"/>
        </w:rPr>
        <w:t>,</w:t>
      </w:r>
      <w:r w:rsidRPr="007954F6">
        <w:rPr>
          <w:rFonts w:asciiTheme="majorHAnsi" w:hAnsiTheme="majorHAnsi"/>
          <w:szCs w:val="22"/>
        </w:rPr>
        <w:t xml:space="preserve"> M, Stokes</w:t>
      </w:r>
      <w:r>
        <w:rPr>
          <w:rFonts w:asciiTheme="majorHAnsi" w:hAnsiTheme="majorHAnsi"/>
          <w:szCs w:val="22"/>
        </w:rPr>
        <w:t>,</w:t>
      </w:r>
      <w:r w:rsidRPr="007954F6">
        <w:rPr>
          <w:rFonts w:asciiTheme="majorHAnsi" w:hAnsiTheme="majorHAnsi"/>
          <w:szCs w:val="22"/>
        </w:rPr>
        <w:t xml:space="preserve"> B &amp; Gerrand</w:t>
      </w:r>
      <w:r>
        <w:rPr>
          <w:rFonts w:asciiTheme="majorHAnsi" w:hAnsiTheme="majorHAnsi"/>
          <w:szCs w:val="22"/>
        </w:rPr>
        <w:t>,</w:t>
      </w:r>
      <w:r w:rsidRPr="007954F6">
        <w:rPr>
          <w:rFonts w:asciiTheme="majorHAnsi" w:hAnsiTheme="majorHAnsi"/>
          <w:szCs w:val="22"/>
        </w:rPr>
        <w:t xml:space="preserve"> A 2008, </w:t>
      </w:r>
      <w:hyperlink r:id="rId73" w:history="1">
        <w:r w:rsidRPr="008F0F33">
          <w:rPr>
            <w:rStyle w:val="Hyperlink"/>
            <w:rFonts w:asciiTheme="majorHAnsi" w:hAnsiTheme="majorHAnsi"/>
            <w:color w:val="165788"/>
            <w:szCs w:val="22"/>
          </w:rPr>
          <w:t>The Changing Face of Australia’s Forests</w:t>
        </w:r>
      </w:hyperlink>
      <w:r w:rsidRPr="007954F6">
        <w:rPr>
          <w:rFonts w:asciiTheme="majorHAnsi" w:hAnsiTheme="majorHAnsi"/>
          <w:szCs w:val="22"/>
        </w:rPr>
        <w:t>, Bur</w:t>
      </w:r>
      <w:r>
        <w:rPr>
          <w:rFonts w:asciiTheme="majorHAnsi" w:hAnsiTheme="majorHAnsi"/>
          <w:szCs w:val="22"/>
        </w:rPr>
        <w:t>eau of Rural Sciences, Canberra.</w:t>
      </w:r>
    </w:p>
    <w:p w14:paraId="094882CF" w14:textId="77777777" w:rsidR="000E2D33" w:rsidRPr="007954F6" w:rsidRDefault="000E2D33" w:rsidP="000E2D33">
      <w:pPr>
        <w:spacing w:before="0"/>
        <w:rPr>
          <w:rFonts w:asciiTheme="majorHAnsi" w:eastAsiaTheme="minorEastAsia" w:hAnsiTheme="majorHAnsi"/>
          <w:szCs w:val="22"/>
        </w:rPr>
      </w:pPr>
      <w:r w:rsidRPr="007954F6">
        <w:rPr>
          <w:rFonts w:asciiTheme="majorHAnsi" w:hAnsiTheme="majorHAnsi"/>
          <w:snapToGrid w:val="0"/>
          <w:szCs w:val="22"/>
        </w:rPr>
        <w:t xml:space="preserve">DEC and CCWA 2008, </w:t>
      </w:r>
      <w:hyperlink r:id="rId74" w:history="1">
        <w:r w:rsidRPr="008671E3">
          <w:rPr>
            <w:rStyle w:val="Hyperlink"/>
            <w:rFonts w:asciiTheme="majorHAnsi" w:hAnsiTheme="majorHAnsi"/>
            <w:snapToGrid w:val="0"/>
            <w:color w:val="165788"/>
            <w:szCs w:val="22"/>
          </w:rPr>
          <w:t>Walpole Wilderness and Adjacent Parks and Reserves Management Plan 2008</w:t>
        </w:r>
      </w:hyperlink>
      <w:r>
        <w:rPr>
          <w:rFonts w:asciiTheme="majorHAnsi" w:hAnsiTheme="majorHAnsi"/>
          <w:snapToGrid w:val="0"/>
          <w:szCs w:val="22"/>
        </w:rPr>
        <w:t>,</w:t>
      </w:r>
      <w:r w:rsidRPr="007954F6">
        <w:rPr>
          <w:rFonts w:asciiTheme="majorHAnsi" w:hAnsiTheme="majorHAnsi"/>
          <w:snapToGrid w:val="0"/>
          <w:szCs w:val="22"/>
        </w:rPr>
        <w:t xml:space="preserve"> </w:t>
      </w:r>
      <w:r>
        <w:rPr>
          <w:rFonts w:asciiTheme="majorHAnsi" w:hAnsiTheme="majorHAnsi"/>
          <w:snapToGrid w:val="0"/>
          <w:szCs w:val="22"/>
        </w:rPr>
        <w:t xml:space="preserve">WA </w:t>
      </w:r>
      <w:r w:rsidRPr="007954F6">
        <w:rPr>
          <w:rFonts w:asciiTheme="majorHAnsi" w:hAnsiTheme="majorHAnsi"/>
          <w:snapToGrid w:val="0"/>
          <w:szCs w:val="22"/>
        </w:rPr>
        <w:t>Department of Environment and Conservation and Conservation Commissi</w:t>
      </w:r>
      <w:r>
        <w:rPr>
          <w:rFonts w:asciiTheme="majorHAnsi" w:hAnsiTheme="majorHAnsi"/>
          <w:snapToGrid w:val="0"/>
          <w:szCs w:val="22"/>
        </w:rPr>
        <w:t>on of Western Australia, Perth.</w:t>
      </w:r>
    </w:p>
    <w:p w14:paraId="3DCEFAC5" w14:textId="77777777" w:rsidR="000E2D33" w:rsidRPr="007954F6" w:rsidRDefault="000E2D33" w:rsidP="000E2D33">
      <w:pPr>
        <w:pStyle w:val="dot-dash"/>
        <w:tabs>
          <w:tab w:val="left" w:pos="560"/>
        </w:tabs>
        <w:spacing w:before="0"/>
        <w:ind w:left="0" w:right="0" w:firstLine="0"/>
        <w:jc w:val="left"/>
        <w:rPr>
          <w:rFonts w:asciiTheme="majorHAnsi" w:hAnsiTheme="majorHAnsi"/>
          <w:szCs w:val="22"/>
        </w:rPr>
      </w:pPr>
      <w:r w:rsidRPr="007954F6">
        <w:rPr>
          <w:rFonts w:asciiTheme="majorHAnsi" w:hAnsiTheme="majorHAnsi"/>
          <w:szCs w:val="22"/>
        </w:rPr>
        <w:t xml:space="preserve">DNRE 2002, </w:t>
      </w:r>
      <w:r w:rsidRPr="008671E3">
        <w:rPr>
          <w:rFonts w:asciiTheme="majorHAnsi" w:hAnsiTheme="majorHAnsi"/>
          <w:i/>
          <w:szCs w:val="22"/>
        </w:rPr>
        <w:t>Our forests, our future: balancing the need of the community, jobs and the environment: estimates of sawlog resources</w:t>
      </w:r>
      <w:r>
        <w:rPr>
          <w:rFonts w:asciiTheme="majorHAnsi" w:hAnsiTheme="majorHAnsi"/>
          <w:szCs w:val="22"/>
        </w:rPr>
        <w:t>. Victoria</w:t>
      </w:r>
      <w:r w:rsidRPr="007954F6">
        <w:rPr>
          <w:rFonts w:asciiTheme="majorHAnsi" w:hAnsiTheme="majorHAnsi"/>
          <w:szCs w:val="22"/>
        </w:rPr>
        <w:t xml:space="preserve"> Department of Natural Resources and Environment, East Melbourne</w:t>
      </w:r>
      <w:r>
        <w:rPr>
          <w:rFonts w:asciiTheme="majorHAnsi" w:hAnsiTheme="majorHAnsi"/>
          <w:szCs w:val="22"/>
        </w:rPr>
        <w:t>.</w:t>
      </w:r>
    </w:p>
    <w:p w14:paraId="48771A8D"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 xml:space="preserve">Dunphy, F, Spencer, RD </w:t>
      </w:r>
      <w:r>
        <w:rPr>
          <w:rFonts w:asciiTheme="majorHAnsi" w:hAnsiTheme="majorHAnsi"/>
          <w:szCs w:val="22"/>
        </w:rPr>
        <w:t>&amp;</w:t>
      </w:r>
      <w:r w:rsidRPr="007954F6">
        <w:rPr>
          <w:rFonts w:asciiTheme="majorHAnsi" w:hAnsiTheme="majorHAnsi"/>
          <w:szCs w:val="22"/>
        </w:rPr>
        <w:t xml:space="preserve"> Rumba, K 2000, </w:t>
      </w:r>
      <w:r w:rsidRPr="008671E3">
        <w:rPr>
          <w:rFonts w:asciiTheme="majorHAnsi" w:hAnsiTheme="majorHAnsi"/>
          <w:i/>
          <w:szCs w:val="22"/>
        </w:rPr>
        <w:t>Conservation Criteria and Achievements in Regional Forest Agreements: A review</w:t>
      </w:r>
      <w:r w:rsidRPr="007954F6">
        <w:rPr>
          <w:rFonts w:asciiTheme="majorHAnsi" w:hAnsiTheme="majorHAnsi"/>
          <w:szCs w:val="22"/>
        </w:rPr>
        <w:t xml:space="preserve">. Bureau of </w:t>
      </w:r>
      <w:r>
        <w:rPr>
          <w:rFonts w:asciiTheme="majorHAnsi" w:hAnsiTheme="majorHAnsi"/>
          <w:szCs w:val="22"/>
        </w:rPr>
        <w:t>Rural Sciences, Canberra.</w:t>
      </w:r>
    </w:p>
    <w:p w14:paraId="1C427BE6"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Ferguson</w:t>
      </w:r>
      <w:r>
        <w:rPr>
          <w:rFonts w:asciiTheme="majorHAnsi" w:hAnsiTheme="majorHAnsi"/>
          <w:szCs w:val="22"/>
        </w:rPr>
        <w:t>,</w:t>
      </w:r>
      <w:r w:rsidRPr="007954F6">
        <w:rPr>
          <w:rFonts w:asciiTheme="majorHAnsi" w:hAnsiTheme="majorHAnsi"/>
          <w:szCs w:val="22"/>
        </w:rPr>
        <w:t xml:space="preserve"> IS 2012, </w:t>
      </w:r>
      <w:hyperlink r:id="rId75" w:history="1">
        <w:r w:rsidRPr="008671E3">
          <w:rPr>
            <w:rStyle w:val="Hyperlink"/>
            <w:rFonts w:asciiTheme="majorHAnsi" w:hAnsiTheme="majorHAnsi"/>
            <w:color w:val="165788"/>
            <w:szCs w:val="22"/>
          </w:rPr>
          <w:t>Forestry Tasmania’s sustainable yield under the Australian Forestry Standard</w:t>
        </w:r>
      </w:hyperlink>
      <w:r>
        <w:rPr>
          <w:rFonts w:asciiTheme="majorHAnsi" w:hAnsiTheme="majorHAnsi"/>
          <w:szCs w:val="22"/>
        </w:rPr>
        <w:t>,</w:t>
      </w:r>
      <w:r w:rsidRPr="007954F6">
        <w:rPr>
          <w:rFonts w:asciiTheme="majorHAnsi" w:hAnsiTheme="majorHAnsi"/>
          <w:szCs w:val="22"/>
        </w:rPr>
        <w:t xml:space="preserve"> </w:t>
      </w:r>
      <w:r>
        <w:rPr>
          <w:rFonts w:asciiTheme="majorHAnsi" w:hAnsiTheme="majorHAnsi"/>
          <w:szCs w:val="22"/>
        </w:rPr>
        <w:t>NSC International.</w:t>
      </w:r>
    </w:p>
    <w:p w14:paraId="3D97F6E1"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Ferguson</w:t>
      </w:r>
      <w:r>
        <w:rPr>
          <w:rFonts w:asciiTheme="majorHAnsi" w:hAnsiTheme="majorHAnsi"/>
          <w:szCs w:val="22"/>
        </w:rPr>
        <w:t>,</w:t>
      </w:r>
      <w:r w:rsidRPr="007954F6">
        <w:rPr>
          <w:rFonts w:asciiTheme="majorHAnsi" w:hAnsiTheme="majorHAnsi"/>
          <w:szCs w:val="22"/>
        </w:rPr>
        <w:t xml:space="preserve"> I, Adams</w:t>
      </w:r>
      <w:r>
        <w:rPr>
          <w:rFonts w:asciiTheme="majorHAnsi" w:hAnsiTheme="majorHAnsi"/>
          <w:szCs w:val="22"/>
        </w:rPr>
        <w:t>,</w:t>
      </w:r>
      <w:r w:rsidRPr="007954F6">
        <w:rPr>
          <w:rFonts w:asciiTheme="majorHAnsi" w:hAnsiTheme="majorHAnsi"/>
          <w:szCs w:val="22"/>
        </w:rPr>
        <w:t xml:space="preserve"> M, Bradshaw</w:t>
      </w:r>
      <w:r>
        <w:rPr>
          <w:rFonts w:asciiTheme="majorHAnsi" w:hAnsiTheme="majorHAnsi"/>
          <w:szCs w:val="22"/>
        </w:rPr>
        <w:t>,</w:t>
      </w:r>
      <w:r w:rsidRPr="007954F6">
        <w:rPr>
          <w:rFonts w:asciiTheme="majorHAnsi" w:hAnsiTheme="majorHAnsi"/>
          <w:szCs w:val="22"/>
        </w:rPr>
        <w:t xml:space="preserve"> J, Davey S, McCormack R </w:t>
      </w:r>
      <w:r>
        <w:rPr>
          <w:rFonts w:asciiTheme="majorHAnsi" w:hAnsiTheme="majorHAnsi"/>
          <w:szCs w:val="22"/>
        </w:rPr>
        <w:t>&amp;</w:t>
      </w:r>
      <w:r w:rsidRPr="007954F6">
        <w:rPr>
          <w:rFonts w:asciiTheme="majorHAnsi" w:hAnsiTheme="majorHAnsi"/>
          <w:szCs w:val="22"/>
        </w:rPr>
        <w:t xml:space="preserve"> Young J 2001, Calculating Sustained Yield for the Forest Management Plan 2004-2013. A Preliminary Review. Western Australian Conservation Commission. </w:t>
      </w:r>
    </w:p>
    <w:p w14:paraId="09E6E4CB"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Ferguson</w:t>
      </w:r>
      <w:r>
        <w:rPr>
          <w:rFonts w:asciiTheme="majorHAnsi" w:hAnsiTheme="majorHAnsi"/>
          <w:szCs w:val="22"/>
        </w:rPr>
        <w:t>,</w:t>
      </w:r>
      <w:r w:rsidRPr="007954F6">
        <w:rPr>
          <w:rFonts w:asciiTheme="majorHAnsi" w:hAnsiTheme="majorHAnsi"/>
          <w:szCs w:val="22"/>
        </w:rPr>
        <w:t xml:space="preserve"> I, Adams</w:t>
      </w:r>
      <w:r>
        <w:rPr>
          <w:rFonts w:asciiTheme="majorHAnsi" w:hAnsiTheme="majorHAnsi"/>
          <w:szCs w:val="22"/>
        </w:rPr>
        <w:t>,</w:t>
      </w:r>
      <w:r w:rsidRPr="007954F6">
        <w:rPr>
          <w:rFonts w:asciiTheme="majorHAnsi" w:hAnsiTheme="majorHAnsi"/>
          <w:szCs w:val="22"/>
        </w:rPr>
        <w:t xml:space="preserve"> M, Bradshaw</w:t>
      </w:r>
      <w:r>
        <w:rPr>
          <w:rFonts w:asciiTheme="majorHAnsi" w:hAnsiTheme="majorHAnsi"/>
          <w:szCs w:val="22"/>
        </w:rPr>
        <w:t>,</w:t>
      </w:r>
      <w:r w:rsidRPr="007954F6">
        <w:rPr>
          <w:rFonts w:asciiTheme="majorHAnsi" w:hAnsiTheme="majorHAnsi"/>
          <w:szCs w:val="22"/>
        </w:rPr>
        <w:t xml:space="preserve"> J, Davey</w:t>
      </w:r>
      <w:r>
        <w:rPr>
          <w:rFonts w:asciiTheme="majorHAnsi" w:hAnsiTheme="majorHAnsi"/>
          <w:szCs w:val="22"/>
        </w:rPr>
        <w:t>,</w:t>
      </w:r>
      <w:r w:rsidRPr="007954F6">
        <w:rPr>
          <w:rFonts w:asciiTheme="majorHAnsi" w:hAnsiTheme="majorHAnsi"/>
          <w:szCs w:val="22"/>
        </w:rPr>
        <w:t xml:space="preserve"> S, McCormack</w:t>
      </w:r>
      <w:r>
        <w:rPr>
          <w:rFonts w:asciiTheme="majorHAnsi" w:hAnsiTheme="majorHAnsi"/>
          <w:szCs w:val="22"/>
        </w:rPr>
        <w:t>,</w:t>
      </w:r>
      <w:r w:rsidRPr="007954F6">
        <w:rPr>
          <w:rFonts w:asciiTheme="majorHAnsi" w:hAnsiTheme="majorHAnsi"/>
          <w:szCs w:val="22"/>
        </w:rPr>
        <w:t xml:space="preserve"> R </w:t>
      </w:r>
      <w:r>
        <w:rPr>
          <w:rFonts w:asciiTheme="majorHAnsi" w:hAnsiTheme="majorHAnsi"/>
          <w:szCs w:val="22"/>
        </w:rPr>
        <w:t>&amp;</w:t>
      </w:r>
      <w:r w:rsidRPr="007954F6">
        <w:rPr>
          <w:rFonts w:asciiTheme="majorHAnsi" w:hAnsiTheme="majorHAnsi"/>
          <w:szCs w:val="22"/>
        </w:rPr>
        <w:t xml:space="preserve"> Young</w:t>
      </w:r>
      <w:r>
        <w:rPr>
          <w:rFonts w:asciiTheme="majorHAnsi" w:hAnsiTheme="majorHAnsi"/>
          <w:szCs w:val="22"/>
        </w:rPr>
        <w:t>,</w:t>
      </w:r>
      <w:r w:rsidRPr="007954F6">
        <w:rPr>
          <w:rFonts w:asciiTheme="majorHAnsi" w:hAnsiTheme="majorHAnsi"/>
          <w:szCs w:val="22"/>
        </w:rPr>
        <w:t xml:space="preserve"> J 2003, Calculating Sustained Yield for the Forest Management Plan 2004</w:t>
      </w:r>
      <w:r w:rsidRPr="007954F6">
        <w:rPr>
          <w:rFonts w:asciiTheme="majorHAnsi" w:hAnsiTheme="majorHAnsi" w:cs="AdvTT5235d5a9"/>
          <w:color w:val="000000"/>
          <w:szCs w:val="22"/>
        </w:rPr>
        <w:t>–</w:t>
      </w:r>
      <w:r w:rsidRPr="007954F6">
        <w:rPr>
          <w:rFonts w:asciiTheme="majorHAnsi" w:hAnsiTheme="majorHAnsi"/>
          <w:szCs w:val="22"/>
        </w:rPr>
        <w:t>2013. Stage 3 Report. Western Australian Conservation Commission, (June 2003).</w:t>
      </w:r>
    </w:p>
    <w:p w14:paraId="79E3E50F" w14:textId="77777777" w:rsidR="000E2D33" w:rsidRPr="008671E3" w:rsidRDefault="000E2D33" w:rsidP="000E2D33">
      <w:pPr>
        <w:spacing w:before="0" w:line="280" w:lineRule="atLeast"/>
        <w:rPr>
          <w:rFonts w:asciiTheme="majorHAnsi" w:hAnsiTheme="majorHAnsi"/>
          <w:szCs w:val="22"/>
        </w:rPr>
      </w:pPr>
      <w:r w:rsidRPr="007954F6">
        <w:rPr>
          <w:rFonts w:asciiTheme="majorHAnsi" w:hAnsiTheme="majorHAnsi"/>
          <w:szCs w:val="22"/>
        </w:rPr>
        <w:lastRenderedPageBreak/>
        <w:t>Ferguson</w:t>
      </w:r>
      <w:r>
        <w:rPr>
          <w:rFonts w:asciiTheme="majorHAnsi" w:hAnsiTheme="majorHAnsi"/>
          <w:szCs w:val="22"/>
        </w:rPr>
        <w:t>,</w:t>
      </w:r>
      <w:r w:rsidRPr="007954F6">
        <w:rPr>
          <w:rFonts w:asciiTheme="majorHAnsi" w:hAnsiTheme="majorHAnsi"/>
          <w:szCs w:val="22"/>
        </w:rPr>
        <w:t xml:space="preserve"> I, Dell</w:t>
      </w:r>
      <w:r>
        <w:rPr>
          <w:rFonts w:asciiTheme="majorHAnsi" w:hAnsiTheme="majorHAnsi"/>
          <w:szCs w:val="22"/>
        </w:rPr>
        <w:t>,</w:t>
      </w:r>
      <w:r w:rsidRPr="007954F6">
        <w:rPr>
          <w:rFonts w:asciiTheme="majorHAnsi" w:hAnsiTheme="majorHAnsi"/>
          <w:szCs w:val="22"/>
        </w:rPr>
        <w:t xml:space="preserve"> B </w:t>
      </w:r>
      <w:r>
        <w:rPr>
          <w:rFonts w:asciiTheme="majorHAnsi" w:hAnsiTheme="majorHAnsi"/>
          <w:szCs w:val="22"/>
        </w:rPr>
        <w:t>&amp;</w:t>
      </w:r>
      <w:r w:rsidRPr="007954F6">
        <w:rPr>
          <w:rFonts w:asciiTheme="majorHAnsi" w:hAnsiTheme="majorHAnsi"/>
          <w:szCs w:val="22"/>
        </w:rPr>
        <w:t xml:space="preserve"> Vanclay</w:t>
      </w:r>
      <w:r>
        <w:rPr>
          <w:rFonts w:asciiTheme="majorHAnsi" w:hAnsiTheme="majorHAnsi"/>
          <w:szCs w:val="22"/>
        </w:rPr>
        <w:t>,</w:t>
      </w:r>
      <w:r w:rsidRPr="007954F6">
        <w:rPr>
          <w:rFonts w:asciiTheme="majorHAnsi" w:hAnsiTheme="majorHAnsi"/>
          <w:szCs w:val="22"/>
        </w:rPr>
        <w:t xml:space="preserve"> J 2013, </w:t>
      </w:r>
      <w:hyperlink r:id="rId76" w:history="1">
        <w:r w:rsidRPr="008671E3">
          <w:rPr>
            <w:rStyle w:val="Hyperlink"/>
            <w:rFonts w:asciiTheme="majorHAnsi" w:hAnsiTheme="majorHAnsi"/>
            <w:color w:val="165788"/>
            <w:szCs w:val="22"/>
          </w:rPr>
          <w:t>Calculating the sustained yield for the south-west native forests of Western Australia</w:t>
        </w:r>
      </w:hyperlink>
      <w:r>
        <w:rPr>
          <w:rFonts w:asciiTheme="majorHAnsi" w:hAnsiTheme="majorHAnsi"/>
          <w:szCs w:val="22"/>
        </w:rPr>
        <w:t>,</w:t>
      </w:r>
      <w:r w:rsidRPr="007954F6">
        <w:rPr>
          <w:rFonts w:asciiTheme="majorHAnsi" w:hAnsiTheme="majorHAnsi"/>
          <w:szCs w:val="22"/>
        </w:rPr>
        <w:t xml:space="preserve"> Conservation Commission </w:t>
      </w:r>
      <w:r>
        <w:rPr>
          <w:rFonts w:asciiTheme="majorHAnsi" w:hAnsiTheme="majorHAnsi"/>
          <w:szCs w:val="22"/>
        </w:rPr>
        <w:t>of Western Australia and WA Department of Environment and Conservation</w:t>
      </w:r>
      <w:r w:rsidRPr="007954F6">
        <w:rPr>
          <w:rFonts w:asciiTheme="majorHAnsi" w:hAnsiTheme="majorHAnsi"/>
          <w:szCs w:val="22"/>
        </w:rPr>
        <w:t>, Pert</w:t>
      </w:r>
      <w:r w:rsidRPr="008671E3">
        <w:rPr>
          <w:rFonts w:asciiTheme="majorHAnsi" w:hAnsiTheme="majorHAnsi"/>
          <w:szCs w:val="22"/>
        </w:rPr>
        <w:t>h</w:t>
      </w:r>
      <w:r w:rsidRPr="008671E3">
        <w:rPr>
          <w:rStyle w:val="Hyperlink"/>
          <w:rFonts w:asciiTheme="majorHAnsi" w:hAnsiTheme="majorHAnsi"/>
          <w:color w:val="auto"/>
          <w:szCs w:val="22"/>
          <w:u w:val="none"/>
        </w:rPr>
        <w:t>.</w:t>
      </w:r>
    </w:p>
    <w:p w14:paraId="36D75BD3"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Forest P</w:t>
      </w:r>
      <w:r>
        <w:rPr>
          <w:rFonts w:asciiTheme="majorHAnsi" w:hAnsiTheme="majorHAnsi"/>
          <w:szCs w:val="22"/>
        </w:rPr>
        <w:t>ractices Authority Tasmania 2017</w:t>
      </w:r>
      <w:r w:rsidRPr="007954F6">
        <w:rPr>
          <w:rFonts w:asciiTheme="majorHAnsi" w:hAnsiTheme="majorHAnsi"/>
          <w:szCs w:val="22"/>
        </w:rPr>
        <w:t xml:space="preserve">, </w:t>
      </w:r>
      <w:hyperlink r:id="rId77" w:history="1">
        <w:r w:rsidRPr="009A16B4">
          <w:rPr>
            <w:rStyle w:val="Hyperlink"/>
            <w:rFonts w:asciiTheme="majorHAnsi" w:hAnsiTheme="majorHAnsi"/>
            <w:color w:val="165788"/>
            <w:szCs w:val="22"/>
          </w:rPr>
          <w:t>State of the forests Tasmania 2017</w:t>
        </w:r>
      </w:hyperlink>
      <w:r w:rsidRPr="007954F6">
        <w:rPr>
          <w:rFonts w:asciiTheme="majorHAnsi" w:hAnsiTheme="majorHAnsi"/>
          <w:szCs w:val="22"/>
        </w:rPr>
        <w:t>. For</w:t>
      </w:r>
      <w:r>
        <w:rPr>
          <w:rFonts w:asciiTheme="majorHAnsi" w:hAnsiTheme="majorHAnsi"/>
          <w:szCs w:val="22"/>
        </w:rPr>
        <w:t>est Practices Authority, Hobart.</w:t>
      </w:r>
    </w:p>
    <w:p w14:paraId="7EEA6C5D"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 xml:space="preserve">Forestry Tasmania 1998, </w:t>
      </w:r>
      <w:r w:rsidRPr="00E3005C">
        <w:rPr>
          <w:rFonts w:asciiTheme="majorHAnsi" w:hAnsiTheme="majorHAnsi"/>
          <w:i/>
          <w:szCs w:val="22"/>
        </w:rPr>
        <w:t>Post-RFA Review of Sustainable High Quality Eucalypt Sawlog Supply from Tasmanian State Forest</w:t>
      </w:r>
      <w:r w:rsidRPr="007954F6">
        <w:rPr>
          <w:rFonts w:asciiTheme="majorHAnsi" w:hAnsiTheme="majorHAnsi"/>
          <w:szCs w:val="22"/>
        </w:rPr>
        <w:t>. Planning Branch, Forestry Tasmania, Hobart.</w:t>
      </w:r>
    </w:p>
    <w:p w14:paraId="024C2D44"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 xml:space="preserve">Forestry Tasmania 2002, </w:t>
      </w:r>
      <w:r w:rsidRPr="00E3005C">
        <w:rPr>
          <w:rFonts w:asciiTheme="majorHAnsi" w:hAnsiTheme="majorHAnsi"/>
          <w:i/>
          <w:szCs w:val="22"/>
        </w:rPr>
        <w:t>Sustainable High Quality Eucalypt Sawlog Supply from Tasmanian State Forest – Review No</w:t>
      </w:r>
      <w:r>
        <w:rPr>
          <w:rFonts w:asciiTheme="majorHAnsi" w:hAnsiTheme="majorHAnsi"/>
          <w:i/>
          <w:szCs w:val="22"/>
        </w:rPr>
        <w:t>.</w:t>
      </w:r>
      <w:r w:rsidRPr="00E3005C">
        <w:rPr>
          <w:rFonts w:asciiTheme="majorHAnsi" w:hAnsiTheme="majorHAnsi"/>
          <w:i/>
          <w:szCs w:val="22"/>
        </w:rPr>
        <w:t xml:space="preserve"> 2</w:t>
      </w:r>
      <w:r w:rsidRPr="007954F6">
        <w:rPr>
          <w:rFonts w:asciiTheme="majorHAnsi" w:hAnsiTheme="majorHAnsi"/>
          <w:szCs w:val="22"/>
        </w:rPr>
        <w:t>. Planning Branch, Forestry Tasmania, Hobart.</w:t>
      </w:r>
    </w:p>
    <w:p w14:paraId="3F713862"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 xml:space="preserve">Forestry Tasmania 2007, </w:t>
      </w:r>
      <w:r w:rsidRPr="00E3005C">
        <w:rPr>
          <w:rFonts w:asciiTheme="majorHAnsi" w:hAnsiTheme="majorHAnsi"/>
          <w:i/>
          <w:iCs/>
          <w:szCs w:val="22"/>
        </w:rPr>
        <w:t>Sustainable High Quality Eucalypt Sawlog Supply from Tasmanian State Forest – Review No</w:t>
      </w:r>
      <w:r>
        <w:rPr>
          <w:rFonts w:asciiTheme="majorHAnsi" w:hAnsiTheme="majorHAnsi"/>
          <w:i/>
          <w:iCs/>
          <w:szCs w:val="22"/>
        </w:rPr>
        <w:t>.</w:t>
      </w:r>
      <w:r w:rsidRPr="00E3005C">
        <w:rPr>
          <w:rFonts w:asciiTheme="majorHAnsi" w:hAnsiTheme="majorHAnsi"/>
          <w:i/>
          <w:iCs/>
          <w:szCs w:val="22"/>
        </w:rPr>
        <w:t xml:space="preserve"> 3</w:t>
      </w:r>
      <w:r>
        <w:rPr>
          <w:rFonts w:asciiTheme="majorHAnsi" w:hAnsiTheme="majorHAnsi"/>
          <w:szCs w:val="22"/>
        </w:rPr>
        <w:t>,</w:t>
      </w:r>
      <w:r w:rsidRPr="007954F6">
        <w:rPr>
          <w:rFonts w:asciiTheme="majorHAnsi" w:hAnsiTheme="majorHAnsi"/>
          <w:szCs w:val="22"/>
        </w:rPr>
        <w:t xml:space="preserve"> Planning Branch, Forestry Tasmania, Hobart. </w:t>
      </w:r>
    </w:p>
    <w:p w14:paraId="758CE7A9" w14:textId="77777777" w:rsidR="000E2D33" w:rsidRDefault="000E2D33" w:rsidP="000E2D33">
      <w:pPr>
        <w:pStyle w:val="dot-dash"/>
        <w:tabs>
          <w:tab w:val="left" w:pos="560"/>
        </w:tabs>
        <w:spacing w:before="0"/>
        <w:ind w:left="0" w:right="0" w:firstLine="0"/>
        <w:jc w:val="left"/>
        <w:rPr>
          <w:rFonts w:asciiTheme="majorHAnsi" w:hAnsiTheme="majorHAnsi"/>
          <w:szCs w:val="22"/>
        </w:rPr>
      </w:pPr>
      <w:r w:rsidRPr="007954F6">
        <w:rPr>
          <w:rFonts w:asciiTheme="majorHAnsi" w:hAnsiTheme="majorHAnsi"/>
          <w:szCs w:val="22"/>
        </w:rPr>
        <w:t xml:space="preserve">Forestry Tasmania 2014, </w:t>
      </w:r>
      <w:hyperlink r:id="rId78" w:history="1">
        <w:r w:rsidRPr="00E3005C">
          <w:rPr>
            <w:rStyle w:val="Hyperlink"/>
            <w:rFonts w:asciiTheme="majorHAnsi" w:hAnsiTheme="majorHAnsi"/>
            <w:iCs/>
            <w:color w:val="165788"/>
            <w:szCs w:val="22"/>
          </w:rPr>
          <w:t>Sustainable High Quality Eucalypt Sawlog Supply from Tasmania’s Permanent Timber Production Zone Land – Review No 4</w:t>
        </w:r>
      </w:hyperlink>
      <w:r>
        <w:rPr>
          <w:rFonts w:asciiTheme="majorHAnsi" w:hAnsiTheme="majorHAnsi"/>
          <w:szCs w:val="22"/>
        </w:rPr>
        <w:t>, Forestry Tasmania, Hobart.</w:t>
      </w:r>
    </w:p>
    <w:p w14:paraId="39A029FE" w14:textId="77777777" w:rsidR="000E2D33" w:rsidRPr="007954F6" w:rsidRDefault="000E2D33" w:rsidP="000E2D33">
      <w:pPr>
        <w:pStyle w:val="dot-dash"/>
        <w:tabs>
          <w:tab w:val="left" w:pos="560"/>
        </w:tabs>
        <w:spacing w:before="0"/>
        <w:ind w:left="0" w:right="0" w:firstLine="0"/>
        <w:jc w:val="left"/>
        <w:rPr>
          <w:rFonts w:asciiTheme="majorHAnsi" w:hAnsiTheme="majorHAnsi"/>
          <w:szCs w:val="22"/>
        </w:rPr>
      </w:pPr>
      <w:r w:rsidRPr="007954F6">
        <w:rPr>
          <w:rFonts w:asciiTheme="majorHAnsi" w:hAnsiTheme="majorHAnsi"/>
          <w:szCs w:val="22"/>
        </w:rPr>
        <w:t xml:space="preserve">Forests NSW 2012, </w:t>
      </w:r>
      <w:hyperlink r:id="rId79" w:history="1">
        <w:r w:rsidRPr="00024631">
          <w:rPr>
            <w:rStyle w:val="Hyperlink"/>
            <w:rFonts w:asciiTheme="majorHAnsi" w:hAnsiTheme="majorHAnsi"/>
            <w:color w:val="165788"/>
            <w:szCs w:val="22"/>
          </w:rPr>
          <w:t>Performance Audit Report FRAMES Net Harvestable Area Modifiers</w:t>
        </w:r>
      </w:hyperlink>
      <w:r w:rsidRPr="007954F6">
        <w:rPr>
          <w:rFonts w:asciiTheme="majorHAnsi" w:hAnsiTheme="majorHAnsi"/>
          <w:szCs w:val="22"/>
        </w:rPr>
        <w:t xml:space="preserve">. </w:t>
      </w:r>
      <w:r>
        <w:rPr>
          <w:rFonts w:asciiTheme="majorHAnsi" w:hAnsiTheme="majorHAnsi"/>
          <w:szCs w:val="22"/>
        </w:rPr>
        <w:t>Forests NSW, NSW Government.</w:t>
      </w:r>
    </w:p>
    <w:p w14:paraId="5077C8D1" w14:textId="77777777" w:rsidR="000E2D33" w:rsidRPr="007954F6" w:rsidRDefault="000E2D33" w:rsidP="000E2D33">
      <w:pPr>
        <w:pStyle w:val="dot-dash"/>
        <w:tabs>
          <w:tab w:val="left" w:pos="560"/>
        </w:tabs>
        <w:spacing w:before="0"/>
        <w:ind w:left="0" w:right="0" w:firstLine="0"/>
        <w:jc w:val="left"/>
        <w:rPr>
          <w:rFonts w:asciiTheme="majorHAnsi" w:hAnsiTheme="majorHAnsi"/>
          <w:szCs w:val="22"/>
        </w:rPr>
      </w:pPr>
      <w:r w:rsidRPr="007954F6">
        <w:rPr>
          <w:rFonts w:asciiTheme="majorHAnsi" w:hAnsiTheme="majorHAnsi"/>
          <w:szCs w:val="22"/>
        </w:rPr>
        <w:t xml:space="preserve">Geoscience Australia 2004, </w:t>
      </w:r>
      <w:hyperlink r:id="rId80" w:anchor="/metadata/61395" w:history="1">
        <w:r w:rsidRPr="00024631">
          <w:rPr>
            <w:rStyle w:val="Hyperlink"/>
            <w:rFonts w:asciiTheme="majorHAnsi" w:hAnsiTheme="majorHAnsi"/>
            <w:color w:val="165788"/>
            <w:szCs w:val="22"/>
          </w:rPr>
          <w:t>GEODATA COAST 100k 2004</w:t>
        </w:r>
      </w:hyperlink>
      <w:r>
        <w:rPr>
          <w:rFonts w:asciiTheme="majorHAnsi" w:hAnsiTheme="majorHAnsi"/>
          <w:color w:val="165788"/>
          <w:szCs w:val="22"/>
        </w:rPr>
        <w:t>,</w:t>
      </w:r>
      <w:r>
        <w:rPr>
          <w:rFonts w:asciiTheme="majorHAnsi" w:hAnsiTheme="majorHAnsi"/>
          <w:szCs w:val="22"/>
        </w:rPr>
        <w:t xml:space="preserve"> Geoscience Australia, Canberra.</w:t>
      </w:r>
    </w:p>
    <w:p w14:paraId="1E5FE813" w14:textId="77777777" w:rsidR="000E2D33" w:rsidRPr="007954F6" w:rsidRDefault="000E2D33" w:rsidP="000E2D33">
      <w:pPr>
        <w:pStyle w:val="FootnoteText"/>
        <w:spacing w:before="0"/>
        <w:rPr>
          <w:rFonts w:asciiTheme="majorHAnsi" w:hAnsiTheme="majorHAnsi"/>
          <w:sz w:val="22"/>
          <w:szCs w:val="22"/>
        </w:rPr>
      </w:pPr>
      <w:r>
        <w:rPr>
          <w:rFonts w:asciiTheme="majorHAnsi" w:hAnsiTheme="majorHAnsi"/>
          <w:sz w:val="22"/>
          <w:szCs w:val="22"/>
        </w:rPr>
        <w:t>Hnatiuk, R</w:t>
      </w:r>
      <w:r w:rsidRPr="007954F6">
        <w:rPr>
          <w:rFonts w:asciiTheme="majorHAnsi" w:hAnsiTheme="majorHAnsi"/>
          <w:sz w:val="22"/>
          <w:szCs w:val="22"/>
        </w:rPr>
        <w:t>, Tickle, P</w:t>
      </w:r>
      <w:r>
        <w:rPr>
          <w:rFonts w:asciiTheme="majorHAnsi" w:hAnsiTheme="majorHAnsi"/>
          <w:sz w:val="22"/>
          <w:szCs w:val="22"/>
        </w:rPr>
        <w:t>, Wood, M</w:t>
      </w:r>
      <w:r w:rsidRPr="007954F6">
        <w:rPr>
          <w:rFonts w:asciiTheme="majorHAnsi" w:hAnsiTheme="majorHAnsi"/>
          <w:sz w:val="22"/>
          <w:szCs w:val="22"/>
        </w:rPr>
        <w:t xml:space="preserve">S </w:t>
      </w:r>
      <w:r>
        <w:rPr>
          <w:rFonts w:asciiTheme="majorHAnsi" w:hAnsiTheme="majorHAnsi"/>
          <w:sz w:val="22"/>
          <w:szCs w:val="22"/>
        </w:rPr>
        <w:t>&amp;</w:t>
      </w:r>
      <w:r w:rsidRPr="007954F6">
        <w:rPr>
          <w:rFonts w:asciiTheme="majorHAnsi" w:hAnsiTheme="majorHAnsi"/>
          <w:sz w:val="22"/>
          <w:szCs w:val="22"/>
        </w:rPr>
        <w:t xml:space="preserve"> Howell, C 2003, </w:t>
      </w:r>
      <w:hyperlink r:id="rId81" w:history="1">
        <w:r w:rsidRPr="00024631">
          <w:rPr>
            <w:rStyle w:val="Hyperlink"/>
            <w:rFonts w:asciiTheme="majorHAnsi" w:hAnsiTheme="majorHAnsi"/>
            <w:color w:val="165788"/>
            <w:sz w:val="22"/>
            <w:szCs w:val="22"/>
          </w:rPr>
          <w:t>Defining Australian forests</w:t>
        </w:r>
      </w:hyperlink>
      <w:r>
        <w:rPr>
          <w:rFonts w:asciiTheme="majorHAnsi" w:hAnsiTheme="majorHAnsi"/>
          <w:color w:val="165788"/>
          <w:sz w:val="22"/>
          <w:szCs w:val="22"/>
        </w:rPr>
        <w:t>,</w:t>
      </w:r>
      <w:r w:rsidRPr="007954F6">
        <w:rPr>
          <w:rFonts w:asciiTheme="majorHAnsi" w:hAnsiTheme="majorHAnsi"/>
          <w:sz w:val="22"/>
          <w:szCs w:val="22"/>
        </w:rPr>
        <w:t xml:space="preserve"> </w:t>
      </w:r>
      <w:r w:rsidRPr="00024631">
        <w:rPr>
          <w:rFonts w:asciiTheme="majorHAnsi" w:hAnsiTheme="majorHAnsi"/>
          <w:i/>
          <w:sz w:val="22"/>
          <w:szCs w:val="22"/>
        </w:rPr>
        <w:t>Australian Forestry</w:t>
      </w:r>
      <w:r>
        <w:rPr>
          <w:rFonts w:asciiTheme="majorHAnsi" w:hAnsiTheme="majorHAnsi"/>
          <w:sz w:val="22"/>
          <w:szCs w:val="22"/>
        </w:rPr>
        <w:t>,</w:t>
      </w:r>
      <w:r w:rsidRPr="007954F6">
        <w:rPr>
          <w:rFonts w:asciiTheme="majorHAnsi" w:hAnsiTheme="majorHAnsi"/>
          <w:sz w:val="22"/>
          <w:szCs w:val="22"/>
        </w:rPr>
        <w:t xml:space="preserve"> </w:t>
      </w:r>
      <w:r>
        <w:rPr>
          <w:rFonts w:asciiTheme="majorHAnsi" w:hAnsiTheme="majorHAnsi"/>
          <w:sz w:val="22"/>
          <w:szCs w:val="22"/>
        </w:rPr>
        <w:t xml:space="preserve">vol. </w:t>
      </w:r>
      <w:r w:rsidRPr="00024631">
        <w:rPr>
          <w:rFonts w:asciiTheme="majorHAnsi" w:hAnsiTheme="majorHAnsi"/>
          <w:sz w:val="22"/>
          <w:szCs w:val="22"/>
        </w:rPr>
        <w:t>66</w:t>
      </w:r>
      <w:r>
        <w:rPr>
          <w:rFonts w:asciiTheme="majorHAnsi" w:hAnsiTheme="majorHAnsi"/>
          <w:sz w:val="22"/>
          <w:szCs w:val="22"/>
        </w:rPr>
        <w:t>, Issue 3, pp.</w:t>
      </w:r>
      <w:r w:rsidRPr="007954F6">
        <w:rPr>
          <w:rFonts w:asciiTheme="majorHAnsi" w:hAnsiTheme="majorHAnsi"/>
          <w:sz w:val="22"/>
          <w:szCs w:val="22"/>
        </w:rPr>
        <w:t xml:space="preserve"> 176</w:t>
      </w:r>
      <w:r>
        <w:rPr>
          <w:rFonts w:asciiTheme="majorHAnsi" w:hAnsiTheme="majorHAnsi"/>
          <w:sz w:val="22"/>
          <w:szCs w:val="22"/>
        </w:rPr>
        <w:t>–</w:t>
      </w:r>
      <w:r w:rsidRPr="007954F6">
        <w:rPr>
          <w:rFonts w:asciiTheme="majorHAnsi" w:hAnsiTheme="majorHAnsi"/>
          <w:sz w:val="22"/>
          <w:szCs w:val="22"/>
        </w:rPr>
        <w:t xml:space="preserve">183. </w:t>
      </w:r>
    </w:p>
    <w:p w14:paraId="6056D4D3" w14:textId="77777777" w:rsidR="000E2D33" w:rsidRPr="007954F6" w:rsidRDefault="000E2D33" w:rsidP="000E2D33">
      <w:pPr>
        <w:pStyle w:val="FootnoteText"/>
        <w:spacing w:before="0"/>
        <w:rPr>
          <w:rFonts w:asciiTheme="majorHAnsi" w:hAnsiTheme="majorHAnsi"/>
          <w:sz w:val="22"/>
          <w:szCs w:val="22"/>
        </w:rPr>
      </w:pPr>
      <w:r w:rsidRPr="007954F6">
        <w:rPr>
          <w:rFonts w:asciiTheme="majorHAnsi" w:hAnsiTheme="majorHAnsi"/>
          <w:sz w:val="22"/>
          <w:szCs w:val="22"/>
        </w:rPr>
        <w:t xml:space="preserve">Howell, C, Wilson, A, Davey, S </w:t>
      </w:r>
      <w:r>
        <w:rPr>
          <w:rFonts w:asciiTheme="majorHAnsi" w:hAnsiTheme="majorHAnsi"/>
          <w:sz w:val="22"/>
          <w:szCs w:val="22"/>
        </w:rPr>
        <w:t>&amp;</w:t>
      </w:r>
      <w:r w:rsidRPr="007954F6">
        <w:rPr>
          <w:rFonts w:asciiTheme="majorHAnsi" w:hAnsiTheme="majorHAnsi"/>
          <w:sz w:val="22"/>
          <w:szCs w:val="22"/>
        </w:rPr>
        <w:t xml:space="preserve"> Eddington, M 2008, </w:t>
      </w:r>
      <w:hyperlink r:id="rId82" w:history="1">
        <w:r w:rsidRPr="00024631">
          <w:rPr>
            <w:rStyle w:val="Hyperlink"/>
            <w:rFonts w:asciiTheme="majorHAnsi" w:hAnsiTheme="majorHAnsi"/>
            <w:color w:val="165788"/>
            <w:sz w:val="22"/>
            <w:szCs w:val="22"/>
          </w:rPr>
          <w:t>Sustainable forest management reporting in Australia</w:t>
        </w:r>
      </w:hyperlink>
      <w:r>
        <w:rPr>
          <w:rFonts w:asciiTheme="majorHAnsi" w:hAnsiTheme="majorHAnsi"/>
          <w:sz w:val="22"/>
          <w:szCs w:val="22"/>
        </w:rPr>
        <w:t>,</w:t>
      </w:r>
      <w:r w:rsidRPr="007954F6">
        <w:rPr>
          <w:rFonts w:asciiTheme="majorHAnsi" w:hAnsiTheme="majorHAnsi"/>
          <w:sz w:val="22"/>
          <w:szCs w:val="22"/>
        </w:rPr>
        <w:t xml:space="preserve"> </w:t>
      </w:r>
      <w:r w:rsidRPr="00024631">
        <w:rPr>
          <w:rFonts w:asciiTheme="majorHAnsi" w:hAnsiTheme="majorHAnsi"/>
          <w:i/>
          <w:sz w:val="22"/>
          <w:szCs w:val="22"/>
        </w:rPr>
        <w:t>Ecological Indicators</w:t>
      </w:r>
      <w:r>
        <w:rPr>
          <w:rFonts w:asciiTheme="majorHAnsi" w:hAnsiTheme="majorHAnsi"/>
          <w:sz w:val="22"/>
          <w:szCs w:val="22"/>
        </w:rPr>
        <w:t xml:space="preserve">, vol. 8, Issue 2, pp. </w:t>
      </w:r>
      <w:r w:rsidRPr="007954F6">
        <w:rPr>
          <w:rFonts w:asciiTheme="majorHAnsi" w:hAnsiTheme="majorHAnsi"/>
          <w:sz w:val="22"/>
          <w:szCs w:val="22"/>
        </w:rPr>
        <w:t>123–130.</w:t>
      </w:r>
    </w:p>
    <w:p w14:paraId="7E2F9E21" w14:textId="77777777" w:rsidR="000E2D33" w:rsidRPr="007954F6" w:rsidRDefault="000E2D33" w:rsidP="000E2D33">
      <w:pPr>
        <w:pStyle w:val="dot-dash"/>
        <w:tabs>
          <w:tab w:val="left" w:pos="560"/>
        </w:tabs>
        <w:spacing w:before="0"/>
        <w:ind w:left="0" w:right="0" w:firstLine="0"/>
        <w:jc w:val="left"/>
        <w:rPr>
          <w:rFonts w:asciiTheme="majorHAnsi" w:hAnsiTheme="majorHAnsi"/>
          <w:szCs w:val="22"/>
        </w:rPr>
      </w:pPr>
      <w:r w:rsidRPr="007954F6">
        <w:rPr>
          <w:rFonts w:asciiTheme="majorHAnsi" w:hAnsiTheme="majorHAnsi"/>
          <w:szCs w:val="22"/>
        </w:rPr>
        <w:t xml:space="preserve">JANIS 1997, </w:t>
      </w:r>
      <w:hyperlink r:id="rId83" w:history="1">
        <w:r w:rsidRPr="00024631">
          <w:rPr>
            <w:rStyle w:val="Hyperlink"/>
            <w:rFonts w:asciiTheme="majorHAnsi" w:hAnsiTheme="majorHAnsi"/>
            <w:color w:val="165788"/>
            <w:szCs w:val="22"/>
          </w:rPr>
          <w:t>Nationally Agreed Criteria for the Establishment of a Comprehensive, Adequate and Representative Reserve System for Forests in Australia</w:t>
        </w:r>
      </w:hyperlink>
      <w:r w:rsidRPr="007954F6">
        <w:rPr>
          <w:rFonts w:asciiTheme="majorHAnsi" w:hAnsiTheme="majorHAnsi"/>
          <w:szCs w:val="22"/>
        </w:rPr>
        <w:t xml:space="preserve">, </w:t>
      </w:r>
      <w:r>
        <w:rPr>
          <w:rFonts w:asciiTheme="majorHAnsi" w:hAnsiTheme="majorHAnsi"/>
          <w:szCs w:val="22"/>
        </w:rPr>
        <w:t xml:space="preserve">Joint ANZECC/MCFFA National Forest Policy Implementation Sub-committee, </w:t>
      </w:r>
      <w:r w:rsidRPr="007954F6">
        <w:rPr>
          <w:rFonts w:asciiTheme="majorHAnsi" w:hAnsiTheme="majorHAnsi"/>
          <w:szCs w:val="22"/>
        </w:rPr>
        <w:t>Commonwealth of Australia, Canberra.</w:t>
      </w:r>
    </w:p>
    <w:p w14:paraId="03D26562" w14:textId="77777777" w:rsidR="000E2D33" w:rsidRPr="001A7787" w:rsidRDefault="000E2D33" w:rsidP="000E2D33">
      <w:pPr>
        <w:pStyle w:val="CommentText"/>
        <w:rPr>
          <w:rStyle w:val="Hyperlink"/>
          <w:color w:val="auto"/>
          <w:sz w:val="22"/>
          <w:szCs w:val="22"/>
          <w:u w:val="none"/>
        </w:rPr>
      </w:pPr>
      <w:r w:rsidRPr="001A7787">
        <w:rPr>
          <w:sz w:val="22"/>
          <w:szCs w:val="22"/>
        </w:rPr>
        <w:t>Keenan</w:t>
      </w:r>
      <w:r>
        <w:rPr>
          <w:sz w:val="22"/>
          <w:szCs w:val="22"/>
        </w:rPr>
        <w:t>,</w:t>
      </w:r>
      <w:r w:rsidRPr="001A7787">
        <w:rPr>
          <w:sz w:val="22"/>
          <w:szCs w:val="22"/>
        </w:rPr>
        <w:t xml:space="preserve"> RJ</w:t>
      </w:r>
      <w:r>
        <w:rPr>
          <w:sz w:val="22"/>
          <w:szCs w:val="22"/>
        </w:rPr>
        <w:t xml:space="preserve"> &amp;</w:t>
      </w:r>
      <w:r w:rsidRPr="001A7787">
        <w:rPr>
          <w:sz w:val="22"/>
          <w:szCs w:val="22"/>
        </w:rPr>
        <w:t xml:space="preserve"> Ryan</w:t>
      </w:r>
      <w:r>
        <w:rPr>
          <w:sz w:val="22"/>
          <w:szCs w:val="22"/>
        </w:rPr>
        <w:t>,</w:t>
      </w:r>
      <w:r w:rsidRPr="001A7787">
        <w:rPr>
          <w:sz w:val="22"/>
          <w:szCs w:val="22"/>
        </w:rPr>
        <w:t xml:space="preserve"> </w:t>
      </w:r>
      <w:r>
        <w:rPr>
          <w:sz w:val="22"/>
          <w:szCs w:val="22"/>
        </w:rPr>
        <w:t xml:space="preserve">MF </w:t>
      </w:r>
      <w:r w:rsidRPr="001A7787">
        <w:rPr>
          <w:sz w:val="22"/>
          <w:szCs w:val="22"/>
        </w:rPr>
        <w:t>2004</w:t>
      </w:r>
      <w:r>
        <w:rPr>
          <w:sz w:val="22"/>
          <w:szCs w:val="22"/>
        </w:rPr>
        <w:t>,</w:t>
      </w:r>
      <w:r w:rsidRPr="001A7787">
        <w:rPr>
          <w:sz w:val="22"/>
          <w:szCs w:val="22"/>
        </w:rPr>
        <w:t xml:space="preserve"> Old-growth forests in Australia: Conservation status and significance for timber production (revised edition), Science for Decision Makers, Bureau of Rural Sciences</w:t>
      </w:r>
      <w:r>
        <w:rPr>
          <w:sz w:val="22"/>
          <w:szCs w:val="22"/>
        </w:rPr>
        <w:t xml:space="preserve">. </w:t>
      </w:r>
      <w:hyperlink r:id="rId84" w:history="1">
        <w:r w:rsidRPr="003F5DA5">
          <w:rPr>
            <w:rStyle w:val="Hyperlink"/>
            <w:color w:val="365F91" w:themeColor="accent1" w:themeShade="BF"/>
            <w:sz w:val="22"/>
            <w:szCs w:val="22"/>
          </w:rPr>
          <w:t>daff.ent.sirsidynix.net.au/client/en_AU/search/asset/1028565/0</w:t>
        </w:r>
      </w:hyperlink>
      <w:r>
        <w:rPr>
          <w:rStyle w:val="Hyperlink"/>
          <w:szCs w:val="22"/>
        </w:rPr>
        <w:t xml:space="preserve"> </w:t>
      </w:r>
    </w:p>
    <w:p w14:paraId="39880AC9"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Kile</w:t>
      </w:r>
      <w:r>
        <w:rPr>
          <w:rFonts w:asciiTheme="majorHAnsi" w:hAnsiTheme="majorHAnsi"/>
          <w:szCs w:val="22"/>
        </w:rPr>
        <w:t>,</w:t>
      </w:r>
      <w:r w:rsidRPr="007954F6">
        <w:rPr>
          <w:rFonts w:asciiTheme="majorHAnsi" w:hAnsiTheme="majorHAnsi"/>
          <w:szCs w:val="22"/>
        </w:rPr>
        <w:t xml:space="preserve"> G 2013, </w:t>
      </w:r>
      <w:hyperlink r:id="rId85" w:history="1">
        <w:r w:rsidRPr="00024631">
          <w:rPr>
            <w:rStyle w:val="Hyperlink"/>
            <w:rFonts w:asciiTheme="majorHAnsi" w:hAnsiTheme="majorHAnsi"/>
            <w:color w:val="165788"/>
            <w:szCs w:val="22"/>
          </w:rPr>
          <w:t>Review of the Implementation of the regional forest agreement for the South-west forest region of Western Australia for the Period 1999</w:t>
        </w:r>
        <w:r w:rsidRPr="00024631">
          <w:rPr>
            <w:rStyle w:val="Hyperlink"/>
            <w:rFonts w:asciiTheme="majorHAnsi" w:hAnsiTheme="majorHAnsi" w:cs="AdvTT5235d5a9"/>
            <w:color w:val="165788"/>
            <w:szCs w:val="22"/>
          </w:rPr>
          <w:t>–</w:t>
        </w:r>
        <w:r w:rsidRPr="00024631">
          <w:rPr>
            <w:rStyle w:val="Hyperlink"/>
            <w:rFonts w:asciiTheme="majorHAnsi" w:hAnsiTheme="majorHAnsi"/>
            <w:color w:val="165788"/>
            <w:szCs w:val="22"/>
          </w:rPr>
          <w:t>2009</w:t>
        </w:r>
      </w:hyperlink>
      <w:r w:rsidRPr="007954F6">
        <w:rPr>
          <w:rFonts w:asciiTheme="majorHAnsi" w:hAnsiTheme="majorHAnsi"/>
          <w:szCs w:val="22"/>
        </w:rPr>
        <w:t xml:space="preserve">. Australian and Western </w:t>
      </w:r>
      <w:r>
        <w:rPr>
          <w:rFonts w:asciiTheme="majorHAnsi" w:hAnsiTheme="majorHAnsi"/>
          <w:szCs w:val="22"/>
        </w:rPr>
        <w:t>Australian Governments.</w:t>
      </w:r>
    </w:p>
    <w:p w14:paraId="3312A4FA" w14:textId="77777777" w:rsidR="000E2D33" w:rsidRPr="007954F6" w:rsidRDefault="000E2D33" w:rsidP="000E2D33">
      <w:pPr>
        <w:spacing w:before="0" w:line="280" w:lineRule="atLeast"/>
        <w:rPr>
          <w:rStyle w:val="Hyperlink"/>
          <w:rFonts w:asciiTheme="majorHAnsi" w:hAnsiTheme="majorHAnsi"/>
          <w:szCs w:val="22"/>
        </w:rPr>
      </w:pPr>
      <w:r w:rsidRPr="007954F6">
        <w:rPr>
          <w:rFonts w:asciiTheme="majorHAnsi" w:hAnsiTheme="majorHAnsi"/>
          <w:szCs w:val="22"/>
        </w:rPr>
        <w:t>Kile</w:t>
      </w:r>
      <w:r>
        <w:rPr>
          <w:rFonts w:asciiTheme="majorHAnsi" w:hAnsiTheme="majorHAnsi"/>
          <w:szCs w:val="22"/>
        </w:rPr>
        <w:t>,</w:t>
      </w:r>
      <w:r w:rsidRPr="007954F6">
        <w:rPr>
          <w:rFonts w:asciiTheme="majorHAnsi" w:hAnsiTheme="majorHAnsi"/>
          <w:szCs w:val="22"/>
        </w:rPr>
        <w:t xml:space="preserve"> G 2015, </w:t>
      </w:r>
      <w:hyperlink r:id="rId86" w:history="1">
        <w:r w:rsidRPr="00024631">
          <w:rPr>
            <w:rStyle w:val="Hyperlink"/>
            <w:rFonts w:asciiTheme="majorHAnsi" w:hAnsiTheme="majorHAnsi"/>
            <w:color w:val="165788"/>
            <w:szCs w:val="22"/>
          </w:rPr>
          <w:t>Independent Reviewer’s Report to the Australian and Tasmanian Governments on the third five-yearly review of the Tasmanian Regional Forest Agreement</w:t>
        </w:r>
      </w:hyperlink>
      <w:r w:rsidRPr="007954F6">
        <w:rPr>
          <w:rFonts w:asciiTheme="majorHAnsi" w:hAnsiTheme="majorHAnsi"/>
          <w:szCs w:val="22"/>
        </w:rPr>
        <w:t xml:space="preserve">, </w:t>
      </w:r>
      <w:r>
        <w:rPr>
          <w:rFonts w:asciiTheme="majorHAnsi" w:hAnsiTheme="majorHAnsi"/>
          <w:szCs w:val="22"/>
        </w:rPr>
        <w:t>Australian and Tasmanian Governments.</w:t>
      </w:r>
    </w:p>
    <w:p w14:paraId="6D4FCA22" w14:textId="77777777" w:rsidR="000E2D33" w:rsidRDefault="000E2D33" w:rsidP="000E2D33">
      <w:pPr>
        <w:spacing w:before="0"/>
        <w:rPr>
          <w:rFonts w:asciiTheme="majorHAnsi" w:hAnsiTheme="majorHAnsi"/>
          <w:szCs w:val="22"/>
        </w:rPr>
      </w:pPr>
      <w:r w:rsidRPr="007954F6">
        <w:rPr>
          <w:rFonts w:asciiTheme="majorHAnsi" w:hAnsiTheme="majorHAnsi"/>
          <w:szCs w:val="22"/>
        </w:rPr>
        <w:t xml:space="preserve">Koch, AJ, Chuter, A </w:t>
      </w:r>
      <w:r>
        <w:rPr>
          <w:rFonts w:asciiTheme="majorHAnsi" w:hAnsiTheme="majorHAnsi"/>
          <w:szCs w:val="22"/>
        </w:rPr>
        <w:t>&amp;</w:t>
      </w:r>
      <w:r w:rsidRPr="007954F6">
        <w:rPr>
          <w:rFonts w:asciiTheme="majorHAnsi" w:hAnsiTheme="majorHAnsi"/>
          <w:szCs w:val="22"/>
        </w:rPr>
        <w:t xml:space="preserve"> Munks, SA 2012, </w:t>
      </w:r>
      <w:hyperlink r:id="rId87" w:history="1">
        <w:r w:rsidRPr="00024631">
          <w:rPr>
            <w:rStyle w:val="Hyperlink"/>
            <w:rFonts w:asciiTheme="majorHAnsi" w:hAnsiTheme="majorHAnsi"/>
            <w:color w:val="165788"/>
            <w:szCs w:val="22"/>
          </w:rPr>
          <w:t>A review of forestry impacts on biodiversity and the effectiveness of “off-reserve‟ management actions in areas covered by the Tasmanian forest practices system</w:t>
        </w:r>
      </w:hyperlink>
      <w:r>
        <w:rPr>
          <w:rFonts w:asciiTheme="majorHAnsi" w:hAnsiTheme="majorHAnsi"/>
          <w:color w:val="165788"/>
          <w:szCs w:val="22"/>
        </w:rPr>
        <w:t>,</w:t>
      </w:r>
      <w:r w:rsidRPr="007954F6">
        <w:rPr>
          <w:rFonts w:asciiTheme="majorHAnsi" w:hAnsiTheme="majorHAnsi"/>
          <w:szCs w:val="22"/>
        </w:rPr>
        <w:t xml:space="preserve"> Fore</w:t>
      </w:r>
      <w:r>
        <w:rPr>
          <w:rFonts w:asciiTheme="majorHAnsi" w:hAnsiTheme="majorHAnsi"/>
          <w:szCs w:val="22"/>
        </w:rPr>
        <w:t>st Practices Authority, Hobart.</w:t>
      </w:r>
    </w:p>
    <w:p w14:paraId="290A66D9" w14:textId="77777777" w:rsidR="000E2D33" w:rsidRPr="007954F6" w:rsidRDefault="000E2D33" w:rsidP="000E2D33">
      <w:pPr>
        <w:spacing w:before="0"/>
        <w:rPr>
          <w:rFonts w:asciiTheme="majorHAnsi" w:hAnsiTheme="majorHAnsi"/>
          <w:szCs w:val="22"/>
        </w:rPr>
      </w:pPr>
      <w:r>
        <w:rPr>
          <w:rFonts w:asciiTheme="majorHAnsi" w:hAnsiTheme="majorHAnsi"/>
          <w:szCs w:val="22"/>
        </w:rPr>
        <w:t xml:space="preserve">Lesslie, R &amp; Maslen, M 1995, </w:t>
      </w:r>
      <w:r w:rsidRPr="005B71A1">
        <w:rPr>
          <w:rFonts w:asciiTheme="majorHAnsi" w:hAnsiTheme="majorHAnsi"/>
          <w:i/>
          <w:szCs w:val="22"/>
        </w:rPr>
        <w:t>National wilderness inventory Australia: handbook on procedures, content, and usage</w:t>
      </w:r>
      <w:r>
        <w:rPr>
          <w:rFonts w:asciiTheme="majorHAnsi" w:hAnsiTheme="majorHAnsi"/>
          <w:szCs w:val="22"/>
        </w:rPr>
        <w:t>. Australian Government Publishing Service, Canberra.</w:t>
      </w:r>
    </w:p>
    <w:p w14:paraId="0F186D46"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McDonald</w:t>
      </w:r>
      <w:r>
        <w:rPr>
          <w:rFonts w:asciiTheme="majorHAnsi" w:hAnsiTheme="majorHAnsi"/>
          <w:szCs w:val="22"/>
        </w:rPr>
        <w:t>,</w:t>
      </w:r>
      <w:r w:rsidRPr="007954F6">
        <w:rPr>
          <w:rFonts w:asciiTheme="majorHAnsi" w:hAnsiTheme="majorHAnsi"/>
          <w:szCs w:val="22"/>
        </w:rPr>
        <w:t xml:space="preserve"> J 1999, </w:t>
      </w:r>
      <w:hyperlink r:id="rId88" w:history="1">
        <w:r w:rsidRPr="00435E01">
          <w:rPr>
            <w:rStyle w:val="Hyperlink"/>
            <w:rFonts w:asciiTheme="majorHAnsi" w:hAnsiTheme="majorHAnsi"/>
            <w:color w:val="165788"/>
            <w:szCs w:val="22"/>
          </w:rPr>
          <w:t>Regional Forest (Dis)Agreements: The RFA Process and Sustainable Forest Management</w:t>
        </w:r>
      </w:hyperlink>
      <w:r>
        <w:rPr>
          <w:rFonts w:asciiTheme="majorHAnsi" w:hAnsiTheme="majorHAnsi"/>
          <w:szCs w:val="22"/>
        </w:rPr>
        <w:t>,</w:t>
      </w:r>
      <w:r w:rsidRPr="007954F6">
        <w:rPr>
          <w:rFonts w:asciiTheme="majorHAnsi" w:hAnsiTheme="majorHAnsi"/>
          <w:szCs w:val="22"/>
        </w:rPr>
        <w:t xml:space="preserve"> </w:t>
      </w:r>
      <w:r w:rsidRPr="00435E01">
        <w:rPr>
          <w:rFonts w:asciiTheme="majorHAnsi" w:hAnsiTheme="majorHAnsi"/>
          <w:i/>
          <w:szCs w:val="22"/>
        </w:rPr>
        <w:t>Bond Law Review</w:t>
      </w:r>
      <w:r>
        <w:rPr>
          <w:rFonts w:asciiTheme="majorHAnsi" w:hAnsiTheme="majorHAnsi"/>
          <w:szCs w:val="22"/>
        </w:rPr>
        <w:t>, vol.</w:t>
      </w:r>
      <w:r w:rsidRPr="007954F6">
        <w:rPr>
          <w:rFonts w:asciiTheme="majorHAnsi" w:hAnsiTheme="majorHAnsi"/>
          <w:szCs w:val="22"/>
        </w:rPr>
        <w:t xml:space="preserve"> 11</w:t>
      </w:r>
      <w:r>
        <w:rPr>
          <w:rFonts w:asciiTheme="majorHAnsi" w:hAnsiTheme="majorHAnsi"/>
          <w:szCs w:val="22"/>
        </w:rPr>
        <w:t xml:space="preserve"> Issue 2</w:t>
      </w:r>
      <w:r w:rsidRPr="007954F6">
        <w:rPr>
          <w:rFonts w:asciiTheme="majorHAnsi" w:hAnsiTheme="majorHAnsi"/>
          <w:szCs w:val="22"/>
        </w:rPr>
        <w:t>,</w:t>
      </w:r>
      <w:r>
        <w:rPr>
          <w:rFonts w:asciiTheme="majorHAnsi" w:hAnsiTheme="majorHAnsi"/>
          <w:szCs w:val="22"/>
        </w:rPr>
        <w:t xml:space="preserve"> Article 12, pp.</w:t>
      </w:r>
      <w:r w:rsidRPr="007954F6">
        <w:rPr>
          <w:rFonts w:asciiTheme="majorHAnsi" w:hAnsiTheme="majorHAnsi"/>
          <w:szCs w:val="22"/>
        </w:rPr>
        <w:t xml:space="preserve"> 295</w:t>
      </w:r>
      <w:r w:rsidRPr="007954F6">
        <w:rPr>
          <w:rFonts w:asciiTheme="majorHAnsi" w:hAnsiTheme="majorHAnsi" w:cs="AdvTT5235d5a9"/>
          <w:color w:val="000000"/>
          <w:szCs w:val="22"/>
        </w:rPr>
        <w:t>–</w:t>
      </w:r>
      <w:r>
        <w:rPr>
          <w:rFonts w:asciiTheme="majorHAnsi" w:hAnsiTheme="majorHAnsi"/>
          <w:szCs w:val="22"/>
        </w:rPr>
        <w:t>342.</w:t>
      </w:r>
    </w:p>
    <w:p w14:paraId="3724D31F"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lastRenderedPageBreak/>
        <w:t>Martyn</w:t>
      </w:r>
      <w:r>
        <w:rPr>
          <w:rFonts w:asciiTheme="majorHAnsi" w:hAnsiTheme="majorHAnsi"/>
          <w:szCs w:val="22"/>
        </w:rPr>
        <w:t>,</w:t>
      </w:r>
      <w:r w:rsidRPr="007954F6">
        <w:rPr>
          <w:rFonts w:asciiTheme="majorHAnsi" w:hAnsiTheme="majorHAnsi"/>
          <w:szCs w:val="22"/>
        </w:rPr>
        <w:t xml:space="preserve"> A 2002, </w:t>
      </w:r>
      <w:hyperlink r:id="rId89" w:history="1">
        <w:r w:rsidRPr="00435E01">
          <w:rPr>
            <w:rStyle w:val="Hyperlink"/>
            <w:rFonts w:asciiTheme="majorHAnsi" w:hAnsiTheme="majorHAnsi"/>
            <w:color w:val="165788"/>
            <w:szCs w:val="22"/>
          </w:rPr>
          <w:t>Regional Forest Agreements Bill 2002</w:t>
        </w:r>
      </w:hyperlink>
      <w:r>
        <w:rPr>
          <w:rFonts w:asciiTheme="majorHAnsi" w:hAnsiTheme="majorHAnsi"/>
          <w:color w:val="165788"/>
          <w:szCs w:val="22"/>
        </w:rPr>
        <w:t>,</w:t>
      </w:r>
      <w:r w:rsidRPr="007954F6">
        <w:rPr>
          <w:rFonts w:asciiTheme="majorHAnsi" w:hAnsiTheme="majorHAnsi"/>
          <w:szCs w:val="22"/>
        </w:rPr>
        <w:t xml:space="preserve"> </w:t>
      </w:r>
      <w:r w:rsidRPr="00435E01">
        <w:rPr>
          <w:rFonts w:asciiTheme="majorHAnsi" w:hAnsiTheme="majorHAnsi"/>
          <w:i/>
          <w:szCs w:val="22"/>
        </w:rPr>
        <w:t>Bills Digest</w:t>
      </w:r>
      <w:r>
        <w:rPr>
          <w:rFonts w:asciiTheme="majorHAnsi" w:hAnsiTheme="majorHAnsi"/>
          <w:szCs w:val="22"/>
        </w:rPr>
        <w:t>,</w:t>
      </w:r>
      <w:r w:rsidRPr="007954F6">
        <w:rPr>
          <w:rFonts w:asciiTheme="majorHAnsi" w:hAnsiTheme="majorHAnsi"/>
          <w:szCs w:val="22"/>
        </w:rPr>
        <w:t xml:space="preserve"> No. 91 2001</w:t>
      </w:r>
      <w:r>
        <w:rPr>
          <w:rFonts w:asciiTheme="majorHAnsi" w:hAnsiTheme="majorHAnsi"/>
          <w:szCs w:val="22"/>
        </w:rPr>
        <w:t>–</w:t>
      </w:r>
      <w:r w:rsidRPr="007954F6">
        <w:rPr>
          <w:rFonts w:asciiTheme="majorHAnsi" w:hAnsiTheme="majorHAnsi"/>
          <w:szCs w:val="22"/>
        </w:rPr>
        <w:t>02, Department of the Parliamentary Library, Commonwealth of Australia</w:t>
      </w:r>
      <w:r>
        <w:rPr>
          <w:rFonts w:asciiTheme="majorHAnsi" w:hAnsiTheme="majorHAnsi"/>
          <w:szCs w:val="22"/>
        </w:rPr>
        <w:t>.</w:t>
      </w:r>
    </w:p>
    <w:p w14:paraId="1AC42B0C" w14:textId="77777777" w:rsidR="000E2D33" w:rsidRPr="007954F6" w:rsidRDefault="000E2D33" w:rsidP="000E2D33">
      <w:pPr>
        <w:spacing w:before="0"/>
        <w:rPr>
          <w:rFonts w:asciiTheme="majorHAnsi" w:hAnsiTheme="majorHAnsi"/>
          <w:szCs w:val="22"/>
        </w:rPr>
      </w:pPr>
      <w:r w:rsidRPr="007954F6">
        <w:rPr>
          <w:rFonts w:asciiTheme="majorHAnsi" w:hAnsiTheme="majorHAnsi" w:cs="AdvTT5235d5a9"/>
          <w:color w:val="000000"/>
          <w:szCs w:val="22"/>
        </w:rPr>
        <w:t xml:space="preserve">MIG and NFISC 2013, </w:t>
      </w:r>
      <w:hyperlink r:id="rId90" w:history="1">
        <w:r w:rsidRPr="00435E01">
          <w:rPr>
            <w:rStyle w:val="Hyperlink"/>
            <w:rFonts w:asciiTheme="majorHAnsi" w:hAnsiTheme="majorHAnsi" w:cs="AdvTT5235d5a9"/>
            <w:color w:val="165788"/>
            <w:szCs w:val="22"/>
          </w:rPr>
          <w:t>Australia's State of the Forests Report 2013</w:t>
        </w:r>
      </w:hyperlink>
      <w:r w:rsidRPr="007954F6">
        <w:rPr>
          <w:rFonts w:asciiTheme="majorHAnsi" w:hAnsiTheme="majorHAnsi" w:cs="AdvTT5235d5a9"/>
          <w:color w:val="000000"/>
          <w:szCs w:val="22"/>
        </w:rPr>
        <w:t>. Montreal Process Implementation Group for Australia and National Forest Inventory Steering Committee,</w:t>
      </w:r>
      <w:r>
        <w:rPr>
          <w:rFonts w:asciiTheme="majorHAnsi" w:hAnsiTheme="majorHAnsi" w:cs="AdvTT5235d5a9"/>
          <w:color w:val="000000"/>
          <w:szCs w:val="22"/>
        </w:rPr>
        <w:t xml:space="preserve"> ABARES, Canberra.</w:t>
      </w:r>
    </w:p>
    <w:p w14:paraId="72B43C94" w14:textId="39A783DC" w:rsidR="000E2D33" w:rsidRDefault="000E2D33" w:rsidP="000E2D33">
      <w:pPr>
        <w:spacing w:before="0"/>
        <w:rPr>
          <w:rFonts w:asciiTheme="majorHAnsi" w:hAnsiTheme="majorHAnsi"/>
          <w:szCs w:val="22"/>
        </w:rPr>
      </w:pPr>
      <w:r w:rsidRPr="007954F6">
        <w:rPr>
          <w:rFonts w:asciiTheme="majorHAnsi" w:hAnsiTheme="majorHAnsi" w:cs="AdvTT5235d5a9"/>
          <w:color w:val="000000"/>
          <w:szCs w:val="22"/>
        </w:rPr>
        <w:t xml:space="preserve">MIG and NFISC 2018, </w:t>
      </w:r>
      <w:hyperlink r:id="rId91" w:history="1">
        <w:r w:rsidRPr="00435E01">
          <w:rPr>
            <w:rStyle w:val="Hyperlink"/>
            <w:rFonts w:asciiTheme="majorHAnsi" w:hAnsiTheme="majorHAnsi" w:cs="AdvTT5235d5a9"/>
            <w:color w:val="165788"/>
            <w:szCs w:val="22"/>
          </w:rPr>
          <w:t>Australia's State of the Forests Report 2018</w:t>
        </w:r>
      </w:hyperlink>
      <w:r w:rsidRPr="007954F6">
        <w:rPr>
          <w:rFonts w:asciiTheme="majorHAnsi" w:hAnsiTheme="majorHAnsi" w:cs="AdvTT5235d5a9"/>
          <w:color w:val="000000"/>
          <w:szCs w:val="22"/>
        </w:rPr>
        <w:t>. Montreal Process Implementation Group for Australia and National Forest Inventory Steering Committee, ABARES, Canberra, December.</w:t>
      </w:r>
      <w:r w:rsidRPr="007954F6">
        <w:rPr>
          <w:rFonts w:asciiTheme="majorHAnsi" w:hAnsiTheme="majorHAnsi"/>
          <w:szCs w:val="22"/>
        </w:rPr>
        <w:t xml:space="preserve"> CC BY 4.0. </w:t>
      </w:r>
    </w:p>
    <w:p w14:paraId="0784F613" w14:textId="77777777" w:rsidR="000E2D33" w:rsidRPr="007954F6" w:rsidRDefault="000E2D33" w:rsidP="000E2D33">
      <w:pPr>
        <w:spacing w:before="0"/>
        <w:rPr>
          <w:rFonts w:asciiTheme="majorHAnsi" w:hAnsiTheme="majorHAnsi"/>
          <w:szCs w:val="22"/>
        </w:rPr>
      </w:pPr>
      <w:r>
        <w:t xml:space="preserve">Mutendeudzi, M, Read, S, Howell, C, Davey, S &amp; Clancy, T 2013, </w:t>
      </w:r>
      <w:hyperlink r:id="rId92" w:history="1">
        <w:r w:rsidRPr="006C32AF">
          <w:rPr>
            <w:rStyle w:val="Hyperlink"/>
            <w:color w:val="165788"/>
          </w:rPr>
          <w:t>Improving Australia's forest area estimate using a Multiple Lines of Evidence approach</w:t>
        </w:r>
      </w:hyperlink>
      <w:r>
        <w:t>, ABARES (Technical report 13.07), Canberra, November 2013.</w:t>
      </w:r>
    </w:p>
    <w:p w14:paraId="12E0F792" w14:textId="77777777" w:rsidR="000E2D33" w:rsidRPr="007954F6" w:rsidRDefault="000E2D33" w:rsidP="000E2D33">
      <w:pPr>
        <w:pStyle w:val="FootnoteText"/>
        <w:spacing w:before="0"/>
        <w:rPr>
          <w:rFonts w:asciiTheme="majorHAnsi" w:hAnsiTheme="majorHAnsi"/>
          <w:sz w:val="22"/>
          <w:szCs w:val="22"/>
        </w:rPr>
      </w:pPr>
      <w:r w:rsidRPr="007954F6">
        <w:rPr>
          <w:rFonts w:asciiTheme="majorHAnsi" w:hAnsiTheme="majorHAnsi"/>
          <w:sz w:val="22"/>
          <w:szCs w:val="22"/>
        </w:rPr>
        <w:t xml:space="preserve">National Forest Inventory 1998, </w:t>
      </w:r>
      <w:hyperlink r:id="rId93" w:history="1">
        <w:r w:rsidRPr="00435E01">
          <w:rPr>
            <w:rStyle w:val="Hyperlink"/>
            <w:rFonts w:asciiTheme="majorHAnsi" w:hAnsiTheme="majorHAnsi"/>
            <w:iCs/>
            <w:color w:val="165788"/>
            <w:sz w:val="22"/>
            <w:szCs w:val="22"/>
          </w:rPr>
          <w:t>Australia’s State of the Forests Report 1998</w:t>
        </w:r>
      </w:hyperlink>
      <w:r w:rsidRPr="007954F6">
        <w:rPr>
          <w:rFonts w:asciiTheme="majorHAnsi" w:hAnsiTheme="majorHAnsi"/>
          <w:sz w:val="22"/>
          <w:szCs w:val="22"/>
        </w:rPr>
        <w:t>, National Forest Inventory, Bur</w:t>
      </w:r>
      <w:r>
        <w:rPr>
          <w:rFonts w:asciiTheme="majorHAnsi" w:hAnsiTheme="majorHAnsi"/>
          <w:sz w:val="22"/>
          <w:szCs w:val="22"/>
        </w:rPr>
        <w:t>eau of Rural Sciences, Canberra.</w:t>
      </w:r>
    </w:p>
    <w:p w14:paraId="5B864626" w14:textId="77777777" w:rsidR="000E2D33" w:rsidRPr="007954F6" w:rsidRDefault="000E2D33" w:rsidP="000E2D33">
      <w:pPr>
        <w:spacing w:before="0" w:line="280" w:lineRule="atLeast"/>
        <w:rPr>
          <w:rFonts w:asciiTheme="majorHAnsi" w:hAnsiTheme="majorHAnsi" w:cs="Arial"/>
          <w:szCs w:val="22"/>
        </w:rPr>
      </w:pPr>
      <w:r w:rsidRPr="007954F6">
        <w:rPr>
          <w:rFonts w:asciiTheme="majorHAnsi" w:hAnsiTheme="majorHAnsi"/>
          <w:szCs w:val="22"/>
        </w:rPr>
        <w:t xml:space="preserve">NSW Auditor General 2009, </w:t>
      </w:r>
      <w:hyperlink r:id="rId94" w:history="1">
        <w:r w:rsidRPr="002F75B5">
          <w:rPr>
            <w:rStyle w:val="Hyperlink"/>
            <w:rFonts w:asciiTheme="majorHAnsi" w:hAnsiTheme="majorHAnsi"/>
            <w:color w:val="165788"/>
            <w:szCs w:val="22"/>
          </w:rPr>
          <w:t>Auditor-General’s report, Performance audit: Sustaining Native Forest Operations, Forests NSW</w:t>
        </w:r>
      </w:hyperlink>
      <w:r>
        <w:rPr>
          <w:rFonts w:asciiTheme="majorHAnsi" w:hAnsiTheme="majorHAnsi"/>
          <w:szCs w:val="22"/>
        </w:rPr>
        <w:t>,</w:t>
      </w:r>
      <w:r w:rsidRPr="007954F6">
        <w:rPr>
          <w:rFonts w:asciiTheme="majorHAnsi" w:hAnsiTheme="majorHAnsi"/>
          <w:szCs w:val="22"/>
        </w:rPr>
        <w:t xml:space="preserve"> Audit Office</w:t>
      </w:r>
      <w:r>
        <w:rPr>
          <w:rFonts w:asciiTheme="majorHAnsi" w:hAnsiTheme="majorHAnsi"/>
          <w:szCs w:val="22"/>
        </w:rPr>
        <w:t xml:space="preserve"> of New South Wales</w:t>
      </w:r>
      <w:r w:rsidRPr="007954F6">
        <w:rPr>
          <w:rFonts w:asciiTheme="majorHAnsi" w:hAnsiTheme="majorHAnsi"/>
          <w:szCs w:val="22"/>
        </w:rPr>
        <w:t>, Sydney</w:t>
      </w:r>
      <w:r>
        <w:rPr>
          <w:rFonts w:asciiTheme="majorHAnsi" w:hAnsiTheme="majorHAnsi"/>
          <w:szCs w:val="22"/>
        </w:rPr>
        <w:t>.</w:t>
      </w:r>
      <w:r w:rsidRPr="007954F6">
        <w:rPr>
          <w:rFonts w:asciiTheme="majorHAnsi" w:hAnsiTheme="majorHAnsi" w:cs="Arial"/>
          <w:szCs w:val="22"/>
        </w:rPr>
        <w:t xml:space="preserve"> </w:t>
      </w:r>
    </w:p>
    <w:p w14:paraId="493DFCCA"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Pitman</w:t>
      </w:r>
      <w:r>
        <w:rPr>
          <w:rFonts w:asciiTheme="majorHAnsi" w:hAnsiTheme="majorHAnsi"/>
          <w:szCs w:val="22"/>
        </w:rPr>
        <w:t>,</w:t>
      </w:r>
      <w:r w:rsidRPr="007954F6">
        <w:rPr>
          <w:rFonts w:asciiTheme="majorHAnsi" w:hAnsiTheme="majorHAnsi"/>
          <w:szCs w:val="22"/>
        </w:rPr>
        <w:t xml:space="preserve"> M, Boardman, K, Kirkpatrick J, Noble, I </w:t>
      </w:r>
      <w:r>
        <w:rPr>
          <w:rFonts w:asciiTheme="majorHAnsi" w:hAnsiTheme="majorHAnsi"/>
          <w:szCs w:val="22"/>
        </w:rPr>
        <w:t>&amp;</w:t>
      </w:r>
      <w:r w:rsidRPr="007954F6">
        <w:rPr>
          <w:rFonts w:asciiTheme="majorHAnsi" w:hAnsiTheme="majorHAnsi"/>
          <w:szCs w:val="22"/>
        </w:rPr>
        <w:t xml:space="preserve"> Slatyer R 1995, Report of the Scientific Advisory Group</w:t>
      </w:r>
      <w:r>
        <w:rPr>
          <w:rFonts w:asciiTheme="majorHAnsi" w:hAnsiTheme="majorHAnsi"/>
          <w:szCs w:val="22"/>
        </w:rPr>
        <w:t>, in</w:t>
      </w:r>
      <w:r w:rsidRPr="007954F6">
        <w:rPr>
          <w:rFonts w:asciiTheme="majorHAnsi" w:hAnsiTheme="majorHAnsi"/>
          <w:szCs w:val="22"/>
        </w:rPr>
        <w:t xml:space="preserve"> </w:t>
      </w:r>
      <w:r w:rsidRPr="00001BD2">
        <w:rPr>
          <w:rFonts w:asciiTheme="majorHAnsi" w:hAnsiTheme="majorHAnsi"/>
          <w:i/>
          <w:szCs w:val="22"/>
        </w:rPr>
        <w:t>National Forest Conservation Reserves Commonwealth Proposed Criteria: A Position Paper</w:t>
      </w:r>
      <w:r>
        <w:rPr>
          <w:rFonts w:asciiTheme="majorHAnsi" w:hAnsiTheme="majorHAnsi"/>
          <w:szCs w:val="22"/>
        </w:rPr>
        <w:t>, pp. 30–40,</w:t>
      </w:r>
      <w:r w:rsidRPr="007954F6">
        <w:rPr>
          <w:rFonts w:asciiTheme="majorHAnsi" w:hAnsiTheme="majorHAnsi"/>
          <w:szCs w:val="22"/>
        </w:rPr>
        <w:t xml:space="preserve"> </w:t>
      </w:r>
      <w:r>
        <w:rPr>
          <w:rFonts w:asciiTheme="majorHAnsi" w:hAnsiTheme="majorHAnsi"/>
          <w:szCs w:val="22"/>
        </w:rPr>
        <w:t>Australian Government Publishing Service,</w:t>
      </w:r>
      <w:r w:rsidRPr="007954F6">
        <w:rPr>
          <w:rFonts w:asciiTheme="majorHAnsi" w:hAnsiTheme="majorHAnsi"/>
          <w:szCs w:val="22"/>
        </w:rPr>
        <w:t xml:space="preserve"> Canberra</w:t>
      </w:r>
      <w:r>
        <w:rPr>
          <w:rFonts w:asciiTheme="majorHAnsi" w:hAnsiTheme="majorHAnsi"/>
          <w:szCs w:val="22"/>
        </w:rPr>
        <w:t>.</w:t>
      </w:r>
    </w:p>
    <w:p w14:paraId="6A17BB2E"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 xml:space="preserve">Ramsay, J 2008, </w:t>
      </w:r>
      <w:hyperlink r:id="rId95" w:history="1">
        <w:r w:rsidRPr="00001BD2">
          <w:rPr>
            <w:rStyle w:val="Hyperlink"/>
            <w:rFonts w:asciiTheme="majorHAnsi" w:hAnsiTheme="majorHAnsi"/>
            <w:color w:val="165788"/>
            <w:szCs w:val="22"/>
          </w:rPr>
          <w:t>Report to the Australian and Tasmanian Governments on the Second Five Yearly Review of Progress with Implementation of the Tasmanian Regional Forest Agreement</w:t>
        </w:r>
      </w:hyperlink>
      <w:r w:rsidRPr="007954F6">
        <w:rPr>
          <w:rFonts w:asciiTheme="majorHAnsi" w:hAnsiTheme="majorHAnsi"/>
          <w:szCs w:val="22"/>
        </w:rPr>
        <w:t>. Australian and Tasmanian Governments, Hobart</w:t>
      </w:r>
      <w:r>
        <w:rPr>
          <w:rFonts w:asciiTheme="majorHAnsi" w:hAnsiTheme="majorHAnsi"/>
          <w:szCs w:val="22"/>
        </w:rPr>
        <w:t>.</w:t>
      </w:r>
    </w:p>
    <w:p w14:paraId="2B74BFD6" w14:textId="77777777" w:rsidR="000E2D33" w:rsidRPr="007954F6" w:rsidRDefault="000E2D33" w:rsidP="000E2D33">
      <w:pPr>
        <w:spacing w:before="0" w:line="280" w:lineRule="atLeast"/>
        <w:rPr>
          <w:rFonts w:asciiTheme="majorHAnsi" w:eastAsiaTheme="minorHAnsi" w:hAnsiTheme="majorHAnsi"/>
          <w:szCs w:val="22"/>
        </w:rPr>
      </w:pPr>
      <w:r w:rsidRPr="007954F6">
        <w:rPr>
          <w:rFonts w:asciiTheme="majorHAnsi" w:eastAsiaTheme="minorHAnsi" w:hAnsiTheme="majorHAnsi"/>
          <w:szCs w:val="22"/>
        </w:rPr>
        <w:t>Resource Planning and</w:t>
      </w:r>
      <w:r>
        <w:rPr>
          <w:rFonts w:asciiTheme="majorHAnsi" w:eastAsiaTheme="minorHAnsi" w:hAnsiTheme="majorHAnsi"/>
          <w:szCs w:val="22"/>
        </w:rPr>
        <w:t xml:space="preserve"> Development Commission</w:t>
      </w:r>
      <w:r w:rsidRPr="007954F6">
        <w:rPr>
          <w:rFonts w:asciiTheme="majorHAnsi" w:eastAsiaTheme="minorHAnsi" w:hAnsiTheme="majorHAnsi"/>
          <w:szCs w:val="22"/>
        </w:rPr>
        <w:t xml:space="preserve"> </w:t>
      </w:r>
      <w:r>
        <w:rPr>
          <w:rFonts w:asciiTheme="majorHAnsi" w:eastAsiaTheme="minorHAnsi" w:hAnsiTheme="majorHAnsi"/>
          <w:szCs w:val="22"/>
        </w:rPr>
        <w:t>(</w:t>
      </w:r>
      <w:r w:rsidRPr="007954F6">
        <w:rPr>
          <w:rFonts w:asciiTheme="majorHAnsi" w:eastAsiaTheme="minorHAnsi" w:hAnsiTheme="majorHAnsi"/>
          <w:szCs w:val="22"/>
        </w:rPr>
        <w:t>RPDC</w:t>
      </w:r>
      <w:r>
        <w:rPr>
          <w:rFonts w:asciiTheme="majorHAnsi" w:eastAsiaTheme="minorHAnsi" w:hAnsiTheme="majorHAnsi"/>
          <w:szCs w:val="22"/>
        </w:rPr>
        <w:t>)</w:t>
      </w:r>
      <w:r w:rsidRPr="007954F6">
        <w:rPr>
          <w:rFonts w:asciiTheme="majorHAnsi" w:eastAsiaTheme="minorHAnsi" w:hAnsiTheme="majorHAnsi"/>
          <w:szCs w:val="22"/>
        </w:rPr>
        <w:t xml:space="preserve"> 2002</w:t>
      </w:r>
      <w:r w:rsidRPr="007B63E1">
        <w:rPr>
          <w:rFonts w:asciiTheme="majorHAnsi" w:eastAsiaTheme="minorHAnsi" w:hAnsiTheme="majorHAnsi"/>
          <w:szCs w:val="22"/>
        </w:rPr>
        <w:t xml:space="preserve">, </w:t>
      </w:r>
      <w:hyperlink r:id="rId96" w:history="1">
        <w:r w:rsidRPr="007B63E1">
          <w:rPr>
            <w:rStyle w:val="Hyperlink"/>
            <w:rFonts w:asciiTheme="majorHAnsi" w:eastAsiaTheme="minorHAnsi" w:hAnsiTheme="majorHAnsi"/>
            <w:color w:val="165788"/>
            <w:szCs w:val="22"/>
          </w:rPr>
          <w:t xml:space="preserve">Inquiry on the Progress with Implementation of the Tasmanian Regional Forest Agreement (1997) Final </w:t>
        </w:r>
        <w:r w:rsidRPr="00C0611A">
          <w:rPr>
            <w:rStyle w:val="Hyperlink"/>
            <w:rFonts w:asciiTheme="majorHAnsi" w:eastAsiaTheme="minorHAnsi" w:hAnsiTheme="majorHAnsi"/>
            <w:color w:val="165788"/>
            <w:szCs w:val="22"/>
          </w:rPr>
          <w:t>Recommendations</w:t>
        </w:r>
        <w:r w:rsidRPr="007B63E1">
          <w:rPr>
            <w:rStyle w:val="Hyperlink"/>
            <w:rFonts w:asciiTheme="majorHAnsi" w:eastAsiaTheme="minorHAnsi" w:hAnsiTheme="majorHAnsi"/>
            <w:color w:val="165788"/>
            <w:szCs w:val="22"/>
          </w:rPr>
          <w:t xml:space="preserve"> Report</w:t>
        </w:r>
      </w:hyperlink>
      <w:r>
        <w:rPr>
          <w:rFonts w:asciiTheme="majorHAnsi" w:eastAsiaTheme="minorHAnsi" w:hAnsiTheme="majorHAnsi"/>
          <w:szCs w:val="22"/>
        </w:rPr>
        <w:t>,</w:t>
      </w:r>
      <w:r w:rsidRPr="007954F6">
        <w:rPr>
          <w:rFonts w:asciiTheme="majorHAnsi" w:eastAsiaTheme="minorHAnsi" w:hAnsiTheme="majorHAnsi"/>
          <w:szCs w:val="22"/>
        </w:rPr>
        <w:t xml:space="preserve"> Resource Planning and</w:t>
      </w:r>
      <w:r>
        <w:rPr>
          <w:rFonts w:asciiTheme="majorHAnsi" w:eastAsiaTheme="minorHAnsi" w:hAnsiTheme="majorHAnsi"/>
          <w:szCs w:val="22"/>
        </w:rPr>
        <w:t xml:space="preserve"> Development Commission, Hobart, Tasmania.</w:t>
      </w:r>
    </w:p>
    <w:p w14:paraId="38F02C57" w14:textId="77777777" w:rsidR="000E2D33" w:rsidRPr="007954F6" w:rsidRDefault="000E2D33" w:rsidP="000E2D33">
      <w:pPr>
        <w:autoSpaceDE w:val="0"/>
        <w:autoSpaceDN w:val="0"/>
        <w:adjustRightInd w:val="0"/>
        <w:spacing w:before="0"/>
        <w:rPr>
          <w:rFonts w:asciiTheme="majorHAnsi" w:hAnsiTheme="majorHAnsi"/>
          <w:szCs w:val="22"/>
        </w:rPr>
      </w:pPr>
      <w:r w:rsidRPr="007954F6">
        <w:rPr>
          <w:rFonts w:asciiTheme="majorHAnsi" w:hAnsiTheme="majorHAnsi"/>
          <w:szCs w:val="22"/>
        </w:rPr>
        <w:t xml:space="preserve">Spencer, S 2009, </w:t>
      </w:r>
      <w:hyperlink r:id="rId97" w:history="1">
        <w:r w:rsidRPr="00C0611A">
          <w:rPr>
            <w:rStyle w:val="Hyperlink"/>
            <w:rFonts w:asciiTheme="majorHAnsi" w:hAnsiTheme="majorHAnsi"/>
            <w:color w:val="165788"/>
            <w:szCs w:val="22"/>
          </w:rPr>
          <w:t>Final Report on Progress with Implementation of NSW Regional Forest Agreements: Report of Independent Assessor</w:t>
        </w:r>
      </w:hyperlink>
      <w:r>
        <w:rPr>
          <w:rFonts w:asciiTheme="majorHAnsi" w:hAnsiTheme="majorHAnsi"/>
          <w:color w:val="165788"/>
          <w:szCs w:val="22"/>
        </w:rPr>
        <w:t>,</w:t>
      </w:r>
      <w:r w:rsidRPr="007954F6">
        <w:rPr>
          <w:rFonts w:asciiTheme="majorHAnsi" w:hAnsiTheme="majorHAnsi"/>
          <w:szCs w:val="22"/>
        </w:rPr>
        <w:t xml:space="preserve"> Australian and New South W</w:t>
      </w:r>
      <w:r>
        <w:rPr>
          <w:rFonts w:asciiTheme="majorHAnsi" w:hAnsiTheme="majorHAnsi"/>
          <w:szCs w:val="22"/>
        </w:rPr>
        <w:t>ales Governments.</w:t>
      </w:r>
      <w:r w:rsidRPr="007954F6">
        <w:rPr>
          <w:rFonts w:asciiTheme="majorHAnsi" w:hAnsiTheme="majorHAnsi"/>
          <w:szCs w:val="22"/>
        </w:rPr>
        <w:t xml:space="preserve"> </w:t>
      </w:r>
    </w:p>
    <w:p w14:paraId="70E1D6E6" w14:textId="77777777" w:rsidR="000E2D33" w:rsidRPr="007954F6" w:rsidRDefault="000E2D33" w:rsidP="000E2D33">
      <w:pPr>
        <w:spacing w:before="0" w:line="280" w:lineRule="atLeast"/>
        <w:rPr>
          <w:rFonts w:asciiTheme="majorHAnsi" w:hAnsiTheme="majorHAnsi"/>
          <w:bCs/>
          <w:snapToGrid w:val="0"/>
          <w:szCs w:val="22"/>
        </w:rPr>
      </w:pPr>
      <w:r w:rsidRPr="007954F6">
        <w:rPr>
          <w:rFonts w:asciiTheme="majorHAnsi" w:hAnsiTheme="majorHAnsi"/>
          <w:bCs/>
          <w:snapToGrid w:val="0"/>
          <w:szCs w:val="22"/>
        </w:rPr>
        <w:t>Vanclay</w:t>
      </w:r>
      <w:r>
        <w:rPr>
          <w:rFonts w:asciiTheme="majorHAnsi" w:hAnsiTheme="majorHAnsi"/>
          <w:bCs/>
          <w:snapToGrid w:val="0"/>
          <w:szCs w:val="22"/>
        </w:rPr>
        <w:t>,</w:t>
      </w:r>
      <w:r w:rsidRPr="007954F6">
        <w:rPr>
          <w:rFonts w:asciiTheme="majorHAnsi" w:hAnsiTheme="majorHAnsi"/>
          <w:bCs/>
          <w:snapToGrid w:val="0"/>
          <w:szCs w:val="22"/>
        </w:rPr>
        <w:t xml:space="preserve"> JK 2002, </w:t>
      </w:r>
      <w:hyperlink r:id="rId98" w:history="1">
        <w:r w:rsidRPr="00C0611A">
          <w:rPr>
            <w:rStyle w:val="Hyperlink"/>
            <w:rFonts w:asciiTheme="majorHAnsi" w:hAnsiTheme="majorHAnsi"/>
            <w:bCs/>
            <w:snapToGrid w:val="0"/>
            <w:color w:val="165788"/>
            <w:szCs w:val="22"/>
          </w:rPr>
          <w:t>Review of Projected Timber Yields for the NSW North Coast</w:t>
        </w:r>
      </w:hyperlink>
      <w:r w:rsidRPr="007954F6">
        <w:rPr>
          <w:rFonts w:asciiTheme="majorHAnsi" w:hAnsiTheme="majorHAnsi"/>
          <w:bCs/>
          <w:snapToGrid w:val="0"/>
          <w:szCs w:val="22"/>
        </w:rPr>
        <w:t>. Southern Cross University.</w:t>
      </w:r>
    </w:p>
    <w:p w14:paraId="22FE38D5" w14:textId="77777777" w:rsidR="000E2D33" w:rsidRPr="007954F6" w:rsidRDefault="000E2D33" w:rsidP="000E2D33">
      <w:pPr>
        <w:spacing w:before="0" w:line="280" w:lineRule="atLeast"/>
        <w:rPr>
          <w:rFonts w:asciiTheme="majorHAnsi" w:hAnsiTheme="majorHAnsi"/>
          <w:bCs/>
          <w:snapToGrid w:val="0"/>
          <w:szCs w:val="22"/>
        </w:rPr>
      </w:pPr>
      <w:r w:rsidRPr="007954F6">
        <w:rPr>
          <w:rFonts w:asciiTheme="majorHAnsi" w:hAnsiTheme="majorHAnsi"/>
          <w:bCs/>
          <w:snapToGrid w:val="0"/>
          <w:szCs w:val="22"/>
        </w:rPr>
        <w:t>Vanclay</w:t>
      </w:r>
      <w:r>
        <w:rPr>
          <w:rFonts w:asciiTheme="majorHAnsi" w:hAnsiTheme="majorHAnsi"/>
          <w:bCs/>
          <w:snapToGrid w:val="0"/>
          <w:szCs w:val="22"/>
        </w:rPr>
        <w:t>,</w:t>
      </w:r>
      <w:r w:rsidRPr="007954F6">
        <w:rPr>
          <w:rFonts w:asciiTheme="majorHAnsi" w:hAnsiTheme="majorHAnsi"/>
          <w:bCs/>
          <w:snapToGrid w:val="0"/>
          <w:szCs w:val="22"/>
        </w:rPr>
        <w:t xml:space="preserve"> JK </w:t>
      </w:r>
      <w:r>
        <w:rPr>
          <w:rFonts w:asciiTheme="majorHAnsi" w:hAnsiTheme="majorHAnsi"/>
          <w:bCs/>
          <w:snapToGrid w:val="0"/>
          <w:szCs w:val="22"/>
        </w:rPr>
        <w:t>&amp;</w:t>
      </w:r>
      <w:r w:rsidRPr="007954F6">
        <w:rPr>
          <w:rFonts w:asciiTheme="majorHAnsi" w:hAnsiTheme="majorHAnsi"/>
          <w:bCs/>
          <w:snapToGrid w:val="0"/>
          <w:szCs w:val="22"/>
        </w:rPr>
        <w:t xml:space="preserve"> Turner</w:t>
      </w:r>
      <w:r>
        <w:rPr>
          <w:rFonts w:asciiTheme="majorHAnsi" w:hAnsiTheme="majorHAnsi"/>
          <w:bCs/>
          <w:snapToGrid w:val="0"/>
          <w:szCs w:val="22"/>
        </w:rPr>
        <w:t>,</w:t>
      </w:r>
      <w:r w:rsidRPr="007954F6">
        <w:rPr>
          <w:rFonts w:asciiTheme="majorHAnsi" w:hAnsiTheme="majorHAnsi"/>
          <w:bCs/>
          <w:snapToGrid w:val="0"/>
          <w:szCs w:val="22"/>
        </w:rPr>
        <w:t xml:space="preserve"> BJ 2001, </w:t>
      </w:r>
      <w:hyperlink r:id="rId99" w:history="1">
        <w:r w:rsidRPr="00C0611A">
          <w:rPr>
            <w:rStyle w:val="Hyperlink"/>
            <w:rFonts w:asciiTheme="majorHAnsi" w:hAnsiTheme="majorHAnsi"/>
            <w:bCs/>
            <w:snapToGrid w:val="0"/>
            <w:color w:val="165788"/>
            <w:szCs w:val="22"/>
          </w:rPr>
          <w:t>Evaluation of data and methods for estimating the sustainable yield of sawlogs in Victoria</w:t>
        </w:r>
      </w:hyperlink>
      <w:r w:rsidRPr="007954F6">
        <w:rPr>
          <w:rFonts w:asciiTheme="majorHAnsi" w:hAnsiTheme="majorHAnsi"/>
          <w:bCs/>
          <w:snapToGrid w:val="0"/>
          <w:szCs w:val="22"/>
        </w:rPr>
        <w:t xml:space="preserve">. Department of Natural Resources and Environment, Melbourne. </w:t>
      </w:r>
    </w:p>
    <w:p w14:paraId="0DD6FFD9" w14:textId="77777777" w:rsidR="000E2D33" w:rsidRPr="007954F6" w:rsidRDefault="000E2D33" w:rsidP="000E2D33">
      <w:pPr>
        <w:spacing w:before="0" w:line="280" w:lineRule="atLeast"/>
        <w:rPr>
          <w:rFonts w:asciiTheme="majorHAnsi" w:hAnsiTheme="majorHAnsi"/>
          <w:bCs/>
          <w:snapToGrid w:val="0"/>
          <w:szCs w:val="22"/>
        </w:rPr>
      </w:pPr>
      <w:r w:rsidRPr="007954F6">
        <w:rPr>
          <w:rFonts w:asciiTheme="majorHAnsi" w:hAnsiTheme="majorHAnsi"/>
          <w:bCs/>
          <w:snapToGrid w:val="0"/>
          <w:szCs w:val="22"/>
        </w:rPr>
        <w:t xml:space="preserve">Wallace, L 2010, </w:t>
      </w:r>
      <w:hyperlink r:id="rId100" w:history="1">
        <w:r w:rsidRPr="00B3716A">
          <w:rPr>
            <w:rStyle w:val="Hyperlink"/>
            <w:rFonts w:asciiTheme="majorHAnsi" w:hAnsiTheme="majorHAnsi"/>
            <w:bCs/>
            <w:snapToGrid w:val="0"/>
            <w:color w:val="165788"/>
            <w:szCs w:val="22"/>
          </w:rPr>
          <w:t>Independent Review on Progress with Implementation of the Victorian Regional Forest Agreements (RFAs) Final Report</w:t>
        </w:r>
      </w:hyperlink>
      <w:r>
        <w:rPr>
          <w:rFonts w:asciiTheme="majorHAnsi" w:hAnsiTheme="majorHAnsi"/>
          <w:bCs/>
          <w:snapToGrid w:val="0"/>
          <w:szCs w:val="22"/>
        </w:rPr>
        <w:t>,</w:t>
      </w:r>
      <w:r w:rsidRPr="007954F6">
        <w:rPr>
          <w:rFonts w:asciiTheme="majorHAnsi" w:hAnsiTheme="majorHAnsi"/>
          <w:bCs/>
          <w:snapToGrid w:val="0"/>
          <w:szCs w:val="22"/>
        </w:rPr>
        <w:t xml:space="preserve"> </w:t>
      </w:r>
      <w:r w:rsidRPr="007954F6">
        <w:rPr>
          <w:rFonts w:asciiTheme="majorHAnsi" w:hAnsiTheme="majorHAnsi"/>
          <w:szCs w:val="22"/>
        </w:rPr>
        <w:t>Austr</w:t>
      </w:r>
      <w:r>
        <w:rPr>
          <w:rFonts w:asciiTheme="majorHAnsi" w:hAnsiTheme="majorHAnsi"/>
          <w:szCs w:val="22"/>
        </w:rPr>
        <w:t>alian and Victorian Governments.</w:t>
      </w:r>
    </w:p>
    <w:p w14:paraId="0C21F1B7" w14:textId="77777777" w:rsidR="000E2D33" w:rsidRPr="007954F6" w:rsidRDefault="000E2D33" w:rsidP="000E2D33">
      <w:pPr>
        <w:spacing w:before="0" w:line="280" w:lineRule="atLeast"/>
        <w:rPr>
          <w:rFonts w:asciiTheme="majorHAnsi" w:hAnsiTheme="majorHAnsi"/>
          <w:szCs w:val="22"/>
        </w:rPr>
      </w:pPr>
      <w:r w:rsidRPr="007954F6">
        <w:rPr>
          <w:rFonts w:asciiTheme="majorHAnsi" w:hAnsiTheme="majorHAnsi"/>
          <w:szCs w:val="22"/>
        </w:rPr>
        <w:t xml:space="preserve">Whiteley, S 1999, </w:t>
      </w:r>
      <w:hyperlink r:id="rId101" w:history="1">
        <w:r>
          <w:rPr>
            <w:rStyle w:val="Hyperlink"/>
            <w:rFonts w:asciiTheme="majorHAnsi" w:hAnsiTheme="majorHAnsi"/>
            <w:color w:val="165788"/>
            <w:szCs w:val="22"/>
          </w:rPr>
          <w:t>Calculating the sustainable yield of Tasmania’s State forests</w:t>
        </w:r>
      </w:hyperlink>
      <w:r>
        <w:rPr>
          <w:rFonts w:asciiTheme="majorHAnsi" w:hAnsiTheme="majorHAnsi"/>
          <w:color w:val="165788"/>
          <w:szCs w:val="22"/>
        </w:rPr>
        <w:t>,</w:t>
      </w:r>
      <w:r>
        <w:rPr>
          <w:rFonts w:asciiTheme="majorHAnsi" w:hAnsiTheme="majorHAnsi"/>
          <w:szCs w:val="22"/>
        </w:rPr>
        <w:t xml:space="preserve"> in</w:t>
      </w:r>
      <w:r w:rsidRPr="007954F6">
        <w:rPr>
          <w:rFonts w:asciiTheme="majorHAnsi" w:hAnsiTheme="majorHAnsi"/>
          <w:szCs w:val="22"/>
        </w:rPr>
        <w:t xml:space="preserve"> </w:t>
      </w:r>
      <w:r w:rsidRPr="00B3716A">
        <w:rPr>
          <w:rFonts w:asciiTheme="majorHAnsi" w:hAnsiTheme="majorHAnsi"/>
          <w:i/>
          <w:szCs w:val="22"/>
        </w:rPr>
        <w:t>Tasforests</w:t>
      </w:r>
      <w:r w:rsidRPr="007954F6">
        <w:rPr>
          <w:rFonts w:asciiTheme="majorHAnsi" w:hAnsiTheme="majorHAnsi"/>
          <w:szCs w:val="22"/>
        </w:rPr>
        <w:t>,</w:t>
      </w:r>
      <w:r>
        <w:rPr>
          <w:rFonts w:asciiTheme="majorHAnsi" w:hAnsiTheme="majorHAnsi"/>
          <w:szCs w:val="22"/>
        </w:rPr>
        <w:t xml:space="preserve"> vol.</w:t>
      </w:r>
      <w:r w:rsidRPr="007954F6">
        <w:rPr>
          <w:rFonts w:asciiTheme="majorHAnsi" w:hAnsiTheme="majorHAnsi"/>
          <w:szCs w:val="22"/>
        </w:rPr>
        <w:t xml:space="preserve"> 11,</w:t>
      </w:r>
      <w:r>
        <w:rPr>
          <w:rFonts w:asciiTheme="majorHAnsi" w:hAnsiTheme="majorHAnsi"/>
          <w:szCs w:val="22"/>
        </w:rPr>
        <w:t xml:space="preserve"> pp.</w:t>
      </w:r>
      <w:r w:rsidRPr="007954F6">
        <w:rPr>
          <w:rFonts w:asciiTheme="majorHAnsi" w:hAnsiTheme="majorHAnsi"/>
          <w:szCs w:val="22"/>
        </w:rPr>
        <w:t xml:space="preserve"> 23</w:t>
      </w:r>
      <w:r w:rsidRPr="007954F6">
        <w:rPr>
          <w:rFonts w:asciiTheme="majorHAnsi" w:hAnsiTheme="majorHAnsi" w:cs="AdvTT5235d5a9"/>
          <w:color w:val="000000"/>
          <w:szCs w:val="22"/>
        </w:rPr>
        <w:t>–</w:t>
      </w:r>
      <w:r>
        <w:rPr>
          <w:rFonts w:asciiTheme="majorHAnsi" w:hAnsiTheme="majorHAnsi"/>
          <w:szCs w:val="22"/>
        </w:rPr>
        <w:t>31.</w:t>
      </w:r>
    </w:p>
    <w:p w14:paraId="4F37380F" w14:textId="47BE3089" w:rsidR="00745FB9" w:rsidRPr="000E2D33" w:rsidRDefault="000E2D33" w:rsidP="000E2D33">
      <w:pPr>
        <w:spacing w:before="0" w:line="280" w:lineRule="atLeast"/>
        <w:rPr>
          <w:rFonts w:asciiTheme="majorHAnsi" w:hAnsiTheme="majorHAnsi" w:cs="AdvTT5235d5a9"/>
          <w:color w:val="000000"/>
          <w:szCs w:val="22"/>
        </w:rPr>
      </w:pPr>
      <w:r w:rsidRPr="007954F6">
        <w:rPr>
          <w:rFonts w:asciiTheme="majorHAnsi" w:hAnsiTheme="majorHAnsi" w:cs="AdvTT5235d5a9"/>
          <w:color w:val="000000"/>
          <w:szCs w:val="22"/>
        </w:rPr>
        <w:t>Wilkinson, GR, Scho</w:t>
      </w:r>
      <w:r w:rsidRPr="007954F6">
        <w:rPr>
          <w:rFonts w:asciiTheme="majorHAnsi" w:hAnsiTheme="majorHAnsi" w:cs="AdvTT5235d5a9+fb"/>
          <w:color w:val="000000"/>
          <w:szCs w:val="22"/>
        </w:rPr>
        <w:t>fi</w:t>
      </w:r>
      <w:r w:rsidRPr="007954F6">
        <w:rPr>
          <w:rFonts w:asciiTheme="majorHAnsi" w:hAnsiTheme="majorHAnsi" w:cs="AdvTT5235d5a9"/>
          <w:color w:val="000000"/>
          <w:szCs w:val="22"/>
        </w:rPr>
        <w:t xml:space="preserve">eld, M </w:t>
      </w:r>
      <w:r>
        <w:rPr>
          <w:rFonts w:asciiTheme="majorHAnsi" w:hAnsiTheme="majorHAnsi" w:cs="AdvTT5235d5a9"/>
          <w:color w:val="000000"/>
          <w:szCs w:val="22"/>
        </w:rPr>
        <w:t>&amp;</w:t>
      </w:r>
      <w:r w:rsidRPr="007954F6">
        <w:rPr>
          <w:rFonts w:asciiTheme="majorHAnsi" w:hAnsiTheme="majorHAnsi" w:cs="AdvTT5235d5a9"/>
          <w:color w:val="000000"/>
          <w:szCs w:val="22"/>
        </w:rPr>
        <w:t xml:space="preserve"> Kanowski, P 2014, </w:t>
      </w:r>
      <w:hyperlink r:id="rId102" w:history="1">
        <w:r w:rsidRPr="00B3716A">
          <w:rPr>
            <w:rStyle w:val="Hyperlink"/>
            <w:rFonts w:asciiTheme="majorHAnsi" w:hAnsiTheme="majorHAnsi" w:cs="AdvTT5235d5a9"/>
            <w:color w:val="165788"/>
            <w:szCs w:val="22"/>
          </w:rPr>
          <w:t xml:space="preserve">Regulating forestry </w:t>
        </w:r>
        <w:r w:rsidRPr="00B3716A">
          <w:rPr>
            <w:rStyle w:val="Hyperlink"/>
            <w:rFonts w:asciiTheme="majorHAnsi" w:hAnsiTheme="majorHAnsi" w:cs="AdvTT5235d5a9+20"/>
            <w:color w:val="165788"/>
            <w:szCs w:val="22"/>
          </w:rPr>
          <w:t xml:space="preserve">— </w:t>
        </w:r>
        <w:r w:rsidRPr="00B3716A">
          <w:rPr>
            <w:rStyle w:val="Hyperlink"/>
            <w:rFonts w:asciiTheme="majorHAnsi" w:hAnsiTheme="majorHAnsi" w:cs="AdvTT5235d5a9"/>
            <w:color w:val="165788"/>
            <w:szCs w:val="22"/>
          </w:rPr>
          <w:t>Experience with compliance and enforcement over the 25 years of Tasmania's forest practices system</w:t>
        </w:r>
      </w:hyperlink>
      <w:r>
        <w:rPr>
          <w:rFonts w:asciiTheme="majorHAnsi" w:hAnsiTheme="majorHAnsi" w:cs="AdvTT5235d5a9"/>
          <w:color w:val="000000"/>
          <w:szCs w:val="22"/>
        </w:rPr>
        <w:t>, in</w:t>
      </w:r>
      <w:r w:rsidRPr="007954F6">
        <w:rPr>
          <w:rFonts w:asciiTheme="majorHAnsi" w:hAnsiTheme="majorHAnsi" w:cs="AdvTT5235d5a9"/>
          <w:color w:val="000000"/>
          <w:szCs w:val="22"/>
        </w:rPr>
        <w:t xml:space="preserve"> </w:t>
      </w:r>
      <w:r w:rsidRPr="00B3716A">
        <w:rPr>
          <w:rFonts w:asciiTheme="majorHAnsi" w:hAnsiTheme="majorHAnsi"/>
          <w:i/>
          <w:szCs w:val="22"/>
        </w:rPr>
        <w:t>Forest Policy and Economics</w:t>
      </w:r>
      <w:r>
        <w:rPr>
          <w:rFonts w:asciiTheme="majorHAnsi" w:hAnsiTheme="majorHAnsi" w:cs="AdvTT5235d5a9"/>
          <w:color w:val="000000"/>
          <w:szCs w:val="22"/>
        </w:rPr>
        <w:t xml:space="preserve">, vol. </w:t>
      </w:r>
      <w:r w:rsidRPr="007954F6">
        <w:rPr>
          <w:rFonts w:asciiTheme="majorHAnsi" w:hAnsiTheme="majorHAnsi"/>
          <w:szCs w:val="22"/>
        </w:rPr>
        <w:t>40</w:t>
      </w:r>
      <w:r w:rsidRPr="007954F6">
        <w:rPr>
          <w:rFonts w:asciiTheme="majorHAnsi" w:hAnsiTheme="majorHAnsi" w:cs="AdvTT5235d5a9"/>
          <w:color w:val="000000"/>
          <w:szCs w:val="22"/>
        </w:rPr>
        <w:t>,</w:t>
      </w:r>
      <w:r>
        <w:rPr>
          <w:rFonts w:asciiTheme="majorHAnsi" w:hAnsiTheme="majorHAnsi" w:cs="AdvTT5235d5a9"/>
          <w:color w:val="000000"/>
          <w:szCs w:val="22"/>
        </w:rPr>
        <w:t xml:space="preserve"> pp.</w:t>
      </w:r>
      <w:r w:rsidRPr="007954F6">
        <w:rPr>
          <w:rFonts w:asciiTheme="majorHAnsi" w:hAnsiTheme="majorHAnsi" w:cs="AdvTT5235d5a9"/>
          <w:color w:val="000000"/>
          <w:szCs w:val="22"/>
        </w:rPr>
        <w:t xml:space="preserve"> 1–11.</w:t>
      </w:r>
    </w:p>
    <w:sectPr w:rsidR="00745FB9" w:rsidRPr="000E2D33" w:rsidSect="000E2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DD433" w14:textId="77777777" w:rsidR="00394440" w:rsidRDefault="00394440" w:rsidP="00C004EC">
      <w:r>
        <w:separator/>
      </w:r>
    </w:p>
  </w:endnote>
  <w:endnote w:type="continuationSeparator" w:id="0">
    <w:p w14:paraId="53FB8218" w14:textId="77777777" w:rsidR="00394440" w:rsidRDefault="00394440" w:rsidP="00C004EC">
      <w:r>
        <w:continuationSeparator/>
      </w:r>
    </w:p>
  </w:endnote>
  <w:endnote w:type="continuationNotice" w:id="1">
    <w:p w14:paraId="00A86289" w14:textId="77777777" w:rsidR="00394440" w:rsidRDefault="003944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FS Me">
    <w:altName w:val="FS M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TT5235d5a9">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4E091" w14:textId="77777777" w:rsidR="00394440" w:rsidRDefault="00394440" w:rsidP="004F65C6">
    <w:pPr>
      <w:pStyle w:val="Footer"/>
      <w:spacing w:before="0" w:after="0"/>
      <w:jc w:val="center"/>
      <w:rPr>
        <w:rFonts w:asciiTheme="minorHAnsi" w:hAnsiTheme="minorHAnsi"/>
        <w:sz w:val="20"/>
      </w:rPr>
    </w:pPr>
    <w:r w:rsidRPr="00160F3D">
      <w:rPr>
        <w:rFonts w:asciiTheme="minorHAnsi" w:hAnsiTheme="minorHAnsi"/>
        <w:sz w:val="20"/>
      </w:rPr>
      <w:t>ABARES</w:t>
    </w:r>
  </w:p>
  <w:p w14:paraId="3372F95D" w14:textId="5647F82F" w:rsidR="00394440" w:rsidRPr="004F65C6" w:rsidRDefault="00AF20AA" w:rsidP="004F65C6">
    <w:pPr>
      <w:pStyle w:val="Footer"/>
      <w:spacing w:before="0" w:after="0"/>
      <w:jc w:val="center"/>
      <w:rPr>
        <w:rFonts w:asciiTheme="minorHAnsi" w:hAnsiTheme="minorHAnsi"/>
        <w:sz w:val="20"/>
      </w:rPr>
    </w:pPr>
    <w:sdt>
      <w:sdtPr>
        <w:id w:val="1701590168"/>
        <w:docPartObj>
          <w:docPartGallery w:val="Page Numbers (Bottom of Page)"/>
          <w:docPartUnique/>
        </w:docPartObj>
      </w:sdtPr>
      <w:sdtEndPr>
        <w:rPr>
          <w:rFonts w:asciiTheme="minorHAnsi" w:hAnsiTheme="minorHAnsi"/>
          <w:noProof/>
          <w:sz w:val="20"/>
        </w:rPr>
      </w:sdtEndPr>
      <w:sdtContent>
        <w:r w:rsidR="00394440">
          <w:rPr>
            <w:rFonts w:asciiTheme="minorHAnsi" w:hAnsiTheme="minorHAnsi"/>
            <w:sz w:val="20"/>
          </w:rPr>
          <w:fldChar w:fldCharType="begin"/>
        </w:r>
        <w:r w:rsidR="00394440">
          <w:rPr>
            <w:rFonts w:asciiTheme="minorHAnsi" w:hAnsiTheme="minorHAnsi"/>
            <w:sz w:val="20"/>
          </w:rPr>
          <w:instrText xml:space="preserve"> PAGE  \* roman  \* MERGEFORMAT </w:instrText>
        </w:r>
        <w:r w:rsidR="00394440">
          <w:rPr>
            <w:rFonts w:asciiTheme="minorHAnsi" w:hAnsiTheme="minorHAnsi"/>
            <w:sz w:val="20"/>
          </w:rPr>
          <w:fldChar w:fldCharType="separate"/>
        </w:r>
        <w:r>
          <w:rPr>
            <w:rFonts w:asciiTheme="minorHAnsi" w:hAnsiTheme="minorHAnsi"/>
            <w:noProof/>
            <w:sz w:val="20"/>
          </w:rPr>
          <w:t>ii</w:t>
        </w:r>
        <w:r w:rsidR="00394440">
          <w:rPr>
            <w:rFonts w:asciiTheme="minorHAnsi" w:hAnsiTheme="minorHAnsi"/>
            <w:sz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939622"/>
      <w:docPartObj>
        <w:docPartGallery w:val="Page Numbers (Bottom of Page)"/>
        <w:docPartUnique/>
      </w:docPartObj>
    </w:sdtPr>
    <w:sdtEndPr>
      <w:rPr>
        <w:rFonts w:asciiTheme="minorHAnsi" w:hAnsiTheme="minorHAnsi"/>
        <w:noProof/>
        <w:sz w:val="20"/>
      </w:rPr>
    </w:sdtEndPr>
    <w:sdtContent>
      <w:p w14:paraId="7BFB13AA" w14:textId="77777777" w:rsidR="00394440" w:rsidRDefault="00394440" w:rsidP="004F65C6">
        <w:pPr>
          <w:pStyle w:val="Footer"/>
          <w:spacing w:before="0" w:after="0"/>
          <w:jc w:val="center"/>
          <w:rPr>
            <w:rFonts w:asciiTheme="minorHAnsi" w:hAnsiTheme="minorHAnsi"/>
            <w:sz w:val="20"/>
          </w:rPr>
        </w:pPr>
        <w:r w:rsidRPr="00160F3D">
          <w:rPr>
            <w:rFonts w:asciiTheme="minorHAnsi" w:hAnsiTheme="minorHAnsi"/>
            <w:sz w:val="20"/>
          </w:rPr>
          <w:t>ABARES</w:t>
        </w:r>
      </w:p>
      <w:p w14:paraId="764EBEE8" w14:textId="6A2E5BA3" w:rsidR="00394440" w:rsidRPr="004F65C6" w:rsidRDefault="00394440" w:rsidP="004F65C6">
        <w:pPr>
          <w:pStyle w:val="Footer"/>
          <w:spacing w:before="0" w:after="0"/>
          <w:jc w:val="center"/>
          <w:rPr>
            <w:rFonts w:asciiTheme="minorHAnsi" w:hAnsiTheme="minorHAnsi"/>
            <w:sz w:val="20"/>
          </w:rPr>
        </w:pPr>
        <w:r>
          <w:rPr>
            <w:rFonts w:asciiTheme="minorHAnsi" w:hAnsiTheme="minorHAnsi"/>
            <w:sz w:val="20"/>
          </w:rPr>
          <w:fldChar w:fldCharType="begin"/>
        </w:r>
        <w:r>
          <w:rPr>
            <w:rFonts w:asciiTheme="minorHAnsi" w:hAnsiTheme="minorHAnsi"/>
            <w:sz w:val="20"/>
          </w:rPr>
          <w:instrText xml:space="preserve"> PAGE  \* Arabic  \* MERGEFORMAT </w:instrText>
        </w:r>
        <w:r>
          <w:rPr>
            <w:rFonts w:asciiTheme="minorHAnsi" w:hAnsiTheme="minorHAnsi"/>
            <w:sz w:val="20"/>
          </w:rPr>
          <w:fldChar w:fldCharType="separate"/>
        </w:r>
        <w:r w:rsidR="00AF20AA">
          <w:rPr>
            <w:rFonts w:asciiTheme="minorHAnsi" w:hAnsiTheme="minorHAnsi"/>
            <w:noProof/>
            <w:sz w:val="20"/>
          </w:rPr>
          <w:t>17</w:t>
        </w:r>
        <w:r>
          <w:rPr>
            <w:rFonts w:asciiTheme="minorHAnsi" w:hAnsiTheme="minorHAnsi"/>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B8086" w14:textId="77777777" w:rsidR="00394440" w:rsidRDefault="00394440" w:rsidP="00C004EC">
      <w:r>
        <w:separator/>
      </w:r>
    </w:p>
  </w:footnote>
  <w:footnote w:type="continuationSeparator" w:id="0">
    <w:p w14:paraId="30120806" w14:textId="77777777" w:rsidR="00394440" w:rsidRDefault="00394440" w:rsidP="00C004EC">
      <w:r>
        <w:continuationSeparator/>
      </w:r>
    </w:p>
  </w:footnote>
  <w:footnote w:type="continuationNotice" w:id="1">
    <w:p w14:paraId="7F323E45" w14:textId="77777777" w:rsidR="00394440" w:rsidRDefault="00394440">
      <w:pPr>
        <w:spacing w:before="0" w:after="0"/>
      </w:pPr>
    </w:p>
  </w:footnote>
  <w:footnote w:id="2">
    <w:p w14:paraId="5CE4C4DA" w14:textId="77777777" w:rsidR="00394440" w:rsidRDefault="00394440" w:rsidP="005C7E57">
      <w:pPr>
        <w:pStyle w:val="FootnoteText"/>
      </w:pPr>
      <w:r>
        <w:rPr>
          <w:rStyle w:val="FootnoteReference"/>
        </w:rPr>
        <w:footnoteRef/>
      </w:r>
      <w:r>
        <w:t xml:space="preserve"> </w:t>
      </w:r>
      <w:hyperlink r:id="rId1" w:history="1">
        <w:r w:rsidRPr="00205306">
          <w:rPr>
            <w:rStyle w:val="Hyperlink"/>
            <w:color w:val="165788"/>
          </w:rPr>
          <w:t>environment.gov.au/land/nrs/science/scientific-framework</w:t>
        </w:r>
      </w:hyperlink>
      <w:r w:rsidRPr="00205306">
        <w:rPr>
          <w:color w:val="165788"/>
        </w:rPr>
        <w:t xml:space="preserve"> </w:t>
      </w:r>
    </w:p>
  </w:footnote>
  <w:footnote w:id="3">
    <w:p w14:paraId="2BF7D7AD" w14:textId="45EFABFD" w:rsidR="00394440" w:rsidRDefault="00394440">
      <w:pPr>
        <w:pStyle w:val="FootnoteText"/>
      </w:pPr>
      <w:r>
        <w:rPr>
          <w:rStyle w:val="FootnoteReference"/>
        </w:rPr>
        <w:footnoteRef/>
      </w:r>
      <w:r>
        <w:t xml:space="preserve"> </w:t>
      </w:r>
      <w:hyperlink r:id="rId2" w:history="1">
        <w:r w:rsidRPr="00EF33E3">
          <w:rPr>
            <w:rStyle w:val="Hyperlink"/>
            <w:color w:val="165788"/>
          </w:rPr>
          <w:t>agriculture.gov.au/abares/forestsaustralia/</w:t>
        </w:r>
        <w:r w:rsidRPr="00BF0131">
          <w:rPr>
            <w:rStyle w:val="Hyperlink"/>
            <w:color w:val="165788"/>
          </w:rPr>
          <w:t>sofr</w:t>
        </w:r>
      </w:hyperlink>
      <w:r w:rsidRPr="00EF33E3">
        <w:rPr>
          <w:color w:val="165788"/>
        </w:rPr>
        <w:t xml:space="preserve"> </w:t>
      </w:r>
    </w:p>
  </w:footnote>
  <w:footnote w:id="4">
    <w:p w14:paraId="1C0A79CC" w14:textId="5840A635" w:rsidR="00394440" w:rsidRDefault="00394440">
      <w:pPr>
        <w:pStyle w:val="FootnoteText"/>
      </w:pPr>
      <w:r>
        <w:rPr>
          <w:rStyle w:val="FootnoteReference"/>
        </w:rPr>
        <w:footnoteRef/>
      </w:r>
      <w:r>
        <w:t xml:space="preserve"> In 2000, the National Forest Inventory used the AUSLIG 1:100,000 coastline </w:t>
      </w:r>
      <w:r w:rsidRPr="00F61F5C">
        <w:rPr>
          <w:i/>
        </w:rPr>
        <w:t>cst100g2</w:t>
      </w:r>
      <w:r>
        <w:t xml:space="preserve"> with two GDA94 projections – GDA 1994 MGA Zone 55 for Tasmania, and GDA 1994 Australian Albers for the Australian mainland. </w:t>
      </w:r>
    </w:p>
  </w:footnote>
  <w:footnote w:id="5">
    <w:p w14:paraId="6C6BD9F0" w14:textId="77777777" w:rsidR="00394440" w:rsidRDefault="00394440" w:rsidP="00502F76">
      <w:pPr>
        <w:pStyle w:val="FootnoteText"/>
      </w:pPr>
      <w:r>
        <w:rPr>
          <w:rStyle w:val="FootnoteReference"/>
        </w:rPr>
        <w:footnoteRef/>
      </w:r>
      <w:r>
        <w:t xml:space="preserve"> </w:t>
      </w:r>
      <w:hyperlink r:id="rId3" w:history="1">
        <w:r w:rsidRPr="00BF0131">
          <w:rPr>
            <w:rStyle w:val="Hyperlink"/>
            <w:color w:val="165788"/>
          </w:rPr>
          <w:t>agriculture.gov.au/forestry/policies/rfa</w:t>
        </w:r>
      </w:hyperlink>
      <w:r w:rsidRPr="00BF0131">
        <w:rPr>
          <w:color w:val="165788"/>
        </w:rPr>
        <w:t xml:space="preserve"> </w:t>
      </w:r>
    </w:p>
  </w:footnote>
  <w:footnote w:id="6">
    <w:p w14:paraId="74042730" w14:textId="6D12D501" w:rsidR="00394440" w:rsidRDefault="00394440">
      <w:pPr>
        <w:pStyle w:val="FootnoteText"/>
      </w:pPr>
      <w:r>
        <w:rPr>
          <w:rStyle w:val="FootnoteReference"/>
        </w:rPr>
        <w:footnoteRef/>
      </w:r>
      <w:r>
        <w:t xml:space="preserve"> Formal reserve: An area, such as a national park, legally dedicated for protection in a reserve. Informal reserve: Reserve on public land protected through an administrative instrument by a public land management agency, such as special protection zones in state forests.</w:t>
      </w:r>
    </w:p>
  </w:footnote>
  <w:footnote w:id="7">
    <w:p w14:paraId="4F504D34" w14:textId="29E38D2B" w:rsidR="00394440" w:rsidRPr="00381C63" w:rsidRDefault="00394440">
      <w:pPr>
        <w:pStyle w:val="FootnoteText"/>
        <w:rPr>
          <w:rFonts w:asciiTheme="majorHAnsi" w:hAnsiTheme="majorHAnsi"/>
        </w:rPr>
      </w:pPr>
      <w:r w:rsidRPr="00381C63">
        <w:rPr>
          <w:rStyle w:val="FootnoteReference"/>
          <w:rFonts w:asciiTheme="majorHAnsi" w:hAnsiTheme="majorHAnsi"/>
        </w:rPr>
        <w:footnoteRef/>
      </w:r>
      <w:r w:rsidRPr="00381C63">
        <w:rPr>
          <w:rFonts w:asciiTheme="majorHAnsi" w:hAnsiTheme="majorHAnsi"/>
        </w:rPr>
        <w:t xml:space="preserve"> See Map 13 </w:t>
      </w:r>
      <w:hyperlink r:id="rId4" w:history="1">
        <w:r>
          <w:rPr>
            <w:rStyle w:val="Hyperlink"/>
            <w:rFonts w:asciiTheme="majorHAnsi" w:hAnsiTheme="majorHAnsi"/>
            <w:color w:val="165788"/>
          </w:rPr>
          <w:t>data.daff.gov.au/data/warehouse/asofrd9ablf001/asofrd9ablf001_1998/maps.pdf</w:t>
        </w:r>
      </w:hyperlink>
      <w:r w:rsidRPr="00381C63">
        <w:rPr>
          <w:rFonts w:asciiTheme="majorHAnsi" w:hAnsiTheme="majorHAnsi"/>
        </w:rPr>
        <w:t xml:space="preserve"> </w:t>
      </w:r>
    </w:p>
  </w:footnote>
  <w:footnote w:id="8">
    <w:p w14:paraId="3FBC1555" w14:textId="48EB158D" w:rsidR="00394440" w:rsidRPr="00952178" w:rsidRDefault="00394440">
      <w:pPr>
        <w:pStyle w:val="FootnoteText"/>
        <w:rPr>
          <w:lang w:val="en-US"/>
        </w:rPr>
      </w:pPr>
      <w:r w:rsidRPr="001966A1">
        <w:rPr>
          <w:rStyle w:val="FootnoteReference"/>
        </w:rPr>
        <w:footnoteRef/>
      </w:r>
      <w:r w:rsidRPr="001966A1">
        <w:t xml:space="preserve"> Merchantability</w:t>
      </w:r>
      <w:r>
        <w:t>: with respect to a tree or tree species, suitability for production or commercial wood products. An emphasis is placed on commercial production of sawlogs or high-value equivalents (ABARES 2020).</w:t>
      </w:r>
    </w:p>
  </w:footnote>
  <w:footnote w:id="9">
    <w:p w14:paraId="32170104" w14:textId="77777777" w:rsidR="00394440" w:rsidRDefault="00394440" w:rsidP="00C74552">
      <w:pPr>
        <w:pStyle w:val="FootnoteText"/>
      </w:pPr>
      <w:r>
        <w:rPr>
          <w:rStyle w:val="FootnoteReference"/>
        </w:rPr>
        <w:footnoteRef/>
      </w:r>
      <w:r>
        <w:t xml:space="preserve"> Described in </w:t>
      </w:r>
      <w:hyperlink r:id="rId5" w:history="1">
        <w:r>
          <w:rPr>
            <w:rStyle w:val="Hyperlink"/>
            <w:color w:val="165788"/>
          </w:rPr>
          <w:t>environment.gov.au/land/forests/intergovernmental-</w:t>
        </w:r>
        <w:r w:rsidRPr="00205306">
          <w:rPr>
            <w:rStyle w:val="Hyperlink"/>
            <w:color w:val="165788"/>
          </w:rPr>
          <w:t>agreement</w:t>
        </w:r>
      </w:hyperlink>
      <w:r w:rsidRPr="006B4FEA">
        <w:rPr>
          <w:color w:val="16578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F9488" w14:textId="135BD1D4" w:rsidR="00394440" w:rsidRDefault="003944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54524" w14:textId="448D7407" w:rsidR="00394440" w:rsidRPr="0046298D" w:rsidRDefault="00394440" w:rsidP="0046298D">
    <w:pPr>
      <w:pStyle w:val="Heading1"/>
      <w:keepNext w:val="0"/>
      <w:widowControl w:val="0"/>
      <w:spacing w:before="360"/>
      <w:contextualSpacing/>
      <w:rPr>
        <w:rFonts w:asciiTheme="minorHAnsi" w:eastAsiaTheme="minorHAnsi" w:hAnsiTheme="minorHAnsi" w:cstheme="minorBidi"/>
        <w:b w:val="0"/>
        <w:color w:val="000000"/>
        <w:spacing w:val="5"/>
        <w:kern w:val="28"/>
        <w:sz w:val="20"/>
        <w:szCs w:val="20"/>
      </w:rPr>
    </w:pPr>
    <w:r w:rsidRPr="008C5370">
      <w:rPr>
        <w:rFonts w:asciiTheme="minorHAnsi" w:eastAsiaTheme="minorHAnsi" w:hAnsiTheme="minorHAnsi" w:cstheme="minorBidi"/>
        <w:b w:val="0"/>
        <w:color w:val="000000"/>
        <w:spacing w:val="5"/>
        <w:kern w:val="28"/>
        <w:sz w:val="20"/>
        <w:szCs w:val="20"/>
      </w:rPr>
      <w:t>Regional forest agreements</w:t>
    </w:r>
    <w:r>
      <w:rPr>
        <w:rFonts w:asciiTheme="minorHAnsi" w:eastAsiaTheme="minorHAnsi" w:hAnsiTheme="minorHAnsi" w:cstheme="minorBidi"/>
        <w:b w:val="0"/>
        <w:color w:val="000000"/>
        <w:spacing w:val="5"/>
        <w:kern w:val="28"/>
        <w:sz w:val="20"/>
        <w:szCs w:val="20"/>
      </w:rPr>
      <w:t>:</w:t>
    </w:r>
    <w:r w:rsidRPr="008C5370">
      <w:rPr>
        <w:rFonts w:asciiTheme="minorHAnsi" w:eastAsiaTheme="minorHAnsi" w:hAnsiTheme="minorHAnsi" w:cstheme="minorBidi"/>
        <w:b w:val="0"/>
        <w:color w:val="000000"/>
        <w:spacing w:val="5"/>
        <w:kern w:val="28"/>
        <w:sz w:val="20"/>
        <w:szCs w:val="20"/>
      </w:rPr>
      <w:t xml:space="preserve"> </w:t>
    </w:r>
    <w:r>
      <w:rPr>
        <w:rFonts w:asciiTheme="minorHAnsi" w:eastAsiaTheme="minorHAnsi" w:hAnsiTheme="minorHAnsi" w:cstheme="minorBidi"/>
        <w:b w:val="0"/>
        <w:color w:val="000000"/>
        <w:spacing w:val="5"/>
        <w:kern w:val="28"/>
        <w:sz w:val="20"/>
        <w:szCs w:val="20"/>
      </w:rPr>
      <w:t>compilation of r</w:t>
    </w:r>
    <w:r w:rsidRPr="008C5370">
      <w:rPr>
        <w:rFonts w:asciiTheme="minorHAnsi" w:eastAsiaTheme="minorHAnsi" w:hAnsiTheme="minorHAnsi" w:cstheme="minorBidi"/>
        <w:b w:val="0"/>
        <w:color w:val="000000"/>
        <w:spacing w:val="5"/>
        <w:kern w:val="28"/>
        <w:sz w:val="20"/>
        <w:szCs w:val="20"/>
      </w:rPr>
      <w:t>eservation and</w:t>
    </w:r>
    <w:r>
      <w:rPr>
        <w:rFonts w:asciiTheme="minorHAnsi" w:eastAsiaTheme="minorHAnsi" w:hAnsiTheme="minorHAnsi" w:cstheme="minorBidi"/>
        <w:b w:val="0"/>
        <w:color w:val="000000"/>
        <w:spacing w:val="5"/>
        <w:kern w:val="28"/>
        <w:sz w:val="20"/>
        <w:szCs w:val="20"/>
      </w:rPr>
      <w:t xml:space="preserve"> resource availability outcomes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45F44" w14:textId="739E1A17" w:rsidR="00394440" w:rsidRDefault="00394440">
    <w:pPr>
      <w:pStyle w:val="Header"/>
    </w:pPr>
    <w:r>
      <w:rPr>
        <w:noProof/>
        <w:lang w:eastAsia="en-AU"/>
      </w:rPr>
      <w:drawing>
        <wp:inline distT="0" distB="0" distL="0" distR="0" wp14:anchorId="688B679F" wp14:editId="4713262A">
          <wp:extent cx="2274785" cy="85196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274785" cy="85196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A33A1" w14:textId="4D258197" w:rsidR="00394440" w:rsidRDefault="003944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11EE" w14:textId="32E96E66" w:rsidR="00394440" w:rsidRDefault="0039444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BFB07" w14:textId="01A90B5C" w:rsidR="00394440" w:rsidRDefault="003944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2D4B"/>
    <w:multiLevelType w:val="hybridMultilevel"/>
    <w:tmpl w:val="DB06000E"/>
    <w:lvl w:ilvl="0" w:tplc="7B04E40A">
      <w:start w:val="4"/>
      <w:numFmt w:val="decimal"/>
      <w:lvlText w:val="%1.2.1"/>
      <w:lvlJc w:val="left"/>
      <w:pPr>
        <w:ind w:left="720" w:hanging="360"/>
      </w:pPr>
      <w:rPr>
        <w:rFonts w:asciiTheme="minorHAnsi" w:hAnsiTheme="minorHAnsi" w:hint="default"/>
        <w:b/>
        <w:color w:val="DE3831"/>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1244DF"/>
    <w:multiLevelType w:val="hybridMultilevel"/>
    <w:tmpl w:val="A2341580"/>
    <w:lvl w:ilvl="0" w:tplc="FAA41D96">
      <w:start w:val="4"/>
      <w:numFmt w:val="decimal"/>
      <w:lvlText w:val="%1.2.2"/>
      <w:lvlJc w:val="left"/>
      <w:pPr>
        <w:ind w:left="720" w:hanging="360"/>
      </w:pPr>
      <w:rPr>
        <w:rFonts w:asciiTheme="minorHAnsi" w:hAnsiTheme="minorHAnsi" w:hint="default"/>
        <w:b/>
        <w:color w:val="DE3831"/>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550C74"/>
    <w:multiLevelType w:val="hybridMultilevel"/>
    <w:tmpl w:val="BC7C7C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9F7B34"/>
    <w:multiLevelType w:val="hybridMultilevel"/>
    <w:tmpl w:val="B9769BFA"/>
    <w:lvl w:ilvl="0" w:tplc="BFE6597A">
      <w:start w:val="4"/>
      <w:numFmt w:val="decimal"/>
      <w:lvlText w:val="%1.1"/>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A11BD2"/>
    <w:multiLevelType w:val="hybridMultilevel"/>
    <w:tmpl w:val="F2FC5EFC"/>
    <w:lvl w:ilvl="0" w:tplc="2D4ACF2A">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4BE7555"/>
    <w:multiLevelType w:val="hybridMultilevel"/>
    <w:tmpl w:val="75ACDF80"/>
    <w:lvl w:ilvl="0" w:tplc="E990C8C8">
      <w:start w:val="1"/>
      <w:numFmt w:val="decimal"/>
      <w:lvlText w:val="%1"/>
      <w:lvlJc w:val="left"/>
      <w:pPr>
        <w:ind w:left="502" w:hanging="360"/>
      </w:pPr>
      <w:rPr>
        <w:rFonts w:asciiTheme="minorHAnsi" w:hAnsiTheme="minorHAnsi" w:hint="default"/>
        <w:b w:val="0"/>
        <w:sz w:val="56"/>
        <w:szCs w:val="5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633DD4"/>
    <w:multiLevelType w:val="hybridMultilevel"/>
    <w:tmpl w:val="84AA00DA"/>
    <w:lvl w:ilvl="0" w:tplc="786AE75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095C78"/>
    <w:multiLevelType w:val="hybridMultilevel"/>
    <w:tmpl w:val="B5040E1A"/>
    <w:lvl w:ilvl="0" w:tplc="056A1F86">
      <w:start w:val="4"/>
      <w:numFmt w:val="decimal"/>
      <w:lvlText w:val="%1.6.1"/>
      <w:lvlJc w:val="left"/>
      <w:pPr>
        <w:ind w:left="720" w:hanging="360"/>
      </w:pPr>
      <w:rPr>
        <w:rFonts w:asciiTheme="minorHAnsi" w:hAnsiTheme="minorHAnsi" w:hint="default"/>
        <w:b/>
        <w:color w:val="DE3831"/>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AB2A56"/>
    <w:multiLevelType w:val="hybridMultilevel"/>
    <w:tmpl w:val="3DD2367E"/>
    <w:lvl w:ilvl="0" w:tplc="65865FBC">
      <w:start w:val="4"/>
      <w:numFmt w:val="decimal"/>
      <w:lvlText w:val="%1.6"/>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E90269"/>
    <w:multiLevelType w:val="hybridMultilevel"/>
    <w:tmpl w:val="D756A1F6"/>
    <w:lvl w:ilvl="0" w:tplc="41F81BDA">
      <w:start w:val="4"/>
      <w:numFmt w:val="decimal"/>
      <w:lvlText w:val="%1.5"/>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ED23BF"/>
    <w:multiLevelType w:val="hybridMultilevel"/>
    <w:tmpl w:val="CF601052"/>
    <w:lvl w:ilvl="0" w:tplc="28BABD4A">
      <w:start w:val="3"/>
      <w:numFmt w:val="decimal"/>
      <w:lvlText w:val="%1.3"/>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757FBE"/>
    <w:multiLevelType w:val="hybridMultilevel"/>
    <w:tmpl w:val="BCB02F5E"/>
    <w:lvl w:ilvl="0" w:tplc="DB24853C">
      <w:start w:val="3"/>
      <w:numFmt w:val="decimal"/>
      <w:lvlText w:val="%1.1"/>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EF5329"/>
    <w:multiLevelType w:val="hybridMultilevel"/>
    <w:tmpl w:val="217854DE"/>
    <w:lvl w:ilvl="0" w:tplc="32B22810">
      <w:start w:val="5"/>
      <w:numFmt w:val="decimal"/>
      <w:lvlText w:val="%1.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7A26B7"/>
    <w:multiLevelType w:val="hybridMultilevel"/>
    <w:tmpl w:val="F708A79E"/>
    <w:lvl w:ilvl="0" w:tplc="044EA660">
      <w:start w:val="3"/>
      <w:numFmt w:val="decimal"/>
      <w:lvlText w:val="%1.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DD2698"/>
    <w:multiLevelType w:val="hybridMultilevel"/>
    <w:tmpl w:val="0660F29A"/>
    <w:lvl w:ilvl="0" w:tplc="41CEE0E4">
      <w:start w:val="3"/>
      <w:numFmt w:val="decimal"/>
      <w:lvlText w:val="%1.3"/>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D74483"/>
    <w:multiLevelType w:val="hybridMultilevel"/>
    <w:tmpl w:val="3460CC96"/>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8C687F"/>
    <w:multiLevelType w:val="hybridMultilevel"/>
    <w:tmpl w:val="F45E4332"/>
    <w:lvl w:ilvl="0" w:tplc="47C24A96">
      <w:start w:val="1"/>
      <w:numFmt w:val="decimal"/>
      <w:pStyle w:val="ListNumber"/>
      <w:lvlText w:val="%1."/>
      <w:lvlJc w:val="left"/>
      <w:pPr>
        <w:tabs>
          <w:tab w:val="num" w:pos="567"/>
        </w:tabs>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E84558"/>
    <w:multiLevelType w:val="hybridMultilevel"/>
    <w:tmpl w:val="8E2A7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4E67D5"/>
    <w:multiLevelType w:val="hybridMultilevel"/>
    <w:tmpl w:val="07FEF904"/>
    <w:lvl w:ilvl="0" w:tplc="0DBADDDE">
      <w:start w:val="9"/>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BB355D9"/>
    <w:multiLevelType w:val="hybridMultilevel"/>
    <w:tmpl w:val="4F02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076B9B"/>
    <w:multiLevelType w:val="hybridMultilevel"/>
    <w:tmpl w:val="C94C0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BF03A1"/>
    <w:multiLevelType w:val="hybridMultilevel"/>
    <w:tmpl w:val="6A42F76C"/>
    <w:lvl w:ilvl="0" w:tplc="584A97A8">
      <w:start w:val="3"/>
      <w:numFmt w:val="decimal"/>
      <w:lvlText w:val="%1.4"/>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084EC4"/>
    <w:multiLevelType w:val="hybridMultilevel"/>
    <w:tmpl w:val="19F428D0"/>
    <w:lvl w:ilvl="0" w:tplc="26DAEF40">
      <w:start w:val="4"/>
      <w:numFmt w:val="decimal"/>
      <w:lvlText w:val="%1.6.2"/>
      <w:lvlJc w:val="left"/>
      <w:pPr>
        <w:ind w:left="720" w:hanging="360"/>
      </w:pPr>
      <w:rPr>
        <w:rFonts w:asciiTheme="minorHAnsi" w:hAnsiTheme="minorHAnsi" w:hint="default"/>
        <w:b/>
        <w:color w:val="DE3831"/>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234037"/>
    <w:multiLevelType w:val="hybridMultilevel"/>
    <w:tmpl w:val="827A0010"/>
    <w:lvl w:ilvl="0" w:tplc="A1A0EAB4">
      <w:start w:val="4"/>
      <w:numFmt w:val="decimal"/>
      <w:lvlText w:val="%1.3"/>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CBC2F71"/>
    <w:multiLevelType w:val="hybridMultilevel"/>
    <w:tmpl w:val="E76E23EC"/>
    <w:lvl w:ilvl="0" w:tplc="4F42E824">
      <w:start w:val="4"/>
      <w:numFmt w:val="decimal"/>
      <w:lvlText w:val="%1.4"/>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0434F3"/>
    <w:multiLevelType w:val="hybridMultilevel"/>
    <w:tmpl w:val="FB90900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6" w15:restartNumberingAfterBreak="0">
    <w:nsid w:val="70B47B8D"/>
    <w:multiLevelType w:val="hybridMultilevel"/>
    <w:tmpl w:val="509A9488"/>
    <w:lvl w:ilvl="0" w:tplc="2D36DEA0">
      <w:start w:val="3"/>
      <w:numFmt w:val="decimal"/>
      <w:lvlText w:val="%1.5"/>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043973"/>
    <w:multiLevelType w:val="hybridMultilevel"/>
    <w:tmpl w:val="0D34D182"/>
    <w:lvl w:ilvl="0" w:tplc="20163F68">
      <w:start w:val="1"/>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6C568A"/>
    <w:multiLevelType w:val="hybridMultilevel"/>
    <w:tmpl w:val="8A30F2C2"/>
    <w:lvl w:ilvl="0" w:tplc="851C03C4">
      <w:start w:val="3"/>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AB37C7"/>
    <w:multiLevelType w:val="hybridMultilevel"/>
    <w:tmpl w:val="6FA81844"/>
    <w:lvl w:ilvl="0" w:tplc="3A86B402">
      <w:start w:val="3"/>
      <w:numFmt w:val="decimal"/>
      <w:lvlText w:val="%1.2"/>
      <w:lvlJc w:val="left"/>
      <w:pPr>
        <w:ind w:left="720" w:hanging="360"/>
      </w:pPr>
      <w:rPr>
        <w:rFonts w:asciiTheme="minorHAnsi" w:hAnsiTheme="minorHAnsi" w:hint="default"/>
        <w:b/>
        <w:color w:val="FF79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394975"/>
    <w:multiLevelType w:val="hybridMultilevel"/>
    <w:tmpl w:val="A2FE6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450DF6"/>
    <w:multiLevelType w:val="hybridMultilevel"/>
    <w:tmpl w:val="8E4C6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477262"/>
    <w:multiLevelType w:val="hybridMultilevel"/>
    <w:tmpl w:val="C0449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7E6F4A"/>
    <w:multiLevelType w:val="hybridMultilevel"/>
    <w:tmpl w:val="69241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5"/>
  </w:num>
  <w:num w:numId="4">
    <w:abstractNumId w:val="33"/>
  </w:num>
  <w:num w:numId="5">
    <w:abstractNumId w:val="18"/>
  </w:num>
  <w:num w:numId="6">
    <w:abstractNumId w:val="5"/>
  </w:num>
  <w:num w:numId="7">
    <w:abstractNumId w:val="6"/>
  </w:num>
  <w:num w:numId="8">
    <w:abstractNumId w:val="28"/>
  </w:num>
  <w:num w:numId="9">
    <w:abstractNumId w:val="29"/>
  </w:num>
  <w:num w:numId="10">
    <w:abstractNumId w:val="14"/>
  </w:num>
  <w:num w:numId="11">
    <w:abstractNumId w:val="21"/>
  </w:num>
  <w:num w:numId="12">
    <w:abstractNumId w:val="11"/>
  </w:num>
  <w:num w:numId="13">
    <w:abstractNumId w:val="10"/>
  </w:num>
  <w:num w:numId="14">
    <w:abstractNumId w:val="23"/>
  </w:num>
  <w:num w:numId="15">
    <w:abstractNumId w:val="2"/>
  </w:num>
  <w:num w:numId="16">
    <w:abstractNumId w:val="26"/>
  </w:num>
  <w:num w:numId="17">
    <w:abstractNumId w:val="3"/>
  </w:num>
  <w:num w:numId="18">
    <w:abstractNumId w:val="0"/>
  </w:num>
  <w:num w:numId="19">
    <w:abstractNumId w:val="24"/>
  </w:num>
  <w:num w:numId="20">
    <w:abstractNumId w:val="9"/>
  </w:num>
  <w:num w:numId="21">
    <w:abstractNumId w:val="1"/>
  </w:num>
  <w:num w:numId="22">
    <w:abstractNumId w:val="8"/>
  </w:num>
  <w:num w:numId="23">
    <w:abstractNumId w:val="7"/>
  </w:num>
  <w:num w:numId="24">
    <w:abstractNumId w:val="22"/>
  </w:num>
  <w:num w:numId="25">
    <w:abstractNumId w:val="27"/>
  </w:num>
  <w:num w:numId="26">
    <w:abstractNumId w:val="17"/>
  </w:num>
  <w:num w:numId="27">
    <w:abstractNumId w:val="30"/>
  </w:num>
  <w:num w:numId="28">
    <w:abstractNumId w:val="20"/>
  </w:num>
  <w:num w:numId="29">
    <w:abstractNumId w:val="32"/>
  </w:num>
  <w:num w:numId="30">
    <w:abstractNumId w:val="19"/>
  </w:num>
  <w:num w:numId="31">
    <w:abstractNumId w:val="31"/>
  </w:num>
  <w:num w:numId="32">
    <w:abstractNumId w:val="12"/>
  </w:num>
  <w:num w:numId="33">
    <w:abstractNumId w:val="13"/>
  </w:num>
  <w:num w:numId="3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characterSpacingControl w:val="doNotCompress"/>
  <w:hdrShapeDefaults>
    <o:shapedefaults v:ext="edit" spidmax="4199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7B"/>
    <w:rsid w:val="000006A3"/>
    <w:rsid w:val="00000D86"/>
    <w:rsid w:val="000014E9"/>
    <w:rsid w:val="000019A5"/>
    <w:rsid w:val="00001BD2"/>
    <w:rsid w:val="000028A7"/>
    <w:rsid w:val="00002C4D"/>
    <w:rsid w:val="00002CFC"/>
    <w:rsid w:val="000038CC"/>
    <w:rsid w:val="00005DEC"/>
    <w:rsid w:val="00006454"/>
    <w:rsid w:val="00006613"/>
    <w:rsid w:val="00006AA6"/>
    <w:rsid w:val="00006B5B"/>
    <w:rsid w:val="00006CB0"/>
    <w:rsid w:val="000074A4"/>
    <w:rsid w:val="0000762D"/>
    <w:rsid w:val="000077CA"/>
    <w:rsid w:val="000108E7"/>
    <w:rsid w:val="000125E7"/>
    <w:rsid w:val="00012D66"/>
    <w:rsid w:val="00013DC0"/>
    <w:rsid w:val="000142AA"/>
    <w:rsid w:val="00014408"/>
    <w:rsid w:val="00014A68"/>
    <w:rsid w:val="000158D9"/>
    <w:rsid w:val="00020382"/>
    <w:rsid w:val="000208AB"/>
    <w:rsid w:val="00021727"/>
    <w:rsid w:val="000222F2"/>
    <w:rsid w:val="000232F2"/>
    <w:rsid w:val="0002355C"/>
    <w:rsid w:val="000241C4"/>
    <w:rsid w:val="00024631"/>
    <w:rsid w:val="000266E7"/>
    <w:rsid w:val="000268AD"/>
    <w:rsid w:val="0002730A"/>
    <w:rsid w:val="00027698"/>
    <w:rsid w:val="000276C5"/>
    <w:rsid w:val="0003027F"/>
    <w:rsid w:val="00030638"/>
    <w:rsid w:val="0003163E"/>
    <w:rsid w:val="00032153"/>
    <w:rsid w:val="0003255B"/>
    <w:rsid w:val="00032899"/>
    <w:rsid w:val="00032FED"/>
    <w:rsid w:val="00033AD3"/>
    <w:rsid w:val="00034592"/>
    <w:rsid w:val="0003549D"/>
    <w:rsid w:val="00035D18"/>
    <w:rsid w:val="000403A3"/>
    <w:rsid w:val="0004079B"/>
    <w:rsid w:val="00041062"/>
    <w:rsid w:val="000411A9"/>
    <w:rsid w:val="000413C2"/>
    <w:rsid w:val="0004245F"/>
    <w:rsid w:val="000429F0"/>
    <w:rsid w:val="000436AA"/>
    <w:rsid w:val="0004416D"/>
    <w:rsid w:val="0004443A"/>
    <w:rsid w:val="00045E26"/>
    <w:rsid w:val="00045FA6"/>
    <w:rsid w:val="00046EE6"/>
    <w:rsid w:val="00047579"/>
    <w:rsid w:val="00047B5F"/>
    <w:rsid w:val="00047FEA"/>
    <w:rsid w:val="00050AEE"/>
    <w:rsid w:val="000525BD"/>
    <w:rsid w:val="00052B5F"/>
    <w:rsid w:val="00052C38"/>
    <w:rsid w:val="000547C9"/>
    <w:rsid w:val="0005590E"/>
    <w:rsid w:val="00055B6F"/>
    <w:rsid w:val="0005648D"/>
    <w:rsid w:val="000569D4"/>
    <w:rsid w:val="00056D0E"/>
    <w:rsid w:val="000574B9"/>
    <w:rsid w:val="00057B7F"/>
    <w:rsid w:val="00060778"/>
    <w:rsid w:val="00060822"/>
    <w:rsid w:val="00060F7A"/>
    <w:rsid w:val="0006151B"/>
    <w:rsid w:val="000625E1"/>
    <w:rsid w:val="00063BCA"/>
    <w:rsid w:val="0006407E"/>
    <w:rsid w:val="0006533E"/>
    <w:rsid w:val="000713C5"/>
    <w:rsid w:val="0007253C"/>
    <w:rsid w:val="00073657"/>
    <w:rsid w:val="0007398A"/>
    <w:rsid w:val="00073A70"/>
    <w:rsid w:val="00073C86"/>
    <w:rsid w:val="00075654"/>
    <w:rsid w:val="000764F1"/>
    <w:rsid w:val="00076822"/>
    <w:rsid w:val="00077205"/>
    <w:rsid w:val="00077318"/>
    <w:rsid w:val="00077B7D"/>
    <w:rsid w:val="00080079"/>
    <w:rsid w:val="00083340"/>
    <w:rsid w:val="00084195"/>
    <w:rsid w:val="00084E80"/>
    <w:rsid w:val="00085428"/>
    <w:rsid w:val="00085B39"/>
    <w:rsid w:val="00085FC4"/>
    <w:rsid w:val="000863F9"/>
    <w:rsid w:val="00090DB5"/>
    <w:rsid w:val="00090F7D"/>
    <w:rsid w:val="00092571"/>
    <w:rsid w:val="00092F66"/>
    <w:rsid w:val="000937BC"/>
    <w:rsid w:val="00093D52"/>
    <w:rsid w:val="00094219"/>
    <w:rsid w:val="00094C37"/>
    <w:rsid w:val="00096B69"/>
    <w:rsid w:val="00096D30"/>
    <w:rsid w:val="000A0766"/>
    <w:rsid w:val="000A1669"/>
    <w:rsid w:val="000A207E"/>
    <w:rsid w:val="000A281A"/>
    <w:rsid w:val="000A2CB8"/>
    <w:rsid w:val="000A2DBB"/>
    <w:rsid w:val="000A37B2"/>
    <w:rsid w:val="000A45CE"/>
    <w:rsid w:val="000A489F"/>
    <w:rsid w:val="000A4CCF"/>
    <w:rsid w:val="000A50D9"/>
    <w:rsid w:val="000A56DB"/>
    <w:rsid w:val="000A692C"/>
    <w:rsid w:val="000A739E"/>
    <w:rsid w:val="000B03FB"/>
    <w:rsid w:val="000B17B7"/>
    <w:rsid w:val="000B2ED6"/>
    <w:rsid w:val="000B52A8"/>
    <w:rsid w:val="000B5530"/>
    <w:rsid w:val="000B56FA"/>
    <w:rsid w:val="000B6223"/>
    <w:rsid w:val="000B7359"/>
    <w:rsid w:val="000C040A"/>
    <w:rsid w:val="000C17B1"/>
    <w:rsid w:val="000C17D1"/>
    <w:rsid w:val="000C1C98"/>
    <w:rsid w:val="000C22F0"/>
    <w:rsid w:val="000C233C"/>
    <w:rsid w:val="000C3A6C"/>
    <w:rsid w:val="000C409A"/>
    <w:rsid w:val="000C4118"/>
    <w:rsid w:val="000C4E45"/>
    <w:rsid w:val="000C4F22"/>
    <w:rsid w:val="000C5221"/>
    <w:rsid w:val="000C6DEB"/>
    <w:rsid w:val="000C7391"/>
    <w:rsid w:val="000C76A9"/>
    <w:rsid w:val="000D05F9"/>
    <w:rsid w:val="000D0C15"/>
    <w:rsid w:val="000D2350"/>
    <w:rsid w:val="000D23B3"/>
    <w:rsid w:val="000D23F9"/>
    <w:rsid w:val="000D24FE"/>
    <w:rsid w:val="000D2A8D"/>
    <w:rsid w:val="000D2C7E"/>
    <w:rsid w:val="000D2E11"/>
    <w:rsid w:val="000D33FA"/>
    <w:rsid w:val="000D47EF"/>
    <w:rsid w:val="000D58C0"/>
    <w:rsid w:val="000D74E9"/>
    <w:rsid w:val="000D794D"/>
    <w:rsid w:val="000D7C70"/>
    <w:rsid w:val="000D7FB2"/>
    <w:rsid w:val="000E218E"/>
    <w:rsid w:val="000E2824"/>
    <w:rsid w:val="000E2CCB"/>
    <w:rsid w:val="000E2D33"/>
    <w:rsid w:val="000E42F0"/>
    <w:rsid w:val="000E5E73"/>
    <w:rsid w:val="000E64E6"/>
    <w:rsid w:val="000E65F3"/>
    <w:rsid w:val="000E6C34"/>
    <w:rsid w:val="000E72D2"/>
    <w:rsid w:val="000F0067"/>
    <w:rsid w:val="000F03FA"/>
    <w:rsid w:val="000F0912"/>
    <w:rsid w:val="000F0984"/>
    <w:rsid w:val="000F0DBF"/>
    <w:rsid w:val="000F115B"/>
    <w:rsid w:val="000F1936"/>
    <w:rsid w:val="000F1C7B"/>
    <w:rsid w:val="000F2A07"/>
    <w:rsid w:val="000F2BB3"/>
    <w:rsid w:val="000F2C9A"/>
    <w:rsid w:val="000F37DF"/>
    <w:rsid w:val="000F4192"/>
    <w:rsid w:val="000F47DC"/>
    <w:rsid w:val="000F5E9B"/>
    <w:rsid w:val="000F60F5"/>
    <w:rsid w:val="000F6361"/>
    <w:rsid w:val="000F77AE"/>
    <w:rsid w:val="000F7F78"/>
    <w:rsid w:val="0010075D"/>
    <w:rsid w:val="00102749"/>
    <w:rsid w:val="001030CF"/>
    <w:rsid w:val="00103470"/>
    <w:rsid w:val="00103CE5"/>
    <w:rsid w:val="00104351"/>
    <w:rsid w:val="00105640"/>
    <w:rsid w:val="0010582F"/>
    <w:rsid w:val="001069E4"/>
    <w:rsid w:val="00106F61"/>
    <w:rsid w:val="00110610"/>
    <w:rsid w:val="00110803"/>
    <w:rsid w:val="00110C94"/>
    <w:rsid w:val="001120D3"/>
    <w:rsid w:val="001127EB"/>
    <w:rsid w:val="0011374E"/>
    <w:rsid w:val="00113855"/>
    <w:rsid w:val="00113C1E"/>
    <w:rsid w:val="001148B0"/>
    <w:rsid w:val="00114EEA"/>
    <w:rsid w:val="00115019"/>
    <w:rsid w:val="0011591A"/>
    <w:rsid w:val="00116440"/>
    <w:rsid w:val="00116F5B"/>
    <w:rsid w:val="0012010A"/>
    <w:rsid w:val="00121DCC"/>
    <w:rsid w:val="0012275A"/>
    <w:rsid w:val="00122DB5"/>
    <w:rsid w:val="00124106"/>
    <w:rsid w:val="00124235"/>
    <w:rsid w:val="0012557B"/>
    <w:rsid w:val="00126506"/>
    <w:rsid w:val="0012687C"/>
    <w:rsid w:val="00130811"/>
    <w:rsid w:val="00130F33"/>
    <w:rsid w:val="00131A8A"/>
    <w:rsid w:val="001321D6"/>
    <w:rsid w:val="0013236E"/>
    <w:rsid w:val="0013331F"/>
    <w:rsid w:val="00133779"/>
    <w:rsid w:val="00137350"/>
    <w:rsid w:val="00140041"/>
    <w:rsid w:val="00140138"/>
    <w:rsid w:val="001401A6"/>
    <w:rsid w:val="0014075F"/>
    <w:rsid w:val="001416AD"/>
    <w:rsid w:val="0014177A"/>
    <w:rsid w:val="00141F44"/>
    <w:rsid w:val="001422CD"/>
    <w:rsid w:val="00142E1B"/>
    <w:rsid w:val="00143132"/>
    <w:rsid w:val="00143263"/>
    <w:rsid w:val="001434CC"/>
    <w:rsid w:val="00143C5F"/>
    <w:rsid w:val="00143F3C"/>
    <w:rsid w:val="001443A7"/>
    <w:rsid w:val="00144C42"/>
    <w:rsid w:val="001466BF"/>
    <w:rsid w:val="00147A1C"/>
    <w:rsid w:val="00147ADB"/>
    <w:rsid w:val="00150C40"/>
    <w:rsid w:val="00151A36"/>
    <w:rsid w:val="001521EA"/>
    <w:rsid w:val="00154649"/>
    <w:rsid w:val="00154BD5"/>
    <w:rsid w:val="00155757"/>
    <w:rsid w:val="00155AFB"/>
    <w:rsid w:val="00156A10"/>
    <w:rsid w:val="00156D2E"/>
    <w:rsid w:val="00157437"/>
    <w:rsid w:val="001575E6"/>
    <w:rsid w:val="00157681"/>
    <w:rsid w:val="00157D2E"/>
    <w:rsid w:val="001601E9"/>
    <w:rsid w:val="001602D6"/>
    <w:rsid w:val="0016033B"/>
    <w:rsid w:val="00160F3D"/>
    <w:rsid w:val="0016122A"/>
    <w:rsid w:val="00162CCD"/>
    <w:rsid w:val="0016323F"/>
    <w:rsid w:val="00163861"/>
    <w:rsid w:val="001640B5"/>
    <w:rsid w:val="00164299"/>
    <w:rsid w:val="001653E7"/>
    <w:rsid w:val="00165AFA"/>
    <w:rsid w:val="00166106"/>
    <w:rsid w:val="00167075"/>
    <w:rsid w:val="00170D08"/>
    <w:rsid w:val="001712F4"/>
    <w:rsid w:val="00173AD1"/>
    <w:rsid w:val="00174C31"/>
    <w:rsid w:val="0017519B"/>
    <w:rsid w:val="0017548B"/>
    <w:rsid w:val="00176FCF"/>
    <w:rsid w:val="00176FDC"/>
    <w:rsid w:val="00177A67"/>
    <w:rsid w:val="001809D7"/>
    <w:rsid w:val="00181F28"/>
    <w:rsid w:val="001821CF"/>
    <w:rsid w:val="00182BED"/>
    <w:rsid w:val="0018383F"/>
    <w:rsid w:val="00183A5B"/>
    <w:rsid w:val="00183B91"/>
    <w:rsid w:val="001869BD"/>
    <w:rsid w:val="0018729E"/>
    <w:rsid w:val="0018789A"/>
    <w:rsid w:val="00187CC5"/>
    <w:rsid w:val="00190A04"/>
    <w:rsid w:val="001924E5"/>
    <w:rsid w:val="00192EEC"/>
    <w:rsid w:val="001945BB"/>
    <w:rsid w:val="00194B4D"/>
    <w:rsid w:val="00194CF3"/>
    <w:rsid w:val="001959F2"/>
    <w:rsid w:val="00195A5A"/>
    <w:rsid w:val="00195B23"/>
    <w:rsid w:val="00196381"/>
    <w:rsid w:val="00196525"/>
    <w:rsid w:val="00196667"/>
    <w:rsid w:val="001966A1"/>
    <w:rsid w:val="001A0767"/>
    <w:rsid w:val="001A095D"/>
    <w:rsid w:val="001A0BD5"/>
    <w:rsid w:val="001A18B6"/>
    <w:rsid w:val="001A2903"/>
    <w:rsid w:val="001A2D3F"/>
    <w:rsid w:val="001A3765"/>
    <w:rsid w:val="001A3CA6"/>
    <w:rsid w:val="001A3E1F"/>
    <w:rsid w:val="001A4A8E"/>
    <w:rsid w:val="001A54B0"/>
    <w:rsid w:val="001A581E"/>
    <w:rsid w:val="001A66F4"/>
    <w:rsid w:val="001A6CBF"/>
    <w:rsid w:val="001A6CC8"/>
    <w:rsid w:val="001A6F9A"/>
    <w:rsid w:val="001A74CF"/>
    <w:rsid w:val="001A7522"/>
    <w:rsid w:val="001A7787"/>
    <w:rsid w:val="001B16E3"/>
    <w:rsid w:val="001B205E"/>
    <w:rsid w:val="001B3138"/>
    <w:rsid w:val="001B34B3"/>
    <w:rsid w:val="001B3582"/>
    <w:rsid w:val="001B36C6"/>
    <w:rsid w:val="001B450A"/>
    <w:rsid w:val="001B53BB"/>
    <w:rsid w:val="001B551D"/>
    <w:rsid w:val="001B561E"/>
    <w:rsid w:val="001B607F"/>
    <w:rsid w:val="001B72ED"/>
    <w:rsid w:val="001B75A6"/>
    <w:rsid w:val="001B76DE"/>
    <w:rsid w:val="001B7CDC"/>
    <w:rsid w:val="001C02DD"/>
    <w:rsid w:val="001C0C0C"/>
    <w:rsid w:val="001C1275"/>
    <w:rsid w:val="001C17D8"/>
    <w:rsid w:val="001C1C4D"/>
    <w:rsid w:val="001C2282"/>
    <w:rsid w:val="001C388F"/>
    <w:rsid w:val="001C3E0C"/>
    <w:rsid w:val="001C4252"/>
    <w:rsid w:val="001C4752"/>
    <w:rsid w:val="001C6439"/>
    <w:rsid w:val="001C6AC6"/>
    <w:rsid w:val="001C6B3F"/>
    <w:rsid w:val="001C7F2C"/>
    <w:rsid w:val="001D06A9"/>
    <w:rsid w:val="001D1376"/>
    <w:rsid w:val="001D213D"/>
    <w:rsid w:val="001D2B5E"/>
    <w:rsid w:val="001D320B"/>
    <w:rsid w:val="001D3BBB"/>
    <w:rsid w:val="001D5141"/>
    <w:rsid w:val="001D5A02"/>
    <w:rsid w:val="001D5A35"/>
    <w:rsid w:val="001D5C34"/>
    <w:rsid w:val="001D6CC0"/>
    <w:rsid w:val="001D71B8"/>
    <w:rsid w:val="001D7D78"/>
    <w:rsid w:val="001D7F07"/>
    <w:rsid w:val="001E033D"/>
    <w:rsid w:val="001E1721"/>
    <w:rsid w:val="001E1C29"/>
    <w:rsid w:val="001E2746"/>
    <w:rsid w:val="001E3A28"/>
    <w:rsid w:val="001E4E0D"/>
    <w:rsid w:val="001E5F88"/>
    <w:rsid w:val="001E71DC"/>
    <w:rsid w:val="001E73B8"/>
    <w:rsid w:val="001F118A"/>
    <w:rsid w:val="001F1B93"/>
    <w:rsid w:val="001F233B"/>
    <w:rsid w:val="001F2A9F"/>
    <w:rsid w:val="001F2B4E"/>
    <w:rsid w:val="001F4A54"/>
    <w:rsid w:val="001F6065"/>
    <w:rsid w:val="001F64C5"/>
    <w:rsid w:val="001F66BB"/>
    <w:rsid w:val="001F6D76"/>
    <w:rsid w:val="00200252"/>
    <w:rsid w:val="00201188"/>
    <w:rsid w:val="002011A8"/>
    <w:rsid w:val="00202DC6"/>
    <w:rsid w:val="00203948"/>
    <w:rsid w:val="00205306"/>
    <w:rsid w:val="002054E8"/>
    <w:rsid w:val="00205E61"/>
    <w:rsid w:val="0020640C"/>
    <w:rsid w:val="00207950"/>
    <w:rsid w:val="00207D4D"/>
    <w:rsid w:val="00211232"/>
    <w:rsid w:val="002123B3"/>
    <w:rsid w:val="00212557"/>
    <w:rsid w:val="00212AAB"/>
    <w:rsid w:val="002132DC"/>
    <w:rsid w:val="002138B2"/>
    <w:rsid w:val="00215478"/>
    <w:rsid w:val="00215E78"/>
    <w:rsid w:val="00215FB5"/>
    <w:rsid w:val="002209A1"/>
    <w:rsid w:val="002210A6"/>
    <w:rsid w:val="002211F3"/>
    <w:rsid w:val="00222325"/>
    <w:rsid w:val="00223372"/>
    <w:rsid w:val="00225779"/>
    <w:rsid w:val="002266CD"/>
    <w:rsid w:val="002275D8"/>
    <w:rsid w:val="00227A91"/>
    <w:rsid w:val="00231120"/>
    <w:rsid w:val="00231477"/>
    <w:rsid w:val="00236F51"/>
    <w:rsid w:val="002374CC"/>
    <w:rsid w:val="002379BF"/>
    <w:rsid w:val="002408FD"/>
    <w:rsid w:val="00241514"/>
    <w:rsid w:val="00241E50"/>
    <w:rsid w:val="00241F84"/>
    <w:rsid w:val="0024262C"/>
    <w:rsid w:val="00242952"/>
    <w:rsid w:val="00243E96"/>
    <w:rsid w:val="0024407D"/>
    <w:rsid w:val="00244103"/>
    <w:rsid w:val="002441E5"/>
    <w:rsid w:val="00244365"/>
    <w:rsid w:val="0024497F"/>
    <w:rsid w:val="0024614C"/>
    <w:rsid w:val="002462EE"/>
    <w:rsid w:val="00247833"/>
    <w:rsid w:val="00247F2F"/>
    <w:rsid w:val="00250D51"/>
    <w:rsid w:val="00251023"/>
    <w:rsid w:val="00251928"/>
    <w:rsid w:val="0025237C"/>
    <w:rsid w:val="00255307"/>
    <w:rsid w:val="00256BC9"/>
    <w:rsid w:val="00261D4D"/>
    <w:rsid w:val="002624C2"/>
    <w:rsid w:val="00263D0A"/>
    <w:rsid w:val="00264515"/>
    <w:rsid w:val="0026506D"/>
    <w:rsid w:val="0026508C"/>
    <w:rsid w:val="00266906"/>
    <w:rsid w:val="00267206"/>
    <w:rsid w:val="00267261"/>
    <w:rsid w:val="00270C4A"/>
    <w:rsid w:val="002723B6"/>
    <w:rsid w:val="00272785"/>
    <w:rsid w:val="002735D2"/>
    <w:rsid w:val="00274127"/>
    <w:rsid w:val="00274520"/>
    <w:rsid w:val="002747AB"/>
    <w:rsid w:val="00274905"/>
    <w:rsid w:val="0027582C"/>
    <w:rsid w:val="002760C1"/>
    <w:rsid w:val="00280493"/>
    <w:rsid w:val="002809C0"/>
    <w:rsid w:val="0028162D"/>
    <w:rsid w:val="00282310"/>
    <w:rsid w:val="00283ABC"/>
    <w:rsid w:val="00284343"/>
    <w:rsid w:val="00285130"/>
    <w:rsid w:val="00285661"/>
    <w:rsid w:val="00285F17"/>
    <w:rsid w:val="002860B1"/>
    <w:rsid w:val="0028624C"/>
    <w:rsid w:val="002873BB"/>
    <w:rsid w:val="00291872"/>
    <w:rsid w:val="00291AFD"/>
    <w:rsid w:val="00291DDB"/>
    <w:rsid w:val="00293002"/>
    <w:rsid w:val="0029376A"/>
    <w:rsid w:val="0029401F"/>
    <w:rsid w:val="00294A8B"/>
    <w:rsid w:val="00294D00"/>
    <w:rsid w:val="00294EE7"/>
    <w:rsid w:val="002954EA"/>
    <w:rsid w:val="00295CFE"/>
    <w:rsid w:val="00295D6A"/>
    <w:rsid w:val="00295FA6"/>
    <w:rsid w:val="00297A27"/>
    <w:rsid w:val="002A19A2"/>
    <w:rsid w:val="002A22C7"/>
    <w:rsid w:val="002A26F8"/>
    <w:rsid w:val="002A2998"/>
    <w:rsid w:val="002A2E7E"/>
    <w:rsid w:val="002A2F05"/>
    <w:rsid w:val="002A2F3F"/>
    <w:rsid w:val="002A3E6D"/>
    <w:rsid w:val="002A55A4"/>
    <w:rsid w:val="002A638B"/>
    <w:rsid w:val="002A718F"/>
    <w:rsid w:val="002A7E81"/>
    <w:rsid w:val="002B0861"/>
    <w:rsid w:val="002B0BF9"/>
    <w:rsid w:val="002B24BD"/>
    <w:rsid w:val="002B2B15"/>
    <w:rsid w:val="002B2D7B"/>
    <w:rsid w:val="002B61F6"/>
    <w:rsid w:val="002B642D"/>
    <w:rsid w:val="002B7334"/>
    <w:rsid w:val="002B7AD0"/>
    <w:rsid w:val="002B7C84"/>
    <w:rsid w:val="002C0822"/>
    <w:rsid w:val="002C0AA5"/>
    <w:rsid w:val="002C1263"/>
    <w:rsid w:val="002C1335"/>
    <w:rsid w:val="002C1B59"/>
    <w:rsid w:val="002C314F"/>
    <w:rsid w:val="002C42E0"/>
    <w:rsid w:val="002C42E7"/>
    <w:rsid w:val="002C477B"/>
    <w:rsid w:val="002C4DE8"/>
    <w:rsid w:val="002C72C6"/>
    <w:rsid w:val="002C73D2"/>
    <w:rsid w:val="002C7778"/>
    <w:rsid w:val="002C7E0E"/>
    <w:rsid w:val="002C7F96"/>
    <w:rsid w:val="002D077E"/>
    <w:rsid w:val="002D0BC6"/>
    <w:rsid w:val="002D22F8"/>
    <w:rsid w:val="002D2DC9"/>
    <w:rsid w:val="002D3956"/>
    <w:rsid w:val="002D3F12"/>
    <w:rsid w:val="002D4966"/>
    <w:rsid w:val="002D4AF2"/>
    <w:rsid w:val="002D4B02"/>
    <w:rsid w:val="002D56C0"/>
    <w:rsid w:val="002D687D"/>
    <w:rsid w:val="002D6CE9"/>
    <w:rsid w:val="002D72B8"/>
    <w:rsid w:val="002E0A09"/>
    <w:rsid w:val="002E144A"/>
    <w:rsid w:val="002E2B5C"/>
    <w:rsid w:val="002E2CA7"/>
    <w:rsid w:val="002E34AF"/>
    <w:rsid w:val="002E3835"/>
    <w:rsid w:val="002E3A8C"/>
    <w:rsid w:val="002E3F0F"/>
    <w:rsid w:val="002E4337"/>
    <w:rsid w:val="002E43A4"/>
    <w:rsid w:val="002E450C"/>
    <w:rsid w:val="002E4B84"/>
    <w:rsid w:val="002E4FC9"/>
    <w:rsid w:val="002E511E"/>
    <w:rsid w:val="002E6893"/>
    <w:rsid w:val="002E7018"/>
    <w:rsid w:val="002E76C8"/>
    <w:rsid w:val="002E7B0D"/>
    <w:rsid w:val="002F053A"/>
    <w:rsid w:val="002F05CF"/>
    <w:rsid w:val="002F1ED5"/>
    <w:rsid w:val="002F252B"/>
    <w:rsid w:val="002F26E2"/>
    <w:rsid w:val="002F2D01"/>
    <w:rsid w:val="002F505C"/>
    <w:rsid w:val="002F5577"/>
    <w:rsid w:val="002F6550"/>
    <w:rsid w:val="002F6CA0"/>
    <w:rsid w:val="002F6EE5"/>
    <w:rsid w:val="002F7372"/>
    <w:rsid w:val="002F75B5"/>
    <w:rsid w:val="002F75F9"/>
    <w:rsid w:val="002F761F"/>
    <w:rsid w:val="002F78F6"/>
    <w:rsid w:val="002F7C22"/>
    <w:rsid w:val="00300B5D"/>
    <w:rsid w:val="00301050"/>
    <w:rsid w:val="003030F4"/>
    <w:rsid w:val="003032C7"/>
    <w:rsid w:val="003048F5"/>
    <w:rsid w:val="00304DD4"/>
    <w:rsid w:val="00304EC0"/>
    <w:rsid w:val="00305DAC"/>
    <w:rsid w:val="00307779"/>
    <w:rsid w:val="00307BB0"/>
    <w:rsid w:val="003113E6"/>
    <w:rsid w:val="00313DC9"/>
    <w:rsid w:val="00313E0B"/>
    <w:rsid w:val="0031437A"/>
    <w:rsid w:val="0031491E"/>
    <w:rsid w:val="003149B2"/>
    <w:rsid w:val="00315E31"/>
    <w:rsid w:val="00315FAF"/>
    <w:rsid w:val="0031654E"/>
    <w:rsid w:val="00316BF7"/>
    <w:rsid w:val="00316FDC"/>
    <w:rsid w:val="003172A2"/>
    <w:rsid w:val="00321317"/>
    <w:rsid w:val="0032274F"/>
    <w:rsid w:val="00323F54"/>
    <w:rsid w:val="003241CD"/>
    <w:rsid w:val="0032731D"/>
    <w:rsid w:val="003276DC"/>
    <w:rsid w:val="003278F7"/>
    <w:rsid w:val="00327D76"/>
    <w:rsid w:val="00330371"/>
    <w:rsid w:val="00331E47"/>
    <w:rsid w:val="0033397F"/>
    <w:rsid w:val="00335187"/>
    <w:rsid w:val="00335BA1"/>
    <w:rsid w:val="00335BEA"/>
    <w:rsid w:val="00335E84"/>
    <w:rsid w:val="003365AF"/>
    <w:rsid w:val="00336802"/>
    <w:rsid w:val="00336BC2"/>
    <w:rsid w:val="00336E6D"/>
    <w:rsid w:val="00337494"/>
    <w:rsid w:val="003405E4"/>
    <w:rsid w:val="00340716"/>
    <w:rsid w:val="00340AF0"/>
    <w:rsid w:val="003436D5"/>
    <w:rsid w:val="003459B0"/>
    <w:rsid w:val="00345C3E"/>
    <w:rsid w:val="00345FB9"/>
    <w:rsid w:val="00347450"/>
    <w:rsid w:val="00347DA8"/>
    <w:rsid w:val="00350945"/>
    <w:rsid w:val="003510BD"/>
    <w:rsid w:val="003512E5"/>
    <w:rsid w:val="0035287E"/>
    <w:rsid w:val="00352BF3"/>
    <w:rsid w:val="00354A9E"/>
    <w:rsid w:val="003552B5"/>
    <w:rsid w:val="00355BE7"/>
    <w:rsid w:val="00355EDE"/>
    <w:rsid w:val="00356214"/>
    <w:rsid w:val="00356988"/>
    <w:rsid w:val="00356A42"/>
    <w:rsid w:val="00356DC1"/>
    <w:rsid w:val="00357676"/>
    <w:rsid w:val="003609AC"/>
    <w:rsid w:val="00361167"/>
    <w:rsid w:val="00361337"/>
    <w:rsid w:val="00361B02"/>
    <w:rsid w:val="00361D8F"/>
    <w:rsid w:val="0036237E"/>
    <w:rsid w:val="0036370F"/>
    <w:rsid w:val="00364920"/>
    <w:rsid w:val="00364CBE"/>
    <w:rsid w:val="0036528F"/>
    <w:rsid w:val="00365D2C"/>
    <w:rsid w:val="00365F23"/>
    <w:rsid w:val="003661F2"/>
    <w:rsid w:val="003662E5"/>
    <w:rsid w:val="00367915"/>
    <w:rsid w:val="00372DAB"/>
    <w:rsid w:val="00373D99"/>
    <w:rsid w:val="00374FD9"/>
    <w:rsid w:val="00376188"/>
    <w:rsid w:val="00376E57"/>
    <w:rsid w:val="00377382"/>
    <w:rsid w:val="00380863"/>
    <w:rsid w:val="00380D11"/>
    <w:rsid w:val="00380EAF"/>
    <w:rsid w:val="003818A0"/>
    <w:rsid w:val="0038198A"/>
    <w:rsid w:val="00381C63"/>
    <w:rsid w:val="00382684"/>
    <w:rsid w:val="00383812"/>
    <w:rsid w:val="00384759"/>
    <w:rsid w:val="00384DF4"/>
    <w:rsid w:val="003853FE"/>
    <w:rsid w:val="0038540B"/>
    <w:rsid w:val="00387612"/>
    <w:rsid w:val="0038762B"/>
    <w:rsid w:val="003878B3"/>
    <w:rsid w:val="00387E0E"/>
    <w:rsid w:val="00391D44"/>
    <w:rsid w:val="0039236C"/>
    <w:rsid w:val="00392A66"/>
    <w:rsid w:val="0039386E"/>
    <w:rsid w:val="00394440"/>
    <w:rsid w:val="0039461D"/>
    <w:rsid w:val="00394CBB"/>
    <w:rsid w:val="00395523"/>
    <w:rsid w:val="00396A82"/>
    <w:rsid w:val="00397B95"/>
    <w:rsid w:val="003A0558"/>
    <w:rsid w:val="003A218E"/>
    <w:rsid w:val="003A224E"/>
    <w:rsid w:val="003A632F"/>
    <w:rsid w:val="003A6625"/>
    <w:rsid w:val="003A6ED7"/>
    <w:rsid w:val="003A6F00"/>
    <w:rsid w:val="003A6F88"/>
    <w:rsid w:val="003A7D68"/>
    <w:rsid w:val="003A7FC9"/>
    <w:rsid w:val="003B0A58"/>
    <w:rsid w:val="003B1B0E"/>
    <w:rsid w:val="003B304E"/>
    <w:rsid w:val="003B3B03"/>
    <w:rsid w:val="003B457F"/>
    <w:rsid w:val="003B4688"/>
    <w:rsid w:val="003B4E16"/>
    <w:rsid w:val="003B5405"/>
    <w:rsid w:val="003B55D3"/>
    <w:rsid w:val="003B6080"/>
    <w:rsid w:val="003B64BE"/>
    <w:rsid w:val="003B6D37"/>
    <w:rsid w:val="003B71F2"/>
    <w:rsid w:val="003B7706"/>
    <w:rsid w:val="003B77A1"/>
    <w:rsid w:val="003C2699"/>
    <w:rsid w:val="003C37ED"/>
    <w:rsid w:val="003C39E4"/>
    <w:rsid w:val="003C4FD8"/>
    <w:rsid w:val="003C58AE"/>
    <w:rsid w:val="003C6016"/>
    <w:rsid w:val="003C64AF"/>
    <w:rsid w:val="003C6900"/>
    <w:rsid w:val="003C75AF"/>
    <w:rsid w:val="003D09AB"/>
    <w:rsid w:val="003D2F6D"/>
    <w:rsid w:val="003D3366"/>
    <w:rsid w:val="003D38FC"/>
    <w:rsid w:val="003D5949"/>
    <w:rsid w:val="003D64C2"/>
    <w:rsid w:val="003D6948"/>
    <w:rsid w:val="003D69D6"/>
    <w:rsid w:val="003D7489"/>
    <w:rsid w:val="003E052C"/>
    <w:rsid w:val="003E149B"/>
    <w:rsid w:val="003E1511"/>
    <w:rsid w:val="003E1632"/>
    <w:rsid w:val="003E1862"/>
    <w:rsid w:val="003E2B29"/>
    <w:rsid w:val="003E4361"/>
    <w:rsid w:val="003E4F3E"/>
    <w:rsid w:val="003E5122"/>
    <w:rsid w:val="003E754A"/>
    <w:rsid w:val="003E7CDD"/>
    <w:rsid w:val="003F4950"/>
    <w:rsid w:val="003F5DA5"/>
    <w:rsid w:val="003F6044"/>
    <w:rsid w:val="003F6BCD"/>
    <w:rsid w:val="003F6F9F"/>
    <w:rsid w:val="003F7631"/>
    <w:rsid w:val="003F79AD"/>
    <w:rsid w:val="004003A1"/>
    <w:rsid w:val="00401629"/>
    <w:rsid w:val="00401F19"/>
    <w:rsid w:val="00402D05"/>
    <w:rsid w:val="00403789"/>
    <w:rsid w:val="00404B82"/>
    <w:rsid w:val="00404C0F"/>
    <w:rsid w:val="00404D3A"/>
    <w:rsid w:val="00405135"/>
    <w:rsid w:val="0040637D"/>
    <w:rsid w:val="00406D16"/>
    <w:rsid w:val="00407147"/>
    <w:rsid w:val="004072ED"/>
    <w:rsid w:val="00407E5F"/>
    <w:rsid w:val="00410BF7"/>
    <w:rsid w:val="00410C07"/>
    <w:rsid w:val="00412409"/>
    <w:rsid w:val="00412F85"/>
    <w:rsid w:val="00414A80"/>
    <w:rsid w:val="00415219"/>
    <w:rsid w:val="00415812"/>
    <w:rsid w:val="0041658F"/>
    <w:rsid w:val="004177E6"/>
    <w:rsid w:val="00417D15"/>
    <w:rsid w:val="0042049A"/>
    <w:rsid w:val="0042110B"/>
    <w:rsid w:val="00421B73"/>
    <w:rsid w:val="00421F11"/>
    <w:rsid w:val="00422FE7"/>
    <w:rsid w:val="004251CD"/>
    <w:rsid w:val="00425384"/>
    <w:rsid w:val="00425B71"/>
    <w:rsid w:val="00426121"/>
    <w:rsid w:val="004261F5"/>
    <w:rsid w:val="004262ED"/>
    <w:rsid w:val="00426E8F"/>
    <w:rsid w:val="00430B52"/>
    <w:rsid w:val="004311AA"/>
    <w:rsid w:val="004313A8"/>
    <w:rsid w:val="004321E2"/>
    <w:rsid w:val="00432430"/>
    <w:rsid w:val="00432B6E"/>
    <w:rsid w:val="004337F4"/>
    <w:rsid w:val="004340B2"/>
    <w:rsid w:val="0043494B"/>
    <w:rsid w:val="00434A3D"/>
    <w:rsid w:val="00435226"/>
    <w:rsid w:val="00435E01"/>
    <w:rsid w:val="0043732A"/>
    <w:rsid w:val="00437354"/>
    <w:rsid w:val="004400CA"/>
    <w:rsid w:val="0044095A"/>
    <w:rsid w:val="0044190D"/>
    <w:rsid w:val="00441D02"/>
    <w:rsid w:val="0044231C"/>
    <w:rsid w:val="0044277F"/>
    <w:rsid w:val="00443D8F"/>
    <w:rsid w:val="0044451A"/>
    <w:rsid w:val="004448FB"/>
    <w:rsid w:val="0044624F"/>
    <w:rsid w:val="0044732A"/>
    <w:rsid w:val="00447B1E"/>
    <w:rsid w:val="00447BCD"/>
    <w:rsid w:val="00453039"/>
    <w:rsid w:val="0045306E"/>
    <w:rsid w:val="0045404A"/>
    <w:rsid w:val="0045677B"/>
    <w:rsid w:val="004601B2"/>
    <w:rsid w:val="0046072D"/>
    <w:rsid w:val="0046145B"/>
    <w:rsid w:val="0046298D"/>
    <w:rsid w:val="004629E7"/>
    <w:rsid w:val="00462AB8"/>
    <w:rsid w:val="004630DA"/>
    <w:rsid w:val="00463E7D"/>
    <w:rsid w:val="00465692"/>
    <w:rsid w:val="00467616"/>
    <w:rsid w:val="00467B7C"/>
    <w:rsid w:val="00467C45"/>
    <w:rsid w:val="00467CEC"/>
    <w:rsid w:val="004717DF"/>
    <w:rsid w:val="004726F1"/>
    <w:rsid w:val="0047301C"/>
    <w:rsid w:val="00473583"/>
    <w:rsid w:val="004736C2"/>
    <w:rsid w:val="0047394C"/>
    <w:rsid w:val="00473FE1"/>
    <w:rsid w:val="00474496"/>
    <w:rsid w:val="00474F7E"/>
    <w:rsid w:val="00477751"/>
    <w:rsid w:val="00477A3E"/>
    <w:rsid w:val="00477C7D"/>
    <w:rsid w:val="00480491"/>
    <w:rsid w:val="004806CD"/>
    <w:rsid w:val="00480AB9"/>
    <w:rsid w:val="00480DDF"/>
    <w:rsid w:val="00480EB0"/>
    <w:rsid w:val="004816E1"/>
    <w:rsid w:val="00482A12"/>
    <w:rsid w:val="00484081"/>
    <w:rsid w:val="00484321"/>
    <w:rsid w:val="004851FC"/>
    <w:rsid w:val="004865E7"/>
    <w:rsid w:val="00486C36"/>
    <w:rsid w:val="0048788F"/>
    <w:rsid w:val="004878F3"/>
    <w:rsid w:val="00491E71"/>
    <w:rsid w:val="004935CF"/>
    <w:rsid w:val="00493637"/>
    <w:rsid w:val="00494895"/>
    <w:rsid w:val="0049497E"/>
    <w:rsid w:val="00495B73"/>
    <w:rsid w:val="00495F28"/>
    <w:rsid w:val="00496B05"/>
    <w:rsid w:val="004A11F4"/>
    <w:rsid w:val="004A1C23"/>
    <w:rsid w:val="004A1F03"/>
    <w:rsid w:val="004A1F7E"/>
    <w:rsid w:val="004A22F1"/>
    <w:rsid w:val="004A374D"/>
    <w:rsid w:val="004A4C62"/>
    <w:rsid w:val="004A4FB6"/>
    <w:rsid w:val="004A564E"/>
    <w:rsid w:val="004A6C6D"/>
    <w:rsid w:val="004A6E4A"/>
    <w:rsid w:val="004A72F2"/>
    <w:rsid w:val="004B11C4"/>
    <w:rsid w:val="004B159B"/>
    <w:rsid w:val="004B1DDD"/>
    <w:rsid w:val="004B220D"/>
    <w:rsid w:val="004B2314"/>
    <w:rsid w:val="004B2624"/>
    <w:rsid w:val="004B2CCA"/>
    <w:rsid w:val="004B2E11"/>
    <w:rsid w:val="004B327C"/>
    <w:rsid w:val="004B387C"/>
    <w:rsid w:val="004B3B0A"/>
    <w:rsid w:val="004B4335"/>
    <w:rsid w:val="004B4C11"/>
    <w:rsid w:val="004B538B"/>
    <w:rsid w:val="004B5435"/>
    <w:rsid w:val="004B5A4C"/>
    <w:rsid w:val="004B676B"/>
    <w:rsid w:val="004B6899"/>
    <w:rsid w:val="004B68AB"/>
    <w:rsid w:val="004B7092"/>
    <w:rsid w:val="004B76F7"/>
    <w:rsid w:val="004C0DDC"/>
    <w:rsid w:val="004C2FF5"/>
    <w:rsid w:val="004C351F"/>
    <w:rsid w:val="004C3A7E"/>
    <w:rsid w:val="004C4A2C"/>
    <w:rsid w:val="004C4B52"/>
    <w:rsid w:val="004C4DB0"/>
    <w:rsid w:val="004C6C67"/>
    <w:rsid w:val="004C7147"/>
    <w:rsid w:val="004D0204"/>
    <w:rsid w:val="004D0239"/>
    <w:rsid w:val="004D0413"/>
    <w:rsid w:val="004D0C6B"/>
    <w:rsid w:val="004D11B6"/>
    <w:rsid w:val="004D13E9"/>
    <w:rsid w:val="004D14D6"/>
    <w:rsid w:val="004D2056"/>
    <w:rsid w:val="004D229D"/>
    <w:rsid w:val="004D27AE"/>
    <w:rsid w:val="004D3075"/>
    <w:rsid w:val="004D30DC"/>
    <w:rsid w:val="004D35BD"/>
    <w:rsid w:val="004D363E"/>
    <w:rsid w:val="004D42E5"/>
    <w:rsid w:val="004D6D73"/>
    <w:rsid w:val="004D77D7"/>
    <w:rsid w:val="004E08DB"/>
    <w:rsid w:val="004E0FEE"/>
    <w:rsid w:val="004E1337"/>
    <w:rsid w:val="004E152E"/>
    <w:rsid w:val="004E1B11"/>
    <w:rsid w:val="004E2578"/>
    <w:rsid w:val="004E276A"/>
    <w:rsid w:val="004E388A"/>
    <w:rsid w:val="004E41A0"/>
    <w:rsid w:val="004E484E"/>
    <w:rsid w:val="004E4AE0"/>
    <w:rsid w:val="004E4B3E"/>
    <w:rsid w:val="004E6681"/>
    <w:rsid w:val="004E6DA5"/>
    <w:rsid w:val="004F08ED"/>
    <w:rsid w:val="004F203F"/>
    <w:rsid w:val="004F29F1"/>
    <w:rsid w:val="004F2D4B"/>
    <w:rsid w:val="004F3EED"/>
    <w:rsid w:val="004F4038"/>
    <w:rsid w:val="004F5535"/>
    <w:rsid w:val="004F56FE"/>
    <w:rsid w:val="004F6551"/>
    <w:rsid w:val="004F65C6"/>
    <w:rsid w:val="004F6E3D"/>
    <w:rsid w:val="004F7038"/>
    <w:rsid w:val="004F772C"/>
    <w:rsid w:val="004F79DA"/>
    <w:rsid w:val="00500348"/>
    <w:rsid w:val="005018F8"/>
    <w:rsid w:val="00501BE1"/>
    <w:rsid w:val="005023E2"/>
    <w:rsid w:val="005023EF"/>
    <w:rsid w:val="00502F76"/>
    <w:rsid w:val="00503114"/>
    <w:rsid w:val="00503359"/>
    <w:rsid w:val="00503B0C"/>
    <w:rsid w:val="00503CF0"/>
    <w:rsid w:val="00505D88"/>
    <w:rsid w:val="00506451"/>
    <w:rsid w:val="00507B58"/>
    <w:rsid w:val="00510890"/>
    <w:rsid w:val="00510A7A"/>
    <w:rsid w:val="00510BD0"/>
    <w:rsid w:val="005118FA"/>
    <w:rsid w:val="0051204B"/>
    <w:rsid w:val="00512D04"/>
    <w:rsid w:val="005131ED"/>
    <w:rsid w:val="00513432"/>
    <w:rsid w:val="00513532"/>
    <w:rsid w:val="00514759"/>
    <w:rsid w:val="00514D9F"/>
    <w:rsid w:val="00516741"/>
    <w:rsid w:val="005175BC"/>
    <w:rsid w:val="00520927"/>
    <w:rsid w:val="00522B20"/>
    <w:rsid w:val="005231BB"/>
    <w:rsid w:val="00523402"/>
    <w:rsid w:val="00523784"/>
    <w:rsid w:val="00523D6F"/>
    <w:rsid w:val="005242EF"/>
    <w:rsid w:val="00524D09"/>
    <w:rsid w:val="005269F3"/>
    <w:rsid w:val="00527E5F"/>
    <w:rsid w:val="00527F2E"/>
    <w:rsid w:val="00527F4B"/>
    <w:rsid w:val="00530091"/>
    <w:rsid w:val="0053021B"/>
    <w:rsid w:val="00530675"/>
    <w:rsid w:val="00531725"/>
    <w:rsid w:val="00531B45"/>
    <w:rsid w:val="00531C45"/>
    <w:rsid w:val="00532759"/>
    <w:rsid w:val="00532C0D"/>
    <w:rsid w:val="00532C9F"/>
    <w:rsid w:val="0053408D"/>
    <w:rsid w:val="005343E2"/>
    <w:rsid w:val="00536205"/>
    <w:rsid w:val="00536B35"/>
    <w:rsid w:val="005370FC"/>
    <w:rsid w:val="00540BC9"/>
    <w:rsid w:val="00540E17"/>
    <w:rsid w:val="00541245"/>
    <w:rsid w:val="005416A9"/>
    <w:rsid w:val="00541886"/>
    <w:rsid w:val="00542132"/>
    <w:rsid w:val="0054288D"/>
    <w:rsid w:val="00542D4F"/>
    <w:rsid w:val="005447E9"/>
    <w:rsid w:val="00544898"/>
    <w:rsid w:val="00544BE1"/>
    <w:rsid w:val="0054588F"/>
    <w:rsid w:val="00545F9C"/>
    <w:rsid w:val="0054648B"/>
    <w:rsid w:val="00546558"/>
    <w:rsid w:val="00546902"/>
    <w:rsid w:val="0054741A"/>
    <w:rsid w:val="0055051A"/>
    <w:rsid w:val="0055055A"/>
    <w:rsid w:val="005512F0"/>
    <w:rsid w:val="0055165E"/>
    <w:rsid w:val="005518E7"/>
    <w:rsid w:val="00551DCA"/>
    <w:rsid w:val="00552154"/>
    <w:rsid w:val="00552325"/>
    <w:rsid w:val="00552614"/>
    <w:rsid w:val="00553292"/>
    <w:rsid w:val="005534AC"/>
    <w:rsid w:val="005537BD"/>
    <w:rsid w:val="00553DB1"/>
    <w:rsid w:val="00554373"/>
    <w:rsid w:val="005544BD"/>
    <w:rsid w:val="005550F1"/>
    <w:rsid w:val="00555344"/>
    <w:rsid w:val="0055607F"/>
    <w:rsid w:val="00556941"/>
    <w:rsid w:val="005577C3"/>
    <w:rsid w:val="0056061C"/>
    <w:rsid w:val="005611D6"/>
    <w:rsid w:val="005621D1"/>
    <w:rsid w:val="00562E89"/>
    <w:rsid w:val="005634A6"/>
    <w:rsid w:val="00563EB2"/>
    <w:rsid w:val="00564786"/>
    <w:rsid w:val="00565339"/>
    <w:rsid w:val="00565918"/>
    <w:rsid w:val="00566A89"/>
    <w:rsid w:val="00567524"/>
    <w:rsid w:val="00570B86"/>
    <w:rsid w:val="0057122C"/>
    <w:rsid w:val="0057190E"/>
    <w:rsid w:val="00572A90"/>
    <w:rsid w:val="00572C73"/>
    <w:rsid w:val="00572EFE"/>
    <w:rsid w:val="0057409E"/>
    <w:rsid w:val="00574D48"/>
    <w:rsid w:val="0057581F"/>
    <w:rsid w:val="005766B2"/>
    <w:rsid w:val="00576C9F"/>
    <w:rsid w:val="00577323"/>
    <w:rsid w:val="00580F47"/>
    <w:rsid w:val="00580F87"/>
    <w:rsid w:val="0058128F"/>
    <w:rsid w:val="00582DB5"/>
    <w:rsid w:val="00583239"/>
    <w:rsid w:val="0058365F"/>
    <w:rsid w:val="0058383F"/>
    <w:rsid w:val="00583E85"/>
    <w:rsid w:val="0058437B"/>
    <w:rsid w:val="00584531"/>
    <w:rsid w:val="00584B58"/>
    <w:rsid w:val="00584F3F"/>
    <w:rsid w:val="0058505D"/>
    <w:rsid w:val="00585234"/>
    <w:rsid w:val="00585694"/>
    <w:rsid w:val="005856F2"/>
    <w:rsid w:val="00586AF9"/>
    <w:rsid w:val="005873CB"/>
    <w:rsid w:val="005906C8"/>
    <w:rsid w:val="0059087F"/>
    <w:rsid w:val="00590DB6"/>
    <w:rsid w:val="005926C5"/>
    <w:rsid w:val="00592C4C"/>
    <w:rsid w:val="00592EF1"/>
    <w:rsid w:val="005939F4"/>
    <w:rsid w:val="005946B7"/>
    <w:rsid w:val="00595577"/>
    <w:rsid w:val="00595FF6"/>
    <w:rsid w:val="00596032"/>
    <w:rsid w:val="005963CB"/>
    <w:rsid w:val="005A03D7"/>
    <w:rsid w:val="005A051A"/>
    <w:rsid w:val="005A0CFE"/>
    <w:rsid w:val="005A26BE"/>
    <w:rsid w:val="005A2CCF"/>
    <w:rsid w:val="005A3E61"/>
    <w:rsid w:val="005A486E"/>
    <w:rsid w:val="005A4F10"/>
    <w:rsid w:val="005A54B2"/>
    <w:rsid w:val="005A65F4"/>
    <w:rsid w:val="005A7A54"/>
    <w:rsid w:val="005B0BB1"/>
    <w:rsid w:val="005B23F9"/>
    <w:rsid w:val="005B2A4A"/>
    <w:rsid w:val="005B2C2D"/>
    <w:rsid w:val="005B2D03"/>
    <w:rsid w:val="005B441E"/>
    <w:rsid w:val="005B49A0"/>
    <w:rsid w:val="005B4A4A"/>
    <w:rsid w:val="005B50A8"/>
    <w:rsid w:val="005B51DE"/>
    <w:rsid w:val="005B58A7"/>
    <w:rsid w:val="005B5BA5"/>
    <w:rsid w:val="005B637A"/>
    <w:rsid w:val="005B71A1"/>
    <w:rsid w:val="005B7653"/>
    <w:rsid w:val="005C0AD2"/>
    <w:rsid w:val="005C114A"/>
    <w:rsid w:val="005C1A89"/>
    <w:rsid w:val="005C348B"/>
    <w:rsid w:val="005C5680"/>
    <w:rsid w:val="005C7A7C"/>
    <w:rsid w:val="005C7E57"/>
    <w:rsid w:val="005D0C8D"/>
    <w:rsid w:val="005D1091"/>
    <w:rsid w:val="005D18B0"/>
    <w:rsid w:val="005D28E6"/>
    <w:rsid w:val="005D2D61"/>
    <w:rsid w:val="005D311C"/>
    <w:rsid w:val="005D3A8C"/>
    <w:rsid w:val="005D3CC9"/>
    <w:rsid w:val="005D6357"/>
    <w:rsid w:val="005D6579"/>
    <w:rsid w:val="005D7505"/>
    <w:rsid w:val="005E038D"/>
    <w:rsid w:val="005E06CF"/>
    <w:rsid w:val="005E0A6C"/>
    <w:rsid w:val="005E1632"/>
    <w:rsid w:val="005E185C"/>
    <w:rsid w:val="005E4750"/>
    <w:rsid w:val="005E47C4"/>
    <w:rsid w:val="005E4AE6"/>
    <w:rsid w:val="005E4DA6"/>
    <w:rsid w:val="005E4EB8"/>
    <w:rsid w:val="005E5C78"/>
    <w:rsid w:val="005E619F"/>
    <w:rsid w:val="005E6E2D"/>
    <w:rsid w:val="005E6E45"/>
    <w:rsid w:val="005E73BF"/>
    <w:rsid w:val="005F08F5"/>
    <w:rsid w:val="005F1049"/>
    <w:rsid w:val="005F1CE3"/>
    <w:rsid w:val="005F3720"/>
    <w:rsid w:val="005F3CC0"/>
    <w:rsid w:val="005F554A"/>
    <w:rsid w:val="005F59C7"/>
    <w:rsid w:val="005F6470"/>
    <w:rsid w:val="005F69ED"/>
    <w:rsid w:val="005F73A1"/>
    <w:rsid w:val="00600948"/>
    <w:rsid w:val="00600C32"/>
    <w:rsid w:val="00601BE8"/>
    <w:rsid w:val="00602381"/>
    <w:rsid w:val="00603308"/>
    <w:rsid w:val="00604D45"/>
    <w:rsid w:val="00605FBA"/>
    <w:rsid w:val="00606E2B"/>
    <w:rsid w:val="00607F07"/>
    <w:rsid w:val="006103B8"/>
    <w:rsid w:val="00610925"/>
    <w:rsid w:val="00610941"/>
    <w:rsid w:val="00610B53"/>
    <w:rsid w:val="00610CAF"/>
    <w:rsid w:val="00611B91"/>
    <w:rsid w:val="006126C4"/>
    <w:rsid w:val="00612D16"/>
    <w:rsid w:val="0061462B"/>
    <w:rsid w:val="00614A1A"/>
    <w:rsid w:val="006167D9"/>
    <w:rsid w:val="006201AE"/>
    <w:rsid w:val="00621A9D"/>
    <w:rsid w:val="006221F6"/>
    <w:rsid w:val="00623621"/>
    <w:rsid w:val="00623868"/>
    <w:rsid w:val="006247AB"/>
    <w:rsid w:val="00625273"/>
    <w:rsid w:val="00625307"/>
    <w:rsid w:val="006257DA"/>
    <w:rsid w:val="0062611D"/>
    <w:rsid w:val="00626483"/>
    <w:rsid w:val="006271E8"/>
    <w:rsid w:val="006274B1"/>
    <w:rsid w:val="0062759A"/>
    <w:rsid w:val="006275E6"/>
    <w:rsid w:val="0062796E"/>
    <w:rsid w:val="00627F97"/>
    <w:rsid w:val="006307A0"/>
    <w:rsid w:val="00630B91"/>
    <w:rsid w:val="00630B92"/>
    <w:rsid w:val="00630CAF"/>
    <w:rsid w:val="00633602"/>
    <w:rsid w:val="006337C5"/>
    <w:rsid w:val="006337E7"/>
    <w:rsid w:val="00634898"/>
    <w:rsid w:val="00634F5A"/>
    <w:rsid w:val="00637F1E"/>
    <w:rsid w:val="006402EC"/>
    <w:rsid w:val="006407C3"/>
    <w:rsid w:val="0064097C"/>
    <w:rsid w:val="00640C91"/>
    <w:rsid w:val="00641941"/>
    <w:rsid w:val="00641A40"/>
    <w:rsid w:val="0064229D"/>
    <w:rsid w:val="00643332"/>
    <w:rsid w:val="00643367"/>
    <w:rsid w:val="00645822"/>
    <w:rsid w:val="0064625C"/>
    <w:rsid w:val="006463E8"/>
    <w:rsid w:val="006465EA"/>
    <w:rsid w:val="00647459"/>
    <w:rsid w:val="0064776D"/>
    <w:rsid w:val="00647929"/>
    <w:rsid w:val="006507F2"/>
    <w:rsid w:val="00650D2A"/>
    <w:rsid w:val="00652D09"/>
    <w:rsid w:val="006534E4"/>
    <w:rsid w:val="00653B81"/>
    <w:rsid w:val="00654CBA"/>
    <w:rsid w:val="00655B82"/>
    <w:rsid w:val="0065652F"/>
    <w:rsid w:val="0065700C"/>
    <w:rsid w:val="00657561"/>
    <w:rsid w:val="0065790C"/>
    <w:rsid w:val="006605F0"/>
    <w:rsid w:val="006612CE"/>
    <w:rsid w:val="006614A4"/>
    <w:rsid w:val="006630E4"/>
    <w:rsid w:val="0066356E"/>
    <w:rsid w:val="0066371A"/>
    <w:rsid w:val="0066475B"/>
    <w:rsid w:val="006654D9"/>
    <w:rsid w:val="00665BD9"/>
    <w:rsid w:val="00666FCB"/>
    <w:rsid w:val="00667328"/>
    <w:rsid w:val="00667975"/>
    <w:rsid w:val="00667CDC"/>
    <w:rsid w:val="00667E42"/>
    <w:rsid w:val="0067087C"/>
    <w:rsid w:val="00671BA7"/>
    <w:rsid w:val="00671BDB"/>
    <w:rsid w:val="00672986"/>
    <w:rsid w:val="00673E1C"/>
    <w:rsid w:val="00674019"/>
    <w:rsid w:val="00674115"/>
    <w:rsid w:val="0067418B"/>
    <w:rsid w:val="006744D1"/>
    <w:rsid w:val="00675617"/>
    <w:rsid w:val="0067592D"/>
    <w:rsid w:val="0067655C"/>
    <w:rsid w:val="006772BB"/>
    <w:rsid w:val="006808BE"/>
    <w:rsid w:val="0068134C"/>
    <w:rsid w:val="006826CB"/>
    <w:rsid w:val="00683AC9"/>
    <w:rsid w:val="00684520"/>
    <w:rsid w:val="0068491B"/>
    <w:rsid w:val="006853A8"/>
    <w:rsid w:val="00687FFD"/>
    <w:rsid w:val="0069068C"/>
    <w:rsid w:val="00690C3D"/>
    <w:rsid w:val="00690E3A"/>
    <w:rsid w:val="006913B0"/>
    <w:rsid w:val="00691802"/>
    <w:rsid w:val="006918BD"/>
    <w:rsid w:val="00691D7A"/>
    <w:rsid w:val="00692AF4"/>
    <w:rsid w:val="0069386B"/>
    <w:rsid w:val="00693D75"/>
    <w:rsid w:val="00695A7E"/>
    <w:rsid w:val="006967A5"/>
    <w:rsid w:val="00696965"/>
    <w:rsid w:val="006A03E3"/>
    <w:rsid w:val="006A0CAA"/>
    <w:rsid w:val="006A0F12"/>
    <w:rsid w:val="006A0F77"/>
    <w:rsid w:val="006A12C9"/>
    <w:rsid w:val="006A2F17"/>
    <w:rsid w:val="006A3CFC"/>
    <w:rsid w:val="006A43E4"/>
    <w:rsid w:val="006A4A61"/>
    <w:rsid w:val="006A4F46"/>
    <w:rsid w:val="006A52D4"/>
    <w:rsid w:val="006A690E"/>
    <w:rsid w:val="006A7A02"/>
    <w:rsid w:val="006B0D16"/>
    <w:rsid w:val="006B163D"/>
    <w:rsid w:val="006B1B3A"/>
    <w:rsid w:val="006B273D"/>
    <w:rsid w:val="006B351C"/>
    <w:rsid w:val="006B36E4"/>
    <w:rsid w:val="006B3C7B"/>
    <w:rsid w:val="006B4FEA"/>
    <w:rsid w:val="006B74A4"/>
    <w:rsid w:val="006B7637"/>
    <w:rsid w:val="006C01BB"/>
    <w:rsid w:val="006C0271"/>
    <w:rsid w:val="006C08CE"/>
    <w:rsid w:val="006C243A"/>
    <w:rsid w:val="006C2523"/>
    <w:rsid w:val="006C2C36"/>
    <w:rsid w:val="006C357D"/>
    <w:rsid w:val="006C37F6"/>
    <w:rsid w:val="006C380F"/>
    <w:rsid w:val="006C4646"/>
    <w:rsid w:val="006C47EB"/>
    <w:rsid w:val="006C505B"/>
    <w:rsid w:val="006C5DD7"/>
    <w:rsid w:val="006C5EBC"/>
    <w:rsid w:val="006C7183"/>
    <w:rsid w:val="006C7772"/>
    <w:rsid w:val="006C7869"/>
    <w:rsid w:val="006C7E8D"/>
    <w:rsid w:val="006D26A4"/>
    <w:rsid w:val="006D4132"/>
    <w:rsid w:val="006D428B"/>
    <w:rsid w:val="006D57FB"/>
    <w:rsid w:val="006D6CCC"/>
    <w:rsid w:val="006D7083"/>
    <w:rsid w:val="006E07C6"/>
    <w:rsid w:val="006E18AC"/>
    <w:rsid w:val="006E2412"/>
    <w:rsid w:val="006E2984"/>
    <w:rsid w:val="006E2DAC"/>
    <w:rsid w:val="006E563E"/>
    <w:rsid w:val="006E6BFA"/>
    <w:rsid w:val="006E724E"/>
    <w:rsid w:val="006F0CE2"/>
    <w:rsid w:val="006F38B9"/>
    <w:rsid w:val="006F6242"/>
    <w:rsid w:val="006F6587"/>
    <w:rsid w:val="006F7469"/>
    <w:rsid w:val="00701DE1"/>
    <w:rsid w:val="00701EC9"/>
    <w:rsid w:val="00702F90"/>
    <w:rsid w:val="00704129"/>
    <w:rsid w:val="00705408"/>
    <w:rsid w:val="00705A4A"/>
    <w:rsid w:val="0070676B"/>
    <w:rsid w:val="00706C95"/>
    <w:rsid w:val="00707BA4"/>
    <w:rsid w:val="00707E1D"/>
    <w:rsid w:val="00710057"/>
    <w:rsid w:val="00710CD5"/>
    <w:rsid w:val="007115CD"/>
    <w:rsid w:val="007121AA"/>
    <w:rsid w:val="007123ED"/>
    <w:rsid w:val="00712BCE"/>
    <w:rsid w:val="00713517"/>
    <w:rsid w:val="00714A5F"/>
    <w:rsid w:val="00714BF9"/>
    <w:rsid w:val="00715297"/>
    <w:rsid w:val="00715BAD"/>
    <w:rsid w:val="0071743F"/>
    <w:rsid w:val="007207A6"/>
    <w:rsid w:val="00720B55"/>
    <w:rsid w:val="00720BF1"/>
    <w:rsid w:val="0072148F"/>
    <w:rsid w:val="00723356"/>
    <w:rsid w:val="007234A7"/>
    <w:rsid w:val="0072462A"/>
    <w:rsid w:val="00724C28"/>
    <w:rsid w:val="0072516C"/>
    <w:rsid w:val="007255B7"/>
    <w:rsid w:val="00726A81"/>
    <w:rsid w:val="00726F85"/>
    <w:rsid w:val="00730CED"/>
    <w:rsid w:val="007321F9"/>
    <w:rsid w:val="0073230D"/>
    <w:rsid w:val="00732F77"/>
    <w:rsid w:val="00734CD8"/>
    <w:rsid w:val="00735081"/>
    <w:rsid w:val="00735A78"/>
    <w:rsid w:val="00735BD1"/>
    <w:rsid w:val="007361B9"/>
    <w:rsid w:val="00737299"/>
    <w:rsid w:val="00737E6F"/>
    <w:rsid w:val="007415FC"/>
    <w:rsid w:val="00742C58"/>
    <w:rsid w:val="00744644"/>
    <w:rsid w:val="00745FB9"/>
    <w:rsid w:val="00746F43"/>
    <w:rsid w:val="00746FF7"/>
    <w:rsid w:val="007471E3"/>
    <w:rsid w:val="007477E4"/>
    <w:rsid w:val="00750993"/>
    <w:rsid w:val="0075185C"/>
    <w:rsid w:val="00751ABE"/>
    <w:rsid w:val="00751BF4"/>
    <w:rsid w:val="007531ED"/>
    <w:rsid w:val="007545AC"/>
    <w:rsid w:val="00755075"/>
    <w:rsid w:val="007553CD"/>
    <w:rsid w:val="00755776"/>
    <w:rsid w:val="00756130"/>
    <w:rsid w:val="007565D7"/>
    <w:rsid w:val="00756D04"/>
    <w:rsid w:val="00756E22"/>
    <w:rsid w:val="0075777B"/>
    <w:rsid w:val="0076135C"/>
    <w:rsid w:val="00761560"/>
    <w:rsid w:val="00763630"/>
    <w:rsid w:val="00763742"/>
    <w:rsid w:val="00763F09"/>
    <w:rsid w:val="00766333"/>
    <w:rsid w:val="00767195"/>
    <w:rsid w:val="00771F15"/>
    <w:rsid w:val="007722BB"/>
    <w:rsid w:val="007726CA"/>
    <w:rsid w:val="007728F6"/>
    <w:rsid w:val="007738B1"/>
    <w:rsid w:val="00773DFF"/>
    <w:rsid w:val="00774055"/>
    <w:rsid w:val="00774360"/>
    <w:rsid w:val="00780477"/>
    <w:rsid w:val="00781CFD"/>
    <w:rsid w:val="00781F39"/>
    <w:rsid w:val="0078219F"/>
    <w:rsid w:val="0078326F"/>
    <w:rsid w:val="00783676"/>
    <w:rsid w:val="00783EAA"/>
    <w:rsid w:val="00783FE9"/>
    <w:rsid w:val="00785125"/>
    <w:rsid w:val="00786157"/>
    <w:rsid w:val="007868A7"/>
    <w:rsid w:val="00787375"/>
    <w:rsid w:val="00787390"/>
    <w:rsid w:val="007876F1"/>
    <w:rsid w:val="00790DF4"/>
    <w:rsid w:val="00791443"/>
    <w:rsid w:val="007914C3"/>
    <w:rsid w:val="00791BE5"/>
    <w:rsid w:val="00794B79"/>
    <w:rsid w:val="007954F6"/>
    <w:rsid w:val="00795960"/>
    <w:rsid w:val="007965F2"/>
    <w:rsid w:val="007976D8"/>
    <w:rsid w:val="00797EE4"/>
    <w:rsid w:val="007A007E"/>
    <w:rsid w:val="007A0712"/>
    <w:rsid w:val="007A10CA"/>
    <w:rsid w:val="007A2621"/>
    <w:rsid w:val="007A4A73"/>
    <w:rsid w:val="007A4D33"/>
    <w:rsid w:val="007A52F2"/>
    <w:rsid w:val="007A678B"/>
    <w:rsid w:val="007A678E"/>
    <w:rsid w:val="007A6F84"/>
    <w:rsid w:val="007B1472"/>
    <w:rsid w:val="007B191F"/>
    <w:rsid w:val="007B363F"/>
    <w:rsid w:val="007B3A99"/>
    <w:rsid w:val="007B3B5A"/>
    <w:rsid w:val="007B4B2E"/>
    <w:rsid w:val="007B4E7A"/>
    <w:rsid w:val="007B59A8"/>
    <w:rsid w:val="007B613C"/>
    <w:rsid w:val="007B63E1"/>
    <w:rsid w:val="007B6BED"/>
    <w:rsid w:val="007B6EA0"/>
    <w:rsid w:val="007B71D4"/>
    <w:rsid w:val="007B7712"/>
    <w:rsid w:val="007C0B8F"/>
    <w:rsid w:val="007C1F1B"/>
    <w:rsid w:val="007C2580"/>
    <w:rsid w:val="007C2783"/>
    <w:rsid w:val="007C4F46"/>
    <w:rsid w:val="007C5A76"/>
    <w:rsid w:val="007C6B67"/>
    <w:rsid w:val="007C6C7A"/>
    <w:rsid w:val="007C75DB"/>
    <w:rsid w:val="007D0BC3"/>
    <w:rsid w:val="007D2060"/>
    <w:rsid w:val="007D2906"/>
    <w:rsid w:val="007D3130"/>
    <w:rsid w:val="007D3BBB"/>
    <w:rsid w:val="007D4666"/>
    <w:rsid w:val="007D4A21"/>
    <w:rsid w:val="007D4EE5"/>
    <w:rsid w:val="007D4FE8"/>
    <w:rsid w:val="007D70DE"/>
    <w:rsid w:val="007E00C0"/>
    <w:rsid w:val="007E0617"/>
    <w:rsid w:val="007E0D90"/>
    <w:rsid w:val="007E10FC"/>
    <w:rsid w:val="007E1458"/>
    <w:rsid w:val="007E1D15"/>
    <w:rsid w:val="007E45A7"/>
    <w:rsid w:val="007E55BE"/>
    <w:rsid w:val="007E72CC"/>
    <w:rsid w:val="007F05CE"/>
    <w:rsid w:val="007F0E33"/>
    <w:rsid w:val="007F0F0D"/>
    <w:rsid w:val="007F11D0"/>
    <w:rsid w:val="007F2DA4"/>
    <w:rsid w:val="007F3A89"/>
    <w:rsid w:val="007F59DF"/>
    <w:rsid w:val="007F5A5B"/>
    <w:rsid w:val="007F621A"/>
    <w:rsid w:val="007F64CD"/>
    <w:rsid w:val="007F65BD"/>
    <w:rsid w:val="007F76A2"/>
    <w:rsid w:val="007F7FAA"/>
    <w:rsid w:val="008016BD"/>
    <w:rsid w:val="0080206F"/>
    <w:rsid w:val="00803CE1"/>
    <w:rsid w:val="00804CBF"/>
    <w:rsid w:val="00807141"/>
    <w:rsid w:val="00807EF0"/>
    <w:rsid w:val="00810CA7"/>
    <w:rsid w:val="00811674"/>
    <w:rsid w:val="008116AF"/>
    <w:rsid w:val="0081176E"/>
    <w:rsid w:val="00812832"/>
    <w:rsid w:val="0081318C"/>
    <w:rsid w:val="0081409D"/>
    <w:rsid w:val="00814827"/>
    <w:rsid w:val="00814DFD"/>
    <w:rsid w:val="00814E50"/>
    <w:rsid w:val="008154C0"/>
    <w:rsid w:val="00815B6D"/>
    <w:rsid w:val="00817610"/>
    <w:rsid w:val="00817987"/>
    <w:rsid w:val="00820EFB"/>
    <w:rsid w:val="008210D1"/>
    <w:rsid w:val="00823355"/>
    <w:rsid w:val="00823516"/>
    <w:rsid w:val="00824B45"/>
    <w:rsid w:val="008269E5"/>
    <w:rsid w:val="00827299"/>
    <w:rsid w:val="00830653"/>
    <w:rsid w:val="00830D7A"/>
    <w:rsid w:val="00831896"/>
    <w:rsid w:val="00831C40"/>
    <w:rsid w:val="00831FA7"/>
    <w:rsid w:val="00832D39"/>
    <w:rsid w:val="00832E96"/>
    <w:rsid w:val="00832F23"/>
    <w:rsid w:val="00833735"/>
    <w:rsid w:val="00834A4B"/>
    <w:rsid w:val="008354D7"/>
    <w:rsid w:val="00835D41"/>
    <w:rsid w:val="00836127"/>
    <w:rsid w:val="00836799"/>
    <w:rsid w:val="008368CB"/>
    <w:rsid w:val="0083723B"/>
    <w:rsid w:val="00840192"/>
    <w:rsid w:val="00841C44"/>
    <w:rsid w:val="00843255"/>
    <w:rsid w:val="008432AC"/>
    <w:rsid w:val="00843DD1"/>
    <w:rsid w:val="0084409F"/>
    <w:rsid w:val="00846DC9"/>
    <w:rsid w:val="00847C87"/>
    <w:rsid w:val="00851027"/>
    <w:rsid w:val="00851047"/>
    <w:rsid w:val="00851474"/>
    <w:rsid w:val="00851593"/>
    <w:rsid w:val="00852633"/>
    <w:rsid w:val="008532B1"/>
    <w:rsid w:val="00853D48"/>
    <w:rsid w:val="00855065"/>
    <w:rsid w:val="008552B3"/>
    <w:rsid w:val="008556E1"/>
    <w:rsid w:val="00856379"/>
    <w:rsid w:val="008566F8"/>
    <w:rsid w:val="00856EB6"/>
    <w:rsid w:val="0085716F"/>
    <w:rsid w:val="008574C5"/>
    <w:rsid w:val="0086045E"/>
    <w:rsid w:val="008622A4"/>
    <w:rsid w:val="00863830"/>
    <w:rsid w:val="00864426"/>
    <w:rsid w:val="0086526F"/>
    <w:rsid w:val="00866EFD"/>
    <w:rsid w:val="008671E3"/>
    <w:rsid w:val="00867442"/>
    <w:rsid w:val="00867919"/>
    <w:rsid w:val="0087000B"/>
    <w:rsid w:val="00871412"/>
    <w:rsid w:val="00871864"/>
    <w:rsid w:val="00871B0F"/>
    <w:rsid w:val="00871B9C"/>
    <w:rsid w:val="008720AF"/>
    <w:rsid w:val="00872AE0"/>
    <w:rsid w:val="00872C46"/>
    <w:rsid w:val="0087376D"/>
    <w:rsid w:val="00874645"/>
    <w:rsid w:val="00874761"/>
    <w:rsid w:val="00874C84"/>
    <w:rsid w:val="00875E48"/>
    <w:rsid w:val="008767AD"/>
    <w:rsid w:val="008767F4"/>
    <w:rsid w:val="00876A30"/>
    <w:rsid w:val="00877029"/>
    <w:rsid w:val="008774CD"/>
    <w:rsid w:val="00880355"/>
    <w:rsid w:val="00880387"/>
    <w:rsid w:val="008808BC"/>
    <w:rsid w:val="008816B6"/>
    <w:rsid w:val="00882137"/>
    <w:rsid w:val="00882E49"/>
    <w:rsid w:val="008848A2"/>
    <w:rsid w:val="008859E8"/>
    <w:rsid w:val="008864E3"/>
    <w:rsid w:val="00886DCC"/>
    <w:rsid w:val="00891E66"/>
    <w:rsid w:val="008925E8"/>
    <w:rsid w:val="008930D9"/>
    <w:rsid w:val="00893674"/>
    <w:rsid w:val="0089571A"/>
    <w:rsid w:val="008968C0"/>
    <w:rsid w:val="008969AC"/>
    <w:rsid w:val="008969B0"/>
    <w:rsid w:val="00896BF0"/>
    <w:rsid w:val="00896C79"/>
    <w:rsid w:val="00896D5A"/>
    <w:rsid w:val="008A171A"/>
    <w:rsid w:val="008A2325"/>
    <w:rsid w:val="008A2ECD"/>
    <w:rsid w:val="008A425A"/>
    <w:rsid w:val="008A490A"/>
    <w:rsid w:val="008A4EF3"/>
    <w:rsid w:val="008A4FFD"/>
    <w:rsid w:val="008A62CB"/>
    <w:rsid w:val="008A7C07"/>
    <w:rsid w:val="008B0049"/>
    <w:rsid w:val="008B0CFB"/>
    <w:rsid w:val="008B1753"/>
    <w:rsid w:val="008B1DC1"/>
    <w:rsid w:val="008B2447"/>
    <w:rsid w:val="008B2468"/>
    <w:rsid w:val="008B3CED"/>
    <w:rsid w:val="008B3CFF"/>
    <w:rsid w:val="008B4250"/>
    <w:rsid w:val="008B5519"/>
    <w:rsid w:val="008B5B0C"/>
    <w:rsid w:val="008B5FE3"/>
    <w:rsid w:val="008B69C7"/>
    <w:rsid w:val="008B6AE7"/>
    <w:rsid w:val="008B7905"/>
    <w:rsid w:val="008B79BE"/>
    <w:rsid w:val="008C0878"/>
    <w:rsid w:val="008C09D5"/>
    <w:rsid w:val="008C1668"/>
    <w:rsid w:val="008C2374"/>
    <w:rsid w:val="008C347D"/>
    <w:rsid w:val="008C4BA9"/>
    <w:rsid w:val="008C4CAD"/>
    <w:rsid w:val="008C5370"/>
    <w:rsid w:val="008C5CBE"/>
    <w:rsid w:val="008C6B04"/>
    <w:rsid w:val="008C79BA"/>
    <w:rsid w:val="008D09EF"/>
    <w:rsid w:val="008D1AEE"/>
    <w:rsid w:val="008D22C7"/>
    <w:rsid w:val="008D3BB9"/>
    <w:rsid w:val="008D3F1D"/>
    <w:rsid w:val="008D3F5E"/>
    <w:rsid w:val="008D547E"/>
    <w:rsid w:val="008D6893"/>
    <w:rsid w:val="008E06D6"/>
    <w:rsid w:val="008E173F"/>
    <w:rsid w:val="008E1747"/>
    <w:rsid w:val="008E293B"/>
    <w:rsid w:val="008E29C7"/>
    <w:rsid w:val="008E2DD2"/>
    <w:rsid w:val="008E326F"/>
    <w:rsid w:val="008E45E0"/>
    <w:rsid w:val="008E4B42"/>
    <w:rsid w:val="008E67BF"/>
    <w:rsid w:val="008E7501"/>
    <w:rsid w:val="008E7600"/>
    <w:rsid w:val="008F0796"/>
    <w:rsid w:val="008F0E04"/>
    <w:rsid w:val="008F0F33"/>
    <w:rsid w:val="008F24A2"/>
    <w:rsid w:val="008F3507"/>
    <w:rsid w:val="008F3F0D"/>
    <w:rsid w:val="008F41A2"/>
    <w:rsid w:val="008F5154"/>
    <w:rsid w:val="008F7172"/>
    <w:rsid w:val="0090070F"/>
    <w:rsid w:val="00900B91"/>
    <w:rsid w:val="00902219"/>
    <w:rsid w:val="009023B8"/>
    <w:rsid w:val="0090319F"/>
    <w:rsid w:val="0090383B"/>
    <w:rsid w:val="00903F12"/>
    <w:rsid w:val="009043D5"/>
    <w:rsid w:val="00904E66"/>
    <w:rsid w:val="00905AEE"/>
    <w:rsid w:val="0090649E"/>
    <w:rsid w:val="00907385"/>
    <w:rsid w:val="0091225B"/>
    <w:rsid w:val="00913256"/>
    <w:rsid w:val="00913339"/>
    <w:rsid w:val="00914529"/>
    <w:rsid w:val="00916025"/>
    <w:rsid w:val="0091706C"/>
    <w:rsid w:val="00917950"/>
    <w:rsid w:val="00917D56"/>
    <w:rsid w:val="009202D5"/>
    <w:rsid w:val="0092092C"/>
    <w:rsid w:val="00921897"/>
    <w:rsid w:val="00923843"/>
    <w:rsid w:val="00923BE5"/>
    <w:rsid w:val="00924649"/>
    <w:rsid w:val="00924B52"/>
    <w:rsid w:val="0092500F"/>
    <w:rsid w:val="009251A6"/>
    <w:rsid w:val="00926A03"/>
    <w:rsid w:val="0092734E"/>
    <w:rsid w:val="009275CA"/>
    <w:rsid w:val="00931986"/>
    <w:rsid w:val="00931E97"/>
    <w:rsid w:val="0093259C"/>
    <w:rsid w:val="0093260E"/>
    <w:rsid w:val="0093348E"/>
    <w:rsid w:val="00933621"/>
    <w:rsid w:val="00933636"/>
    <w:rsid w:val="00933830"/>
    <w:rsid w:val="009352C5"/>
    <w:rsid w:val="009366DC"/>
    <w:rsid w:val="00936AED"/>
    <w:rsid w:val="00936B1D"/>
    <w:rsid w:val="00936DE6"/>
    <w:rsid w:val="009373C6"/>
    <w:rsid w:val="00940366"/>
    <w:rsid w:val="00941146"/>
    <w:rsid w:val="009414FC"/>
    <w:rsid w:val="00941C64"/>
    <w:rsid w:val="00941CB3"/>
    <w:rsid w:val="00942037"/>
    <w:rsid w:val="00942ABE"/>
    <w:rsid w:val="0094314C"/>
    <w:rsid w:val="00944467"/>
    <w:rsid w:val="00946594"/>
    <w:rsid w:val="0094720D"/>
    <w:rsid w:val="0094751C"/>
    <w:rsid w:val="0094752C"/>
    <w:rsid w:val="00947B44"/>
    <w:rsid w:val="009502F6"/>
    <w:rsid w:val="00950668"/>
    <w:rsid w:val="009509F2"/>
    <w:rsid w:val="00952178"/>
    <w:rsid w:val="00952FC9"/>
    <w:rsid w:val="00953419"/>
    <w:rsid w:val="009534E1"/>
    <w:rsid w:val="00953A8E"/>
    <w:rsid w:val="0095481D"/>
    <w:rsid w:val="00955834"/>
    <w:rsid w:val="00955DE8"/>
    <w:rsid w:val="009574B6"/>
    <w:rsid w:val="00957C99"/>
    <w:rsid w:val="009604F8"/>
    <w:rsid w:val="0096058D"/>
    <w:rsid w:val="00962B6C"/>
    <w:rsid w:val="00965237"/>
    <w:rsid w:val="0096523D"/>
    <w:rsid w:val="00965305"/>
    <w:rsid w:val="00967629"/>
    <w:rsid w:val="00970496"/>
    <w:rsid w:val="00973C56"/>
    <w:rsid w:val="00974161"/>
    <w:rsid w:val="0097508C"/>
    <w:rsid w:val="009754AA"/>
    <w:rsid w:val="00975F2A"/>
    <w:rsid w:val="00976099"/>
    <w:rsid w:val="00977766"/>
    <w:rsid w:val="00980457"/>
    <w:rsid w:val="00982629"/>
    <w:rsid w:val="0098284C"/>
    <w:rsid w:val="0098438B"/>
    <w:rsid w:val="009858BC"/>
    <w:rsid w:val="00985920"/>
    <w:rsid w:val="00985E80"/>
    <w:rsid w:val="00986AB0"/>
    <w:rsid w:val="00986DF6"/>
    <w:rsid w:val="00986E00"/>
    <w:rsid w:val="009871D7"/>
    <w:rsid w:val="00987AF6"/>
    <w:rsid w:val="00987BCE"/>
    <w:rsid w:val="0099106B"/>
    <w:rsid w:val="00994DF0"/>
    <w:rsid w:val="009954A7"/>
    <w:rsid w:val="00996672"/>
    <w:rsid w:val="009973D1"/>
    <w:rsid w:val="00997FF9"/>
    <w:rsid w:val="009A0467"/>
    <w:rsid w:val="009A106E"/>
    <w:rsid w:val="009A10F9"/>
    <w:rsid w:val="009A110E"/>
    <w:rsid w:val="009A16B4"/>
    <w:rsid w:val="009A32E3"/>
    <w:rsid w:val="009A4DB9"/>
    <w:rsid w:val="009A4E28"/>
    <w:rsid w:val="009A5525"/>
    <w:rsid w:val="009A58A8"/>
    <w:rsid w:val="009A59A5"/>
    <w:rsid w:val="009A59C1"/>
    <w:rsid w:val="009A5F9A"/>
    <w:rsid w:val="009A65A6"/>
    <w:rsid w:val="009A7F42"/>
    <w:rsid w:val="009B2B0E"/>
    <w:rsid w:val="009B3BD8"/>
    <w:rsid w:val="009B41B6"/>
    <w:rsid w:val="009B42B3"/>
    <w:rsid w:val="009B6151"/>
    <w:rsid w:val="009B65D9"/>
    <w:rsid w:val="009B709C"/>
    <w:rsid w:val="009B74E1"/>
    <w:rsid w:val="009B7AF6"/>
    <w:rsid w:val="009C062F"/>
    <w:rsid w:val="009C0733"/>
    <w:rsid w:val="009C07CA"/>
    <w:rsid w:val="009C145E"/>
    <w:rsid w:val="009C2094"/>
    <w:rsid w:val="009C2E17"/>
    <w:rsid w:val="009C31FC"/>
    <w:rsid w:val="009C3465"/>
    <w:rsid w:val="009C4165"/>
    <w:rsid w:val="009C4900"/>
    <w:rsid w:val="009C56E5"/>
    <w:rsid w:val="009C68DE"/>
    <w:rsid w:val="009C6B47"/>
    <w:rsid w:val="009C6FD5"/>
    <w:rsid w:val="009C7698"/>
    <w:rsid w:val="009C7B27"/>
    <w:rsid w:val="009D059F"/>
    <w:rsid w:val="009D0C9C"/>
    <w:rsid w:val="009D1AE6"/>
    <w:rsid w:val="009D33EC"/>
    <w:rsid w:val="009D3DC5"/>
    <w:rsid w:val="009D50B1"/>
    <w:rsid w:val="009D51B9"/>
    <w:rsid w:val="009D52F8"/>
    <w:rsid w:val="009D58FE"/>
    <w:rsid w:val="009D6C7A"/>
    <w:rsid w:val="009D6EE5"/>
    <w:rsid w:val="009D70D5"/>
    <w:rsid w:val="009D7633"/>
    <w:rsid w:val="009D794A"/>
    <w:rsid w:val="009D7B96"/>
    <w:rsid w:val="009E0FCD"/>
    <w:rsid w:val="009E1C36"/>
    <w:rsid w:val="009E38B3"/>
    <w:rsid w:val="009E3B1E"/>
    <w:rsid w:val="009E4621"/>
    <w:rsid w:val="009E4E5A"/>
    <w:rsid w:val="009E5670"/>
    <w:rsid w:val="009E58CE"/>
    <w:rsid w:val="009E76E5"/>
    <w:rsid w:val="009F07D0"/>
    <w:rsid w:val="009F112E"/>
    <w:rsid w:val="009F11EC"/>
    <w:rsid w:val="009F2677"/>
    <w:rsid w:val="009F2DDA"/>
    <w:rsid w:val="009F3108"/>
    <w:rsid w:val="009F4D95"/>
    <w:rsid w:val="009F56C2"/>
    <w:rsid w:val="009F5DA9"/>
    <w:rsid w:val="009F608C"/>
    <w:rsid w:val="009F60EA"/>
    <w:rsid w:val="00A011A6"/>
    <w:rsid w:val="00A01402"/>
    <w:rsid w:val="00A01B69"/>
    <w:rsid w:val="00A01E6A"/>
    <w:rsid w:val="00A035EA"/>
    <w:rsid w:val="00A04A2F"/>
    <w:rsid w:val="00A04D55"/>
    <w:rsid w:val="00A04FA2"/>
    <w:rsid w:val="00A057AB"/>
    <w:rsid w:val="00A06171"/>
    <w:rsid w:val="00A10046"/>
    <w:rsid w:val="00A103B0"/>
    <w:rsid w:val="00A10521"/>
    <w:rsid w:val="00A108B5"/>
    <w:rsid w:val="00A10BFC"/>
    <w:rsid w:val="00A120D2"/>
    <w:rsid w:val="00A12A83"/>
    <w:rsid w:val="00A12CAB"/>
    <w:rsid w:val="00A1398F"/>
    <w:rsid w:val="00A1445D"/>
    <w:rsid w:val="00A151B0"/>
    <w:rsid w:val="00A1522D"/>
    <w:rsid w:val="00A1527A"/>
    <w:rsid w:val="00A1568A"/>
    <w:rsid w:val="00A15EDF"/>
    <w:rsid w:val="00A16216"/>
    <w:rsid w:val="00A162B3"/>
    <w:rsid w:val="00A1773A"/>
    <w:rsid w:val="00A210A9"/>
    <w:rsid w:val="00A210E0"/>
    <w:rsid w:val="00A219A4"/>
    <w:rsid w:val="00A21AE9"/>
    <w:rsid w:val="00A22082"/>
    <w:rsid w:val="00A22694"/>
    <w:rsid w:val="00A23376"/>
    <w:rsid w:val="00A250C9"/>
    <w:rsid w:val="00A27C01"/>
    <w:rsid w:val="00A30057"/>
    <w:rsid w:val="00A308CD"/>
    <w:rsid w:val="00A30D6C"/>
    <w:rsid w:val="00A334E2"/>
    <w:rsid w:val="00A35C4C"/>
    <w:rsid w:val="00A35CE1"/>
    <w:rsid w:val="00A364E4"/>
    <w:rsid w:val="00A36766"/>
    <w:rsid w:val="00A4010D"/>
    <w:rsid w:val="00A40BC5"/>
    <w:rsid w:val="00A40D7F"/>
    <w:rsid w:val="00A41440"/>
    <w:rsid w:val="00A418E1"/>
    <w:rsid w:val="00A41C5A"/>
    <w:rsid w:val="00A41D85"/>
    <w:rsid w:val="00A42584"/>
    <w:rsid w:val="00A42645"/>
    <w:rsid w:val="00A42C03"/>
    <w:rsid w:val="00A43421"/>
    <w:rsid w:val="00A43AF4"/>
    <w:rsid w:val="00A444F2"/>
    <w:rsid w:val="00A452D6"/>
    <w:rsid w:val="00A45601"/>
    <w:rsid w:val="00A46E98"/>
    <w:rsid w:val="00A504E1"/>
    <w:rsid w:val="00A51072"/>
    <w:rsid w:val="00A52900"/>
    <w:rsid w:val="00A53867"/>
    <w:rsid w:val="00A53DAE"/>
    <w:rsid w:val="00A54ABB"/>
    <w:rsid w:val="00A54C84"/>
    <w:rsid w:val="00A55263"/>
    <w:rsid w:val="00A5689A"/>
    <w:rsid w:val="00A57E1F"/>
    <w:rsid w:val="00A607FF"/>
    <w:rsid w:val="00A61CE2"/>
    <w:rsid w:val="00A61E70"/>
    <w:rsid w:val="00A62DCE"/>
    <w:rsid w:val="00A63F17"/>
    <w:rsid w:val="00A640B4"/>
    <w:rsid w:val="00A656F9"/>
    <w:rsid w:val="00A66A1C"/>
    <w:rsid w:val="00A6766E"/>
    <w:rsid w:val="00A67A99"/>
    <w:rsid w:val="00A7083B"/>
    <w:rsid w:val="00A7157D"/>
    <w:rsid w:val="00A71F6E"/>
    <w:rsid w:val="00A72C24"/>
    <w:rsid w:val="00A73834"/>
    <w:rsid w:val="00A73F33"/>
    <w:rsid w:val="00A74F77"/>
    <w:rsid w:val="00A750B1"/>
    <w:rsid w:val="00A757FE"/>
    <w:rsid w:val="00A75A30"/>
    <w:rsid w:val="00A76E55"/>
    <w:rsid w:val="00A80286"/>
    <w:rsid w:val="00A80AD6"/>
    <w:rsid w:val="00A80C7C"/>
    <w:rsid w:val="00A816F5"/>
    <w:rsid w:val="00A8230A"/>
    <w:rsid w:val="00A82EF3"/>
    <w:rsid w:val="00A84544"/>
    <w:rsid w:val="00A84850"/>
    <w:rsid w:val="00A85090"/>
    <w:rsid w:val="00A86608"/>
    <w:rsid w:val="00A8696D"/>
    <w:rsid w:val="00A9057B"/>
    <w:rsid w:val="00A90D92"/>
    <w:rsid w:val="00A91025"/>
    <w:rsid w:val="00A91927"/>
    <w:rsid w:val="00A91D26"/>
    <w:rsid w:val="00A929D4"/>
    <w:rsid w:val="00A931E8"/>
    <w:rsid w:val="00A93FB9"/>
    <w:rsid w:val="00A957B2"/>
    <w:rsid w:val="00A95EFB"/>
    <w:rsid w:val="00A96312"/>
    <w:rsid w:val="00A973CA"/>
    <w:rsid w:val="00AA02A6"/>
    <w:rsid w:val="00AA0641"/>
    <w:rsid w:val="00AA0E97"/>
    <w:rsid w:val="00AA11F9"/>
    <w:rsid w:val="00AA1305"/>
    <w:rsid w:val="00AA1F1B"/>
    <w:rsid w:val="00AA2BE7"/>
    <w:rsid w:val="00AA3276"/>
    <w:rsid w:val="00AA40FB"/>
    <w:rsid w:val="00AA5909"/>
    <w:rsid w:val="00AA6C36"/>
    <w:rsid w:val="00AB10FE"/>
    <w:rsid w:val="00AB114A"/>
    <w:rsid w:val="00AB13EE"/>
    <w:rsid w:val="00AB319C"/>
    <w:rsid w:val="00AB426A"/>
    <w:rsid w:val="00AB5130"/>
    <w:rsid w:val="00AB606F"/>
    <w:rsid w:val="00AC1459"/>
    <w:rsid w:val="00AC17B7"/>
    <w:rsid w:val="00AC2BF5"/>
    <w:rsid w:val="00AC3024"/>
    <w:rsid w:val="00AC34E1"/>
    <w:rsid w:val="00AC409E"/>
    <w:rsid w:val="00AC4584"/>
    <w:rsid w:val="00AC5197"/>
    <w:rsid w:val="00AC55C3"/>
    <w:rsid w:val="00AC6164"/>
    <w:rsid w:val="00AC7050"/>
    <w:rsid w:val="00AC7E52"/>
    <w:rsid w:val="00AD02CE"/>
    <w:rsid w:val="00AD13F0"/>
    <w:rsid w:val="00AD1574"/>
    <w:rsid w:val="00AD2FED"/>
    <w:rsid w:val="00AD33F8"/>
    <w:rsid w:val="00AD3BBB"/>
    <w:rsid w:val="00AD3F7F"/>
    <w:rsid w:val="00AD3FE3"/>
    <w:rsid w:val="00AD491E"/>
    <w:rsid w:val="00AD4C33"/>
    <w:rsid w:val="00AD4E1F"/>
    <w:rsid w:val="00AD5CA7"/>
    <w:rsid w:val="00AD5D04"/>
    <w:rsid w:val="00AD5E6D"/>
    <w:rsid w:val="00AD5E88"/>
    <w:rsid w:val="00AD6D8E"/>
    <w:rsid w:val="00AD711C"/>
    <w:rsid w:val="00AD7E5E"/>
    <w:rsid w:val="00AE0317"/>
    <w:rsid w:val="00AE1703"/>
    <w:rsid w:val="00AE3569"/>
    <w:rsid w:val="00AE3956"/>
    <w:rsid w:val="00AE5467"/>
    <w:rsid w:val="00AE5A6C"/>
    <w:rsid w:val="00AE7189"/>
    <w:rsid w:val="00AE724C"/>
    <w:rsid w:val="00AE73E0"/>
    <w:rsid w:val="00AE7C8C"/>
    <w:rsid w:val="00AF02BA"/>
    <w:rsid w:val="00AF17F3"/>
    <w:rsid w:val="00AF1B44"/>
    <w:rsid w:val="00AF20AA"/>
    <w:rsid w:val="00AF405F"/>
    <w:rsid w:val="00AF4FE7"/>
    <w:rsid w:val="00AF597C"/>
    <w:rsid w:val="00AF6CA0"/>
    <w:rsid w:val="00AF6E5B"/>
    <w:rsid w:val="00AF75AE"/>
    <w:rsid w:val="00AF7A35"/>
    <w:rsid w:val="00B0015F"/>
    <w:rsid w:val="00B008D1"/>
    <w:rsid w:val="00B009A5"/>
    <w:rsid w:val="00B011E2"/>
    <w:rsid w:val="00B0145E"/>
    <w:rsid w:val="00B02622"/>
    <w:rsid w:val="00B02A00"/>
    <w:rsid w:val="00B03E11"/>
    <w:rsid w:val="00B0484B"/>
    <w:rsid w:val="00B06594"/>
    <w:rsid w:val="00B06EA3"/>
    <w:rsid w:val="00B079D8"/>
    <w:rsid w:val="00B11073"/>
    <w:rsid w:val="00B115C7"/>
    <w:rsid w:val="00B125B3"/>
    <w:rsid w:val="00B131C1"/>
    <w:rsid w:val="00B13FAC"/>
    <w:rsid w:val="00B14A22"/>
    <w:rsid w:val="00B14C46"/>
    <w:rsid w:val="00B160EA"/>
    <w:rsid w:val="00B1659D"/>
    <w:rsid w:val="00B170FB"/>
    <w:rsid w:val="00B177BE"/>
    <w:rsid w:val="00B21A7B"/>
    <w:rsid w:val="00B2248B"/>
    <w:rsid w:val="00B22FA9"/>
    <w:rsid w:val="00B235EA"/>
    <w:rsid w:val="00B2382F"/>
    <w:rsid w:val="00B23BEB"/>
    <w:rsid w:val="00B2416F"/>
    <w:rsid w:val="00B2433D"/>
    <w:rsid w:val="00B25287"/>
    <w:rsid w:val="00B2720D"/>
    <w:rsid w:val="00B27424"/>
    <w:rsid w:val="00B308C7"/>
    <w:rsid w:val="00B31CFA"/>
    <w:rsid w:val="00B3228B"/>
    <w:rsid w:val="00B322A7"/>
    <w:rsid w:val="00B3285F"/>
    <w:rsid w:val="00B3351B"/>
    <w:rsid w:val="00B3427F"/>
    <w:rsid w:val="00B342E3"/>
    <w:rsid w:val="00B34FB3"/>
    <w:rsid w:val="00B35F8B"/>
    <w:rsid w:val="00B36176"/>
    <w:rsid w:val="00B3716A"/>
    <w:rsid w:val="00B37B8F"/>
    <w:rsid w:val="00B37CF9"/>
    <w:rsid w:val="00B4007E"/>
    <w:rsid w:val="00B41038"/>
    <w:rsid w:val="00B4152F"/>
    <w:rsid w:val="00B4162D"/>
    <w:rsid w:val="00B41922"/>
    <w:rsid w:val="00B4314C"/>
    <w:rsid w:val="00B43285"/>
    <w:rsid w:val="00B44B7D"/>
    <w:rsid w:val="00B45AA1"/>
    <w:rsid w:val="00B462D6"/>
    <w:rsid w:val="00B46E4A"/>
    <w:rsid w:val="00B4718E"/>
    <w:rsid w:val="00B47521"/>
    <w:rsid w:val="00B506FA"/>
    <w:rsid w:val="00B51541"/>
    <w:rsid w:val="00B5238E"/>
    <w:rsid w:val="00B52D80"/>
    <w:rsid w:val="00B53513"/>
    <w:rsid w:val="00B54E21"/>
    <w:rsid w:val="00B55061"/>
    <w:rsid w:val="00B55270"/>
    <w:rsid w:val="00B5533B"/>
    <w:rsid w:val="00B577E2"/>
    <w:rsid w:val="00B57FE4"/>
    <w:rsid w:val="00B6109F"/>
    <w:rsid w:val="00B64645"/>
    <w:rsid w:val="00B6583A"/>
    <w:rsid w:val="00B66AE0"/>
    <w:rsid w:val="00B66D2E"/>
    <w:rsid w:val="00B67811"/>
    <w:rsid w:val="00B6784E"/>
    <w:rsid w:val="00B67B24"/>
    <w:rsid w:val="00B71653"/>
    <w:rsid w:val="00B71F68"/>
    <w:rsid w:val="00B71FBA"/>
    <w:rsid w:val="00B72122"/>
    <w:rsid w:val="00B72D66"/>
    <w:rsid w:val="00B73682"/>
    <w:rsid w:val="00B7393A"/>
    <w:rsid w:val="00B742C6"/>
    <w:rsid w:val="00B74D69"/>
    <w:rsid w:val="00B7612C"/>
    <w:rsid w:val="00B76D7D"/>
    <w:rsid w:val="00B775A8"/>
    <w:rsid w:val="00B779D9"/>
    <w:rsid w:val="00B77DEF"/>
    <w:rsid w:val="00B81AB9"/>
    <w:rsid w:val="00B81F10"/>
    <w:rsid w:val="00B826E1"/>
    <w:rsid w:val="00B837E0"/>
    <w:rsid w:val="00B8395E"/>
    <w:rsid w:val="00B84521"/>
    <w:rsid w:val="00B84E4B"/>
    <w:rsid w:val="00B85238"/>
    <w:rsid w:val="00B85F63"/>
    <w:rsid w:val="00B872FB"/>
    <w:rsid w:val="00B87D61"/>
    <w:rsid w:val="00B903D7"/>
    <w:rsid w:val="00B90704"/>
    <w:rsid w:val="00B90894"/>
    <w:rsid w:val="00B910D4"/>
    <w:rsid w:val="00B922E6"/>
    <w:rsid w:val="00B92F0C"/>
    <w:rsid w:val="00B92FB8"/>
    <w:rsid w:val="00B936E8"/>
    <w:rsid w:val="00B93F68"/>
    <w:rsid w:val="00B9493F"/>
    <w:rsid w:val="00B949D7"/>
    <w:rsid w:val="00B95085"/>
    <w:rsid w:val="00B95785"/>
    <w:rsid w:val="00B95EAB"/>
    <w:rsid w:val="00B9689A"/>
    <w:rsid w:val="00B96E3B"/>
    <w:rsid w:val="00B97BBC"/>
    <w:rsid w:val="00BA1E51"/>
    <w:rsid w:val="00BA203B"/>
    <w:rsid w:val="00BA2AE1"/>
    <w:rsid w:val="00BA3DCA"/>
    <w:rsid w:val="00BA42F2"/>
    <w:rsid w:val="00BA42F9"/>
    <w:rsid w:val="00BA6F5C"/>
    <w:rsid w:val="00BA70A7"/>
    <w:rsid w:val="00BB00B9"/>
    <w:rsid w:val="00BB0F7D"/>
    <w:rsid w:val="00BB1DE4"/>
    <w:rsid w:val="00BB1E10"/>
    <w:rsid w:val="00BB20A4"/>
    <w:rsid w:val="00BB2D6B"/>
    <w:rsid w:val="00BB3598"/>
    <w:rsid w:val="00BB381D"/>
    <w:rsid w:val="00BB4C6C"/>
    <w:rsid w:val="00BB4DD1"/>
    <w:rsid w:val="00BC0354"/>
    <w:rsid w:val="00BC0A9C"/>
    <w:rsid w:val="00BC13B7"/>
    <w:rsid w:val="00BC1E3D"/>
    <w:rsid w:val="00BC23C8"/>
    <w:rsid w:val="00BC24E5"/>
    <w:rsid w:val="00BC3AA3"/>
    <w:rsid w:val="00BC4218"/>
    <w:rsid w:val="00BC593F"/>
    <w:rsid w:val="00BC697D"/>
    <w:rsid w:val="00BD0199"/>
    <w:rsid w:val="00BD11CD"/>
    <w:rsid w:val="00BD294F"/>
    <w:rsid w:val="00BD29E7"/>
    <w:rsid w:val="00BD3D47"/>
    <w:rsid w:val="00BD4856"/>
    <w:rsid w:val="00BD53DE"/>
    <w:rsid w:val="00BD585E"/>
    <w:rsid w:val="00BD5D96"/>
    <w:rsid w:val="00BD65A6"/>
    <w:rsid w:val="00BD6900"/>
    <w:rsid w:val="00BD6C08"/>
    <w:rsid w:val="00BD7320"/>
    <w:rsid w:val="00BD73EC"/>
    <w:rsid w:val="00BE0208"/>
    <w:rsid w:val="00BE1AB5"/>
    <w:rsid w:val="00BE1D51"/>
    <w:rsid w:val="00BE1F7B"/>
    <w:rsid w:val="00BE1F9C"/>
    <w:rsid w:val="00BE3023"/>
    <w:rsid w:val="00BE491B"/>
    <w:rsid w:val="00BE5DC6"/>
    <w:rsid w:val="00BE60EB"/>
    <w:rsid w:val="00BE6680"/>
    <w:rsid w:val="00BE67BB"/>
    <w:rsid w:val="00BE7864"/>
    <w:rsid w:val="00BE7BC7"/>
    <w:rsid w:val="00BF0131"/>
    <w:rsid w:val="00BF0DDC"/>
    <w:rsid w:val="00BF0F21"/>
    <w:rsid w:val="00BF178C"/>
    <w:rsid w:val="00BF191F"/>
    <w:rsid w:val="00BF1CD2"/>
    <w:rsid w:val="00BF1E32"/>
    <w:rsid w:val="00BF30CD"/>
    <w:rsid w:val="00BF3B9A"/>
    <w:rsid w:val="00BF4A72"/>
    <w:rsid w:val="00BF6BFB"/>
    <w:rsid w:val="00BF6E32"/>
    <w:rsid w:val="00BF7C36"/>
    <w:rsid w:val="00C00303"/>
    <w:rsid w:val="00C004EC"/>
    <w:rsid w:val="00C01695"/>
    <w:rsid w:val="00C023FA"/>
    <w:rsid w:val="00C0388E"/>
    <w:rsid w:val="00C047D4"/>
    <w:rsid w:val="00C04A9C"/>
    <w:rsid w:val="00C051F7"/>
    <w:rsid w:val="00C055A7"/>
    <w:rsid w:val="00C05692"/>
    <w:rsid w:val="00C05E55"/>
    <w:rsid w:val="00C05F95"/>
    <w:rsid w:val="00C0611A"/>
    <w:rsid w:val="00C06A7F"/>
    <w:rsid w:val="00C07CCA"/>
    <w:rsid w:val="00C106B0"/>
    <w:rsid w:val="00C10AA4"/>
    <w:rsid w:val="00C10F1D"/>
    <w:rsid w:val="00C10FE7"/>
    <w:rsid w:val="00C11D9D"/>
    <w:rsid w:val="00C132DA"/>
    <w:rsid w:val="00C13BCE"/>
    <w:rsid w:val="00C13CD7"/>
    <w:rsid w:val="00C1402C"/>
    <w:rsid w:val="00C146EF"/>
    <w:rsid w:val="00C149C1"/>
    <w:rsid w:val="00C14E82"/>
    <w:rsid w:val="00C1551B"/>
    <w:rsid w:val="00C15EDB"/>
    <w:rsid w:val="00C16D46"/>
    <w:rsid w:val="00C16F59"/>
    <w:rsid w:val="00C16F8D"/>
    <w:rsid w:val="00C178F2"/>
    <w:rsid w:val="00C17C6E"/>
    <w:rsid w:val="00C2083F"/>
    <w:rsid w:val="00C209D4"/>
    <w:rsid w:val="00C20A95"/>
    <w:rsid w:val="00C20B89"/>
    <w:rsid w:val="00C20E9A"/>
    <w:rsid w:val="00C216F2"/>
    <w:rsid w:val="00C21E11"/>
    <w:rsid w:val="00C22322"/>
    <w:rsid w:val="00C2285A"/>
    <w:rsid w:val="00C22F13"/>
    <w:rsid w:val="00C231BA"/>
    <w:rsid w:val="00C23E92"/>
    <w:rsid w:val="00C24D37"/>
    <w:rsid w:val="00C24F6D"/>
    <w:rsid w:val="00C256F4"/>
    <w:rsid w:val="00C25990"/>
    <w:rsid w:val="00C278D1"/>
    <w:rsid w:val="00C278EC"/>
    <w:rsid w:val="00C303AD"/>
    <w:rsid w:val="00C30651"/>
    <w:rsid w:val="00C307C0"/>
    <w:rsid w:val="00C30C5C"/>
    <w:rsid w:val="00C3188C"/>
    <w:rsid w:val="00C32121"/>
    <w:rsid w:val="00C322DC"/>
    <w:rsid w:val="00C32384"/>
    <w:rsid w:val="00C32AC0"/>
    <w:rsid w:val="00C33AD9"/>
    <w:rsid w:val="00C344A3"/>
    <w:rsid w:val="00C34514"/>
    <w:rsid w:val="00C348B5"/>
    <w:rsid w:val="00C34BEC"/>
    <w:rsid w:val="00C357A5"/>
    <w:rsid w:val="00C35940"/>
    <w:rsid w:val="00C35A0F"/>
    <w:rsid w:val="00C35E3B"/>
    <w:rsid w:val="00C363D1"/>
    <w:rsid w:val="00C364FB"/>
    <w:rsid w:val="00C37E8D"/>
    <w:rsid w:val="00C37F21"/>
    <w:rsid w:val="00C423E4"/>
    <w:rsid w:val="00C423EE"/>
    <w:rsid w:val="00C42CB8"/>
    <w:rsid w:val="00C42D12"/>
    <w:rsid w:val="00C43466"/>
    <w:rsid w:val="00C43635"/>
    <w:rsid w:val="00C43B67"/>
    <w:rsid w:val="00C43FF0"/>
    <w:rsid w:val="00C441F4"/>
    <w:rsid w:val="00C464FB"/>
    <w:rsid w:val="00C466EC"/>
    <w:rsid w:val="00C478EF"/>
    <w:rsid w:val="00C47998"/>
    <w:rsid w:val="00C50520"/>
    <w:rsid w:val="00C523EF"/>
    <w:rsid w:val="00C537EF"/>
    <w:rsid w:val="00C53B22"/>
    <w:rsid w:val="00C5531D"/>
    <w:rsid w:val="00C567E2"/>
    <w:rsid w:val="00C60A43"/>
    <w:rsid w:val="00C62737"/>
    <w:rsid w:val="00C62A37"/>
    <w:rsid w:val="00C62EAD"/>
    <w:rsid w:val="00C63087"/>
    <w:rsid w:val="00C639DF"/>
    <w:rsid w:val="00C63B9E"/>
    <w:rsid w:val="00C65187"/>
    <w:rsid w:val="00C6544A"/>
    <w:rsid w:val="00C6649C"/>
    <w:rsid w:val="00C673AC"/>
    <w:rsid w:val="00C67558"/>
    <w:rsid w:val="00C67F2E"/>
    <w:rsid w:val="00C70C06"/>
    <w:rsid w:val="00C71602"/>
    <w:rsid w:val="00C71D30"/>
    <w:rsid w:val="00C73883"/>
    <w:rsid w:val="00C74552"/>
    <w:rsid w:val="00C768A9"/>
    <w:rsid w:val="00C76946"/>
    <w:rsid w:val="00C76B36"/>
    <w:rsid w:val="00C76FC5"/>
    <w:rsid w:val="00C77199"/>
    <w:rsid w:val="00C77C86"/>
    <w:rsid w:val="00C8042D"/>
    <w:rsid w:val="00C8097E"/>
    <w:rsid w:val="00C81F5E"/>
    <w:rsid w:val="00C829BD"/>
    <w:rsid w:val="00C82D02"/>
    <w:rsid w:val="00C82F3E"/>
    <w:rsid w:val="00C83BCF"/>
    <w:rsid w:val="00C845DA"/>
    <w:rsid w:val="00C84BBC"/>
    <w:rsid w:val="00C8500C"/>
    <w:rsid w:val="00C85301"/>
    <w:rsid w:val="00C85C14"/>
    <w:rsid w:val="00C86D8F"/>
    <w:rsid w:val="00C870F0"/>
    <w:rsid w:val="00C8747B"/>
    <w:rsid w:val="00C875B9"/>
    <w:rsid w:val="00C87770"/>
    <w:rsid w:val="00C90940"/>
    <w:rsid w:val="00C91899"/>
    <w:rsid w:val="00C920B1"/>
    <w:rsid w:val="00C922DF"/>
    <w:rsid w:val="00C92C75"/>
    <w:rsid w:val="00C935F0"/>
    <w:rsid w:val="00C93F8D"/>
    <w:rsid w:val="00C954E9"/>
    <w:rsid w:val="00C95C2F"/>
    <w:rsid w:val="00C9640D"/>
    <w:rsid w:val="00C97398"/>
    <w:rsid w:val="00C97D41"/>
    <w:rsid w:val="00CA05AA"/>
    <w:rsid w:val="00CA07AD"/>
    <w:rsid w:val="00CA1741"/>
    <w:rsid w:val="00CA184C"/>
    <w:rsid w:val="00CA1CC7"/>
    <w:rsid w:val="00CA48D3"/>
    <w:rsid w:val="00CA5305"/>
    <w:rsid w:val="00CA569F"/>
    <w:rsid w:val="00CA5739"/>
    <w:rsid w:val="00CB0E93"/>
    <w:rsid w:val="00CB1833"/>
    <w:rsid w:val="00CB3417"/>
    <w:rsid w:val="00CB3639"/>
    <w:rsid w:val="00CB37A2"/>
    <w:rsid w:val="00CB4E44"/>
    <w:rsid w:val="00CB51EC"/>
    <w:rsid w:val="00CB57A6"/>
    <w:rsid w:val="00CB5B4F"/>
    <w:rsid w:val="00CB6076"/>
    <w:rsid w:val="00CB65F1"/>
    <w:rsid w:val="00CB6619"/>
    <w:rsid w:val="00CC05EA"/>
    <w:rsid w:val="00CC1AB7"/>
    <w:rsid w:val="00CC1C70"/>
    <w:rsid w:val="00CC2ACC"/>
    <w:rsid w:val="00CC360C"/>
    <w:rsid w:val="00CC3B42"/>
    <w:rsid w:val="00CC3DF4"/>
    <w:rsid w:val="00CC423C"/>
    <w:rsid w:val="00CC5A36"/>
    <w:rsid w:val="00CC6465"/>
    <w:rsid w:val="00CC6984"/>
    <w:rsid w:val="00CC6D2F"/>
    <w:rsid w:val="00CC780C"/>
    <w:rsid w:val="00CD001D"/>
    <w:rsid w:val="00CD0605"/>
    <w:rsid w:val="00CD0906"/>
    <w:rsid w:val="00CD0907"/>
    <w:rsid w:val="00CD0E20"/>
    <w:rsid w:val="00CD0F3B"/>
    <w:rsid w:val="00CD1ACA"/>
    <w:rsid w:val="00CD2903"/>
    <w:rsid w:val="00CD2F03"/>
    <w:rsid w:val="00CD3005"/>
    <w:rsid w:val="00CD36A0"/>
    <w:rsid w:val="00CD38AB"/>
    <w:rsid w:val="00CD45E1"/>
    <w:rsid w:val="00CD481C"/>
    <w:rsid w:val="00CD538E"/>
    <w:rsid w:val="00CD552B"/>
    <w:rsid w:val="00CD6BBB"/>
    <w:rsid w:val="00CD7C5F"/>
    <w:rsid w:val="00CE1DD3"/>
    <w:rsid w:val="00CE273F"/>
    <w:rsid w:val="00CE2A9D"/>
    <w:rsid w:val="00CE360E"/>
    <w:rsid w:val="00CE5527"/>
    <w:rsid w:val="00CE56CA"/>
    <w:rsid w:val="00CE685E"/>
    <w:rsid w:val="00CE75B3"/>
    <w:rsid w:val="00CE78BB"/>
    <w:rsid w:val="00CF1ECB"/>
    <w:rsid w:val="00CF2350"/>
    <w:rsid w:val="00CF2FFD"/>
    <w:rsid w:val="00CF3776"/>
    <w:rsid w:val="00CF3B29"/>
    <w:rsid w:val="00CF3D93"/>
    <w:rsid w:val="00CF41FF"/>
    <w:rsid w:val="00CF4C26"/>
    <w:rsid w:val="00CF4EF9"/>
    <w:rsid w:val="00CF5AEA"/>
    <w:rsid w:val="00CF619E"/>
    <w:rsid w:val="00CF74A3"/>
    <w:rsid w:val="00CF7AA6"/>
    <w:rsid w:val="00D019C2"/>
    <w:rsid w:val="00D01F50"/>
    <w:rsid w:val="00D01F77"/>
    <w:rsid w:val="00D028E2"/>
    <w:rsid w:val="00D02B78"/>
    <w:rsid w:val="00D06463"/>
    <w:rsid w:val="00D06D20"/>
    <w:rsid w:val="00D074F5"/>
    <w:rsid w:val="00D077B9"/>
    <w:rsid w:val="00D11992"/>
    <w:rsid w:val="00D11F12"/>
    <w:rsid w:val="00D13A3D"/>
    <w:rsid w:val="00D13F1D"/>
    <w:rsid w:val="00D149A6"/>
    <w:rsid w:val="00D14C72"/>
    <w:rsid w:val="00D15AE0"/>
    <w:rsid w:val="00D171ED"/>
    <w:rsid w:val="00D20628"/>
    <w:rsid w:val="00D2143C"/>
    <w:rsid w:val="00D21DD6"/>
    <w:rsid w:val="00D21E11"/>
    <w:rsid w:val="00D2258D"/>
    <w:rsid w:val="00D22669"/>
    <w:rsid w:val="00D22F39"/>
    <w:rsid w:val="00D2378F"/>
    <w:rsid w:val="00D23C71"/>
    <w:rsid w:val="00D24000"/>
    <w:rsid w:val="00D241CC"/>
    <w:rsid w:val="00D24504"/>
    <w:rsid w:val="00D24FA9"/>
    <w:rsid w:val="00D2554E"/>
    <w:rsid w:val="00D25C51"/>
    <w:rsid w:val="00D26178"/>
    <w:rsid w:val="00D27E46"/>
    <w:rsid w:val="00D304D4"/>
    <w:rsid w:val="00D30CF3"/>
    <w:rsid w:val="00D3131B"/>
    <w:rsid w:val="00D31F7E"/>
    <w:rsid w:val="00D32296"/>
    <w:rsid w:val="00D32531"/>
    <w:rsid w:val="00D330D5"/>
    <w:rsid w:val="00D33424"/>
    <w:rsid w:val="00D34896"/>
    <w:rsid w:val="00D34B52"/>
    <w:rsid w:val="00D3534A"/>
    <w:rsid w:val="00D358BE"/>
    <w:rsid w:val="00D37FEC"/>
    <w:rsid w:val="00D40580"/>
    <w:rsid w:val="00D407FF"/>
    <w:rsid w:val="00D408AE"/>
    <w:rsid w:val="00D4093F"/>
    <w:rsid w:val="00D4106B"/>
    <w:rsid w:val="00D410A8"/>
    <w:rsid w:val="00D41625"/>
    <w:rsid w:val="00D41682"/>
    <w:rsid w:val="00D41A70"/>
    <w:rsid w:val="00D42C5C"/>
    <w:rsid w:val="00D42CD6"/>
    <w:rsid w:val="00D43241"/>
    <w:rsid w:val="00D43D10"/>
    <w:rsid w:val="00D43FCA"/>
    <w:rsid w:val="00D44342"/>
    <w:rsid w:val="00D446A3"/>
    <w:rsid w:val="00D45440"/>
    <w:rsid w:val="00D45BF6"/>
    <w:rsid w:val="00D45FFA"/>
    <w:rsid w:val="00D476EB"/>
    <w:rsid w:val="00D4798C"/>
    <w:rsid w:val="00D47CE9"/>
    <w:rsid w:val="00D5055F"/>
    <w:rsid w:val="00D5065E"/>
    <w:rsid w:val="00D511B1"/>
    <w:rsid w:val="00D51AA3"/>
    <w:rsid w:val="00D51F46"/>
    <w:rsid w:val="00D520E1"/>
    <w:rsid w:val="00D52C63"/>
    <w:rsid w:val="00D53453"/>
    <w:rsid w:val="00D53CBB"/>
    <w:rsid w:val="00D5403B"/>
    <w:rsid w:val="00D5454C"/>
    <w:rsid w:val="00D54896"/>
    <w:rsid w:val="00D548DC"/>
    <w:rsid w:val="00D56769"/>
    <w:rsid w:val="00D57AEB"/>
    <w:rsid w:val="00D606B4"/>
    <w:rsid w:val="00D60BE4"/>
    <w:rsid w:val="00D61F73"/>
    <w:rsid w:val="00D629C7"/>
    <w:rsid w:val="00D62EED"/>
    <w:rsid w:val="00D63A84"/>
    <w:rsid w:val="00D63ED6"/>
    <w:rsid w:val="00D654DE"/>
    <w:rsid w:val="00D65771"/>
    <w:rsid w:val="00D65DF1"/>
    <w:rsid w:val="00D7132E"/>
    <w:rsid w:val="00D71C2E"/>
    <w:rsid w:val="00D73065"/>
    <w:rsid w:val="00D73957"/>
    <w:rsid w:val="00D74242"/>
    <w:rsid w:val="00D749A4"/>
    <w:rsid w:val="00D7519D"/>
    <w:rsid w:val="00D75D7B"/>
    <w:rsid w:val="00D76806"/>
    <w:rsid w:val="00D8289A"/>
    <w:rsid w:val="00D82E64"/>
    <w:rsid w:val="00D832B4"/>
    <w:rsid w:val="00D84E32"/>
    <w:rsid w:val="00D84FC3"/>
    <w:rsid w:val="00D8525D"/>
    <w:rsid w:val="00D861EE"/>
    <w:rsid w:val="00D86B8D"/>
    <w:rsid w:val="00D86EF0"/>
    <w:rsid w:val="00D87793"/>
    <w:rsid w:val="00D90015"/>
    <w:rsid w:val="00D91782"/>
    <w:rsid w:val="00D92443"/>
    <w:rsid w:val="00D93864"/>
    <w:rsid w:val="00D96620"/>
    <w:rsid w:val="00D96F7B"/>
    <w:rsid w:val="00D97B13"/>
    <w:rsid w:val="00DA0CBA"/>
    <w:rsid w:val="00DA0F4F"/>
    <w:rsid w:val="00DA0FD9"/>
    <w:rsid w:val="00DA23CB"/>
    <w:rsid w:val="00DA2E75"/>
    <w:rsid w:val="00DA328E"/>
    <w:rsid w:val="00DA3470"/>
    <w:rsid w:val="00DA4FBD"/>
    <w:rsid w:val="00DA5159"/>
    <w:rsid w:val="00DA5811"/>
    <w:rsid w:val="00DA58DA"/>
    <w:rsid w:val="00DA6282"/>
    <w:rsid w:val="00DA7367"/>
    <w:rsid w:val="00DA7450"/>
    <w:rsid w:val="00DB0CD3"/>
    <w:rsid w:val="00DB109A"/>
    <w:rsid w:val="00DB2EB1"/>
    <w:rsid w:val="00DB3B83"/>
    <w:rsid w:val="00DB41BB"/>
    <w:rsid w:val="00DB530D"/>
    <w:rsid w:val="00DB6817"/>
    <w:rsid w:val="00DB70E8"/>
    <w:rsid w:val="00DC01D3"/>
    <w:rsid w:val="00DC0B0B"/>
    <w:rsid w:val="00DC1579"/>
    <w:rsid w:val="00DC1917"/>
    <w:rsid w:val="00DC20E7"/>
    <w:rsid w:val="00DC2EFA"/>
    <w:rsid w:val="00DC3D8D"/>
    <w:rsid w:val="00DC420F"/>
    <w:rsid w:val="00DC4BA9"/>
    <w:rsid w:val="00DC5285"/>
    <w:rsid w:val="00DC59A2"/>
    <w:rsid w:val="00DD0250"/>
    <w:rsid w:val="00DD1288"/>
    <w:rsid w:val="00DD1454"/>
    <w:rsid w:val="00DD1A29"/>
    <w:rsid w:val="00DD231B"/>
    <w:rsid w:val="00DD454E"/>
    <w:rsid w:val="00DD4F4F"/>
    <w:rsid w:val="00DD57E3"/>
    <w:rsid w:val="00DD59DD"/>
    <w:rsid w:val="00DD5DB6"/>
    <w:rsid w:val="00DD5FD0"/>
    <w:rsid w:val="00DE244E"/>
    <w:rsid w:val="00DE2888"/>
    <w:rsid w:val="00DE3252"/>
    <w:rsid w:val="00DE33D1"/>
    <w:rsid w:val="00DE4640"/>
    <w:rsid w:val="00DE4D7B"/>
    <w:rsid w:val="00DE5C4B"/>
    <w:rsid w:val="00DE60A5"/>
    <w:rsid w:val="00DE79A3"/>
    <w:rsid w:val="00DE7B07"/>
    <w:rsid w:val="00DF05A5"/>
    <w:rsid w:val="00DF19C2"/>
    <w:rsid w:val="00DF29CF"/>
    <w:rsid w:val="00DF2F3D"/>
    <w:rsid w:val="00DF320D"/>
    <w:rsid w:val="00DF46B5"/>
    <w:rsid w:val="00DF4B5A"/>
    <w:rsid w:val="00DF5180"/>
    <w:rsid w:val="00DF72F1"/>
    <w:rsid w:val="00DF7CB1"/>
    <w:rsid w:val="00DF7DED"/>
    <w:rsid w:val="00E00280"/>
    <w:rsid w:val="00E00BC4"/>
    <w:rsid w:val="00E01374"/>
    <w:rsid w:val="00E0161E"/>
    <w:rsid w:val="00E01C93"/>
    <w:rsid w:val="00E03107"/>
    <w:rsid w:val="00E03231"/>
    <w:rsid w:val="00E037D4"/>
    <w:rsid w:val="00E04E21"/>
    <w:rsid w:val="00E0577D"/>
    <w:rsid w:val="00E05CF2"/>
    <w:rsid w:val="00E06603"/>
    <w:rsid w:val="00E06BC8"/>
    <w:rsid w:val="00E07862"/>
    <w:rsid w:val="00E10F67"/>
    <w:rsid w:val="00E11822"/>
    <w:rsid w:val="00E12B91"/>
    <w:rsid w:val="00E1370E"/>
    <w:rsid w:val="00E145ED"/>
    <w:rsid w:val="00E15D98"/>
    <w:rsid w:val="00E15EAD"/>
    <w:rsid w:val="00E1618B"/>
    <w:rsid w:val="00E17E47"/>
    <w:rsid w:val="00E20000"/>
    <w:rsid w:val="00E2129C"/>
    <w:rsid w:val="00E22495"/>
    <w:rsid w:val="00E22E8E"/>
    <w:rsid w:val="00E241C8"/>
    <w:rsid w:val="00E244A3"/>
    <w:rsid w:val="00E24E48"/>
    <w:rsid w:val="00E24F56"/>
    <w:rsid w:val="00E25590"/>
    <w:rsid w:val="00E260B3"/>
    <w:rsid w:val="00E261DB"/>
    <w:rsid w:val="00E261ED"/>
    <w:rsid w:val="00E2712C"/>
    <w:rsid w:val="00E27DF0"/>
    <w:rsid w:val="00E3005C"/>
    <w:rsid w:val="00E30B88"/>
    <w:rsid w:val="00E324E6"/>
    <w:rsid w:val="00E32701"/>
    <w:rsid w:val="00E32E9F"/>
    <w:rsid w:val="00E33375"/>
    <w:rsid w:val="00E33853"/>
    <w:rsid w:val="00E33A3F"/>
    <w:rsid w:val="00E345AB"/>
    <w:rsid w:val="00E34ED5"/>
    <w:rsid w:val="00E3536D"/>
    <w:rsid w:val="00E36A35"/>
    <w:rsid w:val="00E36B4C"/>
    <w:rsid w:val="00E373DA"/>
    <w:rsid w:val="00E37F80"/>
    <w:rsid w:val="00E401B6"/>
    <w:rsid w:val="00E41777"/>
    <w:rsid w:val="00E41844"/>
    <w:rsid w:val="00E42037"/>
    <w:rsid w:val="00E425A6"/>
    <w:rsid w:val="00E428E4"/>
    <w:rsid w:val="00E42EEB"/>
    <w:rsid w:val="00E43D3C"/>
    <w:rsid w:val="00E441F9"/>
    <w:rsid w:val="00E448C1"/>
    <w:rsid w:val="00E44E8A"/>
    <w:rsid w:val="00E453B4"/>
    <w:rsid w:val="00E45D45"/>
    <w:rsid w:val="00E45D63"/>
    <w:rsid w:val="00E46199"/>
    <w:rsid w:val="00E47D77"/>
    <w:rsid w:val="00E512C8"/>
    <w:rsid w:val="00E51C5F"/>
    <w:rsid w:val="00E52891"/>
    <w:rsid w:val="00E52D0F"/>
    <w:rsid w:val="00E54A12"/>
    <w:rsid w:val="00E55520"/>
    <w:rsid w:val="00E55AEA"/>
    <w:rsid w:val="00E56C0D"/>
    <w:rsid w:val="00E600AD"/>
    <w:rsid w:val="00E6039B"/>
    <w:rsid w:val="00E60B4A"/>
    <w:rsid w:val="00E62B56"/>
    <w:rsid w:val="00E6435C"/>
    <w:rsid w:val="00E6645D"/>
    <w:rsid w:val="00E66907"/>
    <w:rsid w:val="00E66F6F"/>
    <w:rsid w:val="00E677F2"/>
    <w:rsid w:val="00E71494"/>
    <w:rsid w:val="00E72E83"/>
    <w:rsid w:val="00E74093"/>
    <w:rsid w:val="00E75FB7"/>
    <w:rsid w:val="00E76B14"/>
    <w:rsid w:val="00E77853"/>
    <w:rsid w:val="00E83F3D"/>
    <w:rsid w:val="00E8410D"/>
    <w:rsid w:val="00E84525"/>
    <w:rsid w:val="00E84DC3"/>
    <w:rsid w:val="00E85734"/>
    <w:rsid w:val="00E860E3"/>
    <w:rsid w:val="00E915C7"/>
    <w:rsid w:val="00E9221E"/>
    <w:rsid w:val="00E92361"/>
    <w:rsid w:val="00E94515"/>
    <w:rsid w:val="00E94965"/>
    <w:rsid w:val="00E94C7F"/>
    <w:rsid w:val="00E966E2"/>
    <w:rsid w:val="00EA11CB"/>
    <w:rsid w:val="00EA172D"/>
    <w:rsid w:val="00EA1905"/>
    <w:rsid w:val="00EA1CE4"/>
    <w:rsid w:val="00EA1E6E"/>
    <w:rsid w:val="00EA208B"/>
    <w:rsid w:val="00EA22D9"/>
    <w:rsid w:val="00EA2E4D"/>
    <w:rsid w:val="00EA439C"/>
    <w:rsid w:val="00EA4D7F"/>
    <w:rsid w:val="00EA653C"/>
    <w:rsid w:val="00EA6DA3"/>
    <w:rsid w:val="00EA74BB"/>
    <w:rsid w:val="00EA757C"/>
    <w:rsid w:val="00EB04B6"/>
    <w:rsid w:val="00EB0AFE"/>
    <w:rsid w:val="00EB2735"/>
    <w:rsid w:val="00EB2CE7"/>
    <w:rsid w:val="00EB5C5C"/>
    <w:rsid w:val="00EB5C5E"/>
    <w:rsid w:val="00EB5EC1"/>
    <w:rsid w:val="00EC065D"/>
    <w:rsid w:val="00EC116E"/>
    <w:rsid w:val="00EC259A"/>
    <w:rsid w:val="00EC2728"/>
    <w:rsid w:val="00EC36E7"/>
    <w:rsid w:val="00EC4079"/>
    <w:rsid w:val="00EC4938"/>
    <w:rsid w:val="00EC52B6"/>
    <w:rsid w:val="00EC5903"/>
    <w:rsid w:val="00EC5B68"/>
    <w:rsid w:val="00EC5BC8"/>
    <w:rsid w:val="00EC61C9"/>
    <w:rsid w:val="00EC726B"/>
    <w:rsid w:val="00EC7B23"/>
    <w:rsid w:val="00EC7C03"/>
    <w:rsid w:val="00ED1BD1"/>
    <w:rsid w:val="00ED1D88"/>
    <w:rsid w:val="00ED2DEA"/>
    <w:rsid w:val="00ED37CF"/>
    <w:rsid w:val="00ED50E1"/>
    <w:rsid w:val="00ED5A19"/>
    <w:rsid w:val="00ED5B0A"/>
    <w:rsid w:val="00ED66B0"/>
    <w:rsid w:val="00ED67A1"/>
    <w:rsid w:val="00ED751C"/>
    <w:rsid w:val="00EE0228"/>
    <w:rsid w:val="00EE25B7"/>
    <w:rsid w:val="00EE2B3F"/>
    <w:rsid w:val="00EE32E1"/>
    <w:rsid w:val="00EE3492"/>
    <w:rsid w:val="00EE3A2A"/>
    <w:rsid w:val="00EE53B8"/>
    <w:rsid w:val="00EE58B6"/>
    <w:rsid w:val="00EE5D6D"/>
    <w:rsid w:val="00EE71BB"/>
    <w:rsid w:val="00EE7E78"/>
    <w:rsid w:val="00EF01ED"/>
    <w:rsid w:val="00EF0B15"/>
    <w:rsid w:val="00EF0E1A"/>
    <w:rsid w:val="00EF137B"/>
    <w:rsid w:val="00EF1871"/>
    <w:rsid w:val="00EF19EF"/>
    <w:rsid w:val="00EF2FEB"/>
    <w:rsid w:val="00EF33E3"/>
    <w:rsid w:val="00EF3F54"/>
    <w:rsid w:val="00EF3FB3"/>
    <w:rsid w:val="00EF4490"/>
    <w:rsid w:val="00EF4716"/>
    <w:rsid w:val="00EF4785"/>
    <w:rsid w:val="00EF51B1"/>
    <w:rsid w:val="00EF5FAF"/>
    <w:rsid w:val="00EF688D"/>
    <w:rsid w:val="00EF72B8"/>
    <w:rsid w:val="00F00A1F"/>
    <w:rsid w:val="00F01505"/>
    <w:rsid w:val="00F01BE8"/>
    <w:rsid w:val="00F0223F"/>
    <w:rsid w:val="00F0386B"/>
    <w:rsid w:val="00F0574F"/>
    <w:rsid w:val="00F06221"/>
    <w:rsid w:val="00F065F6"/>
    <w:rsid w:val="00F0680F"/>
    <w:rsid w:val="00F0745B"/>
    <w:rsid w:val="00F1035A"/>
    <w:rsid w:val="00F113BF"/>
    <w:rsid w:val="00F119D0"/>
    <w:rsid w:val="00F120BF"/>
    <w:rsid w:val="00F122A9"/>
    <w:rsid w:val="00F13388"/>
    <w:rsid w:val="00F138F0"/>
    <w:rsid w:val="00F1533A"/>
    <w:rsid w:val="00F201A0"/>
    <w:rsid w:val="00F2138D"/>
    <w:rsid w:val="00F21583"/>
    <w:rsid w:val="00F21642"/>
    <w:rsid w:val="00F21830"/>
    <w:rsid w:val="00F21E63"/>
    <w:rsid w:val="00F22AA3"/>
    <w:rsid w:val="00F22B44"/>
    <w:rsid w:val="00F22FB1"/>
    <w:rsid w:val="00F23720"/>
    <w:rsid w:val="00F23C81"/>
    <w:rsid w:val="00F259B1"/>
    <w:rsid w:val="00F26012"/>
    <w:rsid w:val="00F26A7D"/>
    <w:rsid w:val="00F26B22"/>
    <w:rsid w:val="00F26E37"/>
    <w:rsid w:val="00F302CD"/>
    <w:rsid w:val="00F30CA0"/>
    <w:rsid w:val="00F31979"/>
    <w:rsid w:val="00F32155"/>
    <w:rsid w:val="00F323BA"/>
    <w:rsid w:val="00F37D6E"/>
    <w:rsid w:val="00F40089"/>
    <w:rsid w:val="00F4159C"/>
    <w:rsid w:val="00F41B5F"/>
    <w:rsid w:val="00F42896"/>
    <w:rsid w:val="00F435C6"/>
    <w:rsid w:val="00F449F8"/>
    <w:rsid w:val="00F45634"/>
    <w:rsid w:val="00F502F0"/>
    <w:rsid w:val="00F50900"/>
    <w:rsid w:val="00F51F7F"/>
    <w:rsid w:val="00F52E66"/>
    <w:rsid w:val="00F53DBA"/>
    <w:rsid w:val="00F55BBD"/>
    <w:rsid w:val="00F57953"/>
    <w:rsid w:val="00F60CCE"/>
    <w:rsid w:val="00F60CF2"/>
    <w:rsid w:val="00F612D0"/>
    <w:rsid w:val="00F61F5C"/>
    <w:rsid w:val="00F62D3F"/>
    <w:rsid w:val="00F62EDB"/>
    <w:rsid w:val="00F6441F"/>
    <w:rsid w:val="00F6766C"/>
    <w:rsid w:val="00F700E4"/>
    <w:rsid w:val="00F71034"/>
    <w:rsid w:val="00F7154F"/>
    <w:rsid w:val="00F71C66"/>
    <w:rsid w:val="00F71DB6"/>
    <w:rsid w:val="00F71E44"/>
    <w:rsid w:val="00F7283A"/>
    <w:rsid w:val="00F73235"/>
    <w:rsid w:val="00F73730"/>
    <w:rsid w:val="00F742E0"/>
    <w:rsid w:val="00F74A42"/>
    <w:rsid w:val="00F75E6C"/>
    <w:rsid w:val="00F77F78"/>
    <w:rsid w:val="00F80F98"/>
    <w:rsid w:val="00F81959"/>
    <w:rsid w:val="00F81E25"/>
    <w:rsid w:val="00F83815"/>
    <w:rsid w:val="00F8394D"/>
    <w:rsid w:val="00F83DF8"/>
    <w:rsid w:val="00F84014"/>
    <w:rsid w:val="00F84522"/>
    <w:rsid w:val="00F867BD"/>
    <w:rsid w:val="00F8777C"/>
    <w:rsid w:val="00F90049"/>
    <w:rsid w:val="00F90440"/>
    <w:rsid w:val="00F916BA"/>
    <w:rsid w:val="00F92E7E"/>
    <w:rsid w:val="00F93B90"/>
    <w:rsid w:val="00F93DA6"/>
    <w:rsid w:val="00F9545B"/>
    <w:rsid w:val="00F96729"/>
    <w:rsid w:val="00F96AE1"/>
    <w:rsid w:val="00F97BFF"/>
    <w:rsid w:val="00FA1A1A"/>
    <w:rsid w:val="00FA1BC3"/>
    <w:rsid w:val="00FA1DB9"/>
    <w:rsid w:val="00FA23E1"/>
    <w:rsid w:val="00FA2432"/>
    <w:rsid w:val="00FA310D"/>
    <w:rsid w:val="00FA3AFC"/>
    <w:rsid w:val="00FA3F28"/>
    <w:rsid w:val="00FA515E"/>
    <w:rsid w:val="00FA5434"/>
    <w:rsid w:val="00FA579F"/>
    <w:rsid w:val="00FA5D8E"/>
    <w:rsid w:val="00FB06B5"/>
    <w:rsid w:val="00FB083C"/>
    <w:rsid w:val="00FB0C66"/>
    <w:rsid w:val="00FB21D2"/>
    <w:rsid w:val="00FB320B"/>
    <w:rsid w:val="00FB36AD"/>
    <w:rsid w:val="00FB49A7"/>
    <w:rsid w:val="00FB4F35"/>
    <w:rsid w:val="00FB52B9"/>
    <w:rsid w:val="00FB60BB"/>
    <w:rsid w:val="00FC118C"/>
    <w:rsid w:val="00FC1520"/>
    <w:rsid w:val="00FC1960"/>
    <w:rsid w:val="00FC323E"/>
    <w:rsid w:val="00FC3524"/>
    <w:rsid w:val="00FC5DCA"/>
    <w:rsid w:val="00FC68F6"/>
    <w:rsid w:val="00FC6BC7"/>
    <w:rsid w:val="00FC79FE"/>
    <w:rsid w:val="00FC7BFC"/>
    <w:rsid w:val="00FC7EAC"/>
    <w:rsid w:val="00FD05FC"/>
    <w:rsid w:val="00FD1ABB"/>
    <w:rsid w:val="00FD1EC8"/>
    <w:rsid w:val="00FD21E9"/>
    <w:rsid w:val="00FD3742"/>
    <w:rsid w:val="00FD5C34"/>
    <w:rsid w:val="00FD5D0C"/>
    <w:rsid w:val="00FD5EDA"/>
    <w:rsid w:val="00FD6647"/>
    <w:rsid w:val="00FD6B9A"/>
    <w:rsid w:val="00FD6DA2"/>
    <w:rsid w:val="00FD6F2C"/>
    <w:rsid w:val="00FD6FC5"/>
    <w:rsid w:val="00FD7CE3"/>
    <w:rsid w:val="00FE0A40"/>
    <w:rsid w:val="00FE156B"/>
    <w:rsid w:val="00FE1D42"/>
    <w:rsid w:val="00FE23AE"/>
    <w:rsid w:val="00FE2945"/>
    <w:rsid w:val="00FE2C0D"/>
    <w:rsid w:val="00FE3072"/>
    <w:rsid w:val="00FE35FC"/>
    <w:rsid w:val="00FE3F78"/>
    <w:rsid w:val="00FE4C99"/>
    <w:rsid w:val="00FE4D07"/>
    <w:rsid w:val="00FE4E04"/>
    <w:rsid w:val="00FE5516"/>
    <w:rsid w:val="00FE656A"/>
    <w:rsid w:val="00FE65A0"/>
    <w:rsid w:val="00FE7054"/>
    <w:rsid w:val="00FE7306"/>
    <w:rsid w:val="00FE730C"/>
    <w:rsid w:val="00FE7758"/>
    <w:rsid w:val="00FE7A40"/>
    <w:rsid w:val="00FF0488"/>
    <w:rsid w:val="00FF2613"/>
    <w:rsid w:val="00FF3818"/>
    <w:rsid w:val="00FF394F"/>
    <w:rsid w:val="00FF3DC6"/>
    <w:rsid w:val="00FF5319"/>
    <w:rsid w:val="00FF5C12"/>
    <w:rsid w:val="00FF5ED6"/>
    <w:rsid w:val="00FF6403"/>
    <w:rsid w:val="00FF7062"/>
    <w:rsid w:val="00FF76C0"/>
    <w:rsid w:val="00FF797C"/>
    <w:rsid w:val="00FF7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991"/>
    <o:shapelayout v:ext="edit">
      <o:idmap v:ext="edit" data="1"/>
    </o:shapelayout>
  </w:shapeDefaults>
  <w:decimalSymbol w:val="."/>
  <w:listSeparator w:val=","/>
  <w14:docId w14:val="0579CC8A"/>
  <w15:docId w15:val="{E5C930A4-6408-4D9F-A69E-B50EF3CF2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288"/>
    <w:pPr>
      <w:spacing w:before="80" w:line="240" w:lineRule="auto"/>
    </w:pPr>
    <w:rPr>
      <w:rFonts w:ascii="Cambria" w:eastAsia="Times New Roman" w:hAnsi="Cambria" w:cs="Times New Roman"/>
      <w:szCs w:val="20"/>
    </w:rPr>
  </w:style>
  <w:style w:type="paragraph" w:styleId="Heading1">
    <w:name w:val="heading 1"/>
    <w:basedOn w:val="Normal"/>
    <w:next w:val="Normal"/>
    <w:link w:val="Heading1Char"/>
    <w:uiPriority w:val="1"/>
    <w:qFormat/>
    <w:rsid w:val="009C7698"/>
    <w:pPr>
      <w:keepNext/>
      <w:jc w:val="center"/>
      <w:outlineLvl w:val="0"/>
    </w:pPr>
    <w:rPr>
      <w:rFonts w:ascii="Calibri" w:hAnsi="Calibri"/>
      <w:b/>
      <w:bCs/>
      <w:sz w:val="56"/>
      <w:szCs w:val="24"/>
    </w:rPr>
  </w:style>
  <w:style w:type="paragraph" w:styleId="Heading2">
    <w:name w:val="heading 2"/>
    <w:basedOn w:val="Normal"/>
    <w:next w:val="Normal"/>
    <w:link w:val="Heading2Char"/>
    <w:uiPriority w:val="3"/>
    <w:qFormat/>
    <w:rsid w:val="006274B1"/>
    <w:pPr>
      <w:widowControl w:val="0"/>
      <w:spacing w:before="360"/>
      <w:jc w:val="center"/>
      <w:outlineLvl w:val="1"/>
    </w:pPr>
    <w:rPr>
      <w:rFonts w:ascii="Times New Roman" w:hAnsi="Times New Roman"/>
      <w:b/>
      <w:bCs/>
      <w:szCs w:val="24"/>
    </w:rPr>
  </w:style>
  <w:style w:type="paragraph" w:styleId="Heading3">
    <w:name w:val="heading 3"/>
    <w:basedOn w:val="Normal"/>
    <w:next w:val="Normal"/>
    <w:link w:val="Heading3Char"/>
    <w:uiPriority w:val="4"/>
    <w:qFormat/>
    <w:rsid w:val="009C7698"/>
    <w:pPr>
      <w:keepNext/>
      <w:spacing w:before="120" w:after="120"/>
      <w:outlineLvl w:val="2"/>
    </w:pPr>
    <w:rPr>
      <w:rFonts w:ascii="Calibri" w:hAnsi="Calibri"/>
      <w:b/>
      <w:sz w:val="44"/>
      <w:szCs w:val="24"/>
    </w:rPr>
  </w:style>
  <w:style w:type="paragraph" w:styleId="Heading4">
    <w:name w:val="heading 4"/>
    <w:basedOn w:val="Normal"/>
    <w:next w:val="Normal"/>
    <w:link w:val="Heading4Char"/>
    <w:uiPriority w:val="5"/>
    <w:unhideWhenUsed/>
    <w:qFormat/>
    <w:rsid w:val="00DD1288"/>
    <w:pPr>
      <w:keepNext/>
      <w:keepLines/>
      <w:spacing w:after="0"/>
      <w:outlineLvl w:val="3"/>
    </w:pPr>
    <w:rPr>
      <w:rFonts w:ascii="Calibri" w:eastAsiaTheme="majorEastAsia" w:hAnsi="Calibri" w:cstheme="majorBidi"/>
      <w:bCs/>
      <w:iCs/>
      <w:sz w:val="40"/>
    </w:rPr>
  </w:style>
  <w:style w:type="paragraph" w:styleId="Heading5">
    <w:name w:val="heading 5"/>
    <w:basedOn w:val="Normal"/>
    <w:next w:val="Normal"/>
    <w:link w:val="Heading5Char"/>
    <w:uiPriority w:val="9"/>
    <w:unhideWhenUsed/>
    <w:qFormat/>
    <w:rsid w:val="00F122A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B21A7B"/>
    <w:pPr>
      <w:tabs>
        <w:tab w:val="center" w:pos="4153"/>
        <w:tab w:val="right" w:pos="8306"/>
      </w:tabs>
    </w:pPr>
  </w:style>
  <w:style w:type="character" w:customStyle="1" w:styleId="HeaderChar">
    <w:name w:val="Header Char"/>
    <w:basedOn w:val="DefaultParagraphFont"/>
    <w:link w:val="Header"/>
    <w:semiHidden/>
    <w:rsid w:val="00B21A7B"/>
    <w:rPr>
      <w:rFonts w:ascii="Palatino" w:eastAsia="Times New Roman" w:hAnsi="Palatino" w:cs="Times New Roman"/>
      <w:sz w:val="24"/>
      <w:szCs w:val="20"/>
    </w:rPr>
  </w:style>
  <w:style w:type="paragraph" w:styleId="BodyText">
    <w:name w:val="Body Text"/>
    <w:basedOn w:val="Normal"/>
    <w:link w:val="BodyTextChar"/>
    <w:semiHidden/>
    <w:rsid w:val="00B21A7B"/>
    <w:rPr>
      <w:rFonts w:ascii="Times New Roman" w:hAnsi="Times New Roman"/>
      <w:b/>
      <w:bCs/>
      <w:sz w:val="20"/>
    </w:rPr>
  </w:style>
  <w:style w:type="character" w:customStyle="1" w:styleId="BodyTextChar">
    <w:name w:val="Body Text Char"/>
    <w:basedOn w:val="DefaultParagraphFont"/>
    <w:link w:val="BodyText"/>
    <w:semiHidden/>
    <w:rsid w:val="00B21A7B"/>
    <w:rPr>
      <w:rFonts w:ascii="Times New Roman" w:eastAsia="Times New Roman" w:hAnsi="Times New Roman" w:cs="Times New Roman"/>
      <w:b/>
      <w:bCs/>
      <w:sz w:val="20"/>
      <w:szCs w:val="20"/>
    </w:rPr>
  </w:style>
  <w:style w:type="paragraph" w:styleId="NormalWeb">
    <w:name w:val="Normal (Web)"/>
    <w:basedOn w:val="Normal"/>
    <w:unhideWhenUsed/>
    <w:rsid w:val="000C4118"/>
    <w:pPr>
      <w:spacing w:before="100" w:beforeAutospacing="1" w:after="100" w:afterAutospacing="1"/>
    </w:pPr>
    <w:rPr>
      <w:rFonts w:ascii="Times New Roman" w:hAnsi="Times New Roman"/>
      <w:szCs w:val="24"/>
      <w:lang w:eastAsia="en-AU"/>
    </w:rPr>
  </w:style>
  <w:style w:type="paragraph" w:styleId="FootnoteText">
    <w:name w:val="footnote text"/>
    <w:basedOn w:val="Normal"/>
    <w:link w:val="FootnoteTextChar"/>
    <w:unhideWhenUsed/>
    <w:qFormat/>
    <w:rsid w:val="00C004EC"/>
    <w:rPr>
      <w:sz w:val="20"/>
    </w:rPr>
  </w:style>
  <w:style w:type="character" w:customStyle="1" w:styleId="FootnoteTextChar">
    <w:name w:val="Footnote Text Char"/>
    <w:basedOn w:val="DefaultParagraphFont"/>
    <w:link w:val="FootnoteText"/>
    <w:rsid w:val="00C004EC"/>
    <w:rPr>
      <w:rFonts w:ascii="Palatino" w:eastAsia="Times New Roman" w:hAnsi="Palatino" w:cs="Times New Roman"/>
      <w:sz w:val="20"/>
      <w:szCs w:val="20"/>
    </w:rPr>
  </w:style>
  <w:style w:type="character" w:styleId="FootnoteReference">
    <w:name w:val="footnote reference"/>
    <w:basedOn w:val="DefaultParagraphFont"/>
    <w:uiPriority w:val="99"/>
    <w:unhideWhenUsed/>
    <w:qFormat/>
    <w:rsid w:val="00C004EC"/>
    <w:rPr>
      <w:vertAlign w:val="superscript"/>
    </w:rPr>
  </w:style>
  <w:style w:type="paragraph" w:styleId="BodyText2">
    <w:name w:val="Body Text 2"/>
    <w:basedOn w:val="Normal"/>
    <w:link w:val="BodyText2Char"/>
    <w:uiPriority w:val="99"/>
    <w:unhideWhenUsed/>
    <w:rsid w:val="00503114"/>
    <w:pPr>
      <w:spacing w:after="120" w:line="480" w:lineRule="auto"/>
    </w:pPr>
  </w:style>
  <w:style w:type="character" w:customStyle="1" w:styleId="BodyText2Char">
    <w:name w:val="Body Text 2 Char"/>
    <w:basedOn w:val="DefaultParagraphFont"/>
    <w:link w:val="BodyText2"/>
    <w:uiPriority w:val="99"/>
    <w:rsid w:val="00503114"/>
    <w:rPr>
      <w:rFonts w:ascii="Palatino" w:eastAsia="Times New Roman" w:hAnsi="Palatino" w:cs="Times New Roman"/>
      <w:sz w:val="24"/>
      <w:szCs w:val="20"/>
    </w:rPr>
  </w:style>
  <w:style w:type="paragraph" w:styleId="BodyText3">
    <w:name w:val="Body Text 3"/>
    <w:basedOn w:val="Normal"/>
    <w:link w:val="BodyText3Char"/>
    <w:uiPriority w:val="99"/>
    <w:semiHidden/>
    <w:unhideWhenUsed/>
    <w:rsid w:val="00503114"/>
    <w:pPr>
      <w:spacing w:after="120"/>
    </w:pPr>
    <w:rPr>
      <w:sz w:val="16"/>
      <w:szCs w:val="16"/>
    </w:rPr>
  </w:style>
  <w:style w:type="character" w:customStyle="1" w:styleId="BodyText3Char">
    <w:name w:val="Body Text 3 Char"/>
    <w:basedOn w:val="DefaultParagraphFont"/>
    <w:link w:val="BodyText3"/>
    <w:uiPriority w:val="99"/>
    <w:semiHidden/>
    <w:rsid w:val="00503114"/>
    <w:rPr>
      <w:rFonts w:ascii="Palatino" w:eastAsia="Times New Roman" w:hAnsi="Palatino" w:cs="Times New Roman"/>
      <w:sz w:val="16"/>
      <w:szCs w:val="16"/>
    </w:rPr>
  </w:style>
  <w:style w:type="character" w:customStyle="1" w:styleId="Heading1Char">
    <w:name w:val="Heading 1 Char"/>
    <w:basedOn w:val="DefaultParagraphFont"/>
    <w:link w:val="Heading1"/>
    <w:uiPriority w:val="1"/>
    <w:rsid w:val="009C7698"/>
    <w:rPr>
      <w:rFonts w:ascii="Calibri" w:eastAsia="Times New Roman" w:hAnsi="Calibri" w:cs="Times New Roman"/>
      <w:b/>
      <w:bCs/>
      <w:sz w:val="56"/>
      <w:szCs w:val="24"/>
    </w:rPr>
  </w:style>
  <w:style w:type="character" w:customStyle="1" w:styleId="Heading2Char">
    <w:name w:val="Heading 2 Char"/>
    <w:basedOn w:val="DefaultParagraphFont"/>
    <w:link w:val="Heading2"/>
    <w:uiPriority w:val="3"/>
    <w:rsid w:val="006274B1"/>
    <w:rPr>
      <w:rFonts w:ascii="Times New Roman" w:eastAsia="Times New Roman" w:hAnsi="Times New Roman" w:cs="Times New Roman"/>
      <w:b/>
      <w:bCs/>
      <w:szCs w:val="24"/>
    </w:rPr>
  </w:style>
  <w:style w:type="character" w:customStyle="1" w:styleId="Heading3Char">
    <w:name w:val="Heading 3 Char"/>
    <w:basedOn w:val="DefaultParagraphFont"/>
    <w:link w:val="Heading3"/>
    <w:uiPriority w:val="4"/>
    <w:rsid w:val="009C7698"/>
    <w:rPr>
      <w:rFonts w:ascii="Calibri" w:eastAsia="Times New Roman" w:hAnsi="Calibri" w:cs="Times New Roman"/>
      <w:b/>
      <w:sz w:val="44"/>
      <w:szCs w:val="24"/>
    </w:rPr>
  </w:style>
  <w:style w:type="character" w:styleId="Hyperlink">
    <w:name w:val="Hyperlink"/>
    <w:basedOn w:val="DefaultParagraphFont"/>
    <w:uiPriority w:val="99"/>
    <w:unhideWhenUsed/>
    <w:qFormat/>
    <w:rsid w:val="00D86B8D"/>
    <w:rPr>
      <w:color w:val="0000FF" w:themeColor="hyperlink"/>
      <w:u w:val="single"/>
    </w:rPr>
  </w:style>
  <w:style w:type="paragraph" w:customStyle="1" w:styleId="dot-dash">
    <w:name w:val="dot-dash"/>
    <w:basedOn w:val="Normal"/>
    <w:rsid w:val="0043494B"/>
    <w:pPr>
      <w:spacing w:before="240"/>
      <w:ind w:left="560" w:right="-1" w:hanging="540"/>
      <w:jc w:val="both"/>
    </w:pPr>
    <w:rPr>
      <w:rFonts w:ascii="Times" w:hAnsi="Times"/>
      <w:lang w:val="en-US" w:eastAsia="en-AU"/>
    </w:rPr>
  </w:style>
  <w:style w:type="paragraph" w:customStyle="1" w:styleId="Dot">
    <w:name w:val="Dot"/>
    <w:aliases w:val="."/>
    <w:basedOn w:val="Normal"/>
    <w:rsid w:val="0043494B"/>
    <w:pPr>
      <w:widowControl w:val="0"/>
      <w:spacing w:before="200"/>
      <w:ind w:left="709" w:hanging="709"/>
    </w:pPr>
    <w:rPr>
      <w:rFonts w:ascii="Times" w:hAnsi="Times"/>
      <w:lang w:eastAsia="en-AU"/>
    </w:rPr>
  </w:style>
  <w:style w:type="paragraph" w:customStyle="1" w:styleId="Dash">
    <w:name w:val="Dash"/>
    <w:aliases w:val="-"/>
    <w:basedOn w:val="Dot"/>
    <w:rsid w:val="0043494B"/>
    <w:pPr>
      <w:ind w:left="1418"/>
    </w:pPr>
  </w:style>
  <w:style w:type="paragraph" w:customStyle="1" w:styleId="Doubledot">
    <w:name w:val="Double dot"/>
    <w:aliases w:val=".."/>
    <w:basedOn w:val="Dash"/>
    <w:rsid w:val="0043494B"/>
    <w:pPr>
      <w:ind w:left="2127"/>
    </w:pPr>
  </w:style>
  <w:style w:type="table" w:styleId="TableGrid">
    <w:name w:val="Table Grid"/>
    <w:basedOn w:val="TableNormal"/>
    <w:uiPriority w:val="59"/>
    <w:rsid w:val="00FE7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7054"/>
    <w:pPr>
      <w:ind w:left="720"/>
      <w:contextualSpacing/>
    </w:pPr>
  </w:style>
  <w:style w:type="paragraph" w:styleId="TOC2">
    <w:name w:val="toc 2"/>
    <w:basedOn w:val="Normal"/>
    <w:next w:val="Normal"/>
    <w:autoRedefine/>
    <w:uiPriority w:val="39"/>
    <w:unhideWhenUsed/>
    <w:qFormat/>
    <w:rsid w:val="00797EE4"/>
    <w:pPr>
      <w:tabs>
        <w:tab w:val="right" w:pos="709"/>
        <w:tab w:val="right" w:pos="9072"/>
      </w:tabs>
      <w:spacing w:after="100" w:line="240" w:lineRule="atLeast"/>
      <w:ind w:left="426" w:hanging="426"/>
    </w:pPr>
    <w:rPr>
      <w:rFonts w:asciiTheme="majorHAnsi" w:eastAsia="Calibri" w:hAnsiTheme="majorHAnsi"/>
      <w:noProof/>
      <w:color w:val="000000" w:themeColor="text1"/>
      <w:szCs w:val="24"/>
      <w:lang w:eastAsia="ja-JP"/>
    </w:rPr>
  </w:style>
  <w:style w:type="character" w:styleId="FollowedHyperlink">
    <w:name w:val="FollowedHyperlink"/>
    <w:basedOn w:val="DefaultParagraphFont"/>
    <w:uiPriority w:val="99"/>
    <w:semiHidden/>
    <w:unhideWhenUsed/>
    <w:rsid w:val="0017519B"/>
    <w:rPr>
      <w:color w:val="800080" w:themeColor="followedHyperlink"/>
      <w:u w:val="single"/>
    </w:rPr>
  </w:style>
  <w:style w:type="character" w:customStyle="1" w:styleId="A9">
    <w:name w:val="A9"/>
    <w:uiPriority w:val="99"/>
    <w:rsid w:val="002D3F12"/>
    <w:rPr>
      <w:color w:val="000000"/>
      <w:sz w:val="18"/>
      <w:szCs w:val="18"/>
    </w:rPr>
  </w:style>
  <w:style w:type="character" w:styleId="CommentReference">
    <w:name w:val="annotation reference"/>
    <w:basedOn w:val="DefaultParagraphFont"/>
    <w:uiPriority w:val="99"/>
    <w:semiHidden/>
    <w:unhideWhenUsed/>
    <w:rsid w:val="00B4718E"/>
    <w:rPr>
      <w:sz w:val="16"/>
      <w:szCs w:val="16"/>
    </w:rPr>
  </w:style>
  <w:style w:type="paragraph" w:styleId="CommentText">
    <w:name w:val="annotation text"/>
    <w:basedOn w:val="Normal"/>
    <w:link w:val="CommentTextChar"/>
    <w:uiPriority w:val="99"/>
    <w:unhideWhenUsed/>
    <w:rsid w:val="00B4718E"/>
    <w:rPr>
      <w:sz w:val="20"/>
    </w:rPr>
  </w:style>
  <w:style w:type="character" w:customStyle="1" w:styleId="CommentTextChar">
    <w:name w:val="Comment Text Char"/>
    <w:basedOn w:val="DefaultParagraphFont"/>
    <w:link w:val="CommentText"/>
    <w:uiPriority w:val="99"/>
    <w:rsid w:val="00B4718E"/>
    <w:rPr>
      <w:rFonts w:ascii="Palatino" w:eastAsia="Times New Roman" w:hAnsi="Palatino" w:cs="Times New Roman"/>
      <w:sz w:val="20"/>
      <w:szCs w:val="20"/>
    </w:rPr>
  </w:style>
  <w:style w:type="paragraph" w:styleId="CommentSubject">
    <w:name w:val="annotation subject"/>
    <w:basedOn w:val="CommentText"/>
    <w:next w:val="CommentText"/>
    <w:link w:val="CommentSubjectChar"/>
    <w:uiPriority w:val="99"/>
    <w:semiHidden/>
    <w:unhideWhenUsed/>
    <w:rsid w:val="00B4718E"/>
    <w:rPr>
      <w:b/>
      <w:bCs/>
    </w:rPr>
  </w:style>
  <w:style w:type="character" w:customStyle="1" w:styleId="CommentSubjectChar">
    <w:name w:val="Comment Subject Char"/>
    <w:basedOn w:val="CommentTextChar"/>
    <w:link w:val="CommentSubject"/>
    <w:uiPriority w:val="99"/>
    <w:semiHidden/>
    <w:rsid w:val="00B4718E"/>
    <w:rPr>
      <w:rFonts w:ascii="Palatino" w:eastAsia="Times New Roman" w:hAnsi="Palatino" w:cs="Times New Roman"/>
      <w:b/>
      <w:bCs/>
      <w:sz w:val="20"/>
      <w:szCs w:val="20"/>
    </w:rPr>
  </w:style>
  <w:style w:type="paragraph" w:styleId="BalloonText">
    <w:name w:val="Balloon Text"/>
    <w:basedOn w:val="Normal"/>
    <w:link w:val="BalloonTextChar"/>
    <w:uiPriority w:val="99"/>
    <w:semiHidden/>
    <w:unhideWhenUsed/>
    <w:rsid w:val="00B4718E"/>
    <w:rPr>
      <w:rFonts w:ascii="Tahoma" w:hAnsi="Tahoma" w:cs="Tahoma"/>
      <w:sz w:val="16"/>
      <w:szCs w:val="16"/>
    </w:rPr>
  </w:style>
  <w:style w:type="character" w:customStyle="1" w:styleId="BalloonTextChar">
    <w:name w:val="Balloon Text Char"/>
    <w:basedOn w:val="DefaultParagraphFont"/>
    <w:link w:val="BalloonText"/>
    <w:uiPriority w:val="99"/>
    <w:semiHidden/>
    <w:rsid w:val="00B4718E"/>
    <w:rPr>
      <w:rFonts w:ascii="Tahoma" w:eastAsia="Times New Roman" w:hAnsi="Tahoma" w:cs="Tahoma"/>
      <w:sz w:val="16"/>
      <w:szCs w:val="16"/>
    </w:rPr>
  </w:style>
  <w:style w:type="paragraph" w:customStyle="1" w:styleId="Notesourcetext">
    <w:name w:val="Note/source text"/>
    <w:next w:val="Normal"/>
    <w:link w:val="NotesourcetextChar"/>
    <w:autoRedefine/>
    <w:uiPriority w:val="25"/>
    <w:qFormat/>
    <w:rsid w:val="00F23C81"/>
    <w:pPr>
      <w:keepLines/>
      <w:spacing w:after="240" w:line="240" w:lineRule="auto"/>
      <w:contextualSpacing/>
    </w:pPr>
    <w:rPr>
      <w:rFonts w:ascii="Calibri" w:eastAsia="Calibri" w:hAnsi="Calibri" w:cs="Times New Roman"/>
      <w:color w:val="000000" w:themeColor="text1"/>
      <w:sz w:val="18"/>
    </w:rPr>
  </w:style>
  <w:style w:type="paragraph" w:styleId="Caption">
    <w:name w:val="caption"/>
    <w:aliases w:val="Figure text or caption"/>
    <w:basedOn w:val="Normal"/>
    <w:next w:val="Normal"/>
    <w:autoRedefine/>
    <w:unhideWhenUsed/>
    <w:qFormat/>
    <w:rsid w:val="004C0DDC"/>
    <w:pPr>
      <w:keepNext/>
      <w:spacing w:before="0" w:after="0"/>
      <w:ind w:hanging="426"/>
    </w:pPr>
    <w:rPr>
      <w:rFonts w:asciiTheme="minorHAnsi" w:eastAsia="Calibri" w:hAnsiTheme="minorHAnsi"/>
      <w:b/>
      <w:bCs/>
      <w:spacing w:val="-1"/>
      <w:sz w:val="20"/>
      <w:szCs w:val="18"/>
    </w:rPr>
  </w:style>
  <w:style w:type="character" w:styleId="Emphasis">
    <w:name w:val="Emphasis"/>
    <w:aliases w:val="Italics"/>
    <w:basedOn w:val="DefaultParagraphFont"/>
    <w:uiPriority w:val="20"/>
    <w:qFormat/>
    <w:rsid w:val="00F23C81"/>
    <w:rPr>
      <w:i/>
      <w:iCs/>
    </w:rPr>
  </w:style>
  <w:style w:type="character" w:customStyle="1" w:styleId="NotesourcetextChar">
    <w:name w:val="Note/source text Char"/>
    <w:basedOn w:val="DefaultParagraphFont"/>
    <w:link w:val="Notesourcetext"/>
    <w:uiPriority w:val="25"/>
    <w:rsid w:val="00F23C81"/>
    <w:rPr>
      <w:rFonts w:ascii="Calibri" w:eastAsia="Calibri" w:hAnsi="Calibri" w:cs="Times New Roman"/>
      <w:color w:val="000000" w:themeColor="text1"/>
      <w:sz w:val="18"/>
    </w:rPr>
  </w:style>
  <w:style w:type="character" w:customStyle="1" w:styleId="Heading4Char">
    <w:name w:val="Heading 4 Char"/>
    <w:basedOn w:val="DefaultParagraphFont"/>
    <w:link w:val="Heading4"/>
    <w:uiPriority w:val="5"/>
    <w:rsid w:val="00DD1288"/>
    <w:rPr>
      <w:rFonts w:ascii="Calibri" w:eastAsiaTheme="majorEastAsia" w:hAnsi="Calibri" w:cstheme="majorBidi"/>
      <w:bCs/>
      <w:iCs/>
      <w:sz w:val="40"/>
      <w:szCs w:val="20"/>
    </w:rPr>
  </w:style>
  <w:style w:type="paragraph" w:styleId="TOCHeading">
    <w:name w:val="TOC Heading"/>
    <w:basedOn w:val="Heading1"/>
    <w:next w:val="Normal"/>
    <w:uiPriority w:val="39"/>
    <w:unhideWhenUsed/>
    <w:qFormat/>
    <w:rsid w:val="00F71034"/>
    <w:pPr>
      <w:keepLines/>
      <w:spacing w:before="480" w:line="276" w:lineRule="auto"/>
      <w:jc w:val="left"/>
      <w:outlineLvl w:val="9"/>
    </w:pPr>
    <w:rPr>
      <w:rFonts w:asciiTheme="majorHAnsi" w:eastAsiaTheme="majorEastAsia" w:hAnsiTheme="majorHAnsi" w:cstheme="majorBidi"/>
      <w:color w:val="365F91" w:themeColor="accent1" w:themeShade="BF"/>
      <w:szCs w:val="28"/>
      <w:lang w:val="en-US"/>
    </w:rPr>
  </w:style>
  <w:style w:type="paragraph" w:styleId="TOC1">
    <w:name w:val="toc 1"/>
    <w:basedOn w:val="Normal"/>
    <w:next w:val="Normal"/>
    <w:autoRedefine/>
    <w:uiPriority w:val="39"/>
    <w:unhideWhenUsed/>
    <w:qFormat/>
    <w:rsid w:val="001924E5"/>
    <w:pPr>
      <w:tabs>
        <w:tab w:val="right" w:leader="dot" w:pos="9016"/>
      </w:tabs>
      <w:spacing w:after="100"/>
    </w:pPr>
  </w:style>
  <w:style w:type="paragraph" w:styleId="TOC3">
    <w:name w:val="toc 3"/>
    <w:basedOn w:val="Normal"/>
    <w:next w:val="Normal"/>
    <w:autoRedefine/>
    <w:uiPriority w:val="39"/>
    <w:unhideWhenUsed/>
    <w:rsid w:val="00797EE4"/>
    <w:pPr>
      <w:tabs>
        <w:tab w:val="left" w:pos="1134"/>
        <w:tab w:val="right" w:leader="dot" w:pos="9016"/>
      </w:tabs>
      <w:spacing w:after="100"/>
      <w:ind w:left="480"/>
    </w:pPr>
  </w:style>
  <w:style w:type="paragraph" w:styleId="Revision">
    <w:name w:val="Revision"/>
    <w:hidden/>
    <w:uiPriority w:val="99"/>
    <w:semiHidden/>
    <w:rsid w:val="00707BA4"/>
    <w:pPr>
      <w:spacing w:after="0" w:line="240" w:lineRule="auto"/>
    </w:pPr>
    <w:rPr>
      <w:rFonts w:ascii="Palatino" w:eastAsia="Times New Roman" w:hAnsi="Palatino" w:cs="Times New Roman"/>
      <w:sz w:val="24"/>
      <w:szCs w:val="20"/>
    </w:rPr>
  </w:style>
  <w:style w:type="paragraph" w:customStyle="1" w:styleId="paragraph">
    <w:name w:val="paragraph"/>
    <w:aliases w:val="a"/>
    <w:basedOn w:val="Normal"/>
    <w:link w:val="paragraphChar"/>
    <w:rsid w:val="00914529"/>
    <w:pPr>
      <w:tabs>
        <w:tab w:val="right" w:pos="1531"/>
      </w:tabs>
      <w:spacing w:before="40"/>
      <w:ind w:left="1644" w:hanging="1644"/>
    </w:pPr>
    <w:rPr>
      <w:rFonts w:ascii="Times New Roman" w:hAnsi="Times New Roman"/>
      <w:lang w:eastAsia="en-AU"/>
    </w:rPr>
  </w:style>
  <w:style w:type="paragraph" w:customStyle="1" w:styleId="paragraphsub">
    <w:name w:val="paragraph(sub)"/>
    <w:aliases w:val="aa"/>
    <w:basedOn w:val="Normal"/>
    <w:rsid w:val="00914529"/>
    <w:pPr>
      <w:tabs>
        <w:tab w:val="right" w:pos="1985"/>
      </w:tabs>
      <w:spacing w:before="40"/>
      <w:ind w:left="2098" w:hanging="2098"/>
    </w:pPr>
    <w:rPr>
      <w:rFonts w:ascii="Times New Roman" w:hAnsi="Times New Roman"/>
      <w:lang w:eastAsia="en-AU"/>
    </w:rPr>
  </w:style>
  <w:style w:type="paragraph" w:customStyle="1" w:styleId="Definition">
    <w:name w:val="Definition"/>
    <w:aliases w:val="dd"/>
    <w:basedOn w:val="Normal"/>
    <w:rsid w:val="00914529"/>
    <w:pPr>
      <w:spacing w:before="180"/>
      <w:ind w:left="1134"/>
    </w:pPr>
    <w:rPr>
      <w:rFonts w:ascii="Times New Roman" w:hAnsi="Times New Roman"/>
      <w:lang w:eastAsia="en-AU"/>
    </w:rPr>
  </w:style>
  <w:style w:type="character" w:customStyle="1" w:styleId="Italic">
    <w:name w:val="Italic"/>
    <w:uiPriority w:val="19"/>
    <w:qFormat/>
    <w:rsid w:val="006A2F17"/>
    <w:rPr>
      <w:i/>
      <w:color w:val="auto"/>
    </w:rPr>
  </w:style>
  <w:style w:type="paragraph" w:customStyle="1" w:styleId="BodyText1">
    <w:name w:val="Body Text1"/>
    <w:uiPriority w:val="9"/>
    <w:qFormat/>
    <w:rsid w:val="00953419"/>
    <w:pPr>
      <w:spacing w:line="280" w:lineRule="atLeast"/>
    </w:pPr>
    <w:rPr>
      <w:rFonts w:ascii="Cambria" w:eastAsia="Calibri" w:hAnsi="Cambria" w:cs="Times New Roman"/>
      <w:color w:val="000000" w:themeColor="text1"/>
    </w:rPr>
  </w:style>
  <w:style w:type="character" w:styleId="HTMLCite">
    <w:name w:val="HTML Cite"/>
    <w:basedOn w:val="DefaultParagraphFont"/>
    <w:uiPriority w:val="99"/>
    <w:semiHidden/>
    <w:unhideWhenUsed/>
    <w:rsid w:val="007C0B8F"/>
    <w:rPr>
      <w:i/>
      <w:iCs/>
    </w:rPr>
  </w:style>
  <w:style w:type="paragraph" w:styleId="Footer">
    <w:name w:val="footer"/>
    <w:basedOn w:val="Normal"/>
    <w:link w:val="FooterChar"/>
    <w:uiPriority w:val="99"/>
    <w:unhideWhenUsed/>
    <w:rsid w:val="007D70DE"/>
    <w:pPr>
      <w:tabs>
        <w:tab w:val="center" w:pos="4513"/>
        <w:tab w:val="right" w:pos="9026"/>
      </w:tabs>
    </w:pPr>
  </w:style>
  <w:style w:type="character" w:customStyle="1" w:styleId="FooterChar">
    <w:name w:val="Footer Char"/>
    <w:basedOn w:val="DefaultParagraphFont"/>
    <w:link w:val="Footer"/>
    <w:uiPriority w:val="99"/>
    <w:rsid w:val="007D70DE"/>
    <w:rPr>
      <w:rFonts w:ascii="Palatino" w:eastAsia="Times New Roman" w:hAnsi="Palatino" w:cs="Times New Roman"/>
      <w:sz w:val="24"/>
      <w:szCs w:val="20"/>
    </w:rPr>
  </w:style>
  <w:style w:type="paragraph" w:customStyle="1" w:styleId="Default">
    <w:name w:val="Default"/>
    <w:rsid w:val="001B36C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Text">
    <w:name w:val="Table Text"/>
    <w:basedOn w:val="Normal"/>
    <w:rsid w:val="002809C0"/>
    <w:pPr>
      <w:spacing w:after="80"/>
    </w:pPr>
    <w:rPr>
      <w:rFonts w:ascii="Verdana" w:hAnsi="Verdana"/>
      <w:sz w:val="20"/>
      <w:szCs w:val="24"/>
      <w:lang w:eastAsia="en-AU"/>
    </w:rPr>
  </w:style>
  <w:style w:type="paragraph" w:styleId="ListNumber">
    <w:name w:val="List Number"/>
    <w:basedOn w:val="Normal"/>
    <w:rsid w:val="002809C0"/>
    <w:pPr>
      <w:numPr>
        <w:numId w:val="1"/>
      </w:numPr>
      <w:spacing w:before="240"/>
    </w:pPr>
    <w:rPr>
      <w:rFonts w:ascii="Verdana" w:hAnsi="Verdana"/>
      <w:sz w:val="20"/>
      <w:szCs w:val="24"/>
      <w:lang w:eastAsia="en-AU"/>
    </w:rPr>
  </w:style>
  <w:style w:type="character" w:customStyle="1" w:styleId="artjournal">
    <w:name w:val="art_journal"/>
    <w:basedOn w:val="DefaultParagraphFont"/>
    <w:rsid w:val="005537BD"/>
  </w:style>
  <w:style w:type="paragraph" w:customStyle="1" w:styleId="subsection">
    <w:name w:val="subsection"/>
    <w:aliases w:val="ss"/>
    <w:basedOn w:val="Normal"/>
    <w:link w:val="subsectionChar"/>
    <w:rsid w:val="00A057AB"/>
    <w:pPr>
      <w:tabs>
        <w:tab w:val="right" w:pos="1021"/>
      </w:tabs>
      <w:spacing w:before="180"/>
      <w:ind w:left="1134" w:hanging="1134"/>
    </w:pPr>
    <w:rPr>
      <w:rFonts w:ascii="Times New Roman" w:hAnsi="Times New Roman"/>
      <w:lang w:eastAsia="en-AU"/>
    </w:rPr>
  </w:style>
  <w:style w:type="character" w:customStyle="1" w:styleId="subsectionChar">
    <w:name w:val="subsection Char"/>
    <w:aliases w:val="ss Char"/>
    <w:basedOn w:val="DefaultParagraphFont"/>
    <w:link w:val="subsection"/>
    <w:rsid w:val="00A057AB"/>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rsid w:val="00A057AB"/>
    <w:rPr>
      <w:rFonts w:ascii="Times New Roman" w:eastAsia="Times New Roman" w:hAnsi="Times New Roman" w:cs="Times New Roman"/>
      <w:szCs w:val="20"/>
      <w:lang w:eastAsia="en-AU"/>
    </w:rPr>
  </w:style>
  <w:style w:type="paragraph" w:styleId="NoSpacing">
    <w:name w:val="No Spacing"/>
    <w:uiPriority w:val="1"/>
    <w:qFormat/>
    <w:rsid w:val="009C7698"/>
    <w:pPr>
      <w:spacing w:after="0" w:line="240" w:lineRule="auto"/>
    </w:pPr>
    <w:rPr>
      <w:rFonts w:ascii="Cambria" w:eastAsia="Times New Roman" w:hAnsi="Cambria" w:cs="Times New Roman"/>
      <w:szCs w:val="20"/>
    </w:rPr>
  </w:style>
  <w:style w:type="paragraph" w:customStyle="1" w:styleId="Organisation">
    <w:name w:val="Organisation"/>
    <w:basedOn w:val="Normal"/>
    <w:next w:val="Normal"/>
    <w:uiPriority w:val="25"/>
    <w:qFormat/>
    <w:rsid w:val="008C5370"/>
    <w:pPr>
      <w:spacing w:after="120" w:line="276" w:lineRule="auto"/>
    </w:pPr>
    <w:rPr>
      <w:rFonts w:asciiTheme="minorHAnsi" w:eastAsiaTheme="minorHAnsi" w:hAnsiTheme="minorHAnsi" w:cstheme="minorBidi"/>
      <w:szCs w:val="22"/>
    </w:rPr>
  </w:style>
  <w:style w:type="paragraph" w:styleId="Date">
    <w:name w:val="Date"/>
    <w:basedOn w:val="Normal"/>
    <w:next w:val="Normal"/>
    <w:link w:val="DateChar"/>
    <w:uiPriority w:val="99"/>
    <w:unhideWhenUsed/>
    <w:rsid w:val="008C5370"/>
    <w:pPr>
      <w:spacing w:line="276" w:lineRule="auto"/>
    </w:pPr>
    <w:rPr>
      <w:rFonts w:eastAsiaTheme="minorHAnsi" w:cstheme="minorBidi"/>
      <w:szCs w:val="22"/>
    </w:rPr>
  </w:style>
  <w:style w:type="character" w:customStyle="1" w:styleId="DateChar">
    <w:name w:val="Date Char"/>
    <w:basedOn w:val="DefaultParagraphFont"/>
    <w:link w:val="Date"/>
    <w:uiPriority w:val="99"/>
    <w:rsid w:val="008C5370"/>
    <w:rPr>
      <w:rFonts w:ascii="Cambria" w:hAnsi="Cambria"/>
    </w:rPr>
  </w:style>
  <w:style w:type="character" w:styleId="SubtleReference">
    <w:name w:val="Subtle Reference"/>
    <w:uiPriority w:val="31"/>
    <w:qFormat/>
    <w:rsid w:val="008C5370"/>
    <w:rPr>
      <w:sz w:val="24"/>
      <w:szCs w:val="24"/>
    </w:rPr>
  </w:style>
  <w:style w:type="paragraph" w:customStyle="1" w:styleId="Publicationseries">
    <w:name w:val="Publication series"/>
    <w:basedOn w:val="Normal"/>
    <w:qFormat/>
    <w:rsid w:val="008C5370"/>
    <w:pPr>
      <w:spacing w:line="276" w:lineRule="auto"/>
    </w:pPr>
    <w:rPr>
      <w:rFonts w:eastAsiaTheme="minorHAnsi" w:cstheme="minorBidi"/>
      <w:szCs w:val="22"/>
    </w:rPr>
  </w:style>
  <w:style w:type="paragraph" w:customStyle="1" w:styleId="Author">
    <w:name w:val="Author"/>
    <w:basedOn w:val="Normal"/>
    <w:next w:val="Normal"/>
    <w:uiPriority w:val="24"/>
    <w:qFormat/>
    <w:rsid w:val="00931986"/>
    <w:pPr>
      <w:spacing w:after="60" w:line="276" w:lineRule="auto"/>
    </w:pPr>
    <w:rPr>
      <w:rFonts w:eastAsiaTheme="minorHAnsi" w:cstheme="minorBidi"/>
      <w:b/>
      <w:sz w:val="28"/>
      <w:szCs w:val="28"/>
    </w:rPr>
  </w:style>
  <w:style w:type="character" w:styleId="Strong">
    <w:name w:val="Strong"/>
    <w:basedOn w:val="DefaultParagraphFont"/>
    <w:uiPriority w:val="99"/>
    <w:qFormat/>
    <w:rsid w:val="00931986"/>
    <w:rPr>
      <w:b/>
      <w:bCs/>
    </w:rPr>
  </w:style>
  <w:style w:type="paragraph" w:customStyle="1" w:styleId="Normalsmall">
    <w:name w:val="Normal small"/>
    <w:qFormat/>
    <w:rsid w:val="00931986"/>
    <w:pPr>
      <w:spacing w:after="120"/>
    </w:pPr>
    <w:rPr>
      <w:rFonts w:ascii="Cambria" w:hAnsi="Cambria"/>
      <w:sz w:val="18"/>
      <w:szCs w:val="18"/>
    </w:rPr>
  </w:style>
  <w:style w:type="paragraph" w:styleId="TableofFigures">
    <w:name w:val="table of figures"/>
    <w:basedOn w:val="Normal"/>
    <w:next w:val="Normal"/>
    <w:uiPriority w:val="99"/>
    <w:rsid w:val="001924E5"/>
    <w:pPr>
      <w:spacing w:before="120" w:after="120"/>
    </w:pPr>
    <w:rPr>
      <w:rFonts w:eastAsiaTheme="minorHAnsi" w:cstheme="minorBidi"/>
      <w:szCs w:val="22"/>
    </w:rPr>
  </w:style>
  <w:style w:type="paragraph" w:customStyle="1" w:styleId="TOCHeading2">
    <w:name w:val="TOC Heading 2"/>
    <w:next w:val="Normal"/>
    <w:qFormat/>
    <w:rsid w:val="001924E5"/>
    <w:pPr>
      <w:spacing w:after="0" w:line="240" w:lineRule="auto"/>
    </w:pPr>
    <w:rPr>
      <w:rFonts w:ascii="Calibri Light" w:hAnsi="Calibri Light"/>
      <w:sz w:val="36"/>
    </w:rPr>
  </w:style>
  <w:style w:type="character" w:customStyle="1" w:styleId="UnresolvedMention">
    <w:name w:val="Unresolved Mention"/>
    <w:basedOn w:val="DefaultParagraphFont"/>
    <w:uiPriority w:val="99"/>
    <w:semiHidden/>
    <w:unhideWhenUsed/>
    <w:rsid w:val="00B77DEF"/>
    <w:rPr>
      <w:color w:val="605E5C"/>
      <w:shd w:val="clear" w:color="auto" w:fill="E1DFDD"/>
    </w:rPr>
  </w:style>
  <w:style w:type="character" w:customStyle="1" w:styleId="A18">
    <w:name w:val="A18"/>
    <w:uiPriority w:val="99"/>
    <w:rsid w:val="00304EC0"/>
    <w:rPr>
      <w:rFonts w:cs="FS Me"/>
      <w:color w:val="1F5D9F"/>
      <w:sz w:val="13"/>
      <w:szCs w:val="13"/>
      <w:u w:val="single"/>
    </w:rPr>
  </w:style>
  <w:style w:type="character" w:customStyle="1" w:styleId="Heading5Char">
    <w:name w:val="Heading 5 Char"/>
    <w:basedOn w:val="DefaultParagraphFont"/>
    <w:link w:val="Heading5"/>
    <w:uiPriority w:val="9"/>
    <w:rsid w:val="00F122A9"/>
    <w:rPr>
      <w:rFonts w:asciiTheme="majorHAnsi" w:eastAsiaTheme="majorEastAsia" w:hAnsiTheme="majorHAnsi" w:cstheme="majorBidi"/>
      <w:color w:val="365F91" w:themeColor="accent1" w:themeShade="B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911313">
      <w:bodyDiv w:val="1"/>
      <w:marLeft w:val="0"/>
      <w:marRight w:val="0"/>
      <w:marTop w:val="0"/>
      <w:marBottom w:val="0"/>
      <w:divBdr>
        <w:top w:val="none" w:sz="0" w:space="0" w:color="auto"/>
        <w:left w:val="none" w:sz="0" w:space="0" w:color="auto"/>
        <w:bottom w:val="none" w:sz="0" w:space="0" w:color="auto"/>
        <w:right w:val="none" w:sz="0" w:space="0" w:color="auto"/>
      </w:divBdr>
    </w:div>
    <w:div w:id="550461958">
      <w:bodyDiv w:val="1"/>
      <w:marLeft w:val="0"/>
      <w:marRight w:val="0"/>
      <w:marTop w:val="0"/>
      <w:marBottom w:val="0"/>
      <w:divBdr>
        <w:top w:val="none" w:sz="0" w:space="0" w:color="auto"/>
        <w:left w:val="none" w:sz="0" w:space="0" w:color="auto"/>
        <w:bottom w:val="none" w:sz="0" w:space="0" w:color="auto"/>
        <w:right w:val="none" w:sz="0" w:space="0" w:color="auto"/>
      </w:divBdr>
    </w:div>
    <w:div w:id="631592245">
      <w:bodyDiv w:val="1"/>
      <w:marLeft w:val="0"/>
      <w:marRight w:val="0"/>
      <w:marTop w:val="0"/>
      <w:marBottom w:val="0"/>
      <w:divBdr>
        <w:top w:val="none" w:sz="0" w:space="0" w:color="auto"/>
        <w:left w:val="none" w:sz="0" w:space="0" w:color="auto"/>
        <w:bottom w:val="none" w:sz="0" w:space="0" w:color="auto"/>
        <w:right w:val="none" w:sz="0" w:space="0" w:color="auto"/>
      </w:divBdr>
    </w:div>
    <w:div w:id="703560846">
      <w:bodyDiv w:val="1"/>
      <w:marLeft w:val="0"/>
      <w:marRight w:val="0"/>
      <w:marTop w:val="0"/>
      <w:marBottom w:val="0"/>
      <w:divBdr>
        <w:top w:val="none" w:sz="0" w:space="0" w:color="auto"/>
        <w:left w:val="none" w:sz="0" w:space="0" w:color="auto"/>
        <w:bottom w:val="none" w:sz="0" w:space="0" w:color="auto"/>
        <w:right w:val="none" w:sz="0" w:space="0" w:color="auto"/>
      </w:divBdr>
    </w:div>
    <w:div w:id="801657705">
      <w:bodyDiv w:val="1"/>
      <w:marLeft w:val="0"/>
      <w:marRight w:val="0"/>
      <w:marTop w:val="0"/>
      <w:marBottom w:val="0"/>
      <w:divBdr>
        <w:top w:val="none" w:sz="0" w:space="0" w:color="auto"/>
        <w:left w:val="none" w:sz="0" w:space="0" w:color="auto"/>
        <w:bottom w:val="none" w:sz="0" w:space="0" w:color="auto"/>
        <w:right w:val="none" w:sz="0" w:space="0" w:color="auto"/>
      </w:divBdr>
    </w:div>
    <w:div w:id="856044524">
      <w:bodyDiv w:val="1"/>
      <w:marLeft w:val="0"/>
      <w:marRight w:val="0"/>
      <w:marTop w:val="0"/>
      <w:marBottom w:val="0"/>
      <w:divBdr>
        <w:top w:val="none" w:sz="0" w:space="0" w:color="auto"/>
        <w:left w:val="none" w:sz="0" w:space="0" w:color="auto"/>
        <w:bottom w:val="none" w:sz="0" w:space="0" w:color="auto"/>
        <w:right w:val="none" w:sz="0" w:space="0" w:color="auto"/>
      </w:divBdr>
    </w:div>
    <w:div w:id="937181817">
      <w:bodyDiv w:val="1"/>
      <w:marLeft w:val="0"/>
      <w:marRight w:val="0"/>
      <w:marTop w:val="0"/>
      <w:marBottom w:val="0"/>
      <w:divBdr>
        <w:top w:val="none" w:sz="0" w:space="0" w:color="auto"/>
        <w:left w:val="none" w:sz="0" w:space="0" w:color="auto"/>
        <w:bottom w:val="none" w:sz="0" w:space="0" w:color="auto"/>
        <w:right w:val="none" w:sz="0" w:space="0" w:color="auto"/>
      </w:divBdr>
    </w:div>
    <w:div w:id="988559666">
      <w:bodyDiv w:val="1"/>
      <w:marLeft w:val="0"/>
      <w:marRight w:val="0"/>
      <w:marTop w:val="0"/>
      <w:marBottom w:val="0"/>
      <w:divBdr>
        <w:top w:val="none" w:sz="0" w:space="0" w:color="auto"/>
        <w:left w:val="none" w:sz="0" w:space="0" w:color="auto"/>
        <w:bottom w:val="none" w:sz="0" w:space="0" w:color="auto"/>
        <w:right w:val="none" w:sz="0" w:space="0" w:color="auto"/>
      </w:divBdr>
    </w:div>
    <w:div w:id="1157570434">
      <w:bodyDiv w:val="1"/>
      <w:marLeft w:val="0"/>
      <w:marRight w:val="0"/>
      <w:marTop w:val="0"/>
      <w:marBottom w:val="0"/>
      <w:divBdr>
        <w:top w:val="none" w:sz="0" w:space="0" w:color="auto"/>
        <w:left w:val="none" w:sz="0" w:space="0" w:color="auto"/>
        <w:bottom w:val="none" w:sz="0" w:space="0" w:color="auto"/>
        <w:right w:val="none" w:sz="0" w:space="0" w:color="auto"/>
      </w:divBdr>
    </w:div>
    <w:div w:id="1174225688">
      <w:bodyDiv w:val="1"/>
      <w:marLeft w:val="0"/>
      <w:marRight w:val="0"/>
      <w:marTop w:val="0"/>
      <w:marBottom w:val="0"/>
      <w:divBdr>
        <w:top w:val="none" w:sz="0" w:space="0" w:color="auto"/>
        <w:left w:val="none" w:sz="0" w:space="0" w:color="auto"/>
        <w:bottom w:val="none" w:sz="0" w:space="0" w:color="auto"/>
        <w:right w:val="none" w:sz="0" w:space="0" w:color="auto"/>
      </w:divBdr>
    </w:div>
    <w:div w:id="1251308478">
      <w:bodyDiv w:val="1"/>
      <w:marLeft w:val="0"/>
      <w:marRight w:val="0"/>
      <w:marTop w:val="0"/>
      <w:marBottom w:val="0"/>
      <w:divBdr>
        <w:top w:val="none" w:sz="0" w:space="0" w:color="auto"/>
        <w:left w:val="none" w:sz="0" w:space="0" w:color="auto"/>
        <w:bottom w:val="none" w:sz="0" w:space="0" w:color="auto"/>
        <w:right w:val="none" w:sz="0" w:space="0" w:color="auto"/>
      </w:divBdr>
    </w:div>
    <w:div w:id="1290086357">
      <w:bodyDiv w:val="1"/>
      <w:marLeft w:val="0"/>
      <w:marRight w:val="0"/>
      <w:marTop w:val="0"/>
      <w:marBottom w:val="0"/>
      <w:divBdr>
        <w:top w:val="none" w:sz="0" w:space="0" w:color="auto"/>
        <w:left w:val="none" w:sz="0" w:space="0" w:color="auto"/>
        <w:bottom w:val="none" w:sz="0" w:space="0" w:color="auto"/>
        <w:right w:val="none" w:sz="0" w:space="0" w:color="auto"/>
      </w:divBdr>
    </w:div>
    <w:div w:id="1365330395">
      <w:bodyDiv w:val="1"/>
      <w:marLeft w:val="0"/>
      <w:marRight w:val="0"/>
      <w:marTop w:val="0"/>
      <w:marBottom w:val="0"/>
      <w:divBdr>
        <w:top w:val="none" w:sz="0" w:space="0" w:color="auto"/>
        <w:left w:val="none" w:sz="0" w:space="0" w:color="auto"/>
        <w:bottom w:val="none" w:sz="0" w:space="0" w:color="auto"/>
        <w:right w:val="none" w:sz="0" w:space="0" w:color="auto"/>
      </w:divBdr>
    </w:div>
    <w:div w:id="1454203466">
      <w:bodyDiv w:val="1"/>
      <w:marLeft w:val="0"/>
      <w:marRight w:val="0"/>
      <w:marTop w:val="0"/>
      <w:marBottom w:val="0"/>
      <w:divBdr>
        <w:top w:val="none" w:sz="0" w:space="0" w:color="auto"/>
        <w:left w:val="none" w:sz="0" w:space="0" w:color="auto"/>
        <w:bottom w:val="none" w:sz="0" w:space="0" w:color="auto"/>
        <w:right w:val="none" w:sz="0" w:space="0" w:color="auto"/>
      </w:divBdr>
    </w:div>
    <w:div w:id="1507358439">
      <w:bodyDiv w:val="1"/>
      <w:marLeft w:val="0"/>
      <w:marRight w:val="0"/>
      <w:marTop w:val="0"/>
      <w:marBottom w:val="0"/>
      <w:divBdr>
        <w:top w:val="none" w:sz="0" w:space="0" w:color="auto"/>
        <w:left w:val="none" w:sz="0" w:space="0" w:color="auto"/>
        <w:bottom w:val="none" w:sz="0" w:space="0" w:color="auto"/>
        <w:right w:val="none" w:sz="0" w:space="0" w:color="auto"/>
      </w:divBdr>
    </w:div>
    <w:div w:id="1647196409">
      <w:bodyDiv w:val="1"/>
      <w:marLeft w:val="0"/>
      <w:marRight w:val="0"/>
      <w:marTop w:val="0"/>
      <w:marBottom w:val="0"/>
      <w:divBdr>
        <w:top w:val="none" w:sz="0" w:space="0" w:color="auto"/>
        <w:left w:val="none" w:sz="0" w:space="0" w:color="auto"/>
        <w:bottom w:val="none" w:sz="0" w:space="0" w:color="auto"/>
        <w:right w:val="none" w:sz="0" w:space="0" w:color="auto"/>
      </w:divBdr>
    </w:div>
    <w:div w:id="1649357909">
      <w:bodyDiv w:val="1"/>
      <w:marLeft w:val="0"/>
      <w:marRight w:val="0"/>
      <w:marTop w:val="0"/>
      <w:marBottom w:val="0"/>
      <w:divBdr>
        <w:top w:val="none" w:sz="0" w:space="0" w:color="auto"/>
        <w:left w:val="none" w:sz="0" w:space="0" w:color="auto"/>
        <w:bottom w:val="none" w:sz="0" w:space="0" w:color="auto"/>
        <w:right w:val="none" w:sz="0" w:space="0" w:color="auto"/>
      </w:divBdr>
    </w:div>
    <w:div w:id="1656912026">
      <w:bodyDiv w:val="1"/>
      <w:marLeft w:val="0"/>
      <w:marRight w:val="0"/>
      <w:marTop w:val="0"/>
      <w:marBottom w:val="0"/>
      <w:divBdr>
        <w:top w:val="none" w:sz="0" w:space="0" w:color="auto"/>
        <w:left w:val="none" w:sz="0" w:space="0" w:color="auto"/>
        <w:bottom w:val="none" w:sz="0" w:space="0" w:color="auto"/>
        <w:right w:val="none" w:sz="0" w:space="0" w:color="auto"/>
      </w:divBdr>
    </w:div>
    <w:div w:id="1694912955">
      <w:bodyDiv w:val="1"/>
      <w:marLeft w:val="0"/>
      <w:marRight w:val="0"/>
      <w:marTop w:val="0"/>
      <w:marBottom w:val="0"/>
      <w:divBdr>
        <w:top w:val="none" w:sz="0" w:space="0" w:color="auto"/>
        <w:left w:val="none" w:sz="0" w:space="0" w:color="auto"/>
        <w:bottom w:val="none" w:sz="0" w:space="0" w:color="auto"/>
        <w:right w:val="none" w:sz="0" w:space="0" w:color="auto"/>
      </w:divBdr>
    </w:div>
    <w:div w:id="1704332091">
      <w:bodyDiv w:val="1"/>
      <w:marLeft w:val="0"/>
      <w:marRight w:val="0"/>
      <w:marTop w:val="0"/>
      <w:marBottom w:val="0"/>
      <w:divBdr>
        <w:top w:val="none" w:sz="0" w:space="0" w:color="auto"/>
        <w:left w:val="none" w:sz="0" w:space="0" w:color="auto"/>
        <w:bottom w:val="none" w:sz="0" w:space="0" w:color="auto"/>
        <w:right w:val="none" w:sz="0" w:space="0" w:color="auto"/>
      </w:divBdr>
    </w:div>
    <w:div w:id="1722947659">
      <w:bodyDiv w:val="1"/>
      <w:marLeft w:val="0"/>
      <w:marRight w:val="0"/>
      <w:marTop w:val="0"/>
      <w:marBottom w:val="0"/>
      <w:divBdr>
        <w:top w:val="none" w:sz="0" w:space="0" w:color="auto"/>
        <w:left w:val="none" w:sz="0" w:space="0" w:color="auto"/>
        <w:bottom w:val="none" w:sz="0" w:space="0" w:color="auto"/>
        <w:right w:val="none" w:sz="0" w:space="0" w:color="auto"/>
      </w:divBdr>
    </w:div>
    <w:div w:id="1727682684">
      <w:bodyDiv w:val="1"/>
      <w:marLeft w:val="0"/>
      <w:marRight w:val="0"/>
      <w:marTop w:val="0"/>
      <w:marBottom w:val="0"/>
      <w:divBdr>
        <w:top w:val="none" w:sz="0" w:space="0" w:color="auto"/>
        <w:left w:val="none" w:sz="0" w:space="0" w:color="auto"/>
        <w:bottom w:val="none" w:sz="0" w:space="0" w:color="auto"/>
        <w:right w:val="none" w:sz="0" w:space="0" w:color="auto"/>
      </w:divBdr>
    </w:div>
    <w:div w:id="1792431065">
      <w:bodyDiv w:val="1"/>
      <w:marLeft w:val="0"/>
      <w:marRight w:val="0"/>
      <w:marTop w:val="0"/>
      <w:marBottom w:val="0"/>
      <w:divBdr>
        <w:top w:val="none" w:sz="0" w:space="0" w:color="auto"/>
        <w:left w:val="none" w:sz="0" w:space="0" w:color="auto"/>
        <w:bottom w:val="none" w:sz="0" w:space="0" w:color="auto"/>
        <w:right w:val="none" w:sz="0" w:space="0" w:color="auto"/>
      </w:divBdr>
    </w:div>
    <w:div w:id="1811248518">
      <w:bodyDiv w:val="1"/>
      <w:marLeft w:val="0"/>
      <w:marRight w:val="0"/>
      <w:marTop w:val="0"/>
      <w:marBottom w:val="0"/>
      <w:divBdr>
        <w:top w:val="none" w:sz="0" w:space="0" w:color="auto"/>
        <w:left w:val="none" w:sz="0" w:space="0" w:color="auto"/>
        <w:bottom w:val="none" w:sz="0" w:space="0" w:color="auto"/>
        <w:right w:val="none" w:sz="0" w:space="0" w:color="auto"/>
      </w:divBdr>
    </w:div>
    <w:div w:id="1949771698">
      <w:bodyDiv w:val="1"/>
      <w:marLeft w:val="0"/>
      <w:marRight w:val="0"/>
      <w:marTop w:val="0"/>
      <w:marBottom w:val="0"/>
      <w:divBdr>
        <w:top w:val="none" w:sz="0" w:space="0" w:color="auto"/>
        <w:left w:val="none" w:sz="0" w:space="0" w:color="auto"/>
        <w:bottom w:val="none" w:sz="0" w:space="0" w:color="auto"/>
        <w:right w:val="none" w:sz="0" w:space="0" w:color="auto"/>
      </w:divBdr>
    </w:div>
    <w:div w:id="1983845809">
      <w:bodyDiv w:val="1"/>
      <w:marLeft w:val="0"/>
      <w:marRight w:val="0"/>
      <w:marTop w:val="0"/>
      <w:marBottom w:val="0"/>
      <w:divBdr>
        <w:top w:val="none" w:sz="0" w:space="0" w:color="auto"/>
        <w:left w:val="none" w:sz="0" w:space="0" w:color="auto"/>
        <w:bottom w:val="none" w:sz="0" w:space="0" w:color="auto"/>
        <w:right w:val="none" w:sz="0" w:space="0" w:color="auto"/>
      </w:divBdr>
    </w:div>
    <w:div w:id="2028291973">
      <w:bodyDiv w:val="1"/>
      <w:marLeft w:val="0"/>
      <w:marRight w:val="0"/>
      <w:marTop w:val="0"/>
      <w:marBottom w:val="0"/>
      <w:divBdr>
        <w:top w:val="none" w:sz="0" w:space="0" w:color="auto"/>
        <w:left w:val="none" w:sz="0" w:space="0" w:color="auto"/>
        <w:bottom w:val="none" w:sz="0" w:space="0" w:color="auto"/>
        <w:right w:val="none" w:sz="0" w:space="0" w:color="auto"/>
      </w:divBdr>
    </w:div>
    <w:div w:id="204763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emf"/><Relationship Id="rId42" Type="http://schemas.openxmlformats.org/officeDocument/2006/relationships/hyperlink" Target="https://doi.org/10.25814/pczx-xk66" TargetMode="External"/><Relationship Id="rId47" Type="http://schemas.openxmlformats.org/officeDocument/2006/relationships/hyperlink" Target="https://doi.org/10.25814/pczx-xk66" TargetMode="External"/><Relationship Id="rId63" Type="http://schemas.openxmlformats.org/officeDocument/2006/relationships/hyperlink" Target="https://www.dpaw.wa.gov.au/images/documents/conservation-management/forests/FMP/WARFA_Review_Report_FINAL_JULY2013.pdf" TargetMode="External"/><Relationship Id="rId68" Type="http://schemas.openxmlformats.org/officeDocument/2006/relationships/hyperlink" Target="http://www.environment.gov.au/about-us/esd/publications/national-esd-strategy" TargetMode="External"/><Relationship Id="rId84" Type="http://schemas.openxmlformats.org/officeDocument/2006/relationships/hyperlink" Target="https://daff.ent.sirsidynix.net.au/client/en_AU/search/asset/1028565/0" TargetMode="External"/><Relationship Id="rId89" Type="http://schemas.openxmlformats.org/officeDocument/2006/relationships/hyperlink" Target="https://parlinfo.aph.gov.au/parlInfo/download/legislation/billsdgs/5M266/upload_binary/5m2668.pdf;fileType=application/pdf" TargetMode="External"/><Relationship Id="rId7" Type="http://schemas.openxmlformats.org/officeDocument/2006/relationships/endnotes" Target="endnotes.xml"/><Relationship Id="rId71" Type="http://schemas.openxmlformats.org/officeDocument/2006/relationships/hyperlink" Target="https://www.dpaw.wa.gov.au/images/documents/conservation-management/forests/FMP/20130282_WEB_FOREST_MGT_PLAN_WEB.pdf" TargetMode="External"/><Relationship Id="rId92" Type="http://schemas.openxmlformats.org/officeDocument/2006/relationships/hyperlink" Target="https://www.agriculture.gov.au/sites/default/files/documents/ImpAustForCovStats_20131119_v1.0.0.pdf" TargetMode="External"/><Relationship Id="rId2" Type="http://schemas.openxmlformats.org/officeDocument/2006/relationships/numbering" Target="numbering.xml"/><Relationship Id="rId16" Type="http://schemas.openxmlformats.org/officeDocument/2006/relationships/hyperlink" Target="https://doi.org/10.25814/n975-d613" TargetMode="External"/><Relationship Id="rId29" Type="http://schemas.openxmlformats.org/officeDocument/2006/relationships/hyperlink" Target="https://doi.org/10.25814/3z94-9957" TargetMode="Externa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yperlink" Target="https://doi.org/10.25814/3z94-9957" TargetMode="External"/><Relationship Id="rId40" Type="http://schemas.openxmlformats.org/officeDocument/2006/relationships/footer" Target="footer2.xml"/><Relationship Id="rId45" Type="http://schemas.openxmlformats.org/officeDocument/2006/relationships/hyperlink" Target="https://doi.org/10.25814/pczx-xk66" TargetMode="External"/><Relationship Id="rId53" Type="http://schemas.openxmlformats.org/officeDocument/2006/relationships/hyperlink" Target="https://doi.org/10.25814/5ef43d15f69cc" TargetMode="External"/><Relationship Id="rId58" Type="http://schemas.openxmlformats.org/officeDocument/2006/relationships/hyperlink" Target="https://www.fpa.tas.gov.au/__data/assets/pdf_file/0006/110400/Sustainability_indicators_for_Tasmanian_forests_2001-06_report.pdf" TargetMode="External"/><Relationship Id="rId66" Type="http://schemas.openxmlformats.org/officeDocument/2006/relationships/hyperlink" Target="https://www.environment.gov.au/system/files/resources/eefde0e6-0f83-486d-b0c3-8b1d25abc497/files/ivgwoodsupplyburgman.pdf" TargetMode="External"/><Relationship Id="rId74" Type="http://schemas.openxmlformats.org/officeDocument/2006/relationships/hyperlink" Target="https://www.dpaw.wa.gov.au/images/documents/parks/management-plans/decarchive/wwa_mp_070708_nomaps.pdf" TargetMode="External"/><Relationship Id="rId79" Type="http://schemas.openxmlformats.org/officeDocument/2006/relationships/hyperlink" Target="https://www.forestrycorporation.com.au/__data/assets/pdf_file/0011/439418/FRAMES-Net-Harvest-Area-Modifiers.pdf" TargetMode="External"/><Relationship Id="rId87" Type="http://schemas.openxmlformats.org/officeDocument/2006/relationships/hyperlink" Target="https://www.environment.gov.au/system/files/resources/eefde0e6-0f83-486d-b0c3-8b1d25abc497/files/ivgconservation10forestryimpacts.pdf" TargetMode="External"/><Relationship Id="rId102" Type="http://schemas.openxmlformats.org/officeDocument/2006/relationships/hyperlink" Target="https://doi.org/10.1016/j.forpol.2013.11.010" TargetMode="External"/><Relationship Id="rId5" Type="http://schemas.openxmlformats.org/officeDocument/2006/relationships/webSettings" Target="webSettings.xml"/><Relationship Id="rId61" Type="http://schemas.openxmlformats.org/officeDocument/2006/relationships/hyperlink" Target="https://www.agriculture.gov.au/sites/default/files/sitecollectiondocuments/forestry/australias-forest-policies/rfa/vic-rfa-dec09.pdf" TargetMode="External"/><Relationship Id="rId82" Type="http://schemas.openxmlformats.org/officeDocument/2006/relationships/hyperlink" Target="http://dx.doi.org/10.1016/j.ecolind.2006.11.004" TargetMode="External"/><Relationship Id="rId90" Type="http://schemas.openxmlformats.org/officeDocument/2006/relationships/hyperlink" Target="https://www.agriculture.gov.au/abares/forestsaustralia/sofr/sofr-2013" TargetMode="External"/><Relationship Id="rId95" Type="http://schemas.openxmlformats.org/officeDocument/2006/relationships/hyperlink" Target="https://www.agriculture.gov.au/sites/default/files/sitecollectiondocuments/rfa/publications/annual-reports/tas/implementation-reports/tasmanian-rfa-10year-review.pdf" TargetMode="External"/><Relationship Id="rId19" Type="http://schemas.openxmlformats.org/officeDocument/2006/relationships/image" Target="media/image4.png"/><Relationship Id="rId14" Type="http://schemas.openxmlformats.org/officeDocument/2006/relationships/hyperlink" Target="mailto:copyright@awe.gov.au" TargetMode="External"/><Relationship Id="rId22" Type="http://schemas.openxmlformats.org/officeDocument/2006/relationships/image" Target="media/image7.emf"/><Relationship Id="rId27" Type="http://schemas.openxmlformats.org/officeDocument/2006/relationships/hyperlink" Target="https://doi.org/10.25814/3z94-9957" TargetMode="External"/><Relationship Id="rId30" Type="http://schemas.openxmlformats.org/officeDocument/2006/relationships/image" Target="media/image12.emf"/><Relationship Id="rId35" Type="http://schemas.openxmlformats.org/officeDocument/2006/relationships/hyperlink" Target="https://doi.org/10.25814/3z94-9957" TargetMode="External"/><Relationship Id="rId43" Type="http://schemas.openxmlformats.org/officeDocument/2006/relationships/hyperlink" Target="https://doi.org/10.25814/pczx-xk66" TargetMode="External"/><Relationship Id="rId48" Type="http://schemas.openxmlformats.org/officeDocument/2006/relationships/hyperlink" Target="https://doi.org/10.25814/pczx-xk66" TargetMode="External"/><Relationship Id="rId56" Type="http://schemas.openxmlformats.org/officeDocument/2006/relationships/hyperlink" Target="https://www.epa.nsw.gov.au/-/media/epa/corporate-site/resources/forestagreements/17p0296-nsw-rfa-implementation-review-period-2-and-3-web.pdf?la=en&amp;hash=BEF9F12E090F6CD65AF2FFB80ECDADCC5269E041" TargetMode="External"/><Relationship Id="rId64" Type="http://schemas.openxmlformats.org/officeDocument/2006/relationships/hyperlink" Target="https://www.dpaw.wa.gov.au/images/documents/conservation-management/forests/FMP/wa_rfa_period_3_2009_to_2014_progress_report_-_final_for_release.pdf" TargetMode="External"/><Relationship Id="rId69" Type="http://schemas.openxmlformats.org/officeDocument/2006/relationships/hyperlink" Target="https://www.environment.gov.au/system/files/resources/d11f8f2b-8d17-4a76-907b-e405a576be73/files/third-national-report.pdf" TargetMode="External"/><Relationship Id="rId77" Type="http://schemas.openxmlformats.org/officeDocument/2006/relationships/hyperlink" Target="https://www.fpa.tas.gov.au/__data/assets/pdf_file/0008/162791/State_of_the_forests_Tasmania_2017_booklet.pdf" TargetMode="External"/><Relationship Id="rId100" Type="http://schemas.openxmlformats.org/officeDocument/2006/relationships/hyperlink" Target="https://www.agriculture.gov.au/sites/default/files/sitecollectiondocuments/forestry/australias-forest-policies/rfa/rfa-vic.pdf" TargetMode="External"/><Relationship Id="rId8" Type="http://schemas.openxmlformats.org/officeDocument/2006/relationships/header" Target="header1.xml"/><Relationship Id="rId51" Type="http://schemas.openxmlformats.org/officeDocument/2006/relationships/hyperlink" Target="https://doi.org/10.25814/pczx-xk66" TargetMode="External"/><Relationship Id="rId72" Type="http://schemas.openxmlformats.org/officeDocument/2006/relationships/hyperlink" Target="https://doi.org/10.1080/00049158.2018.1458701" TargetMode="External"/><Relationship Id="rId80" Type="http://schemas.openxmlformats.org/officeDocument/2006/relationships/hyperlink" Target="https://ecat.ga.gov.au/geonetwork/srv/eng/catalog.search" TargetMode="External"/><Relationship Id="rId85" Type="http://schemas.openxmlformats.org/officeDocument/2006/relationships/hyperlink" Target="https://www.dpaw.wa.gov.au/images/documents/conservation-management/forests/FMP/Indpendent_Review_WA_RFA_Progress_Report_20122013_FINAL.pdf" TargetMode="External"/><Relationship Id="rId93" Type="http://schemas.openxmlformats.org/officeDocument/2006/relationships/hyperlink" Target="https://www.agriculture.gov.au/abares/forestsaustralia/sofr/sofr-1998" TargetMode="External"/><Relationship Id="rId98" Type="http://schemas.openxmlformats.org/officeDocument/2006/relationships/hyperlink" Target="https://www.researchgate.net/publication/266440664_Review_of_Projected_Timber_Yields_for_the_NSW_North_Coas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awe.gov.au/" TargetMode="External"/><Relationship Id="rId25" Type="http://schemas.openxmlformats.org/officeDocument/2006/relationships/hyperlink" Target="https://doi.org/10.25814/3z94-9957" TargetMode="External"/><Relationship Id="rId33" Type="http://schemas.openxmlformats.org/officeDocument/2006/relationships/hyperlink" Target="https://doi.org/10.25814/3z94-9957" TargetMode="External"/><Relationship Id="rId38" Type="http://schemas.openxmlformats.org/officeDocument/2006/relationships/header" Target="header4.xml"/><Relationship Id="rId46" Type="http://schemas.openxmlformats.org/officeDocument/2006/relationships/hyperlink" Target="https://doi.org/10.25814/pczx-xk66" TargetMode="External"/><Relationship Id="rId59" Type="http://schemas.openxmlformats.org/officeDocument/2006/relationships/hyperlink" Target="https://www.agriculture.gov.au/sites/default/files/sitecollectiondocuments/rfa/publications/annual-reports/tas/implementation-reports/joint-response-2nd5yr-tas-rfa.pdf" TargetMode="External"/><Relationship Id="rId67" Type="http://schemas.openxmlformats.org/officeDocument/2006/relationships/hyperlink" Target="https://www.agriculture.gov.au/sites/default/files/sitecollectiondocuments/forestry/australias-forest-policies/nat_nfps.pdf" TargetMode="External"/><Relationship Id="rId103"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eader" Target="header6.xml"/><Relationship Id="rId54" Type="http://schemas.openxmlformats.org/officeDocument/2006/relationships/hyperlink" Target="https://www.environment.nsw.gov.au/resources/forestagreements/09200draftrfa.pdf" TargetMode="External"/><Relationship Id="rId62" Type="http://schemas.openxmlformats.org/officeDocument/2006/relationships/hyperlink" Target="https://www2.delwp.vic.gov.au/__data/assets/pdf_file/0031/459490/Further-Assessment-of-Matters-Report-2019.pdf" TargetMode="External"/><Relationship Id="rId70" Type="http://schemas.openxmlformats.org/officeDocument/2006/relationships/hyperlink" Target="https://www.dpaw.wa.gov.au/images/documents/conservation-management/forests/FMP/preparing_FMP_2014-23/20120329_forest_management_plan_20042013_end_of_term_audit_performance_final_30_march_2012_ccwa.pdf" TargetMode="External"/><Relationship Id="rId75" Type="http://schemas.openxmlformats.org/officeDocument/2006/relationships/hyperlink" Target="https://www.sttas.com.au/sites/default/files/media/documents/certification/reports/appendix_a_ferguson_report.pdf" TargetMode="External"/><Relationship Id="rId83" Type="http://schemas.openxmlformats.org/officeDocument/2006/relationships/hyperlink" Target="https://www.agriculture.gov.au/sites/default/files/sitecollectiondocuments/rfa/publications/nat_nac.pdf" TargetMode="External"/><Relationship Id="rId88" Type="http://schemas.openxmlformats.org/officeDocument/2006/relationships/hyperlink" Target="https://www.researchgate.net/publication/27828091_Regional_Forest_DisAgreements_The_RFA_Process_and_Sustainable_Forest_Management" TargetMode="External"/><Relationship Id="rId91" Type="http://schemas.openxmlformats.org/officeDocument/2006/relationships/hyperlink" Target="http://www.doi.org/10.25814/5be1205b3aa33" TargetMode="External"/><Relationship Id="rId96" Type="http://schemas.openxmlformats.org/officeDocument/2006/relationships/hyperlink" Target="https://www.agriculture.gov.au/sites/default/files/sitecollectiondocuments/forestry/australias-forest-policies/rfa/publications/final-recommendations-repor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yperlink" Target="https://doi.org/10.25814/pczx-xk66" TargetMode="External"/><Relationship Id="rId57" Type="http://schemas.openxmlformats.org/officeDocument/2006/relationships/hyperlink" Target="https://www.agriculture.gov.au/sites/default/files/sitecollectiondocuments/forestry/rfa/nsw-rfa-assessment-matters-renewal-rfas.pdf" TargetMode="External"/><Relationship Id="rId10" Type="http://schemas.openxmlformats.org/officeDocument/2006/relationships/footer" Target="footer1.xml"/><Relationship Id="rId31" Type="http://schemas.openxmlformats.org/officeDocument/2006/relationships/hyperlink" Target="https://doi.org/10.25814/3z94-9957" TargetMode="External"/><Relationship Id="rId44" Type="http://schemas.openxmlformats.org/officeDocument/2006/relationships/hyperlink" Target="https://doi.org/10.25814/pczx-xk66" TargetMode="External"/><Relationship Id="rId52" Type="http://schemas.openxmlformats.org/officeDocument/2006/relationships/hyperlink" Target="https://doi.org/10.25814/pczx-xk66" TargetMode="External"/><Relationship Id="rId60" Type="http://schemas.openxmlformats.org/officeDocument/2006/relationships/hyperlink" Target="https://www.stategrowth.tas.gov.au/__data/assets/pdf_file/0007/154618/3_Further_Assessment_of_Matters_Report_RFA.pdf" TargetMode="External"/><Relationship Id="rId65" Type="http://schemas.openxmlformats.org/officeDocument/2006/relationships/hyperlink" Target="https://www.agriculture.gov.au/sites/default/files/sitecollectiondocuments/forestry/rfa/wa/wa-regional-forest-agreement-assessment-matters.pdf" TargetMode="External"/><Relationship Id="rId73" Type="http://schemas.openxmlformats.org/officeDocument/2006/relationships/hyperlink" Target="https://www.agriculture.gov.au/sites/default/files/documents/ChangingfaceofAustraliasforests_20080404_v1.0.0.pdf" TargetMode="External"/><Relationship Id="rId78" Type="http://schemas.openxmlformats.org/officeDocument/2006/relationships/hyperlink" Target="https://www.sttas.com.au/sites/default/files/media/documents/sustainableyieldreport4270314_1.pdf" TargetMode="External"/><Relationship Id="rId81" Type="http://schemas.openxmlformats.org/officeDocument/2006/relationships/hyperlink" Target="https://www.tandfonline.com/doi/abs/10.1080/00049158.2003.10674909" TargetMode="External"/><Relationship Id="rId86" Type="http://schemas.openxmlformats.org/officeDocument/2006/relationships/hyperlink" Target="https://www.agriculture.gov.au/sites/default/files/sitecollectiondocuments/forestry/australias-forest-policies/rfa/tas/trfa-review.pdf" TargetMode="External"/><Relationship Id="rId94" Type="http://schemas.openxmlformats.org/officeDocument/2006/relationships/hyperlink" Target="https://www.parliament.nsw.gov.au/tp/files/56982/Audit%20Office%20forests.pdf" TargetMode="External"/><Relationship Id="rId99" Type="http://schemas.openxmlformats.org/officeDocument/2006/relationships/hyperlink" Target="https://www.academia.edu/19667956/Evaluation_of_data_and_methods_for_estimating_the_sustainable_yield_of_sawlogs_in_Victoria" TargetMode="External"/><Relationship Id="rId101" Type="http://schemas.openxmlformats.org/officeDocument/2006/relationships/hyperlink" Target="https://pdfs.semanticscholar.org/ce07/3d9f24b5dcf9a51fc0787d39a877b08a7036.pdf?_ga=2.128086796.1673051697.1583377539-172678559.1583377539"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creativecommons.org/licenses/by/4.0/legalcode" TargetMode="External"/><Relationship Id="rId18" Type="http://schemas.openxmlformats.org/officeDocument/2006/relationships/hyperlink" Target="https://www.agriculture.gov.au/abares/about/research-and-analysis" TargetMode="External"/><Relationship Id="rId39" Type="http://schemas.openxmlformats.org/officeDocument/2006/relationships/header" Target="header5.xml"/><Relationship Id="rId34" Type="http://schemas.openxmlformats.org/officeDocument/2006/relationships/image" Target="media/image14.emf"/><Relationship Id="rId50" Type="http://schemas.openxmlformats.org/officeDocument/2006/relationships/hyperlink" Target="https://doi.org/10.25814/pczx-xk66" TargetMode="External"/><Relationship Id="rId55" Type="http://schemas.openxmlformats.org/officeDocument/2006/relationships/hyperlink" Target="https://www.agriculture.gov.au/sites/default/files/sitecollectiondocuments/rfa/publications/annual-reports/nsw/jointresponse-nswrfa.pdf" TargetMode="External"/><Relationship Id="rId76" Type="http://schemas.openxmlformats.org/officeDocument/2006/relationships/hyperlink" Target="https://www.dpaw.wa.gov.au/images/documents/conservation-management/forests/FMP/Sustained_Yield_Independent_Expert_Panel_Report_MARCH2013.pdf" TargetMode="External"/><Relationship Id="rId97" Type="http://schemas.openxmlformats.org/officeDocument/2006/relationships/hyperlink" Target="https://www.agriculture.gov.au/sites/default/files/sitecollectiondocuments/rfa/publications/annual-reports/nsw/assessors-report.pdf"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griculture.gov.au/forestry/policies/rfa" TargetMode="External"/><Relationship Id="rId2" Type="http://schemas.openxmlformats.org/officeDocument/2006/relationships/hyperlink" Target="http://www.agriculture.gov.au/abares/forestsaustralia/sofr" TargetMode="External"/><Relationship Id="rId1" Type="http://schemas.openxmlformats.org/officeDocument/2006/relationships/hyperlink" Target="http://www.environment.gov.au/land/nrs/science/scientific-framework" TargetMode="External"/><Relationship Id="rId5" Type="http://schemas.openxmlformats.org/officeDocument/2006/relationships/hyperlink" Target="http://www.environment.gov.au/land/forests/intergovernmental-agreement" TargetMode="External"/><Relationship Id="rId4" Type="http://schemas.openxmlformats.org/officeDocument/2006/relationships/hyperlink" Target="http://data.daff.gov.au/data/warehouse/asofrd9ablf001/asofrd9ablf001_1998/map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3311D-F951-4A8E-AF7E-187CEB0C7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20666</Words>
  <Characters>117799</Characters>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2020-12-08T03:02:00Z</cp:lastPrinted>
  <dcterms:created xsi:type="dcterms:W3CDTF">2020-12-13T22:17:00Z</dcterms:created>
  <dcterms:modified xsi:type="dcterms:W3CDTF">2020-12-13T22:17:00Z</dcterms:modified>
</cp:coreProperties>
</file>