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2660" w14:textId="77777777" w:rsidR="00DF6211" w:rsidRDefault="00DF6211" w:rsidP="00671A63"/>
    <w:p w14:paraId="51AB2769" w14:textId="77777777" w:rsidR="00B00BAC" w:rsidRPr="00671A63" w:rsidRDefault="00B00BAC" w:rsidP="00671A63"/>
    <w:p w14:paraId="2E13CE9F" w14:textId="77777777" w:rsidR="00B0197B" w:rsidRPr="00671A63" w:rsidRDefault="00B0197B" w:rsidP="00671A63"/>
    <w:p w14:paraId="48EA7DAE" w14:textId="3A2894BB" w:rsidR="00A67F86" w:rsidRPr="00A67F86" w:rsidRDefault="00A67F86" w:rsidP="00A67F86">
      <w:pPr>
        <w:jc w:val="center"/>
        <w:rPr>
          <w:b/>
          <w:sz w:val="40"/>
          <w:szCs w:val="40"/>
        </w:rPr>
      </w:pPr>
      <w:r w:rsidRPr="00A67F86">
        <w:rPr>
          <w:b/>
          <w:sz w:val="40"/>
          <w:szCs w:val="40"/>
        </w:rPr>
        <w:t>20</w:t>
      </w:r>
      <w:r w:rsidR="001F5AB1">
        <w:rPr>
          <w:b/>
          <w:sz w:val="40"/>
          <w:szCs w:val="40"/>
        </w:rPr>
        <w:t>21</w:t>
      </w:r>
      <w:r w:rsidRPr="00A67F86">
        <w:rPr>
          <w:b/>
          <w:sz w:val="40"/>
          <w:szCs w:val="40"/>
        </w:rPr>
        <w:t xml:space="preserve"> D</w:t>
      </w:r>
      <w:r w:rsidR="00432556">
        <w:rPr>
          <w:b/>
          <w:sz w:val="40"/>
          <w:szCs w:val="40"/>
        </w:rPr>
        <w:t xml:space="preserve">epartment of </w:t>
      </w:r>
      <w:r w:rsidRPr="00A67F86">
        <w:rPr>
          <w:b/>
          <w:sz w:val="40"/>
          <w:szCs w:val="40"/>
        </w:rPr>
        <w:t>A</w:t>
      </w:r>
      <w:r w:rsidR="00432556">
        <w:rPr>
          <w:b/>
          <w:sz w:val="40"/>
          <w:szCs w:val="40"/>
        </w:rPr>
        <w:t>griculture</w:t>
      </w:r>
      <w:r w:rsidR="001F5AB1">
        <w:rPr>
          <w:b/>
          <w:sz w:val="40"/>
          <w:szCs w:val="40"/>
        </w:rPr>
        <w:t>,</w:t>
      </w:r>
      <w:r w:rsidR="009F7C71">
        <w:rPr>
          <w:b/>
          <w:sz w:val="40"/>
          <w:szCs w:val="40"/>
        </w:rPr>
        <w:t xml:space="preserve"> </w:t>
      </w:r>
      <w:proofErr w:type="gramStart"/>
      <w:r w:rsidRPr="00A67F86">
        <w:rPr>
          <w:b/>
          <w:sz w:val="40"/>
          <w:szCs w:val="40"/>
        </w:rPr>
        <w:t>W</w:t>
      </w:r>
      <w:r w:rsidR="00432556">
        <w:rPr>
          <w:b/>
          <w:sz w:val="40"/>
          <w:szCs w:val="40"/>
        </w:rPr>
        <w:t>ater</w:t>
      </w:r>
      <w:proofErr w:type="gramEnd"/>
      <w:r w:rsidR="00432556">
        <w:rPr>
          <w:b/>
          <w:sz w:val="40"/>
          <w:szCs w:val="40"/>
        </w:rPr>
        <w:t xml:space="preserve"> </w:t>
      </w:r>
      <w:r w:rsidR="001F5AB1">
        <w:rPr>
          <w:b/>
          <w:sz w:val="40"/>
          <w:szCs w:val="40"/>
        </w:rPr>
        <w:t>and the Environment</w:t>
      </w:r>
      <w:r w:rsidR="001F5AB1" w:rsidRPr="00A67F86">
        <w:rPr>
          <w:b/>
          <w:sz w:val="40"/>
          <w:szCs w:val="40"/>
        </w:rPr>
        <w:t xml:space="preserve"> </w:t>
      </w:r>
      <w:r w:rsidRPr="00A67F86">
        <w:rPr>
          <w:b/>
          <w:sz w:val="40"/>
          <w:szCs w:val="40"/>
        </w:rPr>
        <w:t>Policy</w:t>
      </w:r>
    </w:p>
    <w:p w14:paraId="66E466D5" w14:textId="77777777" w:rsidR="00A67F86" w:rsidRPr="00A67F86" w:rsidRDefault="00A67F86" w:rsidP="00757845">
      <w:pPr>
        <w:spacing w:after="200"/>
        <w:jc w:val="center"/>
        <w:rPr>
          <w:b/>
          <w:sz w:val="36"/>
          <w:szCs w:val="36"/>
        </w:rPr>
      </w:pPr>
      <w:r w:rsidRPr="00A67F86">
        <w:rPr>
          <w:b/>
          <w:sz w:val="36"/>
          <w:szCs w:val="36"/>
        </w:rPr>
        <w:t xml:space="preserve">PST in Tasmanian abalone: Export </w:t>
      </w:r>
      <w:r w:rsidR="0036788E">
        <w:rPr>
          <w:b/>
          <w:sz w:val="36"/>
          <w:szCs w:val="36"/>
        </w:rPr>
        <w:t>e</w:t>
      </w:r>
      <w:r w:rsidRPr="00A67F86">
        <w:rPr>
          <w:b/>
          <w:sz w:val="36"/>
          <w:szCs w:val="36"/>
        </w:rPr>
        <w:t>ligibility</w:t>
      </w:r>
    </w:p>
    <w:p w14:paraId="6349E56C" w14:textId="77777777" w:rsidR="00A67F86" w:rsidRPr="00A67F86" w:rsidRDefault="00A67F86" w:rsidP="00A67F86">
      <w:pPr>
        <w:spacing w:after="240"/>
        <w:rPr>
          <w:b/>
          <w:sz w:val="28"/>
          <w:szCs w:val="28"/>
        </w:rPr>
      </w:pPr>
      <w:r w:rsidRPr="00A67F86">
        <w:rPr>
          <w:b/>
          <w:sz w:val="28"/>
          <w:szCs w:val="28"/>
        </w:rPr>
        <w:t>Trigger for sampling abalone</w:t>
      </w:r>
    </w:p>
    <w:p w14:paraId="24F35D97" w14:textId="4DD43C5E" w:rsidR="00A67F86" w:rsidRDefault="00A67F86" w:rsidP="00256F50">
      <w:pPr>
        <w:spacing w:after="200"/>
      </w:pPr>
      <w:r w:rsidRPr="0012525F">
        <w:t xml:space="preserve">When </w:t>
      </w:r>
      <w:r w:rsidR="00493A5A">
        <w:t>Tasmania’s Shellfish Market Access Program (</w:t>
      </w:r>
      <w:proofErr w:type="spellStart"/>
      <w:r w:rsidR="00493A5A">
        <w:t>ShellMAP</w:t>
      </w:r>
      <w:proofErr w:type="spellEnd"/>
      <w:r w:rsidR="00493A5A">
        <w:t>)</w:t>
      </w:r>
      <w:r w:rsidRPr="0012525F">
        <w:t xml:space="preserve"> monitoring detects </w:t>
      </w:r>
      <w:r w:rsidRPr="0012525F">
        <w:rPr>
          <w:lang w:val="en-US"/>
        </w:rPr>
        <w:t>the presence of biotoxins and/or potentially toxic phytoplankton</w:t>
      </w:r>
      <w:r w:rsidRPr="0012525F">
        <w:t xml:space="preserve"> in waters and/or shellfish meat samples </w:t>
      </w:r>
      <w:r w:rsidR="00695B81" w:rsidRPr="0012525F">
        <w:t xml:space="preserve">that </w:t>
      </w:r>
      <w:r w:rsidRPr="0012525F">
        <w:t>contain paralytic shellfish toxins (PST) levels which result in closure of shellfish harvest areas (</w:t>
      </w:r>
      <w:proofErr w:type="gramStart"/>
      <w:r w:rsidRPr="0012525F">
        <w:t>i.e.</w:t>
      </w:r>
      <w:proofErr w:type="gramEnd"/>
      <w:r w:rsidRPr="0012525F">
        <w:t xml:space="preserve"> above 0.8 mg/kg), </w:t>
      </w:r>
      <w:r w:rsidR="0036788E" w:rsidRPr="0012525F">
        <w:t>the Department of Agriculture</w:t>
      </w:r>
      <w:r w:rsidR="001F5AB1">
        <w:t>,</w:t>
      </w:r>
      <w:r w:rsidR="002871A6">
        <w:t xml:space="preserve"> </w:t>
      </w:r>
      <w:r w:rsidR="0036788E" w:rsidRPr="0012525F">
        <w:t>Water</w:t>
      </w:r>
      <w:r w:rsidR="001F5AB1">
        <w:t xml:space="preserve"> and the Environment</w:t>
      </w:r>
      <w:r w:rsidR="00325739">
        <w:t xml:space="preserve"> </w:t>
      </w:r>
      <w:r w:rsidR="00432556">
        <w:t>(the department)</w:t>
      </w:r>
      <w:r w:rsidR="0036788E" w:rsidRPr="0012525F">
        <w:t xml:space="preserve"> </w:t>
      </w:r>
      <w:r w:rsidRPr="0012525F">
        <w:t>requires abalone sampling information from potentially affected abalone catch zones.</w:t>
      </w:r>
    </w:p>
    <w:p w14:paraId="26B1F307" w14:textId="1AD8F453" w:rsidR="001F5AB1" w:rsidRPr="008C236E" w:rsidRDefault="001F5AB1" w:rsidP="001F5AB1">
      <w:pPr>
        <w:pStyle w:val="NormalWeb"/>
        <w:shd w:val="clear" w:color="auto" w:fill="FFFFFF"/>
        <w:spacing w:after="192"/>
        <w:rPr>
          <w:rFonts w:ascii="Cambria" w:eastAsia="Calibri" w:hAnsi="Cambria" w:cs="Times New Roman"/>
          <w:sz w:val="22"/>
          <w:szCs w:val="22"/>
          <w:lang w:eastAsia="en-US"/>
        </w:rPr>
      </w:pPr>
      <w:r w:rsidRPr="008C236E">
        <w:rPr>
          <w:rFonts w:ascii="Cambria" w:eastAsia="Calibri" w:hAnsi="Cambria" w:cs="Times New Roman"/>
          <w:sz w:val="22"/>
          <w:szCs w:val="22"/>
          <w:lang w:eastAsia="en-US"/>
        </w:rPr>
        <w:t xml:space="preserve">The department published an </w:t>
      </w:r>
      <w:hyperlink r:id="rId11" w:history="1">
        <w:r w:rsidRPr="008C236E">
          <w:rPr>
            <w:rStyle w:val="Hyperlink"/>
            <w:rFonts w:ascii="Cambria" w:eastAsia="Calibri" w:hAnsi="Cambria" w:cs="Times New Roman"/>
            <w:sz w:val="22"/>
            <w:szCs w:val="22"/>
            <w:lang w:eastAsia="en-US"/>
          </w:rPr>
          <w:t>Industry Advice Notice (2020-02)</w:t>
        </w:r>
      </w:hyperlink>
      <w:r w:rsidR="002978B3" w:rsidRPr="008C236E">
        <w:rPr>
          <w:rFonts w:ascii="Cambria" w:eastAsia="Calibri" w:hAnsi="Cambria" w:cs="Times New Roman"/>
          <w:sz w:val="22"/>
          <w:szCs w:val="22"/>
          <w:lang w:eastAsia="en-US"/>
        </w:rPr>
        <w:t xml:space="preserve">, to notify State Shellfish Control Agencies that </w:t>
      </w:r>
      <w:r w:rsidRPr="008C236E">
        <w:rPr>
          <w:rFonts w:ascii="Cambria" w:eastAsia="Calibri" w:hAnsi="Cambria" w:cs="Times New Roman"/>
          <w:sz w:val="22"/>
          <w:szCs w:val="22"/>
          <w:lang w:eastAsia="en-US"/>
        </w:rPr>
        <w:t>a new method for PST analysis</w:t>
      </w:r>
      <w:r w:rsidR="002978B3" w:rsidRPr="008C236E">
        <w:rPr>
          <w:rFonts w:ascii="Cambria" w:eastAsia="Calibri" w:hAnsi="Cambria" w:cs="Times New Roman"/>
          <w:sz w:val="22"/>
          <w:szCs w:val="22"/>
          <w:lang w:eastAsia="en-US"/>
        </w:rPr>
        <w:t xml:space="preserve"> is now permitted. The </w:t>
      </w:r>
      <w:proofErr w:type="spellStart"/>
      <w:r w:rsidR="002978B3" w:rsidRPr="008C236E">
        <w:rPr>
          <w:rFonts w:ascii="Cambria" w:eastAsia="Calibri" w:hAnsi="Cambria" w:cs="Times New Roman"/>
          <w:sz w:val="22"/>
          <w:szCs w:val="22"/>
          <w:lang w:eastAsia="en-US"/>
        </w:rPr>
        <w:t>Boundy</w:t>
      </w:r>
      <w:proofErr w:type="spellEnd"/>
      <w:r w:rsidR="002978B3" w:rsidRPr="008C236E">
        <w:rPr>
          <w:rFonts w:ascii="Cambria" w:eastAsia="Calibri" w:hAnsi="Cambria" w:cs="Times New Roman"/>
          <w:sz w:val="22"/>
          <w:szCs w:val="22"/>
          <w:lang w:eastAsia="en-US"/>
        </w:rPr>
        <w:t xml:space="preserve"> method of analysis is permit</w:t>
      </w:r>
      <w:r w:rsidR="00024367" w:rsidRPr="008C236E">
        <w:rPr>
          <w:rFonts w:ascii="Cambria" w:eastAsia="Calibri" w:hAnsi="Cambria" w:cs="Times New Roman"/>
          <w:sz w:val="22"/>
          <w:szCs w:val="22"/>
          <w:lang w:eastAsia="en-US"/>
        </w:rPr>
        <w:t>ted</w:t>
      </w:r>
      <w:r w:rsidR="002978B3" w:rsidRPr="008C236E">
        <w:rPr>
          <w:rFonts w:ascii="Cambria" w:eastAsia="Calibri" w:hAnsi="Cambria" w:cs="Times New Roman"/>
          <w:sz w:val="22"/>
          <w:szCs w:val="22"/>
          <w:lang w:eastAsia="en-US"/>
        </w:rPr>
        <w:t xml:space="preserve"> for analysis in bivalve molluscan shellfish </w:t>
      </w:r>
      <w:r w:rsidRPr="008C236E">
        <w:rPr>
          <w:rFonts w:ascii="Cambria" w:eastAsia="Calibri" w:hAnsi="Cambria" w:cs="Times New Roman"/>
          <w:sz w:val="22"/>
          <w:szCs w:val="22"/>
          <w:lang w:eastAsia="en-US"/>
        </w:rPr>
        <w:t>sourced from export approved harvest areas. Th</w:t>
      </w:r>
      <w:r w:rsidR="002978B3" w:rsidRPr="008C236E">
        <w:rPr>
          <w:rFonts w:ascii="Cambria" w:eastAsia="Calibri" w:hAnsi="Cambria" w:cs="Times New Roman"/>
          <w:sz w:val="22"/>
          <w:szCs w:val="22"/>
          <w:lang w:eastAsia="en-US"/>
        </w:rPr>
        <w:t xml:space="preserve">is method </w:t>
      </w:r>
      <w:r w:rsidRPr="008C236E">
        <w:rPr>
          <w:rFonts w:ascii="Cambria" w:eastAsia="Calibri" w:hAnsi="Cambria" w:cs="Times New Roman"/>
          <w:sz w:val="22"/>
          <w:szCs w:val="22"/>
          <w:lang w:eastAsia="en-US"/>
        </w:rPr>
        <w:t>must be used in accordance with Chapter 10 of the Australian Shellfish Quality Assurance Operations Manual 2019 (domestic standard). The Lawrence method</w:t>
      </w:r>
      <w:r w:rsidR="00024367" w:rsidRPr="008C236E">
        <w:rPr>
          <w:rFonts w:ascii="Cambria" w:eastAsia="Calibri" w:hAnsi="Cambria" w:cs="Times New Roman"/>
          <w:sz w:val="22"/>
          <w:szCs w:val="22"/>
          <w:lang w:eastAsia="en-US"/>
        </w:rPr>
        <w:t xml:space="preserve"> also</w:t>
      </w:r>
      <w:r w:rsidRPr="008C236E">
        <w:rPr>
          <w:rFonts w:ascii="Cambria" w:eastAsia="Calibri" w:hAnsi="Cambria" w:cs="Times New Roman"/>
          <w:sz w:val="22"/>
          <w:szCs w:val="22"/>
          <w:lang w:eastAsia="en-US"/>
        </w:rPr>
        <w:t xml:space="preserve"> remains an accepted method for analysis of PST.</w:t>
      </w:r>
    </w:p>
    <w:p w14:paraId="275A3F47" w14:textId="77777777" w:rsidR="00A67F86" w:rsidRPr="00A67F86" w:rsidRDefault="00A67F86" w:rsidP="00A67F86">
      <w:pPr>
        <w:spacing w:after="240"/>
        <w:rPr>
          <w:b/>
          <w:sz w:val="24"/>
          <w:szCs w:val="24"/>
        </w:rPr>
      </w:pPr>
      <w:r w:rsidRPr="00A67F86">
        <w:rPr>
          <w:b/>
          <w:sz w:val="24"/>
          <w:szCs w:val="24"/>
        </w:rPr>
        <w:t xml:space="preserve">Sampling </w:t>
      </w:r>
      <w:r w:rsidR="00432556">
        <w:rPr>
          <w:b/>
          <w:sz w:val="24"/>
          <w:szCs w:val="24"/>
        </w:rPr>
        <w:t>i</w:t>
      </w:r>
      <w:r w:rsidRPr="00A67F86">
        <w:rPr>
          <w:b/>
          <w:sz w:val="24"/>
          <w:szCs w:val="24"/>
        </w:rPr>
        <w:t xml:space="preserve">nformation </w:t>
      </w:r>
    </w:p>
    <w:p w14:paraId="4C3A3CF7" w14:textId="77777777" w:rsidR="00A67F86" w:rsidRPr="0012525F" w:rsidRDefault="00A67F86" w:rsidP="00024367">
      <w:pPr>
        <w:numPr>
          <w:ilvl w:val="0"/>
          <w:numId w:val="12"/>
        </w:numPr>
        <w:spacing w:after="120"/>
        <w:ind w:left="714" w:hanging="357"/>
      </w:pPr>
      <w:r w:rsidRPr="0012525F">
        <w:t>A minimum of 5 abalone must be sampled from each abalone catch zone potentially affected. Samples must be taken by an independent sampler (</w:t>
      </w:r>
      <w:proofErr w:type="gramStart"/>
      <w:r w:rsidRPr="0012525F">
        <w:t>i.e.</w:t>
      </w:r>
      <w:proofErr w:type="gramEnd"/>
      <w:r w:rsidRPr="0012525F">
        <w:t xml:space="preserve"> an individual who has no investment and is not a stakeholder within the industry)</w:t>
      </w:r>
      <w:r w:rsidR="004B5212" w:rsidRPr="0012525F">
        <w:t xml:space="preserve"> or a sampler who is approved by </w:t>
      </w:r>
      <w:r w:rsidR="00432556">
        <w:t>the department</w:t>
      </w:r>
      <w:r w:rsidRPr="0012525F">
        <w:t xml:space="preserve">. </w:t>
      </w:r>
    </w:p>
    <w:p w14:paraId="7141B614" w14:textId="77777777" w:rsidR="00A67F86" w:rsidRPr="0012525F" w:rsidRDefault="00A67F86">
      <w:pPr>
        <w:numPr>
          <w:ilvl w:val="0"/>
          <w:numId w:val="12"/>
        </w:numPr>
        <w:spacing w:after="120"/>
        <w:ind w:left="714" w:hanging="357"/>
      </w:pPr>
      <w:r w:rsidRPr="0012525F">
        <w:t>Each individual abalone will have separate samples taken from the foot and the viscera (</w:t>
      </w:r>
      <w:proofErr w:type="gramStart"/>
      <w:r w:rsidRPr="0012525F">
        <w:t>i.e.</w:t>
      </w:r>
      <w:proofErr w:type="gramEnd"/>
      <w:r w:rsidRPr="0012525F">
        <w:t xml:space="preserve"> 5 foot and 5 viscera samples from each abalone catch zone potentially affected).</w:t>
      </w:r>
    </w:p>
    <w:p w14:paraId="00F3221E" w14:textId="77777777" w:rsidR="00A67F86" w:rsidRPr="0012525F" w:rsidRDefault="00A67F86">
      <w:pPr>
        <w:numPr>
          <w:ilvl w:val="0"/>
          <w:numId w:val="12"/>
        </w:numPr>
        <w:spacing w:after="120"/>
        <w:ind w:left="714" w:hanging="357"/>
      </w:pPr>
      <w:r w:rsidRPr="0012525F">
        <w:t>Foot and viscera samples from each site to be homogenised (separately), reserving a minimum of half of each individual foot and viscera homogenate.</w:t>
      </w:r>
    </w:p>
    <w:p w14:paraId="030E6815" w14:textId="77777777" w:rsidR="00024367" w:rsidRPr="008C236E" w:rsidRDefault="00A67F86">
      <w:pPr>
        <w:numPr>
          <w:ilvl w:val="0"/>
          <w:numId w:val="12"/>
        </w:numPr>
        <w:spacing w:after="120"/>
        <w:ind w:left="714" w:hanging="357"/>
      </w:pPr>
      <w:r w:rsidRPr="0012525F">
        <w:t>The homogenates from the foot (n=5) and the viscera (n=5) may be pooled (composited) to create one sample for the foot and one sample for the viscera representative of the catch zone. Alternatively, each sample may be tested separately</w:t>
      </w:r>
      <w:r w:rsidR="00024367">
        <w:rPr>
          <w:rFonts w:ascii="Calibri" w:hAnsi="Calibri" w:cs="Calibri"/>
          <w:color w:val="000000"/>
          <w:szCs w:val="21"/>
        </w:rPr>
        <w:t>.</w:t>
      </w:r>
    </w:p>
    <w:p w14:paraId="5ADEF1A4" w14:textId="77777777" w:rsidR="00024367" w:rsidRPr="00024367" w:rsidRDefault="00024367" w:rsidP="008C236E">
      <w:pPr>
        <w:numPr>
          <w:ilvl w:val="0"/>
          <w:numId w:val="12"/>
        </w:numPr>
        <w:spacing w:after="120"/>
        <w:ind w:left="714" w:hanging="357"/>
        <w:rPr>
          <w:rFonts w:ascii="Calibri" w:hAnsi="Calibri" w:cs="Calibri"/>
          <w:color w:val="000000"/>
          <w:szCs w:val="21"/>
        </w:rPr>
      </w:pPr>
      <w:r w:rsidRPr="00024367">
        <w:rPr>
          <w:rFonts w:ascii="Calibri" w:hAnsi="Calibri" w:cs="Calibri"/>
          <w:color w:val="000000"/>
          <w:szCs w:val="21"/>
        </w:rPr>
        <w:t>Determine if retest or confirmatory testing is required</w:t>
      </w:r>
    </w:p>
    <w:p w14:paraId="35E8F420" w14:textId="77777777" w:rsidR="00024367" w:rsidRDefault="00024367" w:rsidP="00024367">
      <w:pPr>
        <w:numPr>
          <w:ilvl w:val="1"/>
          <w:numId w:val="14"/>
        </w:numPr>
        <w:shd w:val="clear" w:color="auto" w:fill="FFFFFF"/>
        <w:spacing w:before="100" w:beforeAutospacing="1" w:after="100" w:afterAutospacing="1"/>
        <w:rPr>
          <w:rFonts w:ascii="Calibri" w:hAnsi="Calibri" w:cs="Calibri"/>
          <w:color w:val="000000"/>
          <w:szCs w:val="21"/>
        </w:rPr>
      </w:pPr>
      <w:r>
        <w:rPr>
          <w:rFonts w:ascii="Calibri" w:hAnsi="Calibri" w:cs="Calibri"/>
          <w:color w:val="000000"/>
          <w:szCs w:val="21"/>
        </w:rPr>
        <w:t>For samples analysed using the Lawrence method:</w:t>
      </w:r>
    </w:p>
    <w:p w14:paraId="44EA3768" w14:textId="77777777" w:rsidR="00024367" w:rsidRDefault="00024367" w:rsidP="00024367">
      <w:pPr>
        <w:numPr>
          <w:ilvl w:val="2"/>
          <w:numId w:val="15"/>
        </w:numPr>
        <w:shd w:val="clear" w:color="auto" w:fill="FFFFFF"/>
        <w:spacing w:before="100" w:beforeAutospacing="1" w:after="100" w:afterAutospacing="1"/>
        <w:rPr>
          <w:rFonts w:ascii="Calibri" w:hAnsi="Calibri" w:cs="Calibri"/>
          <w:color w:val="000000"/>
          <w:szCs w:val="21"/>
        </w:rPr>
      </w:pPr>
      <w:r>
        <w:rPr>
          <w:rFonts w:ascii="Calibri" w:hAnsi="Calibri" w:cs="Calibri"/>
          <w:color w:val="000000"/>
          <w:szCs w:val="21"/>
        </w:rPr>
        <w:t>For pooled samples that return a positive HPLC screen result at or above (≥) 0.4 mg/kg, back-testing of each individual abalone foot/viscera homogenate (n=5) from the implicated site must be undertaken. These tests will be conducted via HPLC screen result.</w:t>
      </w:r>
    </w:p>
    <w:p w14:paraId="685C6B11" w14:textId="77777777" w:rsidR="00024367" w:rsidRPr="009436AE" w:rsidRDefault="00024367" w:rsidP="008C236E">
      <w:pPr>
        <w:numPr>
          <w:ilvl w:val="2"/>
          <w:numId w:val="15"/>
        </w:numPr>
        <w:shd w:val="clear" w:color="auto" w:fill="FFFFFF"/>
        <w:spacing w:before="100" w:beforeAutospacing="1" w:after="120"/>
        <w:ind w:hanging="357"/>
        <w:rPr>
          <w:rFonts w:ascii="Calibri" w:hAnsi="Calibri" w:cs="Calibri"/>
          <w:color w:val="000000"/>
          <w:szCs w:val="21"/>
        </w:rPr>
      </w:pPr>
      <w:r>
        <w:rPr>
          <w:rFonts w:ascii="Calibri" w:hAnsi="Calibri" w:cs="Calibri"/>
          <w:color w:val="000000"/>
          <w:szCs w:val="21"/>
        </w:rPr>
        <w:t>For</w:t>
      </w:r>
      <w:r w:rsidRPr="009436AE">
        <w:rPr>
          <w:rFonts w:ascii="Calibri" w:hAnsi="Calibri" w:cs="Calibri"/>
          <w:color w:val="000000"/>
          <w:szCs w:val="21"/>
        </w:rPr>
        <w:t xml:space="preserve"> </w:t>
      </w:r>
      <w:r>
        <w:rPr>
          <w:rFonts w:ascii="Calibri" w:hAnsi="Calibri" w:cs="Calibri"/>
          <w:color w:val="000000"/>
          <w:szCs w:val="21"/>
        </w:rPr>
        <w:t xml:space="preserve">individually </w:t>
      </w:r>
      <w:proofErr w:type="gramStart"/>
      <w:r>
        <w:rPr>
          <w:rFonts w:ascii="Calibri" w:hAnsi="Calibri" w:cs="Calibri"/>
          <w:color w:val="000000"/>
          <w:szCs w:val="21"/>
        </w:rPr>
        <w:t>screen tested</w:t>
      </w:r>
      <w:proofErr w:type="gramEnd"/>
      <w:r>
        <w:rPr>
          <w:rFonts w:ascii="Calibri" w:hAnsi="Calibri" w:cs="Calibri"/>
          <w:color w:val="000000"/>
          <w:szCs w:val="21"/>
        </w:rPr>
        <w:t xml:space="preserve"> </w:t>
      </w:r>
      <w:r w:rsidRPr="009436AE">
        <w:rPr>
          <w:rFonts w:ascii="Calibri" w:hAnsi="Calibri" w:cs="Calibri"/>
          <w:color w:val="000000"/>
          <w:szCs w:val="21"/>
        </w:rPr>
        <w:t xml:space="preserve">samples </w:t>
      </w:r>
      <w:r>
        <w:rPr>
          <w:rFonts w:ascii="Calibri" w:hAnsi="Calibri" w:cs="Calibri"/>
          <w:color w:val="000000"/>
          <w:szCs w:val="21"/>
        </w:rPr>
        <w:t xml:space="preserve">that </w:t>
      </w:r>
      <w:r w:rsidRPr="009436AE">
        <w:rPr>
          <w:rFonts w:ascii="Calibri" w:hAnsi="Calibri" w:cs="Calibri"/>
          <w:color w:val="000000"/>
          <w:szCs w:val="21"/>
        </w:rPr>
        <w:t xml:space="preserve">return </w:t>
      </w:r>
      <w:r>
        <w:rPr>
          <w:rFonts w:ascii="Calibri" w:hAnsi="Calibri" w:cs="Calibri"/>
          <w:color w:val="000000"/>
          <w:szCs w:val="21"/>
        </w:rPr>
        <w:t xml:space="preserve">positive </w:t>
      </w:r>
      <w:r w:rsidRPr="009436AE">
        <w:rPr>
          <w:rFonts w:ascii="Calibri" w:hAnsi="Calibri" w:cs="Calibri"/>
          <w:color w:val="000000"/>
          <w:szCs w:val="21"/>
        </w:rPr>
        <w:t>results of ≥ 0.4 mg/kg (foot or viscera)</w:t>
      </w:r>
      <w:r>
        <w:rPr>
          <w:rFonts w:ascii="Calibri" w:hAnsi="Calibri" w:cs="Calibri"/>
          <w:color w:val="000000"/>
          <w:szCs w:val="21"/>
        </w:rPr>
        <w:t>, samples</w:t>
      </w:r>
      <w:r w:rsidRPr="009436AE">
        <w:rPr>
          <w:rFonts w:ascii="Calibri" w:hAnsi="Calibri" w:cs="Calibri"/>
          <w:color w:val="000000"/>
          <w:szCs w:val="21"/>
        </w:rPr>
        <w:t xml:space="preserve"> must have confirmatory analysis undertaken.</w:t>
      </w:r>
    </w:p>
    <w:p w14:paraId="3C8466A8" w14:textId="021636F9" w:rsidR="00024367" w:rsidRDefault="00024367" w:rsidP="008C236E">
      <w:pPr>
        <w:pStyle w:val="ListParagraph"/>
        <w:numPr>
          <w:ilvl w:val="1"/>
          <w:numId w:val="15"/>
        </w:numPr>
        <w:spacing w:after="120"/>
        <w:ind w:hanging="357"/>
        <w:contextualSpacing/>
      </w:pPr>
      <w:r>
        <w:lastRenderedPageBreak/>
        <w:t xml:space="preserve">For samples analysed using the </w:t>
      </w:r>
      <w:proofErr w:type="spellStart"/>
      <w:r>
        <w:t>Boundy</w:t>
      </w:r>
      <w:proofErr w:type="spellEnd"/>
      <w:r>
        <w:t xml:space="preserve"> method:</w:t>
      </w:r>
    </w:p>
    <w:p w14:paraId="2947A95A" w14:textId="77777777" w:rsidR="00024367" w:rsidRDefault="00024367" w:rsidP="008C236E">
      <w:pPr>
        <w:pStyle w:val="ListParagraph"/>
        <w:numPr>
          <w:ilvl w:val="0"/>
          <w:numId w:val="0"/>
        </w:numPr>
        <w:spacing w:after="120"/>
        <w:ind w:left="1440"/>
        <w:contextualSpacing/>
      </w:pPr>
    </w:p>
    <w:p w14:paraId="7C1E69EB" w14:textId="1EF5C62E" w:rsidR="00024367" w:rsidRPr="0012525F" w:rsidRDefault="00024367" w:rsidP="00024367">
      <w:pPr>
        <w:pStyle w:val="ListParagraph"/>
        <w:numPr>
          <w:ilvl w:val="2"/>
          <w:numId w:val="16"/>
        </w:numPr>
        <w:spacing w:after="120"/>
        <w:contextualSpacing/>
      </w:pPr>
      <w:r>
        <w:t>For pooled samples that return a positive result at or above (</w:t>
      </w:r>
      <w:r w:rsidRPr="0012525F">
        <w:t>≥</w:t>
      </w:r>
      <w:r>
        <w:t>) 0.16mg/kg, samples</w:t>
      </w:r>
      <w:r w:rsidR="008A5554">
        <w:t xml:space="preserve"> must be individually retested </w:t>
      </w:r>
      <w:r w:rsidR="00235E56">
        <w:t xml:space="preserve">from the affected catch zones, </w:t>
      </w:r>
      <w:r w:rsidR="008A5554">
        <w:t xml:space="preserve">using the </w:t>
      </w:r>
      <w:proofErr w:type="spellStart"/>
      <w:r w:rsidR="008A5554">
        <w:t>Boundy</w:t>
      </w:r>
      <w:proofErr w:type="spellEnd"/>
      <w:r w:rsidR="008A5554">
        <w:t xml:space="preserve"> method. Where </w:t>
      </w:r>
      <w:r w:rsidR="00235E56">
        <w:t>the re</w:t>
      </w:r>
      <w:r w:rsidR="008A5554">
        <w:t>tested samples return a positive result above 0.8mg/kg, the abalone from the affected catch zone will not be eligible for export.</w:t>
      </w:r>
    </w:p>
    <w:p w14:paraId="02A45AE6" w14:textId="77777777" w:rsidR="00A67F86" w:rsidRPr="0012525F" w:rsidRDefault="00A67F86">
      <w:pPr>
        <w:numPr>
          <w:ilvl w:val="0"/>
          <w:numId w:val="12"/>
        </w:numPr>
        <w:spacing w:after="120"/>
        <w:ind w:left="714" w:hanging="357"/>
      </w:pPr>
      <w:r w:rsidRPr="0012525F">
        <w:t xml:space="preserve">Where confirmatory tests have been undertaken, these results will be used to determine the export eligibility of abalone from the harvest zone(s) in question. </w:t>
      </w:r>
    </w:p>
    <w:p w14:paraId="763FE6EB" w14:textId="77777777" w:rsidR="00A67F86" w:rsidRPr="00A67F86" w:rsidRDefault="00A67F86" w:rsidP="00B00DFF">
      <w:pPr>
        <w:spacing w:after="200"/>
        <w:rPr>
          <w:b/>
          <w:sz w:val="28"/>
          <w:szCs w:val="28"/>
        </w:rPr>
      </w:pPr>
      <w:r w:rsidRPr="00A67F86">
        <w:rPr>
          <w:b/>
          <w:sz w:val="28"/>
          <w:szCs w:val="28"/>
        </w:rPr>
        <w:t>Export eligibility of harvest zones based on sampling</w:t>
      </w:r>
    </w:p>
    <w:p w14:paraId="0C8ABC83" w14:textId="77777777" w:rsidR="00080B36" w:rsidRPr="00B00DFF" w:rsidRDefault="00A67F86" w:rsidP="00B00DFF">
      <w:pPr>
        <w:spacing w:before="120" w:after="120"/>
      </w:pPr>
      <w:r w:rsidRPr="00B00DFF">
        <w:t>Once test results have been obtained from each abalone catch zone potentially affected, the export eligibility of each will be determined based on the PST levels found.</w:t>
      </w:r>
    </w:p>
    <w:p w14:paraId="4E817FB0" w14:textId="442C4BC3" w:rsidR="00080B36" w:rsidRPr="00B00DFF" w:rsidRDefault="00A67F86" w:rsidP="008C236E">
      <w:pPr>
        <w:pStyle w:val="ListBullet"/>
      </w:pPr>
      <w:r w:rsidRPr="00B00DFF">
        <w:t>For live export to be permitted from a harvest zone, the PST levels in both the foot and</w:t>
      </w:r>
      <w:r w:rsidR="00021571">
        <w:t xml:space="preserve"> viscera of all abalone tested </w:t>
      </w:r>
      <w:r w:rsidRPr="00B00DFF">
        <w:t xml:space="preserve">must be below </w:t>
      </w:r>
      <w:bookmarkStart w:id="0" w:name="OLE_LINK1"/>
      <w:bookmarkStart w:id="1" w:name="OLE_LINK2"/>
      <w:r w:rsidRPr="00B00DFF">
        <w:t>0.8 mg/kg</w:t>
      </w:r>
      <w:bookmarkEnd w:id="0"/>
      <w:bookmarkEnd w:id="1"/>
      <w:r w:rsidRPr="00B00DFF">
        <w:t xml:space="preserve">. Scientific advice may be sought before a final export eligibility decision is made. </w:t>
      </w:r>
    </w:p>
    <w:p w14:paraId="590C6D42" w14:textId="77777777" w:rsidR="00080B36" w:rsidRPr="00B00DFF" w:rsidRDefault="00A67F86" w:rsidP="00EB2925">
      <w:pPr>
        <w:pStyle w:val="ListBullet"/>
      </w:pPr>
      <w:r w:rsidRPr="00B00DFF">
        <w:t xml:space="preserve">Where PST levels are above 0.8 mg/kg in the viscera but are below 0.8 mg/kg in the foot, only product that has had the viscera removed and rumbled/scrubbed or pressure washed meat (and may be in final form as canned, </w:t>
      </w:r>
      <w:proofErr w:type="gramStart"/>
      <w:r w:rsidRPr="00B00DFF">
        <w:t>chilled</w:t>
      </w:r>
      <w:proofErr w:type="gramEnd"/>
      <w:r w:rsidRPr="00B00DFF">
        <w:t xml:space="preserve"> or frozen) may be exported. However, scientific advice may be sought before a final export eligibility decision is made.</w:t>
      </w:r>
    </w:p>
    <w:p w14:paraId="4CC87383" w14:textId="77777777" w:rsidR="00080B36" w:rsidRPr="00B00DFF" w:rsidRDefault="00A67F86" w:rsidP="00EB2925">
      <w:pPr>
        <w:pStyle w:val="ListBullet"/>
      </w:pPr>
      <w:r w:rsidRPr="00B00DFF">
        <w:t xml:space="preserve">Where test results show PST levels at or above 0.8 mg/kg in both foot and viscera, or where it is evident that the PST levels are increasing, export restrictions will be implemented or remain in place until further testing is undertaken and analysed. </w:t>
      </w:r>
    </w:p>
    <w:p w14:paraId="41045011" w14:textId="726362AF" w:rsidR="00080B36" w:rsidRPr="00B00DFF" w:rsidRDefault="00A67F86" w:rsidP="00EB2925">
      <w:pPr>
        <w:pStyle w:val="ListBullet"/>
      </w:pPr>
      <w:r w:rsidRPr="00B00DFF">
        <w:t xml:space="preserve">When further sampling rounds are undertaken for the purpose of lifting export sourcing restrictions for abalone, the test results will be analysed on a </w:t>
      </w:r>
      <w:r w:rsidR="00325739" w:rsidRPr="00B00DFF">
        <w:t>case-by-case</w:t>
      </w:r>
      <w:r w:rsidRPr="00B00DFF">
        <w:t xml:space="preserve"> basis and scientific advice may be sought.</w:t>
      </w:r>
    </w:p>
    <w:p w14:paraId="5D807018" w14:textId="77777777" w:rsidR="00A67F86" w:rsidRPr="00B00DFF" w:rsidRDefault="00A67F86" w:rsidP="00EB2925">
      <w:pPr>
        <w:pStyle w:val="ListBullet"/>
      </w:pPr>
      <w:r w:rsidRPr="00B00DFF">
        <w:t>Abalone catch zones in nearby areas that are not covered by TSQAP monitoring must undergo the same testing regime as has been identified ab</w:t>
      </w:r>
      <w:r w:rsidR="00B00DFF" w:rsidRPr="00B00DFF">
        <w:t>ove to be eligible to export.</w:t>
      </w:r>
    </w:p>
    <w:p w14:paraId="23593358" w14:textId="77777777" w:rsidR="00A67F86" w:rsidRPr="00A67F86" w:rsidRDefault="00A67F86" w:rsidP="00B00DFF">
      <w:pPr>
        <w:spacing w:after="200"/>
        <w:rPr>
          <w:b/>
          <w:sz w:val="24"/>
          <w:szCs w:val="24"/>
        </w:rPr>
      </w:pPr>
      <w:r w:rsidRPr="00A67F86">
        <w:rPr>
          <w:b/>
          <w:sz w:val="24"/>
          <w:szCs w:val="24"/>
        </w:rPr>
        <w:t>Obtaining export certification</w:t>
      </w:r>
    </w:p>
    <w:p w14:paraId="30137CA7" w14:textId="77777777" w:rsidR="00A67F86" w:rsidRPr="00B00DFF" w:rsidRDefault="00A67F86" w:rsidP="00B00DFF">
      <w:pPr>
        <w:spacing w:after="200"/>
      </w:pPr>
      <w:r w:rsidRPr="00B00DFF">
        <w:t>Export registered abalone processing establishments must ensure procedures are included within their approved arrangement that identify the source of all abalone (</w:t>
      </w:r>
      <w:proofErr w:type="gramStart"/>
      <w:r w:rsidRPr="00B00DFF">
        <w:t>i.e.</w:t>
      </w:r>
      <w:proofErr w:type="gramEnd"/>
      <w:r w:rsidRPr="00B00DFF">
        <w:t xml:space="preserve"> block zones). An establishment must be able to present evidence at audit that they have complied with the sourcing restrictions.</w:t>
      </w:r>
    </w:p>
    <w:p w14:paraId="76A1E9A8" w14:textId="77777777" w:rsidR="00A67F86" w:rsidRPr="00A67F86" w:rsidRDefault="00757845" w:rsidP="00A67F86">
      <w:pPr>
        <w:spacing w:after="240"/>
        <w:rPr>
          <w:b/>
          <w:sz w:val="24"/>
          <w:szCs w:val="24"/>
        </w:rPr>
      </w:pPr>
      <w:r>
        <w:rPr>
          <w:b/>
          <w:sz w:val="24"/>
          <w:szCs w:val="24"/>
        </w:rPr>
        <w:t>Canning—</w:t>
      </w:r>
      <w:r w:rsidR="00A67F86" w:rsidRPr="00A67F86">
        <w:rPr>
          <w:b/>
          <w:sz w:val="24"/>
          <w:szCs w:val="24"/>
        </w:rPr>
        <w:t>validation that canning reduces PST levels</w:t>
      </w:r>
    </w:p>
    <w:p w14:paraId="3C8DCDD0" w14:textId="77777777" w:rsidR="00A67F86" w:rsidRPr="00B00DFF" w:rsidRDefault="00432556" w:rsidP="00A67F86">
      <w:r>
        <w:t>The department</w:t>
      </w:r>
      <w:r w:rsidR="00A67F86" w:rsidRPr="00B00DFF">
        <w:t xml:space="preserve"> recognises that the canning process where </w:t>
      </w:r>
      <w:r w:rsidR="00AF35C2" w:rsidRPr="00B00DFF">
        <w:t>viscera and pigment</w:t>
      </w:r>
      <w:r w:rsidR="00A67F86" w:rsidRPr="00B00DFF">
        <w:t xml:space="preserve"> are removed through rumbling, high pressure washing or scrubbing prior to canning, may sufficiently reduce the PST levels below </w:t>
      </w:r>
      <w:r w:rsidR="00090CBA">
        <w:t>the regulatory limit (0.8 mg/kg</w:t>
      </w:r>
      <w:r w:rsidR="00A67F86" w:rsidRPr="00B00DFF">
        <w:t xml:space="preserve">). </w:t>
      </w:r>
    </w:p>
    <w:p w14:paraId="271D811A" w14:textId="77777777" w:rsidR="00A67F86" w:rsidRPr="00B00DFF" w:rsidRDefault="00A67F86" w:rsidP="00563A6A">
      <w:pPr>
        <w:spacing w:before="120" w:after="120"/>
      </w:pPr>
      <w:r w:rsidRPr="00B00DFF">
        <w:t>However, there is insufficient data that identifies</w:t>
      </w:r>
      <w:r w:rsidR="00AF35C2" w:rsidRPr="00B00DFF">
        <w:t xml:space="preserve"> the extent of reduction of PST levels</w:t>
      </w:r>
      <w:r w:rsidRPr="00B00DFF">
        <w:t xml:space="preserve"> in abalone that occurs during this processing. </w:t>
      </w:r>
    </w:p>
    <w:p w14:paraId="31EE826F" w14:textId="77777777" w:rsidR="00A67F86" w:rsidRDefault="00A67F86" w:rsidP="008054E2">
      <w:pPr>
        <w:spacing w:after="200"/>
      </w:pPr>
      <w:r w:rsidRPr="00B00DFF">
        <w:t>Until results are presented that support the reduction in PST levels (</w:t>
      </w:r>
      <w:proofErr w:type="gramStart"/>
      <w:r w:rsidRPr="00B00DFF">
        <w:t>i.e.</w:t>
      </w:r>
      <w:proofErr w:type="gramEnd"/>
      <w:r w:rsidRPr="00B00DFF">
        <w:t xml:space="preserve"> pre and post processing analysis of abalone samples), </w:t>
      </w:r>
      <w:r w:rsidR="00432556">
        <w:t>the department</w:t>
      </w:r>
      <w:r w:rsidRPr="00B00DFF">
        <w:t xml:space="preserve"> will require end product testing of canned abalone product where sourcing restrictions are currently in place</w:t>
      </w:r>
      <w:r w:rsidRPr="00A67F86">
        <w:rPr>
          <w:sz w:val="24"/>
          <w:szCs w:val="24"/>
        </w:rPr>
        <w:t>.</w:t>
      </w:r>
    </w:p>
    <w:p w14:paraId="260EBAD0" w14:textId="77777777" w:rsidR="00A67F86" w:rsidRPr="005C5DA7" w:rsidRDefault="008054E2" w:rsidP="00671A63">
      <w:r>
        <w:rPr>
          <w:noProof/>
          <w:lang w:eastAsia="en-AU"/>
        </w:rPr>
        <w:lastRenderedPageBreak/>
        <w:drawing>
          <wp:inline distT="0" distB="0" distL="0" distR="0" wp14:anchorId="1E2172EA" wp14:editId="04423B13">
            <wp:extent cx="5759450" cy="3279538"/>
            <wp:effectExtent l="0" t="0" r="0" b="0"/>
            <wp:docPr id="7" name="Picture 7" descr="Flowchart showing Tasmanian abalone PST management for expo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79538"/>
                    </a:xfrm>
                    <a:prstGeom prst="rect">
                      <a:avLst/>
                    </a:prstGeom>
                    <a:noFill/>
                  </pic:spPr>
                </pic:pic>
              </a:graphicData>
            </a:graphic>
          </wp:inline>
        </w:drawing>
      </w:r>
    </w:p>
    <w:sectPr w:rsidR="00A67F86" w:rsidRPr="005C5DA7" w:rsidSect="00747842">
      <w:headerReference w:type="even" r:id="rId13"/>
      <w:footerReference w:type="default" r:id="rId14"/>
      <w:headerReference w:type="first" r:id="rId15"/>
      <w:footerReference w:type="first" r:id="rId16"/>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B52BD" w14:textId="77777777" w:rsidR="00834ED0" w:rsidRDefault="00834ED0" w:rsidP="00A60185">
      <w:r>
        <w:separator/>
      </w:r>
    </w:p>
  </w:endnote>
  <w:endnote w:type="continuationSeparator" w:id="0">
    <w:p w14:paraId="34D2473E" w14:textId="77777777" w:rsidR="00834ED0" w:rsidRDefault="00834ED0"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617929"/>
      <w:docPartObj>
        <w:docPartGallery w:val="Page Numbers (Bottom of Page)"/>
        <w:docPartUnique/>
      </w:docPartObj>
    </w:sdtPr>
    <w:sdtEndPr/>
    <w:sdtContent>
      <w:sdt>
        <w:sdtPr>
          <w:id w:val="9243830"/>
          <w:docPartObj>
            <w:docPartGallery w:val="Page Numbers (Bottom of Page)"/>
            <w:docPartUnique/>
          </w:docPartObj>
        </w:sdtPr>
        <w:sdtEndPr/>
        <w:sdtContent>
          <w:sdt>
            <w:sdtPr>
              <w:id w:val="-785350122"/>
              <w:docPartObj>
                <w:docPartGallery w:val="Page Numbers (Bottom of Page)"/>
                <w:docPartUnique/>
              </w:docPartObj>
            </w:sdtPr>
            <w:sdtEndPr/>
            <w:sdtContent>
              <w:sdt>
                <w:sdtPr>
                  <w:id w:val="-447003589"/>
                  <w:docPartObj>
                    <w:docPartGallery w:val="Page Numbers (Top of Page)"/>
                    <w:docPartUnique/>
                  </w:docPartObj>
                </w:sdtPr>
                <w:sdtEndPr/>
                <w:sdtContent>
                  <w:p w14:paraId="4816894F" w14:textId="69CDD486" w:rsidR="000713B1" w:rsidRDefault="000713B1" w:rsidP="000713B1">
                    <w:pPr>
                      <w:pStyle w:val="Footer"/>
                      <w:jc w:val="left"/>
                    </w:pPr>
                    <w:r>
                      <w:t>PST in Tasmanian abalone: Export eligibility—</w:t>
                    </w:r>
                    <w:r w:rsidR="00EB02CA">
                      <w:t>2021</w:t>
                    </w:r>
                  </w:p>
                  <w:p w14:paraId="239E7611" w14:textId="77777777" w:rsidR="000713B1" w:rsidRDefault="000713B1" w:rsidP="000713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49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4907">
                      <w:rPr>
                        <w:b/>
                        <w:bCs/>
                        <w:noProof/>
                      </w:rPr>
                      <w:t>2</w:t>
                    </w:r>
                    <w:r>
                      <w:rPr>
                        <w:b/>
                        <w:bCs/>
                        <w:sz w:val="24"/>
                        <w:szCs w:val="24"/>
                      </w:rPr>
                      <w:fldChar w:fldCharType="end"/>
                    </w:r>
                  </w:p>
                </w:sdtContent>
              </w:sdt>
            </w:sdtContent>
          </w:sdt>
          <w:p w14:paraId="11241FE7" w14:textId="5B0B8CB5" w:rsidR="00B00BAC" w:rsidRDefault="00834ED0" w:rsidP="000713B1">
            <w:pPr>
              <w:pStyle w:val="Footer"/>
              <w:jc w:val="left"/>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061478"/>
      <w:docPartObj>
        <w:docPartGallery w:val="Page Numbers (Bottom of Page)"/>
        <w:docPartUnique/>
      </w:docPartObj>
    </w:sdtPr>
    <w:sdtEndPr/>
    <w:sdtContent>
      <w:sdt>
        <w:sdtPr>
          <w:id w:val="-1769616900"/>
          <w:docPartObj>
            <w:docPartGallery w:val="Page Numbers (Top of Page)"/>
            <w:docPartUnique/>
          </w:docPartObj>
        </w:sdtPr>
        <w:sdtEndPr/>
        <w:sdtContent>
          <w:p w14:paraId="4C0FE3CE" w14:textId="77777777" w:rsidR="00F625E3" w:rsidRDefault="00F625E3" w:rsidP="00F625E3">
            <w:pPr>
              <w:pStyle w:val="Footer"/>
              <w:jc w:val="left"/>
            </w:pPr>
            <w:r>
              <w:t xml:space="preserve">PST in Tasmanian </w:t>
            </w:r>
            <w:r w:rsidR="00A8068B">
              <w:t>a</w:t>
            </w:r>
            <w:r>
              <w:t>balone</w:t>
            </w:r>
            <w:r w:rsidR="00A01775">
              <w:t>: E</w:t>
            </w:r>
            <w:r w:rsidR="006B02BE">
              <w:t>xport eligibility</w:t>
            </w:r>
            <w:r>
              <w:t>—2015</w:t>
            </w:r>
          </w:p>
          <w:p w14:paraId="18A32231" w14:textId="19175CD4" w:rsidR="00F625E3" w:rsidRDefault="00F625E3" w:rsidP="00F625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490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4907">
              <w:rPr>
                <w:b/>
                <w:bCs/>
                <w:noProof/>
              </w:rPr>
              <w:t>2</w:t>
            </w:r>
            <w:r>
              <w:rPr>
                <w:b/>
                <w:bCs/>
                <w:sz w:val="24"/>
                <w:szCs w:val="24"/>
              </w:rPr>
              <w:fldChar w:fldCharType="end"/>
            </w:r>
          </w:p>
        </w:sdtContent>
      </w:sdt>
    </w:sdtContent>
  </w:sdt>
  <w:p w14:paraId="456368CC" w14:textId="77777777" w:rsidR="00B00BAC" w:rsidRPr="00E85EED" w:rsidRDefault="00B00BAC" w:rsidP="00F625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ACB4F" w14:textId="77777777" w:rsidR="00834ED0" w:rsidRDefault="00834ED0" w:rsidP="00A60185">
      <w:r>
        <w:separator/>
      </w:r>
    </w:p>
  </w:footnote>
  <w:footnote w:type="continuationSeparator" w:id="0">
    <w:p w14:paraId="6C42C128" w14:textId="77777777" w:rsidR="00834ED0" w:rsidRDefault="00834ED0"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476B" w14:textId="77777777" w:rsidR="00B00BAC" w:rsidRDefault="00B00BAC" w:rsidP="00E45765">
    <w:pPr>
      <w:pStyle w:val="Classification"/>
    </w:pPr>
    <w:r>
      <w:fldChar w:fldCharType="begin"/>
    </w:r>
    <w:r>
      <w:instrText xml:space="preserve"> DOCPROPERTY SecurityClassification \* MERGEFORMAT </w:instrText>
    </w:r>
    <w:r>
      <w:fldChar w:fldCharType="separate"/>
    </w:r>
    <w:r w:rsidR="004F2CF2">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88B7" w14:textId="77777777" w:rsidR="00410D32" w:rsidRDefault="00410D32" w:rsidP="005E35DC">
    <w:pPr>
      <w:pStyle w:val="Header"/>
      <w:jc w:val="left"/>
    </w:pPr>
  </w:p>
  <w:p w14:paraId="0AA2ADF3" w14:textId="4B509CAB" w:rsidR="00B00BAC" w:rsidRDefault="001F5AB1" w:rsidP="00B00DFF">
    <w:pPr>
      <w:pStyle w:val="Header"/>
      <w:jc w:val="left"/>
    </w:pPr>
    <w:r>
      <w:rPr>
        <w:noProof/>
      </w:rPr>
      <w:drawing>
        <wp:inline distT="0" distB="0" distL="0" distR="0" wp14:anchorId="132D7F70" wp14:editId="06B5B91E">
          <wp:extent cx="2163661" cy="808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7283" cy="8586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F762F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5B43C2F"/>
    <w:multiLevelType w:val="multilevel"/>
    <w:tmpl w:val="88D033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D0019"/>
    <w:multiLevelType w:val="hybridMultilevel"/>
    <w:tmpl w:val="CE9E19D4"/>
    <w:lvl w:ilvl="0" w:tplc="CB4E1A4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5" w15:restartNumberingAfterBreak="0">
    <w:nsid w:val="1F745BC2"/>
    <w:multiLevelType w:val="multilevel"/>
    <w:tmpl w:val="E5E89F92"/>
    <w:numStyleLink w:val="BulletList"/>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AF4A6F"/>
    <w:multiLevelType w:val="multilevel"/>
    <w:tmpl w:val="9B9C4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85C42"/>
    <w:multiLevelType w:val="hybridMultilevel"/>
    <w:tmpl w:val="236E9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3"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E334BAD"/>
    <w:multiLevelType w:val="multilevel"/>
    <w:tmpl w:val="9B9C4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12"/>
  </w:num>
  <w:num w:numId="4">
    <w:abstractNumId w:val="11"/>
  </w:num>
  <w:num w:numId="5">
    <w:abstractNumId w:val="7"/>
  </w:num>
  <w:num w:numId="6">
    <w:abstractNumId w:val="6"/>
  </w:num>
  <w:num w:numId="7">
    <w:abstractNumId w:val="10"/>
  </w:num>
  <w:num w:numId="8">
    <w:abstractNumId w:val="5"/>
  </w:num>
  <w:num w:numId="9">
    <w:abstractNumId w:val="4"/>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2"/>
  </w:num>
  <w:num w:numId="15">
    <w:abstractNumId w:val="8"/>
  </w:num>
  <w:num w:numId="16">
    <w:abstractNumId w:val="15"/>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A67F86"/>
    <w:rsid w:val="00004AEE"/>
    <w:rsid w:val="00004DAD"/>
    <w:rsid w:val="00005CAA"/>
    <w:rsid w:val="00010210"/>
    <w:rsid w:val="00014060"/>
    <w:rsid w:val="00015ADA"/>
    <w:rsid w:val="00017BB8"/>
    <w:rsid w:val="00020C99"/>
    <w:rsid w:val="00021571"/>
    <w:rsid w:val="00024367"/>
    <w:rsid w:val="000260F8"/>
    <w:rsid w:val="0002707B"/>
    <w:rsid w:val="00031219"/>
    <w:rsid w:val="0005148E"/>
    <w:rsid w:val="0005270A"/>
    <w:rsid w:val="00053EAC"/>
    <w:rsid w:val="00063AF2"/>
    <w:rsid w:val="000642C0"/>
    <w:rsid w:val="000713B1"/>
    <w:rsid w:val="000759E5"/>
    <w:rsid w:val="00080377"/>
    <w:rsid w:val="00080A47"/>
    <w:rsid w:val="00080B36"/>
    <w:rsid w:val="0008356A"/>
    <w:rsid w:val="0008410F"/>
    <w:rsid w:val="00084AC6"/>
    <w:rsid w:val="00085C49"/>
    <w:rsid w:val="00087B76"/>
    <w:rsid w:val="00090CBA"/>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2CAE"/>
    <w:rsid w:val="000D61D0"/>
    <w:rsid w:val="000D6D63"/>
    <w:rsid w:val="000E0081"/>
    <w:rsid w:val="000E07CF"/>
    <w:rsid w:val="000E0B31"/>
    <w:rsid w:val="0011498E"/>
    <w:rsid w:val="00115BF1"/>
    <w:rsid w:val="00117A45"/>
    <w:rsid w:val="001219EE"/>
    <w:rsid w:val="00122471"/>
    <w:rsid w:val="001224AE"/>
    <w:rsid w:val="00124D19"/>
    <w:rsid w:val="0012525F"/>
    <w:rsid w:val="00130725"/>
    <w:rsid w:val="001337D4"/>
    <w:rsid w:val="00141057"/>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4ECD"/>
    <w:rsid w:val="00187FA8"/>
    <w:rsid w:val="00191C5D"/>
    <w:rsid w:val="00192F5E"/>
    <w:rsid w:val="00193033"/>
    <w:rsid w:val="00197772"/>
    <w:rsid w:val="001A1768"/>
    <w:rsid w:val="001A51C8"/>
    <w:rsid w:val="001A6852"/>
    <w:rsid w:val="001A76BB"/>
    <w:rsid w:val="001B4CA8"/>
    <w:rsid w:val="001C1D95"/>
    <w:rsid w:val="001C4F3D"/>
    <w:rsid w:val="001D0CDC"/>
    <w:rsid w:val="001D1B03"/>
    <w:rsid w:val="001D1D82"/>
    <w:rsid w:val="001E0274"/>
    <w:rsid w:val="001E1182"/>
    <w:rsid w:val="001E1CE4"/>
    <w:rsid w:val="001E25B3"/>
    <w:rsid w:val="001F4075"/>
    <w:rsid w:val="001F5AB1"/>
    <w:rsid w:val="00202C90"/>
    <w:rsid w:val="002121BC"/>
    <w:rsid w:val="00212E75"/>
    <w:rsid w:val="00213DE8"/>
    <w:rsid w:val="00214B4E"/>
    <w:rsid w:val="00216118"/>
    <w:rsid w:val="002209AB"/>
    <w:rsid w:val="00224D4E"/>
    <w:rsid w:val="002251E3"/>
    <w:rsid w:val="00227A95"/>
    <w:rsid w:val="00235E56"/>
    <w:rsid w:val="0023654A"/>
    <w:rsid w:val="002473FC"/>
    <w:rsid w:val="002517A4"/>
    <w:rsid w:val="00252E3C"/>
    <w:rsid w:val="00256F50"/>
    <w:rsid w:val="00261931"/>
    <w:rsid w:val="00261EFE"/>
    <w:rsid w:val="00262198"/>
    <w:rsid w:val="0026773F"/>
    <w:rsid w:val="00285F1B"/>
    <w:rsid w:val="002871A6"/>
    <w:rsid w:val="00292B81"/>
    <w:rsid w:val="002978B3"/>
    <w:rsid w:val="002A11A4"/>
    <w:rsid w:val="002B18AE"/>
    <w:rsid w:val="002B3674"/>
    <w:rsid w:val="002C1C93"/>
    <w:rsid w:val="002C2FB1"/>
    <w:rsid w:val="002C4ABA"/>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25739"/>
    <w:rsid w:val="00330DCE"/>
    <w:rsid w:val="00331E11"/>
    <w:rsid w:val="00334761"/>
    <w:rsid w:val="00335A95"/>
    <w:rsid w:val="00341DCD"/>
    <w:rsid w:val="00342C4A"/>
    <w:rsid w:val="00344897"/>
    <w:rsid w:val="0034563E"/>
    <w:rsid w:val="003518D6"/>
    <w:rsid w:val="0035460C"/>
    <w:rsid w:val="003556BD"/>
    <w:rsid w:val="00365147"/>
    <w:rsid w:val="0036788E"/>
    <w:rsid w:val="0037016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0293"/>
    <w:rsid w:val="003D4BCD"/>
    <w:rsid w:val="003D5140"/>
    <w:rsid w:val="003E2100"/>
    <w:rsid w:val="003F6F5B"/>
    <w:rsid w:val="0040342D"/>
    <w:rsid w:val="00410D32"/>
    <w:rsid w:val="0041192D"/>
    <w:rsid w:val="004125FC"/>
    <w:rsid w:val="00413D8E"/>
    <w:rsid w:val="00413EE1"/>
    <w:rsid w:val="0042128E"/>
    <w:rsid w:val="00421FEC"/>
    <w:rsid w:val="00430252"/>
    <w:rsid w:val="00432556"/>
    <w:rsid w:val="00432B60"/>
    <w:rsid w:val="00434A49"/>
    <w:rsid w:val="00440698"/>
    <w:rsid w:val="004540E2"/>
    <w:rsid w:val="00455A78"/>
    <w:rsid w:val="0046116B"/>
    <w:rsid w:val="0046173C"/>
    <w:rsid w:val="00464930"/>
    <w:rsid w:val="00470438"/>
    <w:rsid w:val="004712A5"/>
    <w:rsid w:val="0047266F"/>
    <w:rsid w:val="00476D6B"/>
    <w:rsid w:val="00485FF0"/>
    <w:rsid w:val="00492C16"/>
    <w:rsid w:val="00493A5A"/>
    <w:rsid w:val="00497D8C"/>
    <w:rsid w:val="004A0678"/>
    <w:rsid w:val="004A3CD7"/>
    <w:rsid w:val="004A4393"/>
    <w:rsid w:val="004A48A3"/>
    <w:rsid w:val="004B0D92"/>
    <w:rsid w:val="004B0EC0"/>
    <w:rsid w:val="004B2401"/>
    <w:rsid w:val="004B4500"/>
    <w:rsid w:val="004B5212"/>
    <w:rsid w:val="004B66F1"/>
    <w:rsid w:val="004C2D49"/>
    <w:rsid w:val="004C3EA0"/>
    <w:rsid w:val="004D2555"/>
    <w:rsid w:val="004D42A8"/>
    <w:rsid w:val="004E77CD"/>
    <w:rsid w:val="004F2CF2"/>
    <w:rsid w:val="004F60AC"/>
    <w:rsid w:val="004F7169"/>
    <w:rsid w:val="00500D66"/>
    <w:rsid w:val="00514C8E"/>
    <w:rsid w:val="00522537"/>
    <w:rsid w:val="00525EF4"/>
    <w:rsid w:val="0052681E"/>
    <w:rsid w:val="00527851"/>
    <w:rsid w:val="00531DBF"/>
    <w:rsid w:val="00543215"/>
    <w:rsid w:val="00545759"/>
    <w:rsid w:val="00545BE0"/>
    <w:rsid w:val="00551C5D"/>
    <w:rsid w:val="00553F2A"/>
    <w:rsid w:val="00562E85"/>
    <w:rsid w:val="0056332F"/>
    <w:rsid w:val="00563A6A"/>
    <w:rsid w:val="00566906"/>
    <w:rsid w:val="005675AE"/>
    <w:rsid w:val="00581C39"/>
    <w:rsid w:val="00585198"/>
    <w:rsid w:val="00586CB3"/>
    <w:rsid w:val="005903B6"/>
    <w:rsid w:val="00591C88"/>
    <w:rsid w:val="005931E7"/>
    <w:rsid w:val="005A0247"/>
    <w:rsid w:val="005B0747"/>
    <w:rsid w:val="005B140D"/>
    <w:rsid w:val="005C1FEA"/>
    <w:rsid w:val="005C2672"/>
    <w:rsid w:val="005C3495"/>
    <w:rsid w:val="005C5DA7"/>
    <w:rsid w:val="005D4BC6"/>
    <w:rsid w:val="005D616F"/>
    <w:rsid w:val="005E35DC"/>
    <w:rsid w:val="005E3DFC"/>
    <w:rsid w:val="005E5D52"/>
    <w:rsid w:val="005E60AF"/>
    <w:rsid w:val="005F026B"/>
    <w:rsid w:val="005F1DEA"/>
    <w:rsid w:val="0060462F"/>
    <w:rsid w:val="0060602D"/>
    <w:rsid w:val="00607FC9"/>
    <w:rsid w:val="0061002D"/>
    <w:rsid w:val="00610D5E"/>
    <w:rsid w:val="00622FE1"/>
    <w:rsid w:val="0062521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1A63"/>
    <w:rsid w:val="00674AAE"/>
    <w:rsid w:val="00676FCA"/>
    <w:rsid w:val="00677177"/>
    <w:rsid w:val="0068612E"/>
    <w:rsid w:val="00687C92"/>
    <w:rsid w:val="0069534E"/>
    <w:rsid w:val="00695B81"/>
    <w:rsid w:val="0069669C"/>
    <w:rsid w:val="006A074A"/>
    <w:rsid w:val="006A1200"/>
    <w:rsid w:val="006A1AE4"/>
    <w:rsid w:val="006A4F4E"/>
    <w:rsid w:val="006B02BE"/>
    <w:rsid w:val="006B14DB"/>
    <w:rsid w:val="006B1612"/>
    <w:rsid w:val="006B1FFD"/>
    <w:rsid w:val="006B21C4"/>
    <w:rsid w:val="006B4FD2"/>
    <w:rsid w:val="006B6B0E"/>
    <w:rsid w:val="006C1A92"/>
    <w:rsid w:val="006C4A1A"/>
    <w:rsid w:val="006D0393"/>
    <w:rsid w:val="006D1A83"/>
    <w:rsid w:val="006E1CFE"/>
    <w:rsid w:val="006E3EB2"/>
    <w:rsid w:val="006E60DF"/>
    <w:rsid w:val="006E6B38"/>
    <w:rsid w:val="006F10C4"/>
    <w:rsid w:val="006F5051"/>
    <w:rsid w:val="006F5603"/>
    <w:rsid w:val="00701400"/>
    <w:rsid w:val="007019B4"/>
    <w:rsid w:val="007037CF"/>
    <w:rsid w:val="00713FA2"/>
    <w:rsid w:val="00716663"/>
    <w:rsid w:val="007167C0"/>
    <w:rsid w:val="00720481"/>
    <w:rsid w:val="00720E46"/>
    <w:rsid w:val="00721885"/>
    <w:rsid w:val="0073057B"/>
    <w:rsid w:val="00733193"/>
    <w:rsid w:val="007336D5"/>
    <w:rsid w:val="00734867"/>
    <w:rsid w:val="007432CE"/>
    <w:rsid w:val="00744429"/>
    <w:rsid w:val="007470BF"/>
    <w:rsid w:val="00747842"/>
    <w:rsid w:val="00751C97"/>
    <w:rsid w:val="00753A80"/>
    <w:rsid w:val="0075732A"/>
    <w:rsid w:val="00757539"/>
    <w:rsid w:val="00757845"/>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054E2"/>
    <w:rsid w:val="00810A67"/>
    <w:rsid w:val="00821A31"/>
    <w:rsid w:val="00821AC5"/>
    <w:rsid w:val="00831030"/>
    <w:rsid w:val="008316C6"/>
    <w:rsid w:val="00833CF7"/>
    <w:rsid w:val="00834ED0"/>
    <w:rsid w:val="00836622"/>
    <w:rsid w:val="00837D61"/>
    <w:rsid w:val="00843089"/>
    <w:rsid w:val="00845601"/>
    <w:rsid w:val="00853978"/>
    <w:rsid w:val="00855C5C"/>
    <w:rsid w:val="0086185F"/>
    <w:rsid w:val="00882459"/>
    <w:rsid w:val="0089105C"/>
    <w:rsid w:val="008A2B4A"/>
    <w:rsid w:val="008A3C96"/>
    <w:rsid w:val="008A5554"/>
    <w:rsid w:val="008B4019"/>
    <w:rsid w:val="008B413F"/>
    <w:rsid w:val="008B65C9"/>
    <w:rsid w:val="008C236E"/>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172A"/>
    <w:rsid w:val="0094682D"/>
    <w:rsid w:val="00947CBC"/>
    <w:rsid w:val="00952DDF"/>
    <w:rsid w:val="009611B7"/>
    <w:rsid w:val="0096170E"/>
    <w:rsid w:val="00962BA2"/>
    <w:rsid w:val="009700F2"/>
    <w:rsid w:val="00976E4A"/>
    <w:rsid w:val="00992454"/>
    <w:rsid w:val="009B38BE"/>
    <w:rsid w:val="009C333F"/>
    <w:rsid w:val="009C3D0F"/>
    <w:rsid w:val="009D00A2"/>
    <w:rsid w:val="009D2FDC"/>
    <w:rsid w:val="009E2913"/>
    <w:rsid w:val="009E6872"/>
    <w:rsid w:val="009F35E2"/>
    <w:rsid w:val="009F5BEB"/>
    <w:rsid w:val="009F65F9"/>
    <w:rsid w:val="009F68BA"/>
    <w:rsid w:val="009F7C71"/>
    <w:rsid w:val="009F7C99"/>
    <w:rsid w:val="00A01775"/>
    <w:rsid w:val="00A03884"/>
    <w:rsid w:val="00A05947"/>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079F"/>
    <w:rsid w:val="00A539B1"/>
    <w:rsid w:val="00A55F5B"/>
    <w:rsid w:val="00A57FB9"/>
    <w:rsid w:val="00A60185"/>
    <w:rsid w:val="00A62C88"/>
    <w:rsid w:val="00A65959"/>
    <w:rsid w:val="00A661EA"/>
    <w:rsid w:val="00A6706F"/>
    <w:rsid w:val="00A67F86"/>
    <w:rsid w:val="00A70809"/>
    <w:rsid w:val="00A76E17"/>
    <w:rsid w:val="00A8068B"/>
    <w:rsid w:val="00A830E5"/>
    <w:rsid w:val="00A86618"/>
    <w:rsid w:val="00A87135"/>
    <w:rsid w:val="00A919A4"/>
    <w:rsid w:val="00A93280"/>
    <w:rsid w:val="00AA2548"/>
    <w:rsid w:val="00AA58C4"/>
    <w:rsid w:val="00AB11C8"/>
    <w:rsid w:val="00AB60CF"/>
    <w:rsid w:val="00AC08A8"/>
    <w:rsid w:val="00AC5712"/>
    <w:rsid w:val="00AC73E5"/>
    <w:rsid w:val="00AD357B"/>
    <w:rsid w:val="00AD56C8"/>
    <w:rsid w:val="00AD58F2"/>
    <w:rsid w:val="00AD5BA0"/>
    <w:rsid w:val="00AE02CA"/>
    <w:rsid w:val="00AE05B4"/>
    <w:rsid w:val="00AF35C2"/>
    <w:rsid w:val="00AF3EC2"/>
    <w:rsid w:val="00AF482A"/>
    <w:rsid w:val="00B00313"/>
    <w:rsid w:val="00B00BAC"/>
    <w:rsid w:val="00B00DFF"/>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74CD"/>
    <w:rsid w:val="00B93DD0"/>
    <w:rsid w:val="00B97732"/>
    <w:rsid w:val="00BA65A8"/>
    <w:rsid w:val="00BA6D19"/>
    <w:rsid w:val="00BA7461"/>
    <w:rsid w:val="00BA7DA9"/>
    <w:rsid w:val="00BC295D"/>
    <w:rsid w:val="00BC4215"/>
    <w:rsid w:val="00BC473A"/>
    <w:rsid w:val="00BD1A6F"/>
    <w:rsid w:val="00BD2511"/>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53C7"/>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323D"/>
    <w:rsid w:val="00D23B33"/>
    <w:rsid w:val="00D26D3A"/>
    <w:rsid w:val="00D31545"/>
    <w:rsid w:val="00D33350"/>
    <w:rsid w:val="00D3508B"/>
    <w:rsid w:val="00D374CF"/>
    <w:rsid w:val="00D45EE3"/>
    <w:rsid w:val="00D50618"/>
    <w:rsid w:val="00D509E9"/>
    <w:rsid w:val="00D50A8A"/>
    <w:rsid w:val="00D53B1C"/>
    <w:rsid w:val="00D5575B"/>
    <w:rsid w:val="00D64914"/>
    <w:rsid w:val="00D80F3B"/>
    <w:rsid w:val="00DA1B12"/>
    <w:rsid w:val="00DA3946"/>
    <w:rsid w:val="00DA54C9"/>
    <w:rsid w:val="00DA6739"/>
    <w:rsid w:val="00DA6CAE"/>
    <w:rsid w:val="00DB1A9E"/>
    <w:rsid w:val="00DB31D6"/>
    <w:rsid w:val="00DB4005"/>
    <w:rsid w:val="00DC34EB"/>
    <w:rsid w:val="00DC781A"/>
    <w:rsid w:val="00DE4907"/>
    <w:rsid w:val="00DE633A"/>
    <w:rsid w:val="00DE7997"/>
    <w:rsid w:val="00DF1E5B"/>
    <w:rsid w:val="00DF2275"/>
    <w:rsid w:val="00DF3F5E"/>
    <w:rsid w:val="00DF6211"/>
    <w:rsid w:val="00DF7BCD"/>
    <w:rsid w:val="00E0596E"/>
    <w:rsid w:val="00E06F66"/>
    <w:rsid w:val="00E136BA"/>
    <w:rsid w:val="00E138B9"/>
    <w:rsid w:val="00E22AD5"/>
    <w:rsid w:val="00E35436"/>
    <w:rsid w:val="00E356E5"/>
    <w:rsid w:val="00E36F81"/>
    <w:rsid w:val="00E44648"/>
    <w:rsid w:val="00E452FA"/>
    <w:rsid w:val="00E45765"/>
    <w:rsid w:val="00E45E10"/>
    <w:rsid w:val="00E5098C"/>
    <w:rsid w:val="00E50DC9"/>
    <w:rsid w:val="00E60213"/>
    <w:rsid w:val="00E74D29"/>
    <w:rsid w:val="00E83C74"/>
    <w:rsid w:val="00E83CEE"/>
    <w:rsid w:val="00E85EED"/>
    <w:rsid w:val="00E86DB3"/>
    <w:rsid w:val="00E8776C"/>
    <w:rsid w:val="00E9226D"/>
    <w:rsid w:val="00E923D6"/>
    <w:rsid w:val="00EA337A"/>
    <w:rsid w:val="00EA5941"/>
    <w:rsid w:val="00EB02BE"/>
    <w:rsid w:val="00EB02CA"/>
    <w:rsid w:val="00EB2925"/>
    <w:rsid w:val="00EB4974"/>
    <w:rsid w:val="00EB4DFB"/>
    <w:rsid w:val="00EB60CE"/>
    <w:rsid w:val="00EB7D53"/>
    <w:rsid w:val="00EC24FD"/>
    <w:rsid w:val="00ED2725"/>
    <w:rsid w:val="00EE1E28"/>
    <w:rsid w:val="00EE2A2B"/>
    <w:rsid w:val="00EE3146"/>
    <w:rsid w:val="00EF50BB"/>
    <w:rsid w:val="00EF5EBB"/>
    <w:rsid w:val="00EF746E"/>
    <w:rsid w:val="00EF7DAD"/>
    <w:rsid w:val="00F00192"/>
    <w:rsid w:val="00F01DF6"/>
    <w:rsid w:val="00F02BA9"/>
    <w:rsid w:val="00F0340D"/>
    <w:rsid w:val="00F03B90"/>
    <w:rsid w:val="00F17623"/>
    <w:rsid w:val="00F23756"/>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25E3"/>
    <w:rsid w:val="00F65A1C"/>
    <w:rsid w:val="00F66F50"/>
    <w:rsid w:val="00F82FF8"/>
    <w:rsid w:val="00F8330D"/>
    <w:rsid w:val="00F84305"/>
    <w:rsid w:val="00F8485C"/>
    <w:rsid w:val="00F87149"/>
    <w:rsid w:val="00F87239"/>
    <w:rsid w:val="00F87998"/>
    <w:rsid w:val="00F87FFE"/>
    <w:rsid w:val="00F91335"/>
    <w:rsid w:val="00F940DB"/>
    <w:rsid w:val="00F954C9"/>
    <w:rsid w:val="00F977DD"/>
    <w:rsid w:val="00FA61AA"/>
    <w:rsid w:val="00FA62B5"/>
    <w:rsid w:val="00FA69A4"/>
    <w:rsid w:val="00FB1279"/>
    <w:rsid w:val="00FB1495"/>
    <w:rsid w:val="00FB6171"/>
    <w:rsid w:val="00FC64AE"/>
    <w:rsid w:val="00FC779B"/>
    <w:rsid w:val="00FD1694"/>
    <w:rsid w:val="00FD2FE0"/>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E383"/>
  <w15:docId w15:val="{2C94EBF6-B80F-48E2-AB85-E9E20C6A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99"/>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3884"/>
    <w:rPr>
      <w:sz w:val="16"/>
      <w:szCs w:val="16"/>
    </w:rPr>
  </w:style>
  <w:style w:type="paragraph" w:styleId="CommentText">
    <w:name w:val="annotation text"/>
    <w:basedOn w:val="Normal"/>
    <w:link w:val="CommentTextChar"/>
    <w:uiPriority w:val="99"/>
    <w:semiHidden/>
    <w:unhideWhenUsed/>
    <w:rsid w:val="00A03884"/>
    <w:rPr>
      <w:sz w:val="20"/>
      <w:szCs w:val="20"/>
    </w:rPr>
  </w:style>
  <w:style w:type="character" w:customStyle="1" w:styleId="CommentTextChar">
    <w:name w:val="Comment Text Char"/>
    <w:basedOn w:val="DefaultParagraphFont"/>
    <w:link w:val="CommentText"/>
    <w:uiPriority w:val="99"/>
    <w:semiHidden/>
    <w:rsid w:val="00A03884"/>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A03884"/>
    <w:rPr>
      <w:b/>
      <w:bCs/>
    </w:rPr>
  </w:style>
  <w:style w:type="character" w:customStyle="1" w:styleId="CommentSubjectChar">
    <w:name w:val="Comment Subject Char"/>
    <w:basedOn w:val="CommentTextChar"/>
    <w:link w:val="CommentSubject"/>
    <w:uiPriority w:val="99"/>
    <w:semiHidden/>
    <w:rsid w:val="00A03884"/>
    <w:rPr>
      <w:rFonts w:ascii="Cambria" w:hAnsi="Cambria"/>
      <w:b/>
      <w:bCs/>
      <w:sz w:val="20"/>
      <w:szCs w:val="20"/>
      <w:lang w:eastAsia="en-US"/>
    </w:rPr>
  </w:style>
  <w:style w:type="paragraph" w:styleId="Caption">
    <w:name w:val="caption"/>
    <w:basedOn w:val="Normal"/>
    <w:next w:val="Normal"/>
    <w:uiPriority w:val="35"/>
    <w:unhideWhenUsed/>
    <w:qFormat/>
    <w:rsid w:val="00090CBA"/>
    <w:pPr>
      <w:spacing w:after="200"/>
    </w:pPr>
    <w:rPr>
      <w:i/>
      <w:iCs/>
      <w:color w:val="1F497D" w:themeColor="text2"/>
      <w:sz w:val="18"/>
      <w:szCs w:val="18"/>
    </w:rPr>
  </w:style>
  <w:style w:type="character" w:styleId="Hyperlink">
    <w:name w:val="Hyperlink"/>
    <w:basedOn w:val="DefaultParagraphFont"/>
    <w:uiPriority w:val="99"/>
    <w:qFormat/>
    <w:rsid w:val="001F5AB1"/>
    <w:rPr>
      <w:color w:val="165788"/>
      <w:u w:val="single"/>
    </w:rPr>
  </w:style>
  <w:style w:type="paragraph" w:styleId="NormalWeb">
    <w:name w:val="Normal (Web)"/>
    <w:basedOn w:val="Normal"/>
    <w:uiPriority w:val="99"/>
    <w:semiHidden/>
    <w:unhideWhenUsed/>
    <w:rsid w:val="001F5AB1"/>
    <w:pPr>
      <w:spacing w:after="168" w:line="168" w:lineRule="atLeast"/>
      <w:jc w:val="both"/>
    </w:pPr>
    <w:rPr>
      <w:rFonts w:ascii="Times New Roman" w:eastAsiaTheme="minorHAnsi" w:hAnsi="Times New Roman" w:cstheme="minorBidi"/>
      <w:sz w:val="13"/>
      <w:szCs w:val="13"/>
      <w:lang w:eastAsia="en-AU"/>
    </w:rPr>
  </w:style>
  <w:style w:type="character" w:styleId="FollowedHyperlink">
    <w:name w:val="FollowedHyperlink"/>
    <w:basedOn w:val="DefaultParagraphFont"/>
    <w:uiPriority w:val="99"/>
    <w:semiHidden/>
    <w:unhideWhenUsed/>
    <w:rsid w:val="002978B3"/>
    <w:rPr>
      <w:color w:val="800080" w:themeColor="followedHyperlink"/>
      <w:u w:val="single"/>
    </w:rPr>
  </w:style>
  <w:style w:type="character" w:styleId="UnresolvedMention">
    <w:name w:val="Unresolved Mention"/>
    <w:basedOn w:val="DefaultParagraphFont"/>
    <w:uiPriority w:val="99"/>
    <w:semiHidden/>
    <w:unhideWhenUsed/>
    <w:rsid w:val="008C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export/controlled-goods/fish/industry-advice-notices/2020/2020-0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F8BE-AF40-4F56-8B6F-8312B8EE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3F56445C-DA4E-47BB-B750-940F669DDC4C}">
  <ds:schemaRefs>
    <ds:schemaRef ds:uri="http://schemas.microsoft.com/office/2006/metadata/properties"/>
  </ds:schemaRefs>
</ds:datastoreItem>
</file>

<file path=customXml/itemProps4.xml><?xml version="1.0" encoding="utf-8"?>
<ds:datastoreItem xmlns:ds="http://schemas.openxmlformats.org/officeDocument/2006/customXml" ds:itemID="{8607DBFF-A13C-479C-8282-0869002F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830</Words>
  <Characters>4734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Correspondence template</vt:lpstr>
    </vt:vector>
  </TitlesOfParts>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Abalone Policy</dc:title>
  <dc:creator>Department of Agriculture, Water and the Environment</dc:creator>
  <dc:description/>
  <cp:lastPrinted>2015-11-23T03:47:00Z</cp:lastPrinted>
  <dcterms:created xsi:type="dcterms:W3CDTF">2021-03-05T04:15:00Z</dcterms:created>
  <dcterms:modified xsi:type="dcterms:W3CDTF">2021-03-11T21:45:00Z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 Section">
    <vt:lpwstr>Information Management Division</vt:lpwstr>
  </property>
</Properties>
</file>