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E50A" w14:textId="77777777" w:rsidR="0084030B" w:rsidRDefault="0084030B" w:rsidP="00B5453F">
      <w:pPr>
        <w:pStyle w:val="Author"/>
        <w:rPr>
          <w:rFonts w:ascii="Calibri" w:hAnsi="Calibri"/>
          <w:bCs/>
          <w:spacing w:val="5"/>
          <w:kern w:val="28"/>
          <w:sz w:val="60"/>
        </w:rPr>
      </w:pPr>
      <w:r w:rsidRPr="0084030B">
        <w:rPr>
          <w:rFonts w:ascii="Calibri" w:hAnsi="Calibri"/>
          <w:bCs/>
          <w:spacing w:val="5"/>
          <w:kern w:val="28"/>
          <w:sz w:val="60"/>
        </w:rPr>
        <w:t xml:space="preserve">Context alignment </w:t>
      </w:r>
    </w:p>
    <w:p w14:paraId="3FA47524" w14:textId="77777777" w:rsidR="0084030B" w:rsidRDefault="0084030B" w:rsidP="001B1009">
      <w:pPr>
        <w:pStyle w:val="Heading2"/>
        <w:numPr>
          <w:ilvl w:val="0"/>
          <w:numId w:val="0"/>
        </w:numPr>
        <w:ind w:left="720" w:hanging="720"/>
        <w:rPr>
          <w:rFonts w:asciiTheme="minorHAnsi" w:eastAsiaTheme="minorHAnsi" w:hAnsiTheme="minorHAnsi"/>
          <w:bCs w:val="0"/>
          <w:color w:val="auto"/>
          <w:sz w:val="22"/>
          <w:szCs w:val="22"/>
          <w:lang w:eastAsia="en-US"/>
        </w:rPr>
      </w:pPr>
      <w:r w:rsidRPr="0084030B">
        <w:rPr>
          <w:rFonts w:asciiTheme="minorHAnsi" w:eastAsiaTheme="minorHAnsi" w:hAnsiTheme="minorHAnsi"/>
          <w:bCs w:val="0"/>
          <w:color w:val="auto"/>
          <w:sz w:val="22"/>
          <w:szCs w:val="22"/>
          <w:lang w:eastAsia="en-US"/>
        </w:rPr>
        <w:t>The following scenarios explain how to align a General Surveillance program to its context.</w:t>
      </w:r>
    </w:p>
    <w:p w14:paraId="139A21EB" w14:textId="2EB3AF92" w:rsidR="00E362EF" w:rsidRDefault="0084030B" w:rsidP="001B1009">
      <w:pPr>
        <w:pStyle w:val="Heading2"/>
        <w:numPr>
          <w:ilvl w:val="0"/>
          <w:numId w:val="0"/>
        </w:numPr>
        <w:ind w:left="720" w:hanging="720"/>
      </w:pPr>
      <w:r w:rsidRPr="0084030B">
        <w:t>Scenario 1: Data ownership</w:t>
      </w:r>
    </w:p>
    <w:p w14:paraId="46CCE838" w14:textId="77777777" w:rsidR="0084030B" w:rsidRDefault="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w:t>
      </w:r>
    </w:p>
    <w:p w14:paraId="64FFF433" w14:textId="2A4D3D45" w:rsidR="00E362EF" w:rsidRDefault="0084030B">
      <w:r w:rsidRPr="0084030B">
        <w:t>Data ownership is determined by the sharing arrangements and licenses in place at the time of collection. Public data is often under Creative Commons licenses, which may allow ‘free’ use but retains ownership with the original data provider.</w:t>
      </w:r>
    </w:p>
    <w:p w14:paraId="534436DD" w14:textId="35E67906" w:rsidR="0084030B" w:rsidRPr="0084030B" w:rsidRDefault="0084030B" w:rsidP="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 alignment:</w:t>
      </w:r>
    </w:p>
    <w:p w14:paraId="472DA8E6" w14:textId="2F67DDCF" w:rsidR="0084030B" w:rsidRDefault="0084030B" w:rsidP="0084030B">
      <w:pPr>
        <w:pStyle w:val="ListParagraph"/>
        <w:numPr>
          <w:ilvl w:val="0"/>
          <w:numId w:val="18"/>
        </w:numPr>
      </w:pPr>
      <w:r>
        <w:t>Data aggregator will compile data from multiple sources, and governance will necessarily vary depending on data ownership and licencing arrangements granted by each data provider.</w:t>
      </w:r>
    </w:p>
    <w:p w14:paraId="60F6B32F" w14:textId="597A8F83" w:rsidR="0084030B" w:rsidRDefault="0084030B" w:rsidP="0084030B">
      <w:pPr>
        <w:pStyle w:val="ListParagraph"/>
        <w:numPr>
          <w:ilvl w:val="0"/>
          <w:numId w:val="18"/>
        </w:numPr>
      </w:pPr>
      <w:r>
        <w:t>Need for case-by-case clarification of licensing arrangements and implications for flow on access, visibility and use via data aggregator.</w:t>
      </w:r>
    </w:p>
    <w:p w14:paraId="7495D4F0" w14:textId="77777777" w:rsidR="0084030B" w:rsidRDefault="0084030B" w:rsidP="0084030B">
      <w:pPr>
        <w:pStyle w:val="ListParagraph"/>
        <w:ind w:left="1080"/>
      </w:pPr>
    </w:p>
    <w:p w14:paraId="4BFCDBD6" w14:textId="77777777" w:rsidR="0084030B" w:rsidRDefault="0084030B" w:rsidP="0084030B">
      <w:pPr>
        <w:rPr>
          <w:rFonts w:ascii="Calibri" w:eastAsiaTheme="minorEastAsia" w:hAnsi="Calibri"/>
          <w:bCs/>
          <w:color w:val="000000"/>
          <w:sz w:val="44"/>
          <w:szCs w:val="28"/>
          <w:lang w:eastAsia="ja-JP"/>
        </w:rPr>
      </w:pPr>
      <w:r w:rsidRPr="0084030B">
        <w:rPr>
          <w:rFonts w:ascii="Calibri" w:eastAsiaTheme="minorEastAsia" w:hAnsi="Calibri"/>
          <w:bCs/>
          <w:color w:val="000000"/>
          <w:sz w:val="44"/>
          <w:szCs w:val="28"/>
          <w:lang w:eastAsia="ja-JP"/>
        </w:rPr>
        <w:t xml:space="preserve">Scenario 2: Data sensitivities </w:t>
      </w:r>
    </w:p>
    <w:p w14:paraId="4AD4F5BB" w14:textId="2C5174DC" w:rsidR="0084030B" w:rsidRDefault="0084030B" w:rsidP="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w:t>
      </w:r>
    </w:p>
    <w:p w14:paraId="1F671C07" w14:textId="77777777" w:rsidR="0084030B" w:rsidRDefault="0084030B" w:rsidP="0084030B">
      <w:r>
        <w:t>Data sharing sensitivities that may require further consideration or specific management include:</w:t>
      </w:r>
    </w:p>
    <w:p w14:paraId="51AAF0D0" w14:textId="750373C6" w:rsidR="0084030B" w:rsidRDefault="0084030B" w:rsidP="00A4295F">
      <w:pPr>
        <w:pStyle w:val="ListParagraph"/>
        <w:numPr>
          <w:ilvl w:val="0"/>
          <w:numId w:val="20"/>
        </w:numPr>
      </w:pPr>
      <w:r>
        <w:t>Threatened species data.</w:t>
      </w:r>
    </w:p>
    <w:p w14:paraId="25E54537" w14:textId="355DA1AC" w:rsidR="0084030B" w:rsidRDefault="0084030B" w:rsidP="00A4295F">
      <w:pPr>
        <w:pStyle w:val="ListParagraph"/>
        <w:numPr>
          <w:ilvl w:val="0"/>
          <w:numId w:val="20"/>
        </w:numPr>
      </w:pPr>
      <w:r>
        <w:t xml:space="preserve">Specific sites or regional location data, perhaps with temporal elements, for example, during breeding seasons or cultural sensitives. </w:t>
      </w:r>
    </w:p>
    <w:p w14:paraId="6B0726FD" w14:textId="6EB5D391" w:rsidR="0084030B" w:rsidRDefault="0084030B" w:rsidP="00A4295F">
      <w:pPr>
        <w:pStyle w:val="ListParagraph"/>
        <w:numPr>
          <w:ilvl w:val="0"/>
          <w:numId w:val="20"/>
        </w:numPr>
      </w:pPr>
      <w:r>
        <w:t xml:space="preserve">Sensitivity with regards to existing or future investigations and or legal compliance. </w:t>
      </w:r>
    </w:p>
    <w:p w14:paraId="34596D6A" w14:textId="77777777" w:rsidR="00A4295F" w:rsidRDefault="00A4295F" w:rsidP="00A4295F">
      <w:pPr>
        <w:pStyle w:val="ListParagraph"/>
        <w:ind w:left="1080"/>
      </w:pPr>
    </w:p>
    <w:p w14:paraId="4EA8E3CF" w14:textId="099317DD" w:rsidR="0084030B" w:rsidRPr="0084030B" w:rsidRDefault="0084030B" w:rsidP="00A4295F">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 alignment:</w:t>
      </w:r>
    </w:p>
    <w:p w14:paraId="55AA9EA0" w14:textId="77777777" w:rsidR="00A4295F" w:rsidRPr="00A4295F" w:rsidRDefault="00A4295F" w:rsidP="00A4295F">
      <w:pPr>
        <w:pStyle w:val="ListParagraph"/>
        <w:numPr>
          <w:ilvl w:val="0"/>
          <w:numId w:val="20"/>
        </w:numPr>
      </w:pPr>
      <w:r w:rsidRPr="00A4295F">
        <w:t>Begin bespoke discussions on specific sensitivities and data sharing implications, considering data sharing among providers/users (i.e. jurisdictional and Commonwealth government agencies, affiliated data sources) and with the public.</w:t>
      </w:r>
    </w:p>
    <w:p w14:paraId="0D945398" w14:textId="77777777" w:rsidR="00A4295F" w:rsidRPr="00A4295F" w:rsidRDefault="00A4295F" w:rsidP="00A4295F">
      <w:pPr>
        <w:pStyle w:val="ListParagraph"/>
        <w:numPr>
          <w:ilvl w:val="0"/>
          <w:numId w:val="20"/>
        </w:numPr>
      </w:pPr>
      <w:r w:rsidRPr="00A4295F">
        <w:t xml:space="preserve">Sharing arrangements could be multiple and variable depending on factors such as data source and specific sensitivities identified.  </w:t>
      </w:r>
    </w:p>
    <w:p w14:paraId="0E579E2D" w14:textId="77777777" w:rsidR="00A4295F" w:rsidRPr="00A4295F" w:rsidRDefault="00A4295F" w:rsidP="00A4295F">
      <w:pPr>
        <w:pStyle w:val="ListParagraph"/>
        <w:numPr>
          <w:ilvl w:val="0"/>
          <w:numId w:val="20"/>
        </w:numPr>
      </w:pPr>
      <w:r w:rsidRPr="00A4295F">
        <w:t>Broad agreement that rapid feedback to, and visibility of data logged by, members of the public is a high priority for encouraging and sustaining participation.</w:t>
      </w:r>
    </w:p>
    <w:p w14:paraId="05497711" w14:textId="60A15E2E" w:rsidR="00A4295F" w:rsidRDefault="00A4295F" w:rsidP="00A4295F">
      <w:pPr>
        <w:pStyle w:val="Heading2"/>
        <w:numPr>
          <w:ilvl w:val="0"/>
          <w:numId w:val="0"/>
        </w:numPr>
        <w:ind w:left="720" w:hanging="720"/>
      </w:pPr>
      <w:r w:rsidRPr="00A4295F">
        <w:lastRenderedPageBreak/>
        <w:t>Scenario 3: Streamlining data flow from notifiers</w:t>
      </w:r>
    </w:p>
    <w:p w14:paraId="54E9E03D" w14:textId="0C17BA0F" w:rsidR="0084030B" w:rsidRDefault="0084030B" w:rsidP="00A4295F">
      <w:pPr>
        <w:pStyle w:val="Heading2"/>
        <w:numPr>
          <w:ilvl w:val="0"/>
          <w:numId w:val="0"/>
        </w:numPr>
        <w:ind w:left="720" w:hanging="720"/>
        <w:rPr>
          <w:rFonts w:eastAsia="Times New Roman" w:cs="Times New Roman"/>
          <w:b/>
          <w:bCs w:val="0"/>
          <w:sz w:val="36"/>
          <w:szCs w:val="24"/>
        </w:rPr>
      </w:pPr>
      <w:r w:rsidRPr="0084030B">
        <w:rPr>
          <w:rFonts w:eastAsia="Times New Roman" w:cs="Times New Roman"/>
          <w:b/>
          <w:sz w:val="36"/>
          <w:szCs w:val="24"/>
        </w:rPr>
        <w:t>Context:</w:t>
      </w:r>
    </w:p>
    <w:p w14:paraId="2B4C5A08" w14:textId="311961A4" w:rsidR="0084030B" w:rsidRDefault="0084030B" w:rsidP="0084030B">
      <w:r w:rsidRPr="0084030B">
        <w:t>Data</w:t>
      </w:r>
      <w:r w:rsidR="00A4295F" w:rsidRPr="00A4295F">
        <w:t xml:space="preserve"> flow challenges in relation to public engagement, in particular awareness of the importance of data and how to report sightings. There are currently numerous pathways by which public reports may reach jurisdictional agencies, and difficulties in ensuring referral of reports to relevant agencies.</w:t>
      </w:r>
    </w:p>
    <w:p w14:paraId="2B269E87" w14:textId="77777777" w:rsidR="0084030B" w:rsidRPr="0084030B" w:rsidRDefault="0084030B" w:rsidP="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 alignment:</w:t>
      </w:r>
    </w:p>
    <w:p w14:paraId="2A1415C7" w14:textId="77777777" w:rsidR="00A4295F" w:rsidRPr="00A4295F" w:rsidRDefault="00A4295F" w:rsidP="00A4295F">
      <w:pPr>
        <w:pStyle w:val="ListParagraph"/>
        <w:numPr>
          <w:ilvl w:val="0"/>
          <w:numId w:val="20"/>
        </w:numPr>
      </w:pPr>
      <w:r w:rsidRPr="00A4295F">
        <w:t>Clarify desired data flow pathways in all jurisdictions and associated public messaging.</w:t>
      </w:r>
    </w:p>
    <w:p w14:paraId="5F9431B5" w14:textId="77777777" w:rsidR="00A4295F" w:rsidRPr="00A4295F" w:rsidRDefault="00A4295F" w:rsidP="00A4295F">
      <w:pPr>
        <w:pStyle w:val="ListParagraph"/>
        <w:numPr>
          <w:ilvl w:val="0"/>
          <w:numId w:val="20"/>
        </w:numPr>
      </w:pPr>
      <w:r w:rsidRPr="00A4295F">
        <w:t>Establish roles and responsibilities for communicating messages to public.</w:t>
      </w:r>
    </w:p>
    <w:p w14:paraId="5343D25B" w14:textId="77777777" w:rsidR="00A4295F" w:rsidRPr="00A4295F" w:rsidRDefault="00A4295F" w:rsidP="00A4295F">
      <w:pPr>
        <w:pStyle w:val="ListParagraph"/>
        <w:numPr>
          <w:ilvl w:val="0"/>
          <w:numId w:val="20"/>
        </w:numPr>
      </w:pPr>
      <w:r w:rsidRPr="00A4295F">
        <w:t>Explore potential for consistent messaging to public, for example, in similarity with national hotlines.</w:t>
      </w:r>
    </w:p>
    <w:p w14:paraId="6BE9D296" w14:textId="77777777" w:rsidR="00A4295F" w:rsidRDefault="00A4295F" w:rsidP="00A4295F">
      <w:pPr>
        <w:pStyle w:val="ListParagraph"/>
        <w:numPr>
          <w:ilvl w:val="0"/>
          <w:numId w:val="20"/>
        </w:numPr>
      </w:pPr>
      <w:r w:rsidRPr="00A4295F">
        <w:t>Explore mechanisms for providing feedback to – or visibility of – data logged by members of the public to encourage sustained participation.</w:t>
      </w:r>
    </w:p>
    <w:p w14:paraId="506AE0A5" w14:textId="77777777" w:rsidR="00A4295F" w:rsidRPr="00A4295F" w:rsidRDefault="00A4295F" w:rsidP="00A4295F">
      <w:pPr>
        <w:pStyle w:val="ListParagraph"/>
        <w:ind w:left="1080"/>
      </w:pPr>
    </w:p>
    <w:p w14:paraId="438258FA" w14:textId="77777777" w:rsidR="00A4295F" w:rsidRDefault="00A4295F" w:rsidP="00A4295F">
      <w:pPr>
        <w:pStyle w:val="Heading2"/>
        <w:numPr>
          <w:ilvl w:val="0"/>
          <w:numId w:val="0"/>
        </w:numPr>
        <w:ind w:left="720" w:hanging="720"/>
      </w:pPr>
      <w:r w:rsidRPr="00A4295F">
        <w:t>Scenario 4: Closing gaps in data collection, collation, sharing and use</w:t>
      </w:r>
    </w:p>
    <w:p w14:paraId="6EEB20F6" w14:textId="739202CD" w:rsidR="0084030B" w:rsidRDefault="0084030B" w:rsidP="00A4295F">
      <w:pPr>
        <w:pStyle w:val="Heading2"/>
        <w:numPr>
          <w:ilvl w:val="0"/>
          <w:numId w:val="0"/>
        </w:numPr>
        <w:ind w:left="720" w:hanging="720"/>
        <w:rPr>
          <w:rFonts w:eastAsia="Times New Roman" w:cs="Times New Roman"/>
          <w:b/>
          <w:bCs w:val="0"/>
          <w:sz w:val="36"/>
          <w:szCs w:val="24"/>
        </w:rPr>
      </w:pPr>
      <w:r w:rsidRPr="0084030B">
        <w:rPr>
          <w:rFonts w:eastAsia="Times New Roman" w:cs="Times New Roman"/>
          <w:b/>
          <w:sz w:val="36"/>
          <w:szCs w:val="24"/>
        </w:rPr>
        <w:t>Context:</w:t>
      </w:r>
    </w:p>
    <w:p w14:paraId="4D5C6E0F" w14:textId="69DABD54" w:rsidR="0084030B" w:rsidRDefault="00A4295F" w:rsidP="0084030B">
      <w:r w:rsidRPr="00A4295F">
        <w:t>Challenges in relation to variation in data collection, recording and sharing by and between jurisdictional agencies.</w:t>
      </w:r>
    </w:p>
    <w:p w14:paraId="6DF7167B" w14:textId="77777777" w:rsidR="0084030B" w:rsidRPr="0084030B" w:rsidRDefault="0084030B" w:rsidP="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 alignment:</w:t>
      </w:r>
    </w:p>
    <w:p w14:paraId="42D11790" w14:textId="77777777" w:rsidR="00A4295F" w:rsidRPr="00A4295F" w:rsidRDefault="00A4295F" w:rsidP="00A4295F">
      <w:pPr>
        <w:pStyle w:val="Heading2"/>
        <w:numPr>
          <w:ilvl w:val="0"/>
          <w:numId w:val="0"/>
        </w:numPr>
        <w:ind w:left="720" w:hanging="720"/>
        <w:rPr>
          <w:rFonts w:eastAsiaTheme="minorHAnsi" w:cs="Calibri"/>
          <w:bCs w:val="0"/>
          <w:color w:val="auto"/>
          <w:sz w:val="22"/>
          <w:szCs w:val="22"/>
          <w:lang w:eastAsia="en-US"/>
        </w:rPr>
      </w:pPr>
      <w:r w:rsidRPr="00A4295F">
        <w:rPr>
          <w:rFonts w:eastAsiaTheme="minorHAnsi" w:cs="Calibri"/>
          <w:bCs w:val="0"/>
          <w:color w:val="auto"/>
          <w:sz w:val="22"/>
          <w:szCs w:val="22"/>
          <w:lang w:eastAsia="en-US"/>
        </w:rPr>
        <w:t>Data architecture could address gaps and inconsistencies by:</w:t>
      </w:r>
    </w:p>
    <w:p w14:paraId="6A81BC69" w14:textId="77777777" w:rsidR="00A4295F" w:rsidRPr="00A4295F" w:rsidRDefault="00A4295F" w:rsidP="00A4295F">
      <w:pPr>
        <w:pStyle w:val="ListParagraph"/>
        <w:numPr>
          <w:ilvl w:val="0"/>
          <w:numId w:val="20"/>
        </w:numPr>
      </w:pPr>
      <w:r w:rsidRPr="00A4295F">
        <w:t xml:space="preserve">Promoting national-scale alignment in data collection and encouraging recording of all data via standardised tools. </w:t>
      </w:r>
    </w:p>
    <w:p w14:paraId="0E2604D4" w14:textId="77777777" w:rsidR="00A4295F" w:rsidRPr="00A4295F" w:rsidRDefault="00A4295F" w:rsidP="00A4295F">
      <w:pPr>
        <w:pStyle w:val="ListParagraph"/>
        <w:numPr>
          <w:ilvl w:val="0"/>
          <w:numId w:val="20"/>
        </w:numPr>
      </w:pPr>
      <w:r w:rsidRPr="00A4295F">
        <w:t xml:space="preserve">Developing a standardised national repository, representing a source of truth, that is accessible to relevant users. </w:t>
      </w:r>
    </w:p>
    <w:p w14:paraId="6393F615" w14:textId="77777777" w:rsidR="00A4295F" w:rsidRPr="00A4295F" w:rsidRDefault="00A4295F" w:rsidP="00A4295F">
      <w:pPr>
        <w:pStyle w:val="ListParagraph"/>
        <w:numPr>
          <w:ilvl w:val="0"/>
          <w:numId w:val="20"/>
        </w:numPr>
      </w:pPr>
      <w:r w:rsidRPr="00A4295F">
        <w:t>Providing alerts within required timeframes to relevant agencies when data meeting specified criteria is logged, for example, ranging from immediate alerts to weekly summaries.</w:t>
      </w:r>
    </w:p>
    <w:p w14:paraId="3E545EE4" w14:textId="77777777" w:rsidR="00A4295F" w:rsidRDefault="00A4295F" w:rsidP="00A4295F">
      <w:pPr>
        <w:pStyle w:val="ListParagraph"/>
        <w:numPr>
          <w:ilvl w:val="0"/>
          <w:numId w:val="20"/>
        </w:numPr>
      </w:pPr>
      <w:r w:rsidRPr="00A4295F">
        <w:t>Ensuring two-way data sharing, such that data collected directly by jurisdictions is collated into the national repository, for example, jurisdiction-managed data collection tool/s.</w:t>
      </w:r>
    </w:p>
    <w:p w14:paraId="36B393EA" w14:textId="77777777" w:rsidR="00A4295F" w:rsidRPr="00A4295F" w:rsidRDefault="00A4295F" w:rsidP="00A4295F">
      <w:pPr>
        <w:pStyle w:val="ListParagraph"/>
        <w:ind w:left="1080"/>
      </w:pPr>
    </w:p>
    <w:p w14:paraId="0D06CFC0" w14:textId="5641BC78" w:rsidR="00A4295F" w:rsidRDefault="00A4295F" w:rsidP="00A4295F">
      <w:pPr>
        <w:pStyle w:val="Heading2"/>
        <w:numPr>
          <w:ilvl w:val="0"/>
          <w:numId w:val="0"/>
        </w:numPr>
        <w:ind w:left="720" w:hanging="720"/>
      </w:pPr>
      <w:r w:rsidRPr="00A4295F">
        <w:t>Scenario 5: Efficient automated data transfer mechanisms between system participants</w:t>
      </w:r>
    </w:p>
    <w:p w14:paraId="254C2752" w14:textId="15AF9C2B" w:rsidR="0084030B" w:rsidRDefault="0084030B" w:rsidP="00A4295F">
      <w:pPr>
        <w:pStyle w:val="Heading2"/>
        <w:numPr>
          <w:ilvl w:val="0"/>
          <w:numId w:val="0"/>
        </w:numPr>
        <w:ind w:left="720" w:hanging="720"/>
        <w:rPr>
          <w:rFonts w:eastAsia="Times New Roman" w:cs="Times New Roman"/>
          <w:b/>
          <w:bCs w:val="0"/>
          <w:sz w:val="36"/>
          <w:szCs w:val="24"/>
        </w:rPr>
      </w:pPr>
      <w:r w:rsidRPr="0084030B">
        <w:rPr>
          <w:rFonts w:eastAsia="Times New Roman" w:cs="Times New Roman"/>
          <w:b/>
          <w:sz w:val="36"/>
          <w:szCs w:val="24"/>
        </w:rPr>
        <w:t>Context:</w:t>
      </w:r>
    </w:p>
    <w:p w14:paraId="758D2BEF" w14:textId="426DDEFE" w:rsidR="0084030B" w:rsidRDefault="00A4295F" w:rsidP="0084030B">
      <w:r w:rsidRPr="00A4295F">
        <w:t>Need for efficient, secure and reliable bi-directional data transfer mechanisms between national repository and system participants.</w:t>
      </w:r>
    </w:p>
    <w:p w14:paraId="43DB640A" w14:textId="77777777" w:rsidR="0084030B" w:rsidRPr="0084030B" w:rsidRDefault="0084030B" w:rsidP="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lastRenderedPageBreak/>
        <w:t>Context alignment:</w:t>
      </w:r>
    </w:p>
    <w:p w14:paraId="5D67FDD7" w14:textId="77777777" w:rsidR="00A4295F" w:rsidRDefault="00A4295F" w:rsidP="00A4295F">
      <w:pPr>
        <w:pStyle w:val="ListParagraph"/>
        <w:numPr>
          <w:ilvl w:val="0"/>
          <w:numId w:val="20"/>
        </w:numPr>
      </w:pPr>
      <w:r>
        <w:t>A Representational State Transfer (REST) Application Programming Interface (API) is likely the most efficient mechanism for automated bi-directional data transfer between the national repository and principal data users (i.e. jurisdictional and Commonwealth agencies).</w:t>
      </w:r>
    </w:p>
    <w:p w14:paraId="798202CF" w14:textId="77777777" w:rsidR="00A4295F" w:rsidRDefault="00A4295F" w:rsidP="00A4295F">
      <w:pPr>
        <w:pStyle w:val="ListParagraph"/>
        <w:numPr>
          <w:ilvl w:val="0"/>
          <w:numId w:val="20"/>
        </w:numPr>
      </w:pPr>
      <w:r>
        <w:t>This method would ensure data security, enable standardised data integration, reduce reliance on email alerts, and support internal workflows, case management and event triggers.</w:t>
      </w:r>
    </w:p>
    <w:p w14:paraId="0BB2BA03" w14:textId="77777777" w:rsidR="00A4295F" w:rsidRDefault="00A4295F" w:rsidP="00A4295F">
      <w:pPr>
        <w:pStyle w:val="ListParagraph"/>
        <w:numPr>
          <w:ilvl w:val="0"/>
          <w:numId w:val="20"/>
        </w:numPr>
      </w:pPr>
      <w:r w:rsidRPr="00D470C8">
        <w:t>Begin bespoke discussions regarding work required to establish automated two-way data transfer by REST API.</w:t>
      </w:r>
    </w:p>
    <w:p w14:paraId="6296AD79" w14:textId="77777777" w:rsidR="00A4295F" w:rsidRDefault="00A4295F" w:rsidP="00A4295F">
      <w:pPr>
        <w:pStyle w:val="ListParagraph"/>
        <w:numPr>
          <w:ilvl w:val="0"/>
          <w:numId w:val="20"/>
        </w:numPr>
      </w:pPr>
      <w:r>
        <w:t>For secondary users, manual .csv downloads could be permitted via dashboard.</w:t>
      </w:r>
    </w:p>
    <w:p w14:paraId="6D1EBC91" w14:textId="77777777" w:rsidR="00A4295F" w:rsidRDefault="00A4295F" w:rsidP="00A4295F">
      <w:pPr>
        <w:pStyle w:val="ListParagraph"/>
        <w:ind w:left="1080"/>
      </w:pPr>
    </w:p>
    <w:p w14:paraId="21552D30" w14:textId="2A56D758" w:rsidR="0084030B" w:rsidRDefault="00A4295F" w:rsidP="0084030B">
      <w:pPr>
        <w:pStyle w:val="Heading2"/>
        <w:numPr>
          <w:ilvl w:val="0"/>
          <w:numId w:val="0"/>
        </w:numPr>
        <w:ind w:left="720" w:hanging="720"/>
      </w:pPr>
      <w:r w:rsidRPr="00A4295F">
        <w:t>Scenario 6: Resource safeguarding for key system participants</w:t>
      </w:r>
    </w:p>
    <w:p w14:paraId="5BB34AA6" w14:textId="77777777" w:rsidR="0084030B" w:rsidRDefault="0084030B" w:rsidP="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w:t>
      </w:r>
    </w:p>
    <w:p w14:paraId="1B1EFA02" w14:textId="77777777" w:rsidR="00A4295F" w:rsidRDefault="00A4295F" w:rsidP="0084030B">
      <w:r w:rsidRPr="00A4295F">
        <w:t>Need for system design to effectively mitigate potential for increase in resourcing requirements for principal system participants (i.e. jurisdictional agencies).</w:t>
      </w:r>
    </w:p>
    <w:p w14:paraId="289E3D04" w14:textId="7113AE9F" w:rsidR="0084030B" w:rsidRPr="0084030B" w:rsidRDefault="0084030B" w:rsidP="0084030B">
      <w:pPr>
        <w:rPr>
          <w:rFonts w:ascii="Calibri" w:eastAsia="Times New Roman" w:hAnsi="Calibri" w:cs="Times New Roman"/>
          <w:b/>
          <w:bCs/>
          <w:sz w:val="36"/>
          <w:szCs w:val="24"/>
        </w:rPr>
      </w:pPr>
      <w:r w:rsidRPr="0084030B">
        <w:rPr>
          <w:rFonts w:ascii="Calibri" w:eastAsia="Times New Roman" w:hAnsi="Calibri" w:cs="Times New Roman"/>
          <w:b/>
          <w:bCs/>
          <w:sz w:val="36"/>
          <w:szCs w:val="24"/>
        </w:rPr>
        <w:t>Context alignment:</w:t>
      </w:r>
    </w:p>
    <w:p w14:paraId="11779658" w14:textId="77777777" w:rsidR="00A4295F" w:rsidRDefault="00A4295F" w:rsidP="00A4295F">
      <w:pPr>
        <w:pStyle w:val="ListParagraph"/>
        <w:numPr>
          <w:ilvl w:val="0"/>
          <w:numId w:val="20"/>
        </w:numPr>
      </w:pPr>
      <w:r>
        <w:t>Platform designed to ensure high quality data inputs and minimised need for follow up contact with submitter.</w:t>
      </w:r>
    </w:p>
    <w:p w14:paraId="33CF5648" w14:textId="77777777" w:rsidR="00A4295F" w:rsidRDefault="00A4295F" w:rsidP="00A4295F">
      <w:pPr>
        <w:pStyle w:val="ListParagraph"/>
        <w:numPr>
          <w:ilvl w:val="0"/>
          <w:numId w:val="20"/>
        </w:numPr>
      </w:pPr>
      <w:r>
        <w:t>Immediate email alerts for data meeting specified criteria minimises need for manual data</w:t>
      </w:r>
      <w:r w:rsidRPr="002E434E">
        <w:t xml:space="preserve"> </w:t>
      </w:r>
      <w:r>
        <w:t>screening.</w:t>
      </w:r>
    </w:p>
    <w:p w14:paraId="342DD75B" w14:textId="77777777" w:rsidR="00A4295F" w:rsidRDefault="00A4295F" w:rsidP="00A4295F">
      <w:pPr>
        <w:pStyle w:val="ListParagraph"/>
        <w:numPr>
          <w:ilvl w:val="0"/>
          <w:numId w:val="20"/>
        </w:numPr>
      </w:pPr>
      <w:r>
        <w:t>Dashboard can operate as a tool for providing situational overview/s and global analytics, with jurisdictional platforms remaining the primary workflow tools for agencies.</w:t>
      </w:r>
    </w:p>
    <w:p w14:paraId="5DAB97AC" w14:textId="77777777" w:rsidR="00A4295F" w:rsidRDefault="00A4295F" w:rsidP="00A4295F">
      <w:pPr>
        <w:pStyle w:val="ListParagraph"/>
        <w:numPr>
          <w:ilvl w:val="0"/>
          <w:numId w:val="20"/>
        </w:numPr>
      </w:pPr>
      <w:r>
        <w:t>Explore addition of ‘status’ field for individual records in dashboard that can be edited by designated users to provide visibility for relevant parties.</w:t>
      </w:r>
    </w:p>
    <w:p w14:paraId="11AC2777" w14:textId="42B593EE" w:rsidR="00E362EF" w:rsidRDefault="00E362EF"/>
    <w:sectPr w:rsidR="00E362EF" w:rsidSect="00A4295F">
      <w:headerReference w:type="even" r:id="rId11"/>
      <w:footerReference w:type="even" r:id="rId12"/>
      <w:footerReference w:type="default" r:id="rId13"/>
      <w:headerReference w:type="first" r:id="rId14"/>
      <w:footerReference w:type="first" r:id="rId15"/>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8B0F" w14:textId="77777777" w:rsidR="00E577F4" w:rsidRDefault="00E577F4">
      <w:r>
        <w:separator/>
      </w:r>
    </w:p>
    <w:p w14:paraId="10768FD3" w14:textId="77777777" w:rsidR="00E577F4" w:rsidRDefault="00E577F4"/>
    <w:p w14:paraId="2F784F2B" w14:textId="77777777" w:rsidR="00E577F4" w:rsidRDefault="00E577F4"/>
  </w:endnote>
  <w:endnote w:type="continuationSeparator" w:id="0">
    <w:p w14:paraId="57C69E22" w14:textId="77777777" w:rsidR="00E577F4" w:rsidRDefault="00E577F4">
      <w:r>
        <w:continuationSeparator/>
      </w:r>
    </w:p>
    <w:p w14:paraId="79AD586A" w14:textId="77777777" w:rsidR="00E577F4" w:rsidRDefault="00E577F4"/>
    <w:p w14:paraId="0A25C117" w14:textId="77777777" w:rsidR="00E577F4" w:rsidRDefault="00E577F4"/>
  </w:endnote>
  <w:endnote w:type="continuationNotice" w:id="1">
    <w:p w14:paraId="29C10D0A" w14:textId="77777777" w:rsidR="00E577F4" w:rsidRDefault="00E577F4">
      <w:pPr>
        <w:pStyle w:val="Footer"/>
      </w:pPr>
    </w:p>
    <w:p w14:paraId="6E1DF5B2" w14:textId="77777777" w:rsidR="00E577F4" w:rsidRDefault="00E577F4"/>
    <w:p w14:paraId="0E67AF4B" w14:textId="77777777" w:rsidR="00E577F4" w:rsidRDefault="00E57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756F" w14:textId="77777777" w:rsidR="00517F08" w:rsidRDefault="00517F08">
    <w:pPr>
      <w:pStyle w:val="Footer"/>
    </w:pPr>
    <w:r>
      <w:rPr>
        <w:noProof/>
      </w:rPr>
      <mc:AlternateContent>
        <mc:Choice Requires="wps">
          <w:drawing>
            <wp:anchor distT="0" distB="0" distL="0" distR="0" simplePos="0" relativeHeight="251676160" behindDoc="0" locked="0" layoutInCell="1" allowOverlap="1" wp14:anchorId="26CAE29B" wp14:editId="50640A7B">
              <wp:simplePos x="635" y="635"/>
              <wp:positionH relativeFrom="page">
                <wp:align>center</wp:align>
              </wp:positionH>
              <wp:positionV relativeFrom="page">
                <wp:align>bottom</wp:align>
              </wp:positionV>
              <wp:extent cx="551815" cy="404495"/>
              <wp:effectExtent l="0" t="0" r="635" b="0"/>
              <wp:wrapNone/>
              <wp:docPr id="65338776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E19173" w14:textId="77777777" w:rsidR="00517F08" w:rsidRPr="00517F08" w:rsidRDefault="00517F08" w:rsidP="00517F08">
                          <w:pPr>
                            <w:spacing w:after="0"/>
                            <w:rPr>
                              <w:rFonts w:ascii="Calibri" w:eastAsia="Calibri" w:hAnsi="Calibri" w:cs="Calibri"/>
                              <w:noProof/>
                              <w:color w:val="FF0000"/>
                              <w:sz w:val="24"/>
                              <w:szCs w:val="24"/>
                            </w:rPr>
                          </w:pPr>
                          <w:r w:rsidRPr="00517F0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CAE29B" id="_x0000_t202" coordsize="21600,21600" o:spt="202" path="m,l,21600r21600,l21600,xe">
              <v:stroke joinstyle="miter"/>
              <v:path gradientshapeok="t" o:connecttype="rect"/>
            </v:shapetype>
            <v:shape id="Text Box 17" o:spid="_x0000_s1027"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CE19173" w14:textId="77777777" w:rsidR="00517F08" w:rsidRPr="00517F08" w:rsidRDefault="00517F08" w:rsidP="00517F08">
                    <w:pPr>
                      <w:spacing w:after="0"/>
                      <w:rPr>
                        <w:rFonts w:ascii="Calibri" w:eastAsia="Calibri" w:hAnsi="Calibri" w:cs="Calibri"/>
                        <w:noProof/>
                        <w:color w:val="FF0000"/>
                        <w:sz w:val="24"/>
                        <w:szCs w:val="24"/>
                      </w:rPr>
                    </w:pPr>
                    <w:r w:rsidRPr="00517F0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3502"/>
      <w:docPartObj>
        <w:docPartGallery w:val="Page Numbers (Bottom of Page)"/>
        <w:docPartUnique/>
      </w:docPartObj>
    </w:sdtPr>
    <w:sdtEndPr>
      <w:rPr>
        <w:noProof/>
      </w:rPr>
    </w:sdtEndPr>
    <w:sdtContent>
      <w:p w14:paraId="281AABCD" w14:textId="6A0D25E1" w:rsidR="00A4295F" w:rsidRDefault="00A4295F">
        <w:pPr>
          <w:pStyle w:val="Footer"/>
        </w:pPr>
        <w:r>
          <w:fldChar w:fldCharType="begin"/>
        </w:r>
        <w:r>
          <w:instrText xml:space="preserve"> PAGE   \* MERGEFORMAT </w:instrText>
        </w:r>
        <w:r>
          <w:fldChar w:fldCharType="separate"/>
        </w:r>
        <w:r>
          <w:rPr>
            <w:noProof/>
          </w:rPr>
          <w:t>2</w:t>
        </w:r>
        <w:r>
          <w:rPr>
            <w:noProof/>
          </w:rPr>
          <w:fldChar w:fldCharType="end"/>
        </w:r>
      </w:p>
    </w:sdtContent>
  </w:sdt>
  <w:p w14:paraId="3B11FC9E" w14:textId="75E332A4" w:rsidR="002A193C" w:rsidRDefault="002A193C" w:rsidP="00517F08">
    <w:pPr>
      <w:pStyle w:val="Footer"/>
      <w:tabs>
        <w:tab w:val="left" w:pos="85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249607"/>
      <w:docPartObj>
        <w:docPartGallery w:val="Page Numbers (Bottom of Page)"/>
        <w:docPartUnique/>
      </w:docPartObj>
    </w:sdtPr>
    <w:sdtEndPr>
      <w:rPr>
        <w:noProof/>
      </w:rPr>
    </w:sdtEndPr>
    <w:sdtContent>
      <w:p w14:paraId="459F753A" w14:textId="541D3618" w:rsidR="0084030B" w:rsidRDefault="0084030B">
        <w:pPr>
          <w:pStyle w:val="Footer"/>
        </w:pPr>
        <w:r>
          <w:fldChar w:fldCharType="begin"/>
        </w:r>
        <w:r>
          <w:instrText xml:space="preserve"> PAGE   \* MERGEFORMAT </w:instrText>
        </w:r>
        <w:r>
          <w:fldChar w:fldCharType="separate"/>
        </w:r>
        <w:r>
          <w:rPr>
            <w:noProof/>
          </w:rPr>
          <w:t>2</w:t>
        </w:r>
        <w:r>
          <w:rPr>
            <w:noProof/>
          </w:rPr>
          <w:fldChar w:fldCharType="end"/>
        </w:r>
      </w:p>
    </w:sdtContent>
  </w:sdt>
  <w:p w14:paraId="643E9E8E" w14:textId="4409C38B" w:rsidR="002A193C" w:rsidRDefault="002A193C" w:rsidP="00517F08">
    <w:pPr>
      <w:pStyle w:val="Footer"/>
      <w:tabs>
        <w:tab w:val="left" w:pos="99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3325" w14:textId="77777777" w:rsidR="00E577F4" w:rsidRDefault="00E577F4">
      <w:r>
        <w:separator/>
      </w:r>
    </w:p>
    <w:p w14:paraId="036BEB4F" w14:textId="77777777" w:rsidR="00E577F4" w:rsidRDefault="00E577F4"/>
    <w:p w14:paraId="5E2EF982" w14:textId="77777777" w:rsidR="00E577F4" w:rsidRDefault="00E577F4"/>
  </w:footnote>
  <w:footnote w:type="continuationSeparator" w:id="0">
    <w:p w14:paraId="2C59065F" w14:textId="77777777" w:rsidR="00E577F4" w:rsidRDefault="00E577F4">
      <w:r>
        <w:continuationSeparator/>
      </w:r>
    </w:p>
    <w:p w14:paraId="6E563DAE" w14:textId="77777777" w:rsidR="00E577F4" w:rsidRDefault="00E577F4"/>
    <w:p w14:paraId="7D892DE0" w14:textId="77777777" w:rsidR="00E577F4" w:rsidRDefault="00E577F4"/>
  </w:footnote>
  <w:footnote w:type="continuationNotice" w:id="1">
    <w:p w14:paraId="4BEBDF42" w14:textId="77777777" w:rsidR="00E577F4" w:rsidRDefault="00E577F4">
      <w:pPr>
        <w:pStyle w:val="Footer"/>
      </w:pPr>
    </w:p>
    <w:p w14:paraId="32E0BC19" w14:textId="77777777" w:rsidR="00E577F4" w:rsidRDefault="00E577F4"/>
    <w:p w14:paraId="729CCBBE" w14:textId="77777777" w:rsidR="00E577F4" w:rsidRDefault="00E57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91D7" w14:textId="30605C92" w:rsidR="002A193C" w:rsidRDefault="00517F08">
    <w:pPr>
      <w:pStyle w:val="Header"/>
    </w:pPr>
    <w:r>
      <w:rPr>
        <w:noProof/>
        <w:lang w:val="en-US"/>
      </w:rPr>
      <mc:AlternateContent>
        <mc:Choice Requires="wps">
          <w:drawing>
            <wp:anchor distT="0" distB="0" distL="0" distR="0" simplePos="0" relativeHeight="251673088" behindDoc="0" locked="0" layoutInCell="1" allowOverlap="1" wp14:anchorId="3AE78D97" wp14:editId="602FBE42">
              <wp:simplePos x="635" y="635"/>
              <wp:positionH relativeFrom="page">
                <wp:align>center</wp:align>
              </wp:positionH>
              <wp:positionV relativeFrom="page">
                <wp:align>top</wp:align>
              </wp:positionV>
              <wp:extent cx="551815" cy="404495"/>
              <wp:effectExtent l="0" t="0" r="635" b="14605"/>
              <wp:wrapNone/>
              <wp:docPr id="27493682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A1AB5F" w14:textId="77777777" w:rsidR="00517F08" w:rsidRPr="00517F08" w:rsidRDefault="00517F08" w:rsidP="00517F08">
                          <w:pPr>
                            <w:spacing w:after="0"/>
                            <w:rPr>
                              <w:rFonts w:ascii="Calibri" w:eastAsia="Calibri" w:hAnsi="Calibri" w:cs="Calibri"/>
                              <w:noProof/>
                              <w:color w:val="FF0000"/>
                              <w:sz w:val="24"/>
                              <w:szCs w:val="24"/>
                            </w:rPr>
                          </w:pPr>
                          <w:r w:rsidRPr="00517F0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78D97" id="_x0000_t202" coordsize="21600,21600" o:spt="202" path="m,l,21600r21600,l21600,xe">
              <v:stroke joinstyle="miter"/>
              <v:path gradientshapeok="t" o:connecttype="rect"/>
            </v:shapetype>
            <v:shape id="Text Box 14" o:spid="_x0000_s1026" type="#_x0000_t202" alt="OFFICIAL" style="position:absolute;left:0;text-align:left;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AA1AB5F" w14:textId="77777777" w:rsidR="00517F08" w:rsidRPr="00517F08" w:rsidRDefault="00517F08" w:rsidP="00517F08">
                    <w:pPr>
                      <w:spacing w:after="0"/>
                      <w:rPr>
                        <w:rFonts w:ascii="Calibri" w:eastAsia="Calibri" w:hAnsi="Calibri" w:cs="Calibri"/>
                        <w:noProof/>
                        <w:color w:val="FF0000"/>
                        <w:sz w:val="24"/>
                        <w:szCs w:val="24"/>
                      </w:rPr>
                    </w:pPr>
                    <w:r w:rsidRPr="00517F0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4BC4" w14:textId="1D6618A3" w:rsidR="002A193C" w:rsidRDefault="002A193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 w15:restartNumberingAfterBreak="0">
    <w:nsid w:val="107A42B2"/>
    <w:multiLevelType w:val="hybridMultilevel"/>
    <w:tmpl w:val="D3667C74"/>
    <w:lvl w:ilvl="0" w:tplc="27BC9BE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DEE7743"/>
    <w:multiLevelType w:val="hybridMultilevel"/>
    <w:tmpl w:val="07186702"/>
    <w:lvl w:ilvl="0" w:tplc="27BC9BE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107649"/>
    <w:multiLevelType w:val="hybridMultilevel"/>
    <w:tmpl w:val="535EB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D6C99"/>
    <w:multiLevelType w:val="hybridMultilevel"/>
    <w:tmpl w:val="1EAAD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0F22BA"/>
    <w:multiLevelType w:val="hybridMultilevel"/>
    <w:tmpl w:val="D696DD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892D8D"/>
    <w:multiLevelType w:val="multilevel"/>
    <w:tmpl w:val="6BC2527A"/>
    <w:lvl w:ilvl="0">
      <w:numFmt w:val="bullet"/>
      <w:lvlText w:val="•"/>
      <w:lvlJc w:val="left"/>
      <w:pPr>
        <w:ind w:left="720" w:hanging="720"/>
      </w:pPr>
      <w:rPr>
        <w:rFonts w:ascii="Calibri" w:eastAsiaTheme="minorHAnsi" w:hAnsi="Calibri" w:cs="Calibr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BF74D8"/>
    <w:multiLevelType w:val="multilevel"/>
    <w:tmpl w:val="6BC2527A"/>
    <w:lvl w:ilvl="0">
      <w:numFmt w:val="bullet"/>
      <w:lvlText w:val="•"/>
      <w:lvlJc w:val="left"/>
      <w:pPr>
        <w:ind w:left="720" w:hanging="720"/>
      </w:pPr>
      <w:rPr>
        <w:rFonts w:ascii="Calibri" w:eastAsiaTheme="minorHAnsi" w:hAnsi="Calibri" w:cs="Calibr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5CB4130"/>
    <w:multiLevelType w:val="hybridMultilevel"/>
    <w:tmpl w:val="0264F7EC"/>
    <w:lvl w:ilvl="0" w:tplc="27BC9BE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6800B4"/>
    <w:multiLevelType w:val="multilevel"/>
    <w:tmpl w:val="A0241B28"/>
    <w:numStyleLink w:val="List1"/>
  </w:abstractNum>
  <w:abstractNum w:abstractNumId="12"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3"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1B611D"/>
    <w:multiLevelType w:val="multilevel"/>
    <w:tmpl w:val="6BC2527A"/>
    <w:lvl w:ilvl="0">
      <w:numFmt w:val="bullet"/>
      <w:lvlText w:val="•"/>
      <w:lvlJc w:val="left"/>
      <w:pPr>
        <w:ind w:left="720" w:hanging="720"/>
      </w:pPr>
      <w:rPr>
        <w:rFonts w:ascii="Calibri" w:eastAsiaTheme="minorHAnsi" w:hAnsi="Calibri" w:cs="Calibri"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16"/>
  </w:num>
  <w:num w:numId="2" w16cid:durableId="1355770275">
    <w:abstractNumId w:val="17"/>
  </w:num>
  <w:num w:numId="3" w16cid:durableId="1882862685">
    <w:abstractNumId w:val="4"/>
  </w:num>
  <w:num w:numId="4" w16cid:durableId="36050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14"/>
  </w:num>
  <w:num w:numId="6" w16cid:durableId="1314989398">
    <w:abstractNumId w:val="15"/>
  </w:num>
  <w:num w:numId="7" w16cid:durableId="951480071">
    <w:abstractNumId w:val="12"/>
  </w:num>
  <w:num w:numId="8" w16cid:durableId="844629787">
    <w:abstractNumId w:val="4"/>
    <w:lvlOverride w:ilvl="0">
      <w:lvl w:ilvl="0">
        <w:start w:val="1"/>
        <w:numFmt w:val="decimal"/>
        <w:pStyle w:val="Heading2"/>
        <w:lvlText w:val="%1"/>
        <w:lvlJc w:val="left"/>
        <w:pPr>
          <w:ind w:left="720" w:hanging="720"/>
        </w:pPr>
      </w:lvl>
    </w:lvlOverride>
  </w:num>
  <w:num w:numId="9" w16cid:durableId="1698308952">
    <w:abstractNumId w:val="16"/>
  </w:num>
  <w:num w:numId="10" w16cid:durableId="547035718">
    <w:abstractNumId w:val="17"/>
  </w:num>
  <w:num w:numId="11" w16cid:durableId="1145393031">
    <w:abstractNumId w:val="2"/>
  </w:num>
  <w:num w:numId="12" w16cid:durableId="1747845989">
    <w:abstractNumId w:val="18"/>
  </w:num>
  <w:num w:numId="13" w16cid:durableId="294875971">
    <w:abstractNumId w:val="20"/>
  </w:num>
  <w:num w:numId="14" w16cid:durableId="1322931600">
    <w:abstractNumId w:val="20"/>
  </w:num>
  <w:num w:numId="15" w16cid:durableId="140926262">
    <w:abstractNumId w:val="0"/>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5231232">
    <w:abstractNumId w:val="13"/>
  </w:num>
  <w:num w:numId="17" w16cid:durableId="252904842">
    <w:abstractNumId w:val="5"/>
  </w:num>
  <w:num w:numId="18" w16cid:durableId="1252010036">
    <w:abstractNumId w:val="3"/>
  </w:num>
  <w:num w:numId="19" w16cid:durableId="3213338">
    <w:abstractNumId w:val="1"/>
  </w:num>
  <w:num w:numId="20" w16cid:durableId="694884554">
    <w:abstractNumId w:val="10"/>
  </w:num>
  <w:num w:numId="21" w16cid:durableId="1402869308">
    <w:abstractNumId w:val="9"/>
  </w:num>
  <w:num w:numId="22" w16cid:durableId="1966541545">
    <w:abstractNumId w:val="8"/>
  </w:num>
  <w:num w:numId="23" w16cid:durableId="1222906930">
    <w:abstractNumId w:val="19"/>
  </w:num>
  <w:num w:numId="24" w16cid:durableId="1907954839">
    <w:abstractNumId w:val="6"/>
  </w:num>
  <w:num w:numId="25" w16cid:durableId="13965911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F4"/>
    <w:rsid w:val="00047CF6"/>
    <w:rsid w:val="000D6DD8"/>
    <w:rsid w:val="000E1DF3"/>
    <w:rsid w:val="00112B86"/>
    <w:rsid w:val="00142594"/>
    <w:rsid w:val="001567E9"/>
    <w:rsid w:val="00183612"/>
    <w:rsid w:val="001A1F79"/>
    <w:rsid w:val="001B1009"/>
    <w:rsid w:val="001C3583"/>
    <w:rsid w:val="001D77BC"/>
    <w:rsid w:val="001E1C4C"/>
    <w:rsid w:val="001F38E7"/>
    <w:rsid w:val="0025284E"/>
    <w:rsid w:val="00262394"/>
    <w:rsid w:val="002A193C"/>
    <w:rsid w:val="00305911"/>
    <w:rsid w:val="00310B86"/>
    <w:rsid w:val="00331130"/>
    <w:rsid w:val="00340820"/>
    <w:rsid w:val="003430EA"/>
    <w:rsid w:val="00357095"/>
    <w:rsid w:val="00362353"/>
    <w:rsid w:val="00381D23"/>
    <w:rsid w:val="00396339"/>
    <w:rsid w:val="003A4B4A"/>
    <w:rsid w:val="003D3CE1"/>
    <w:rsid w:val="003D44DC"/>
    <w:rsid w:val="00402404"/>
    <w:rsid w:val="00406AC2"/>
    <w:rsid w:val="004705F2"/>
    <w:rsid w:val="00473964"/>
    <w:rsid w:val="004837B1"/>
    <w:rsid w:val="0048569E"/>
    <w:rsid w:val="00486C20"/>
    <w:rsid w:val="00490E7F"/>
    <w:rsid w:val="004C6C47"/>
    <w:rsid w:val="004D7C0C"/>
    <w:rsid w:val="005154B6"/>
    <w:rsid w:val="00517F08"/>
    <w:rsid w:val="00521D74"/>
    <w:rsid w:val="005F0E4D"/>
    <w:rsid w:val="006111CA"/>
    <w:rsid w:val="00611DA7"/>
    <w:rsid w:val="006223C7"/>
    <w:rsid w:val="006416D4"/>
    <w:rsid w:val="00681176"/>
    <w:rsid w:val="006E6EE5"/>
    <w:rsid w:val="007405CB"/>
    <w:rsid w:val="007B1F92"/>
    <w:rsid w:val="007B3D2A"/>
    <w:rsid w:val="007C4412"/>
    <w:rsid w:val="007C5B94"/>
    <w:rsid w:val="007D20C6"/>
    <w:rsid w:val="007E3729"/>
    <w:rsid w:val="008153FE"/>
    <w:rsid w:val="0082249A"/>
    <w:rsid w:val="00833933"/>
    <w:rsid w:val="0084030B"/>
    <w:rsid w:val="008A1E5F"/>
    <w:rsid w:val="008A3190"/>
    <w:rsid w:val="008B49C8"/>
    <w:rsid w:val="008D1B48"/>
    <w:rsid w:val="0090774C"/>
    <w:rsid w:val="009679F4"/>
    <w:rsid w:val="00991227"/>
    <w:rsid w:val="0099670B"/>
    <w:rsid w:val="009D79CE"/>
    <w:rsid w:val="00A22753"/>
    <w:rsid w:val="00A26D23"/>
    <w:rsid w:val="00A4295F"/>
    <w:rsid w:val="00A9002C"/>
    <w:rsid w:val="00A91C41"/>
    <w:rsid w:val="00AA70E3"/>
    <w:rsid w:val="00AB0FBE"/>
    <w:rsid w:val="00AF1EB9"/>
    <w:rsid w:val="00AF5211"/>
    <w:rsid w:val="00B01FB8"/>
    <w:rsid w:val="00B427CF"/>
    <w:rsid w:val="00B43A41"/>
    <w:rsid w:val="00B5453F"/>
    <w:rsid w:val="00BB6ACE"/>
    <w:rsid w:val="00BC6BA3"/>
    <w:rsid w:val="00BD2275"/>
    <w:rsid w:val="00C00AAC"/>
    <w:rsid w:val="00C05EA8"/>
    <w:rsid w:val="00C06619"/>
    <w:rsid w:val="00C51E35"/>
    <w:rsid w:val="00C759F8"/>
    <w:rsid w:val="00CB766B"/>
    <w:rsid w:val="00D06356"/>
    <w:rsid w:val="00D36729"/>
    <w:rsid w:val="00D36B74"/>
    <w:rsid w:val="00D45274"/>
    <w:rsid w:val="00D45E0E"/>
    <w:rsid w:val="00D666DC"/>
    <w:rsid w:val="00D912A7"/>
    <w:rsid w:val="00DB5634"/>
    <w:rsid w:val="00DC7F42"/>
    <w:rsid w:val="00E05D92"/>
    <w:rsid w:val="00E362EF"/>
    <w:rsid w:val="00E577F4"/>
    <w:rsid w:val="00E673AD"/>
    <w:rsid w:val="00E732BE"/>
    <w:rsid w:val="00E96E54"/>
    <w:rsid w:val="00F35EE8"/>
    <w:rsid w:val="00F5349C"/>
    <w:rsid w:val="00F652BD"/>
    <w:rsid w:val="00F65DFD"/>
    <w:rsid w:val="00F90D42"/>
    <w:rsid w:val="00FB088E"/>
    <w:rsid w:val="00FB6115"/>
    <w:rsid w:val="00FD117D"/>
    <w:rsid w:val="00FD3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ACAE"/>
  <w15:docId w15:val="{00A3025A-E6CD-4BE3-9348-A69CA0B8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8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517F08"/>
    <w:pPr>
      <w:widowControl w:val="0"/>
      <w:spacing w:before="360"/>
      <w:contextualSpacing/>
      <w:outlineLvl w:val="0"/>
    </w:pPr>
    <w:rPr>
      <w:rFonts w:ascii="Calibri" w:eastAsiaTheme="minorHAnsi" w:hAnsi="Calibri" w:cstheme="minorBidi"/>
      <w:b/>
      <w:bCs/>
      <w:spacing w:val="5"/>
      <w:kern w:val="28"/>
      <w:sz w:val="60"/>
      <w:szCs w:val="28"/>
      <w:lang w:eastAsia="en-US"/>
    </w:rPr>
  </w:style>
  <w:style w:type="paragraph" w:styleId="Heading2">
    <w:name w:val="heading 2"/>
    <w:basedOn w:val="Normal"/>
    <w:next w:val="Normal"/>
    <w:link w:val="Heading2Char"/>
    <w:uiPriority w:val="3"/>
    <w:rsid w:val="00517F08"/>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517F08"/>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517F08"/>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517F08"/>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517F08"/>
    <w:pPr>
      <w:keepNext/>
      <w:keepLines/>
      <w:spacing w:before="40" w:after="0"/>
      <w:outlineLvl w:val="5"/>
    </w:pPr>
    <w:rPr>
      <w:rFonts w:eastAsiaTheme="majorEastAsia" w:cstheme="majorBidi"/>
      <w:b/>
      <w:i/>
      <w:color w:val="000000" w:themeColor="text1"/>
      <w:sz w:val="28"/>
    </w:rPr>
  </w:style>
  <w:style w:type="paragraph" w:styleId="Heading7">
    <w:name w:val="heading 7"/>
    <w:basedOn w:val="Normal"/>
    <w:next w:val="Normal"/>
    <w:link w:val="Heading7Char"/>
    <w:uiPriority w:val="9"/>
    <w:semiHidden/>
    <w:qFormat/>
    <w:rsid w:val="00517F08"/>
    <w:pPr>
      <w:keepNext/>
      <w:keepLines/>
      <w:spacing w:before="40" w:after="0"/>
      <w:outlineLvl w:val="6"/>
    </w:pPr>
    <w:rPr>
      <w:rFonts w:eastAsiaTheme="majorEastAsia" w:cstheme="majorBidi"/>
      <w:b/>
      <w:iCs/>
      <w:sz w:val="24"/>
    </w:rPr>
  </w:style>
  <w:style w:type="paragraph" w:styleId="Heading8">
    <w:name w:val="heading 8"/>
    <w:basedOn w:val="Normal"/>
    <w:next w:val="Normal"/>
    <w:link w:val="Heading8Char"/>
    <w:uiPriority w:val="9"/>
    <w:semiHidden/>
    <w:qFormat/>
    <w:rsid w:val="00517F08"/>
    <w:pPr>
      <w:keepNext/>
      <w:keepLines/>
      <w:spacing w:before="40" w:after="0"/>
      <w:outlineLvl w:val="7"/>
    </w:pPr>
    <w:rPr>
      <w:rFonts w:eastAsiaTheme="majorEastAsia" w:cstheme="majorBidi"/>
      <w:b/>
      <w:i/>
      <w:color w:val="000000" w:themeColor="text1"/>
      <w:sz w:val="24"/>
      <w:szCs w:val="21"/>
    </w:rPr>
  </w:style>
  <w:style w:type="paragraph" w:styleId="Heading9">
    <w:name w:val="heading 9"/>
    <w:basedOn w:val="Normal"/>
    <w:next w:val="Normal"/>
    <w:link w:val="Heading9Char"/>
    <w:uiPriority w:val="9"/>
    <w:semiHidden/>
    <w:qFormat/>
    <w:rsid w:val="00517F08"/>
    <w:pPr>
      <w:keepNext/>
      <w:keepLines/>
      <w:spacing w:before="40" w:after="0"/>
      <w:outlineLvl w:val="8"/>
    </w:pPr>
    <w:rPr>
      <w:rFonts w:eastAsiaTheme="majorEastAsia" w:cstheme="majorBidi"/>
      <w:b/>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B6ACE"/>
    <w:rPr>
      <w:sz w:val="20"/>
      <w:szCs w:val="20"/>
    </w:rPr>
  </w:style>
  <w:style w:type="character" w:customStyle="1" w:styleId="CommentTextChar">
    <w:name w:val="Comment Text Char"/>
    <w:basedOn w:val="DefaultParagraphFont"/>
    <w:link w:val="CommentText"/>
    <w:uiPriority w:val="99"/>
    <w:rsid w:val="00BB6ACE"/>
    <w:rPr>
      <w:rFonts w:asciiTheme="minorHAnsi" w:eastAsiaTheme="minorHAnsi" w:hAnsiTheme="minorHAnsi" w:cstheme="minorBidi"/>
      <w:lang w:eastAsia="en-US"/>
    </w:rPr>
  </w:style>
  <w:style w:type="paragraph" w:styleId="Header">
    <w:name w:val="header"/>
    <w:basedOn w:val="Normal"/>
    <w:link w:val="HeaderChar"/>
    <w:uiPriority w:val="26"/>
    <w:rsid w:val="00517F08"/>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517F08"/>
    <w:rPr>
      <w:rFonts w:ascii="Calibri" w:eastAsiaTheme="minorHAnsi" w:hAnsi="Calibri" w:cstheme="minorBidi"/>
      <w:szCs w:val="22"/>
      <w:lang w:eastAsia="en-US"/>
    </w:rPr>
  </w:style>
  <w:style w:type="paragraph" w:styleId="Footer">
    <w:name w:val="footer"/>
    <w:basedOn w:val="Normal"/>
    <w:link w:val="FooterChar"/>
    <w:uiPriority w:val="99"/>
    <w:rsid w:val="00517F08"/>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517F08"/>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517F08"/>
    <w:rPr>
      <w:rFonts w:ascii="Calibri" w:eastAsiaTheme="minorHAnsi" w:hAnsi="Calibri" w:cstheme="minorBidi"/>
      <w:b/>
      <w:bCs/>
      <w:spacing w:val="5"/>
      <w:kern w:val="28"/>
      <w:sz w:val="60"/>
      <w:szCs w:val="28"/>
      <w:lang w:eastAsia="en-US"/>
    </w:rPr>
  </w:style>
  <w:style w:type="character" w:customStyle="1" w:styleId="Heading2Char">
    <w:name w:val="Heading 2 Char"/>
    <w:basedOn w:val="DefaultParagraphFont"/>
    <w:link w:val="Heading2"/>
    <w:uiPriority w:val="3"/>
    <w:rsid w:val="00517F08"/>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517F08"/>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517F08"/>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517F08"/>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BB6AC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BB6ACE"/>
    <w:pPr>
      <w:numPr>
        <w:numId w:val="9"/>
      </w:numPr>
      <w:spacing w:before="120" w:after="120"/>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BB6ACE"/>
    <w:pPr>
      <w:numPr>
        <w:ilvl w:val="1"/>
        <w:numId w:val="9"/>
      </w:numPr>
      <w:spacing w:before="120" w:after="120"/>
      <w:contextualSpacing/>
    </w:pPr>
  </w:style>
  <w:style w:type="paragraph" w:styleId="ListNumber">
    <w:name w:val="List Number"/>
    <w:basedOn w:val="Normal"/>
    <w:uiPriority w:val="9"/>
    <w:qFormat/>
    <w:rsid w:val="00BB6ACE"/>
    <w:pPr>
      <w:numPr>
        <w:numId w:val="10"/>
      </w:numPr>
      <w:tabs>
        <w:tab w:val="left" w:pos="142"/>
      </w:tabs>
      <w:spacing w:before="120" w:after="120"/>
    </w:pPr>
  </w:style>
  <w:style w:type="paragraph" w:styleId="ListNumber2">
    <w:name w:val="List Number 2"/>
    <w:uiPriority w:val="10"/>
    <w:qFormat/>
    <w:rsid w:val="00142594"/>
    <w:pPr>
      <w:numPr>
        <w:ilvl w:val="1"/>
        <w:numId w:val="10"/>
      </w:numPr>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BB6ACE"/>
    <w:pPr>
      <w:numPr>
        <w:ilvl w:val="2"/>
        <w:numId w:val="10"/>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3D3CE1"/>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semiHidden/>
    <w:rsid w:val="00BB6ACE"/>
    <w:pPr>
      <w:spacing w:after="60" w:line="264" w:lineRule="auto"/>
    </w:pPr>
    <w:rPr>
      <w:sz w:val="20"/>
      <w:szCs w:val="20"/>
    </w:rPr>
  </w:style>
  <w:style w:type="character" w:customStyle="1" w:styleId="EndnoteTextChar">
    <w:name w:val="Endnote Text Char"/>
    <w:basedOn w:val="DefaultParagraphFont"/>
    <w:link w:val="EndnoteText"/>
    <w:uiPriority w:val="99"/>
    <w:semiHidden/>
    <w:rsid w:val="00517F08"/>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BB6ACE"/>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6E6EE5"/>
    <w:pPr>
      <w:numPr>
        <w:numId w:val="14"/>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8B49C8"/>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517F08"/>
    <w:rPr>
      <w:rFonts w:asciiTheme="minorHAnsi" w:eastAsiaTheme="majorEastAsia" w:hAnsiTheme="minorHAnsi" w:cstheme="majorBidi"/>
      <w:b/>
      <w:i/>
      <w:color w:val="000000" w:themeColor="text1"/>
      <w:sz w:val="28"/>
      <w:szCs w:val="22"/>
      <w:lang w:eastAsia="en-US"/>
    </w:rPr>
  </w:style>
  <w:style w:type="paragraph" w:customStyle="1" w:styleId="TableListNumber2">
    <w:name w:val="Table List Number 2"/>
    <w:basedOn w:val="TableText"/>
    <w:qFormat/>
    <w:rsid w:val="006E6EE5"/>
    <w:pPr>
      <w:numPr>
        <w:ilvl w:val="1"/>
        <w:numId w:val="14"/>
      </w:numPr>
    </w:pPr>
  </w:style>
  <w:style w:type="paragraph" w:customStyle="1" w:styleId="TableListNumber3">
    <w:name w:val="Table List Number 3"/>
    <w:basedOn w:val="TableText"/>
    <w:qFormat/>
    <w:rsid w:val="006E6EE5"/>
    <w:pPr>
      <w:numPr>
        <w:ilvl w:val="2"/>
        <w:numId w:val="14"/>
      </w:numPr>
    </w:pPr>
  </w:style>
  <w:style w:type="numbering" w:customStyle="1" w:styleId="Tablenumberedlists">
    <w:name w:val="Table numbered lists"/>
    <w:uiPriority w:val="99"/>
    <w:rsid w:val="006E6EE5"/>
    <w:pPr>
      <w:numPr>
        <w:numId w:val="13"/>
      </w:numPr>
    </w:pPr>
  </w:style>
  <w:style w:type="character" w:customStyle="1" w:styleId="Heading7Char">
    <w:name w:val="Heading 7 Char"/>
    <w:basedOn w:val="DefaultParagraphFont"/>
    <w:link w:val="Heading7"/>
    <w:uiPriority w:val="9"/>
    <w:semiHidden/>
    <w:rsid w:val="00517F08"/>
    <w:rPr>
      <w:rFonts w:asciiTheme="minorHAnsi" w:eastAsiaTheme="majorEastAsia" w:hAnsiTheme="minorHAnsi" w:cstheme="majorBidi"/>
      <w:b/>
      <w:iCs/>
      <w:sz w:val="24"/>
      <w:szCs w:val="22"/>
      <w:lang w:eastAsia="en-US"/>
    </w:rPr>
  </w:style>
  <w:style w:type="character" w:customStyle="1" w:styleId="Heading8Char">
    <w:name w:val="Heading 8 Char"/>
    <w:basedOn w:val="DefaultParagraphFont"/>
    <w:link w:val="Heading8"/>
    <w:uiPriority w:val="9"/>
    <w:semiHidden/>
    <w:rsid w:val="00517F08"/>
    <w:rPr>
      <w:rFonts w:asciiTheme="minorHAnsi" w:eastAsiaTheme="majorEastAsia" w:hAnsiTheme="minorHAnsi" w:cstheme="majorBidi"/>
      <w:b/>
      <w:i/>
      <w:color w:val="000000" w:themeColor="text1"/>
      <w:sz w:val="24"/>
      <w:szCs w:val="21"/>
      <w:lang w:eastAsia="en-US"/>
    </w:rPr>
  </w:style>
  <w:style w:type="character" w:customStyle="1" w:styleId="Heading9Char">
    <w:name w:val="Heading 9 Char"/>
    <w:basedOn w:val="DefaultParagraphFont"/>
    <w:link w:val="Heading9"/>
    <w:uiPriority w:val="9"/>
    <w:semiHidden/>
    <w:rsid w:val="00517F08"/>
    <w:rPr>
      <w:rFonts w:asciiTheme="minorHAnsi" w:eastAsiaTheme="majorEastAsia" w:hAnsiTheme="minorHAnsi" w:cstheme="majorBidi"/>
      <w:b/>
      <w:i/>
      <w:iCs/>
      <w:sz w:val="22"/>
      <w:szCs w:val="21"/>
      <w:lang w:eastAsia="en-US"/>
    </w:rPr>
  </w:style>
  <w:style w:type="paragraph" w:customStyle="1" w:styleId="BoxTextNumber">
    <w:name w:val="Box Text Number"/>
    <w:basedOn w:val="BoxText"/>
    <w:qFormat/>
    <w:rsid w:val="00DB563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ABARES/ABARES_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c527c9b7-9ec8-4c5f-a515-89657b78294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D5C9698-155B-476F-852E-23918860A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ABARES_short_document_template</Template>
  <TotalTime>16</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Manual for General Surveillance Program Design, Monitoring and Evaluation - Content Alignment Example</vt:lpstr>
    </vt:vector>
  </TitlesOfParts>
  <Company/>
  <LinksUpToDate>false</LinksUpToDate>
  <CharactersWithSpaces>4993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for General Surveillance Program Design, Monitoring and Evaluation - Content Alignment Example</dc:title>
  <dc:creator>Department of Agriculture, Fisheries and Forestry</dc:creator>
  <cp:revision>2</cp:revision>
  <cp:lastPrinted>2019-02-13T02:42:00Z</cp:lastPrinted>
  <dcterms:created xsi:type="dcterms:W3CDTF">2025-12-04T03:41:00Z</dcterms:created>
  <dcterms:modified xsi:type="dcterms:W3CDTF">2025-12-09T05:53:00Z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_DocHome">
    <vt:i4>986778056</vt:i4>
  </property>
  <property fmtid="{D5CDD505-2E9C-101B-9397-08002B2CF9AE}" pid="4" name="ClassificationContentMarkingHeaderShapeIds">
    <vt:lpwstr>e244b6b,106333fa,26162f37</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266b57d8,26195778,26f1e7f9,e19d45b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2024-07-25T00:36:53Z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7eabc295-1afd-4303-aa1f-ccc59879ffad</vt:lpwstr>
  </property>
  <property fmtid="{D5CDD505-2E9C-101B-9397-08002B2CF9AE}" pid="16" name="MSIP_Label_933d8be6-3c40-4052-87a2-9c2adcba8759_ContentBits">
    <vt:lpwstr>3</vt:lpwstr>
  </property>
</Properties>
</file>