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4996" w14:textId="5AAA8117" w:rsidR="00E362EF" w:rsidRPr="00A16700" w:rsidRDefault="00B0198E" w:rsidP="00A16700">
      <w:pPr>
        <w:pStyle w:val="Heading1"/>
      </w:pPr>
      <w:r w:rsidRPr="00B0198E">
        <w:t>Program logic</w:t>
      </w:r>
    </w:p>
    <w:p w14:paraId="7DC0CA60" w14:textId="5AAA8117" w:rsidR="00F65DFD" w:rsidRDefault="00F65DFD" w:rsidP="00F65DFD">
      <w:pPr>
        <w:pStyle w:val="Caption"/>
      </w:pPr>
      <w:bookmarkStart w:id="0" w:name="_Ref445985033"/>
      <w:bookmarkStart w:id="1" w:name="_Toc409769171"/>
      <w:bookmarkStart w:id="2" w:name="_Toc508272837"/>
      <w:r>
        <w:t xml:space="preserve">Table 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 w:rsidR="00B0198E">
        <w:rPr>
          <w:noProof/>
        </w:rPr>
        <w:t>1</w:t>
      </w:r>
      <w:r>
        <w:rPr>
          <w:noProof/>
        </w:rPr>
        <w:fldChar w:fldCharType="end"/>
      </w:r>
      <w:bookmarkEnd w:id="0"/>
      <w:r>
        <w:t xml:space="preserve"> </w:t>
      </w:r>
      <w:bookmarkEnd w:id="1"/>
      <w:bookmarkEnd w:id="2"/>
      <w:r w:rsidR="00B0198E">
        <w:t>Example of program logic</w:t>
      </w:r>
    </w:p>
    <w:tbl>
      <w:tblPr>
        <w:tblW w:w="5000" w:type="pct"/>
        <w:tblBorders>
          <w:top w:val="single" w:sz="6" w:space="0" w:color="auto"/>
          <w:bottom w:val="single" w:sz="4" w:space="0" w:color="auto"/>
          <w:insideH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7"/>
        <w:gridCol w:w="6803"/>
      </w:tblGrid>
      <w:tr w:rsidR="00B0198E" w14:paraId="5FDE2F2F" w14:textId="77777777" w:rsidTr="00B0198E">
        <w:trPr>
          <w:cantSplit/>
        </w:trPr>
        <w:tc>
          <w:tcPr>
            <w:tcW w:w="1250" w:type="pct"/>
            <w:tcMar>
              <w:left w:w="108" w:type="dxa"/>
              <w:right w:w="108" w:type="dxa"/>
            </w:tcMar>
          </w:tcPr>
          <w:p w14:paraId="7026542C" w14:textId="77777777" w:rsidR="00B0198E" w:rsidRPr="00B0198E" w:rsidRDefault="00B0198E" w:rsidP="00B0198E">
            <w:pPr>
              <w:pStyle w:val="TableText"/>
            </w:pPr>
            <w:r w:rsidRPr="00B0198E">
              <w:t>Long term outcome (broader outcome)</w:t>
            </w:r>
          </w:p>
        </w:tc>
        <w:tc>
          <w:tcPr>
            <w:tcW w:w="3750" w:type="pct"/>
            <w:tcMar>
              <w:left w:w="108" w:type="dxa"/>
              <w:right w:w="108" w:type="dxa"/>
            </w:tcMar>
          </w:tcPr>
          <w:p w14:paraId="10193F81" w14:textId="77777777" w:rsidR="00B0198E" w:rsidRPr="00B0198E" w:rsidRDefault="00B0198E" w:rsidP="00B0198E">
            <w:pPr>
              <w:pStyle w:val="TableText"/>
              <w:numPr>
                <w:ilvl w:val="0"/>
                <w:numId w:val="17"/>
              </w:numPr>
            </w:pPr>
            <w:r w:rsidRPr="00B0198E">
              <w:t>Surveillance of emerging weeds is underpinned by government, industry and community partnerships.</w:t>
            </w:r>
          </w:p>
          <w:p w14:paraId="09781C31" w14:textId="33A5F036" w:rsidR="00B0198E" w:rsidRPr="00B0198E" w:rsidRDefault="00B0198E" w:rsidP="00B0198E">
            <w:pPr>
              <w:pStyle w:val="TableText"/>
              <w:numPr>
                <w:ilvl w:val="0"/>
                <w:numId w:val="17"/>
              </w:numPr>
            </w:pPr>
            <w:r w:rsidRPr="00B0198E">
              <w:t>Queensland remains free of impacts from new high-risk weeds.</w:t>
            </w:r>
          </w:p>
        </w:tc>
      </w:tr>
      <w:tr w:rsidR="00B0198E" w14:paraId="5006F216" w14:textId="77777777" w:rsidTr="00B0198E">
        <w:tc>
          <w:tcPr>
            <w:tcW w:w="1250" w:type="pct"/>
            <w:tcMar>
              <w:left w:w="108" w:type="dxa"/>
              <w:right w:w="108" w:type="dxa"/>
            </w:tcMar>
          </w:tcPr>
          <w:p w14:paraId="69C4FE6E" w14:textId="77777777" w:rsidR="00B0198E" w:rsidRPr="00B0198E" w:rsidRDefault="00B0198E" w:rsidP="00B0198E">
            <w:pPr>
              <w:pStyle w:val="TableText"/>
            </w:pPr>
            <w:r w:rsidRPr="00B0198E">
              <w:t>General surveillance program outcome</w:t>
            </w:r>
          </w:p>
        </w:tc>
        <w:tc>
          <w:tcPr>
            <w:tcW w:w="3750" w:type="pct"/>
            <w:tcMar>
              <w:left w:w="108" w:type="dxa"/>
              <w:right w:w="108" w:type="dxa"/>
            </w:tcMar>
          </w:tcPr>
          <w:p w14:paraId="2AA37214" w14:textId="77777777" w:rsidR="00B0198E" w:rsidRPr="006A0F06" w:rsidRDefault="00B0198E" w:rsidP="00B0198E">
            <w:pPr>
              <w:pStyle w:val="TableText"/>
              <w:numPr>
                <w:ilvl w:val="0"/>
                <w:numId w:val="18"/>
              </w:numPr>
            </w:pPr>
            <w:r w:rsidRPr="006A0F06">
              <w:t>Local governments feel supported in protecting region from impacts of new weeds.</w:t>
            </w:r>
          </w:p>
          <w:p w14:paraId="5B5C29A1" w14:textId="77777777" w:rsidR="00B0198E" w:rsidRPr="006A0F06" w:rsidRDefault="00B0198E" w:rsidP="00B0198E">
            <w:pPr>
              <w:pStyle w:val="TableText"/>
              <w:numPr>
                <w:ilvl w:val="0"/>
                <w:numId w:val="18"/>
              </w:numPr>
            </w:pPr>
            <w:r w:rsidRPr="006A0F06">
              <w:t>Community involvement increases capability for early detection of new weeds.</w:t>
            </w:r>
          </w:p>
          <w:p w14:paraId="4561B26E" w14:textId="79B5E073" w:rsidR="00B0198E" w:rsidRPr="00FE64BC" w:rsidRDefault="00B0198E" w:rsidP="00B0198E">
            <w:pPr>
              <w:pStyle w:val="TableText"/>
              <w:numPr>
                <w:ilvl w:val="0"/>
                <w:numId w:val="18"/>
              </w:numPr>
            </w:pPr>
            <w:r w:rsidRPr="006A0F06">
              <w:t>New high-risk weed incursions are detected and reported.</w:t>
            </w:r>
          </w:p>
        </w:tc>
      </w:tr>
      <w:tr w:rsidR="00B0198E" w14:paraId="221CAB89" w14:textId="77777777" w:rsidTr="00B0198E">
        <w:tc>
          <w:tcPr>
            <w:tcW w:w="1250" w:type="pct"/>
            <w:tcMar>
              <w:left w:w="108" w:type="dxa"/>
              <w:right w:w="108" w:type="dxa"/>
            </w:tcMar>
          </w:tcPr>
          <w:p w14:paraId="358224D0" w14:textId="77777777" w:rsidR="00B0198E" w:rsidRPr="00B0198E" w:rsidRDefault="00B0198E" w:rsidP="00B0198E">
            <w:pPr>
              <w:pStyle w:val="TableText"/>
            </w:pPr>
            <w:r w:rsidRPr="00B0198E">
              <w:t xml:space="preserve">Medium-term outcomes </w:t>
            </w:r>
          </w:p>
          <w:p w14:paraId="5CCB0BD7" w14:textId="77777777" w:rsidR="00B0198E" w:rsidRPr="00B0198E" w:rsidRDefault="00B0198E" w:rsidP="00B0198E">
            <w:pPr>
              <w:pStyle w:val="TableText"/>
            </w:pPr>
          </w:p>
        </w:tc>
        <w:tc>
          <w:tcPr>
            <w:tcW w:w="3750" w:type="pct"/>
            <w:tcMar>
              <w:left w:w="108" w:type="dxa"/>
              <w:right w:w="108" w:type="dxa"/>
            </w:tcMar>
          </w:tcPr>
          <w:p w14:paraId="654E1E43" w14:textId="77777777" w:rsidR="00B0198E" w:rsidRPr="006A0F06" w:rsidRDefault="00B0198E" w:rsidP="00B0198E">
            <w:pPr>
              <w:pStyle w:val="TableText"/>
              <w:numPr>
                <w:ilvl w:val="0"/>
                <w:numId w:val="19"/>
              </w:numPr>
            </w:pPr>
            <w:r w:rsidRPr="006A0F06">
              <w:t>Members of key stakeholder groups join Weed Spotters.</w:t>
            </w:r>
          </w:p>
          <w:p w14:paraId="00EBCB28" w14:textId="77777777" w:rsidR="00B0198E" w:rsidRPr="006A0F06" w:rsidRDefault="00B0198E" w:rsidP="00B0198E">
            <w:pPr>
              <w:pStyle w:val="TableText"/>
              <w:numPr>
                <w:ilvl w:val="0"/>
                <w:numId w:val="19"/>
              </w:numPr>
            </w:pPr>
            <w:r w:rsidRPr="006A0F06">
              <w:t>Weed Spotters actively look for surveillance targets during regular activities.</w:t>
            </w:r>
          </w:p>
          <w:p w14:paraId="70DD76B3" w14:textId="77777777" w:rsidR="00B0198E" w:rsidRPr="006A0F06" w:rsidRDefault="00B0198E" w:rsidP="00B0198E">
            <w:pPr>
              <w:pStyle w:val="TableText"/>
              <w:numPr>
                <w:ilvl w:val="0"/>
                <w:numId w:val="19"/>
              </w:numPr>
            </w:pPr>
            <w:r w:rsidRPr="006A0F06">
              <w:t>Weed Spotters submit timely and quality samples/photos for identification.</w:t>
            </w:r>
          </w:p>
          <w:p w14:paraId="7B1FA191" w14:textId="77777777" w:rsidR="00B0198E" w:rsidRPr="006A0F06" w:rsidRDefault="00B0198E" w:rsidP="00B0198E">
            <w:pPr>
              <w:pStyle w:val="TableText"/>
              <w:numPr>
                <w:ilvl w:val="0"/>
                <w:numId w:val="19"/>
              </w:numPr>
            </w:pPr>
            <w:r w:rsidRPr="006A0F06">
              <w:t>Weed Spotters feel supported and valued.</w:t>
            </w:r>
          </w:p>
          <w:p w14:paraId="74920D7F" w14:textId="07863CAD" w:rsidR="00B0198E" w:rsidRPr="00FE64BC" w:rsidRDefault="00B0198E" w:rsidP="00B0198E">
            <w:pPr>
              <w:pStyle w:val="TableText"/>
              <w:numPr>
                <w:ilvl w:val="0"/>
                <w:numId w:val="19"/>
              </w:numPr>
            </w:pPr>
            <w:r w:rsidRPr="006A0F06">
              <w:t>Herbarium workload remains manageable.</w:t>
            </w:r>
          </w:p>
        </w:tc>
      </w:tr>
      <w:tr w:rsidR="00B0198E" w14:paraId="0123576D" w14:textId="77777777" w:rsidTr="00B0198E">
        <w:tc>
          <w:tcPr>
            <w:tcW w:w="1250" w:type="pct"/>
            <w:tcMar>
              <w:left w:w="108" w:type="dxa"/>
              <w:right w:w="108" w:type="dxa"/>
            </w:tcMar>
          </w:tcPr>
          <w:p w14:paraId="40ED7DE9" w14:textId="77777777" w:rsidR="00B0198E" w:rsidRPr="00B0198E" w:rsidRDefault="00B0198E" w:rsidP="00B0198E">
            <w:pPr>
              <w:pStyle w:val="TableText"/>
            </w:pPr>
            <w:r w:rsidRPr="00B0198E">
              <w:t>Short term program outcomes</w:t>
            </w:r>
          </w:p>
          <w:p w14:paraId="720436FF" w14:textId="77777777" w:rsidR="00B0198E" w:rsidRPr="00B0198E" w:rsidRDefault="00B0198E" w:rsidP="00B0198E">
            <w:pPr>
              <w:pStyle w:val="TableText"/>
            </w:pPr>
          </w:p>
        </w:tc>
        <w:tc>
          <w:tcPr>
            <w:tcW w:w="3750" w:type="pct"/>
            <w:tcMar>
              <w:left w:w="108" w:type="dxa"/>
              <w:right w:w="108" w:type="dxa"/>
            </w:tcMar>
          </w:tcPr>
          <w:p w14:paraId="7CF3E267" w14:textId="77777777" w:rsidR="00B0198E" w:rsidRPr="006A0F06" w:rsidRDefault="00B0198E" w:rsidP="00B0198E">
            <w:pPr>
              <w:pStyle w:val="TableText"/>
              <w:numPr>
                <w:ilvl w:val="0"/>
                <w:numId w:val="20"/>
              </w:numPr>
            </w:pPr>
            <w:r w:rsidRPr="006A0F06">
              <w:t xml:space="preserve">Build relationships with key stakeholders to gain support and input. </w:t>
            </w:r>
          </w:p>
          <w:p w14:paraId="334191DD" w14:textId="77777777" w:rsidR="00B0198E" w:rsidRPr="006A0F06" w:rsidRDefault="00B0198E" w:rsidP="00B0198E">
            <w:pPr>
              <w:pStyle w:val="TableText"/>
              <w:numPr>
                <w:ilvl w:val="0"/>
                <w:numId w:val="20"/>
              </w:numPr>
            </w:pPr>
            <w:r w:rsidRPr="006A0F06">
              <w:t>Weed Spotters have the knowledge and skills to identify and confidently report suspected surveillance targets.</w:t>
            </w:r>
          </w:p>
          <w:p w14:paraId="75859C48" w14:textId="77777777" w:rsidR="00B0198E" w:rsidRPr="006A0F06" w:rsidRDefault="00B0198E" w:rsidP="00B0198E">
            <w:pPr>
              <w:pStyle w:val="TableText"/>
              <w:numPr>
                <w:ilvl w:val="0"/>
                <w:numId w:val="20"/>
              </w:numPr>
            </w:pPr>
            <w:r w:rsidRPr="006A0F06">
              <w:t>Reporting is quick and easy.</w:t>
            </w:r>
          </w:p>
          <w:p w14:paraId="21C95D8F" w14:textId="77777777" w:rsidR="00B0198E" w:rsidRPr="006A0F06" w:rsidRDefault="00B0198E" w:rsidP="00B0198E">
            <w:pPr>
              <w:pStyle w:val="TableText"/>
              <w:numPr>
                <w:ilvl w:val="0"/>
                <w:numId w:val="20"/>
              </w:numPr>
            </w:pPr>
            <w:r w:rsidRPr="006A0F06">
              <w:t>Specimens and photos submitted to the Herbarium are triaged.</w:t>
            </w:r>
          </w:p>
          <w:p w14:paraId="26BECF4C" w14:textId="451703E7" w:rsidR="00B0198E" w:rsidRPr="00FE64BC" w:rsidRDefault="00B0198E" w:rsidP="00B0198E">
            <w:pPr>
              <w:pStyle w:val="TableText"/>
              <w:numPr>
                <w:ilvl w:val="0"/>
                <w:numId w:val="20"/>
              </w:numPr>
            </w:pPr>
            <w:r w:rsidRPr="006A0F06">
              <w:t>Weed Spotters receive quick responses/feedback from Regional Coordinators.</w:t>
            </w:r>
          </w:p>
        </w:tc>
      </w:tr>
      <w:tr w:rsidR="00B0198E" w14:paraId="50F0AD96" w14:textId="77777777" w:rsidTr="00B0198E">
        <w:tc>
          <w:tcPr>
            <w:tcW w:w="1250" w:type="pct"/>
            <w:tcMar>
              <w:left w:w="108" w:type="dxa"/>
              <w:right w:w="108" w:type="dxa"/>
            </w:tcMar>
          </w:tcPr>
          <w:p w14:paraId="43DDA8A5" w14:textId="77777777" w:rsidR="00B0198E" w:rsidRPr="00B0198E" w:rsidRDefault="00B0198E" w:rsidP="00B0198E">
            <w:pPr>
              <w:pStyle w:val="TableText"/>
            </w:pPr>
            <w:r w:rsidRPr="00B0198E">
              <w:t>Outputs</w:t>
            </w:r>
          </w:p>
        </w:tc>
        <w:tc>
          <w:tcPr>
            <w:tcW w:w="3750" w:type="pct"/>
            <w:tcMar>
              <w:left w:w="108" w:type="dxa"/>
              <w:right w:w="108" w:type="dxa"/>
            </w:tcMar>
          </w:tcPr>
          <w:p w14:paraId="7DBCB847" w14:textId="77777777" w:rsidR="00B0198E" w:rsidRPr="006A0F06" w:rsidRDefault="00B0198E" w:rsidP="00B0198E">
            <w:pPr>
              <w:pStyle w:val="TableText"/>
              <w:numPr>
                <w:ilvl w:val="0"/>
                <w:numId w:val="21"/>
              </w:numPr>
            </w:pPr>
            <w:r w:rsidRPr="006A0F06">
              <w:t>Monthly Bulletin.</w:t>
            </w:r>
          </w:p>
          <w:p w14:paraId="4BF67CAB" w14:textId="77777777" w:rsidR="00B0198E" w:rsidRPr="006A0F06" w:rsidRDefault="00B0198E" w:rsidP="00B0198E">
            <w:pPr>
              <w:pStyle w:val="TableText"/>
              <w:numPr>
                <w:ilvl w:val="0"/>
                <w:numId w:val="21"/>
              </w:numPr>
            </w:pPr>
            <w:r w:rsidRPr="006A0F06">
              <w:t>Weed Spotters handbook.</w:t>
            </w:r>
          </w:p>
          <w:p w14:paraId="4A199625" w14:textId="77777777" w:rsidR="00B0198E" w:rsidRPr="006A0F06" w:rsidRDefault="00B0198E" w:rsidP="00B0198E">
            <w:pPr>
              <w:pStyle w:val="TableText"/>
              <w:numPr>
                <w:ilvl w:val="0"/>
                <w:numId w:val="21"/>
              </w:numPr>
            </w:pPr>
            <w:r w:rsidRPr="006A0F06">
              <w:t>Brochure explaining the program.</w:t>
            </w:r>
          </w:p>
          <w:p w14:paraId="52A1E41B" w14:textId="77777777" w:rsidR="00B0198E" w:rsidRPr="006A0F06" w:rsidRDefault="00B0198E" w:rsidP="00B0198E">
            <w:pPr>
              <w:pStyle w:val="TableText"/>
              <w:numPr>
                <w:ilvl w:val="0"/>
                <w:numId w:val="21"/>
              </w:numPr>
            </w:pPr>
            <w:r w:rsidRPr="006A0F06">
              <w:t>Weed Spotters web pages.</w:t>
            </w:r>
          </w:p>
          <w:p w14:paraId="299B96B0" w14:textId="27B8B168" w:rsidR="00B0198E" w:rsidRPr="00FE64BC" w:rsidRDefault="00B0198E" w:rsidP="00B0198E">
            <w:pPr>
              <w:pStyle w:val="TableText"/>
              <w:numPr>
                <w:ilvl w:val="0"/>
                <w:numId w:val="21"/>
              </w:numPr>
            </w:pPr>
            <w:proofErr w:type="spellStart"/>
            <w:r w:rsidRPr="006A0F06">
              <w:t>E_learning</w:t>
            </w:r>
            <w:proofErr w:type="spellEnd"/>
            <w:r w:rsidRPr="006A0F06">
              <w:t xml:space="preserve"> module.</w:t>
            </w:r>
          </w:p>
        </w:tc>
      </w:tr>
      <w:tr w:rsidR="00B0198E" w14:paraId="06EEAEEA" w14:textId="77777777" w:rsidTr="00B0198E">
        <w:tc>
          <w:tcPr>
            <w:tcW w:w="1250" w:type="pct"/>
            <w:tcMar>
              <w:left w:w="108" w:type="dxa"/>
              <w:right w:w="108" w:type="dxa"/>
            </w:tcMar>
          </w:tcPr>
          <w:p w14:paraId="3C40308E" w14:textId="77777777" w:rsidR="00B0198E" w:rsidRPr="00B0198E" w:rsidRDefault="00B0198E" w:rsidP="00B0198E">
            <w:pPr>
              <w:pStyle w:val="TableText"/>
            </w:pPr>
            <w:r w:rsidRPr="00B0198E">
              <w:t>Influence activities</w:t>
            </w:r>
          </w:p>
        </w:tc>
        <w:tc>
          <w:tcPr>
            <w:tcW w:w="3750" w:type="pct"/>
            <w:tcMar>
              <w:left w:w="108" w:type="dxa"/>
              <w:right w:w="108" w:type="dxa"/>
            </w:tcMar>
          </w:tcPr>
          <w:p w14:paraId="45865E3D" w14:textId="77777777" w:rsidR="00B0198E" w:rsidRPr="006A0F06" w:rsidRDefault="00B0198E" w:rsidP="00B0198E">
            <w:pPr>
              <w:pStyle w:val="TableText"/>
              <w:numPr>
                <w:ilvl w:val="0"/>
                <w:numId w:val="21"/>
              </w:numPr>
            </w:pPr>
            <w:r w:rsidRPr="006A0F06">
              <w:t>Ad hoc interactions with key stakeholders.</w:t>
            </w:r>
          </w:p>
          <w:p w14:paraId="4EDA159D" w14:textId="77777777" w:rsidR="00B0198E" w:rsidRPr="006A0F06" w:rsidRDefault="00B0198E" w:rsidP="00B0198E">
            <w:pPr>
              <w:pStyle w:val="TableText"/>
              <w:numPr>
                <w:ilvl w:val="0"/>
                <w:numId w:val="21"/>
              </w:numPr>
            </w:pPr>
            <w:r w:rsidRPr="006A0F06">
              <w:t>Deliver training workshops on early detection, how to identify and report target weeds, and how to submit quality specimens/photos.</w:t>
            </w:r>
          </w:p>
          <w:p w14:paraId="1F7BFE81" w14:textId="77777777" w:rsidR="00B0198E" w:rsidRPr="006A0F06" w:rsidRDefault="00B0198E" w:rsidP="00B0198E">
            <w:pPr>
              <w:pStyle w:val="TableText"/>
              <w:numPr>
                <w:ilvl w:val="0"/>
                <w:numId w:val="21"/>
              </w:numPr>
            </w:pPr>
            <w:r w:rsidRPr="006A0F06">
              <w:t>Post monthly Bulletin to convey latest information and developments.</w:t>
            </w:r>
          </w:p>
          <w:p w14:paraId="72DF65DD" w14:textId="77777777" w:rsidR="00B0198E" w:rsidRPr="006A0F06" w:rsidRDefault="00B0198E" w:rsidP="00B0198E">
            <w:pPr>
              <w:pStyle w:val="TableText"/>
              <w:numPr>
                <w:ilvl w:val="0"/>
                <w:numId w:val="21"/>
              </w:numPr>
            </w:pPr>
            <w:r w:rsidRPr="006A0F06">
              <w:t>Support a range of reporting options.</w:t>
            </w:r>
          </w:p>
          <w:p w14:paraId="059381FE" w14:textId="7F53C8AA" w:rsidR="00B0198E" w:rsidRPr="00FE64BC" w:rsidRDefault="00B0198E" w:rsidP="00B0198E">
            <w:pPr>
              <w:pStyle w:val="TableText"/>
              <w:numPr>
                <w:ilvl w:val="0"/>
                <w:numId w:val="21"/>
              </w:numPr>
            </w:pPr>
            <w:r w:rsidRPr="006A0F06">
              <w:t>Appoint and train regional coordinators to support local members.</w:t>
            </w:r>
          </w:p>
        </w:tc>
      </w:tr>
      <w:tr w:rsidR="00B0198E" w14:paraId="540395AC" w14:textId="77777777" w:rsidTr="00B0198E">
        <w:tc>
          <w:tcPr>
            <w:tcW w:w="1250" w:type="pct"/>
            <w:tcMar>
              <w:left w:w="108" w:type="dxa"/>
              <w:right w:w="108" w:type="dxa"/>
            </w:tcMar>
          </w:tcPr>
          <w:p w14:paraId="0DB8FEFC" w14:textId="77777777" w:rsidR="00B0198E" w:rsidRPr="00B0198E" w:rsidRDefault="00B0198E" w:rsidP="00B0198E">
            <w:pPr>
              <w:pStyle w:val="TableText"/>
            </w:pPr>
            <w:r w:rsidRPr="00B0198E">
              <w:t>Data value chain activities</w:t>
            </w:r>
          </w:p>
        </w:tc>
        <w:tc>
          <w:tcPr>
            <w:tcW w:w="3750" w:type="pct"/>
            <w:tcMar>
              <w:left w:w="108" w:type="dxa"/>
              <w:right w:w="108" w:type="dxa"/>
            </w:tcMar>
          </w:tcPr>
          <w:p w14:paraId="3B0D1B0B" w14:textId="77777777" w:rsidR="00B0198E" w:rsidRPr="006A0F06" w:rsidRDefault="00B0198E" w:rsidP="00B0198E">
            <w:pPr>
              <w:pStyle w:val="TableText"/>
              <w:numPr>
                <w:ilvl w:val="0"/>
                <w:numId w:val="21"/>
              </w:numPr>
            </w:pPr>
            <w:r w:rsidRPr="00B0198E">
              <w:t>Data generation:</w:t>
            </w:r>
            <w:r w:rsidRPr="006A0F06">
              <w:t xml:space="preserve"> Weed Spotters collect specimens and/or photos of suspected target weeds.</w:t>
            </w:r>
          </w:p>
          <w:p w14:paraId="00D34E77" w14:textId="77777777" w:rsidR="00B0198E" w:rsidRPr="006A0F06" w:rsidRDefault="00B0198E" w:rsidP="00B0198E">
            <w:pPr>
              <w:pStyle w:val="TableText"/>
              <w:numPr>
                <w:ilvl w:val="0"/>
                <w:numId w:val="21"/>
              </w:numPr>
            </w:pPr>
            <w:r w:rsidRPr="00B0198E">
              <w:t>Data collection:</w:t>
            </w:r>
            <w:r w:rsidRPr="006A0F06">
              <w:t xml:space="preserve"> Specimens and/or photos are submitted to the Herbarium, state/regional coordinators or to Biosecurity Queensland; Herbarium Advisory Services positively identifies specimens and stores voucher data in HERBRECS.</w:t>
            </w:r>
          </w:p>
          <w:p w14:paraId="4575DA10" w14:textId="77777777" w:rsidR="00B0198E" w:rsidRPr="006A0F06" w:rsidRDefault="00B0198E" w:rsidP="00B0198E">
            <w:pPr>
              <w:pStyle w:val="TableText"/>
              <w:numPr>
                <w:ilvl w:val="0"/>
                <w:numId w:val="21"/>
              </w:numPr>
            </w:pPr>
            <w:r w:rsidRPr="00B0198E">
              <w:t xml:space="preserve">Data analysis: </w:t>
            </w:r>
            <w:r w:rsidRPr="006A0F06">
              <w:t>Herbarium</w:t>
            </w:r>
            <w:r w:rsidRPr="00B0198E">
              <w:t xml:space="preserve"> </w:t>
            </w:r>
            <w:r w:rsidRPr="006A0F06">
              <w:t>Advisory Services compares specimen data with current weed distribution data and against notifications list, and notifies Biosecurity Queensland, where necessary.</w:t>
            </w:r>
          </w:p>
          <w:p w14:paraId="0D1AB0F6" w14:textId="553B5F72" w:rsidR="00B0198E" w:rsidRPr="00FE64BC" w:rsidRDefault="00B0198E" w:rsidP="00B0198E">
            <w:pPr>
              <w:pStyle w:val="TableText"/>
              <w:numPr>
                <w:ilvl w:val="0"/>
                <w:numId w:val="21"/>
              </w:numPr>
            </w:pPr>
            <w:r w:rsidRPr="00B0198E">
              <w:t>Data exchange:</w:t>
            </w:r>
            <w:r w:rsidRPr="006A0F06">
              <w:t xml:space="preserve"> Specimen data is recorded in HERBRECS and made publicly available and/or in BORIS (Biosecurity Queensland database, not publicly available). </w:t>
            </w:r>
          </w:p>
        </w:tc>
      </w:tr>
      <w:tr w:rsidR="00B0198E" w14:paraId="1DCE9831" w14:textId="77777777" w:rsidTr="00B0198E">
        <w:tc>
          <w:tcPr>
            <w:tcW w:w="1250" w:type="pct"/>
            <w:tcMar>
              <w:left w:w="108" w:type="dxa"/>
              <w:right w:w="108" w:type="dxa"/>
            </w:tcMar>
          </w:tcPr>
          <w:p w14:paraId="2891CC31" w14:textId="77777777" w:rsidR="00B0198E" w:rsidRPr="00B0198E" w:rsidRDefault="00B0198E" w:rsidP="00801D8A">
            <w:pPr>
              <w:pStyle w:val="TableText"/>
            </w:pPr>
            <w:r w:rsidRPr="00B0198E">
              <w:t>Inputs</w:t>
            </w:r>
          </w:p>
        </w:tc>
        <w:tc>
          <w:tcPr>
            <w:tcW w:w="3750" w:type="pct"/>
            <w:tcMar>
              <w:left w:w="108" w:type="dxa"/>
              <w:right w:w="108" w:type="dxa"/>
            </w:tcMar>
          </w:tcPr>
          <w:p w14:paraId="4FB6B702" w14:textId="77777777" w:rsidR="00B0198E" w:rsidRDefault="00B0198E" w:rsidP="00B0198E">
            <w:pPr>
              <w:pStyle w:val="TableText"/>
              <w:numPr>
                <w:ilvl w:val="0"/>
                <w:numId w:val="21"/>
              </w:numPr>
            </w:pPr>
            <w:r>
              <w:t>Program funding – Queensland Herbarium and Biosecurity Queensland</w:t>
            </w:r>
          </w:p>
          <w:p w14:paraId="2F979C2C" w14:textId="77777777" w:rsidR="00B0198E" w:rsidRDefault="00B0198E" w:rsidP="00B0198E">
            <w:pPr>
              <w:pStyle w:val="TableText"/>
              <w:numPr>
                <w:ilvl w:val="0"/>
                <w:numId w:val="21"/>
              </w:numPr>
            </w:pPr>
            <w:r>
              <w:t>In kind support from Queensland Herbarium and Biosecurity Queensland operational staff</w:t>
            </w:r>
          </w:p>
          <w:p w14:paraId="664F12A8" w14:textId="77777777" w:rsidR="00B0198E" w:rsidRDefault="00B0198E" w:rsidP="00B0198E">
            <w:pPr>
              <w:pStyle w:val="TableText"/>
              <w:numPr>
                <w:ilvl w:val="0"/>
                <w:numId w:val="21"/>
              </w:numPr>
            </w:pPr>
            <w:r>
              <w:t>Use of Biosecurity Queensland vehicles</w:t>
            </w:r>
          </w:p>
          <w:p w14:paraId="028BAC99" w14:textId="77777777" w:rsidR="00B0198E" w:rsidRDefault="00B0198E" w:rsidP="00B0198E">
            <w:pPr>
              <w:pStyle w:val="TableText"/>
              <w:numPr>
                <w:ilvl w:val="0"/>
                <w:numId w:val="21"/>
              </w:numPr>
            </w:pPr>
            <w:r>
              <w:lastRenderedPageBreak/>
              <w:t xml:space="preserve">Office space at Queensland Herbarium and </w:t>
            </w:r>
            <w:proofErr w:type="spellStart"/>
            <w:r>
              <w:t>Ecosciences</w:t>
            </w:r>
            <w:proofErr w:type="spellEnd"/>
            <w:r>
              <w:t xml:space="preserve"> Precinct</w:t>
            </w:r>
          </w:p>
          <w:p w14:paraId="43691CD5" w14:textId="77777777" w:rsidR="00B0198E" w:rsidRDefault="00B0198E" w:rsidP="00B0198E">
            <w:pPr>
              <w:pStyle w:val="TableText"/>
              <w:numPr>
                <w:ilvl w:val="0"/>
                <w:numId w:val="21"/>
              </w:numPr>
            </w:pPr>
            <w:r>
              <w:t>Plant identification reference materials - online keys, books, Herbarium collection</w:t>
            </w:r>
          </w:p>
          <w:p w14:paraId="7C532C12" w14:textId="3283FA83" w:rsidR="00B0198E" w:rsidRPr="00FE64BC" w:rsidRDefault="00B0198E" w:rsidP="00B0198E">
            <w:pPr>
              <w:pStyle w:val="TableText"/>
              <w:numPr>
                <w:ilvl w:val="0"/>
                <w:numId w:val="21"/>
              </w:numPr>
            </w:pPr>
            <w:r>
              <w:t>Biosecurity Queensland/local government live specimen collections</w:t>
            </w:r>
          </w:p>
        </w:tc>
      </w:tr>
    </w:tbl>
    <w:p w14:paraId="506FE80E" w14:textId="77777777" w:rsidR="00B0198E" w:rsidRPr="00B0198E" w:rsidRDefault="00B0198E" w:rsidP="00B0198E"/>
    <w:p w14:paraId="2BB8DF25" w14:textId="7FB50359" w:rsidR="00E362EF" w:rsidRDefault="00B0198E" w:rsidP="00B0198E">
      <w:pPr>
        <w:pStyle w:val="Heading2"/>
        <w:numPr>
          <w:ilvl w:val="0"/>
          <w:numId w:val="0"/>
        </w:numPr>
        <w:ind w:left="720" w:hanging="720"/>
      </w:pPr>
      <w:bookmarkStart w:id="3" w:name="Title_1"/>
      <w:bookmarkEnd w:id="3"/>
      <w:r w:rsidRPr="00B0198E">
        <w:t>Risks</w:t>
      </w:r>
    </w:p>
    <w:p w14:paraId="6E554C68" w14:textId="45454B26" w:rsidR="00E362EF" w:rsidRDefault="00B0198E">
      <w:r w:rsidRPr="00B0198E">
        <w:t>Only one paid position in the program (State Coordinator). All outreach stops if that position is unfilled (non-backfilled scheduled leave, unforeseen leave, position vacant etc).</w:t>
      </w:r>
    </w:p>
    <w:p w14:paraId="3F16ED10" w14:textId="77777777" w:rsidR="00B0198E" w:rsidRDefault="00B0198E" w:rsidP="00B0198E">
      <w:pPr>
        <w:pStyle w:val="Heading2"/>
        <w:numPr>
          <w:ilvl w:val="0"/>
          <w:numId w:val="0"/>
        </w:numPr>
        <w:ind w:left="720" w:hanging="720"/>
      </w:pPr>
      <w:r>
        <w:t xml:space="preserve">Assumptions </w:t>
      </w:r>
    </w:p>
    <w:p w14:paraId="39FF0622" w14:textId="4DF8BBDD" w:rsidR="00B0198E" w:rsidRDefault="00B0198E" w:rsidP="00B0198E">
      <w:pPr>
        <w:pStyle w:val="ListBullet"/>
        <w:rPr>
          <w:lang w:eastAsia="ja-JP"/>
        </w:rPr>
      </w:pPr>
      <w:r>
        <w:rPr>
          <w:lang w:eastAsia="ja-JP"/>
        </w:rPr>
        <w:t>Members are actively looking for surveillance targets during their regular activities.</w:t>
      </w:r>
    </w:p>
    <w:p w14:paraId="079B2A29" w14:textId="2BA9B6EA" w:rsidR="00B0198E" w:rsidRDefault="00B0198E" w:rsidP="00B0198E">
      <w:pPr>
        <w:pStyle w:val="ListBullet"/>
        <w:rPr>
          <w:lang w:eastAsia="ja-JP"/>
        </w:rPr>
      </w:pPr>
      <w:r>
        <w:rPr>
          <w:lang w:eastAsia="ja-JP"/>
        </w:rPr>
        <w:t>There is adequate geographic distribution of members.</w:t>
      </w:r>
    </w:p>
    <w:p w14:paraId="66AD1845" w14:textId="70EA584F" w:rsidR="00B0198E" w:rsidRDefault="00B0198E" w:rsidP="00B0198E">
      <w:pPr>
        <w:pStyle w:val="ListBullet"/>
        <w:rPr>
          <w:lang w:eastAsia="ja-JP"/>
        </w:rPr>
      </w:pPr>
      <w:r>
        <w:rPr>
          <w:lang w:eastAsia="ja-JP"/>
        </w:rPr>
        <w:t>Attendees of workshops join Weed Spotters.</w:t>
      </w:r>
    </w:p>
    <w:p w14:paraId="198903CF" w14:textId="75F8E559" w:rsidR="00B0198E" w:rsidRDefault="00B0198E" w:rsidP="00B0198E">
      <w:pPr>
        <w:pStyle w:val="ListBullet"/>
        <w:rPr>
          <w:lang w:eastAsia="ja-JP"/>
        </w:rPr>
      </w:pPr>
      <w:r>
        <w:rPr>
          <w:lang w:eastAsia="ja-JP"/>
        </w:rPr>
        <w:t>Members retain and apply the information in Bulletins and workshops (primary activities).</w:t>
      </w:r>
    </w:p>
    <w:p w14:paraId="0AF78DB0" w14:textId="5C506A66" w:rsidR="00B0198E" w:rsidRPr="00B0198E" w:rsidRDefault="00B0198E" w:rsidP="00B0198E">
      <w:pPr>
        <w:pStyle w:val="ListBullet"/>
        <w:rPr>
          <w:lang w:eastAsia="ja-JP"/>
        </w:rPr>
      </w:pPr>
      <w:r>
        <w:rPr>
          <w:lang w:eastAsia="ja-JP"/>
        </w:rPr>
        <w:t>Regional coordinators provide quick and useful feedback to local members.</w:t>
      </w:r>
    </w:p>
    <w:p w14:paraId="31A4351E" w14:textId="77777777" w:rsidR="00B0198E" w:rsidRDefault="00B0198E"/>
    <w:p w14:paraId="5D5C9B75" w14:textId="5D38C90A" w:rsidR="00262394" w:rsidRDefault="00262394" w:rsidP="00262394">
      <w:pPr>
        <w:pStyle w:val="Normalsmall"/>
      </w:pPr>
    </w:p>
    <w:sectPr w:rsidR="00262394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0F0F3" w14:textId="77777777" w:rsidR="00B0198E" w:rsidRDefault="00B0198E">
      <w:r>
        <w:separator/>
      </w:r>
    </w:p>
    <w:p w14:paraId="29287E75" w14:textId="77777777" w:rsidR="00B0198E" w:rsidRDefault="00B0198E"/>
    <w:p w14:paraId="118822CD" w14:textId="77777777" w:rsidR="00B0198E" w:rsidRDefault="00B0198E"/>
  </w:endnote>
  <w:endnote w:type="continuationSeparator" w:id="0">
    <w:p w14:paraId="10D29610" w14:textId="77777777" w:rsidR="00B0198E" w:rsidRDefault="00B0198E">
      <w:r>
        <w:continuationSeparator/>
      </w:r>
    </w:p>
    <w:p w14:paraId="79D39650" w14:textId="77777777" w:rsidR="00B0198E" w:rsidRDefault="00B0198E"/>
    <w:p w14:paraId="453A653C" w14:textId="77777777" w:rsidR="00B0198E" w:rsidRDefault="00B0198E"/>
  </w:endnote>
  <w:endnote w:type="continuationNotice" w:id="1">
    <w:p w14:paraId="04A1CD49" w14:textId="77777777" w:rsidR="00B0198E" w:rsidRDefault="00B0198E">
      <w:pPr>
        <w:pStyle w:val="Footer"/>
      </w:pPr>
    </w:p>
    <w:p w14:paraId="4E4D1234" w14:textId="77777777" w:rsidR="00B0198E" w:rsidRDefault="00B0198E"/>
    <w:p w14:paraId="7DC046EE" w14:textId="77777777" w:rsidR="00B0198E" w:rsidRDefault="00B019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D1C4" w14:textId="77777777" w:rsidR="00C30975" w:rsidRDefault="00D618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136" behindDoc="0" locked="0" layoutInCell="1" allowOverlap="1" wp14:anchorId="72A40F79" wp14:editId="1AF293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048837208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6141B" w14:textId="77777777" w:rsidR="00D61857" w:rsidRPr="00D61857" w:rsidRDefault="00D61857" w:rsidP="00D61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18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40F7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left:0;text-align:left;margin-left:0;margin-top:0;width:43.45pt;height:31.85pt;z-index:25167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2D66141B" w14:textId="77777777" w:rsidR="00D61857" w:rsidRPr="00D61857" w:rsidRDefault="00D61857" w:rsidP="00D618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18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A0E2" w14:textId="10FC33D7" w:rsidR="002A193C" w:rsidRDefault="002A193C" w:rsidP="00D6185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CCC99" w14:textId="1BEDE879" w:rsidR="002A193C" w:rsidRDefault="002A193C" w:rsidP="00D6185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63C5" w14:textId="77777777" w:rsidR="00B0198E" w:rsidRDefault="00B0198E">
      <w:r>
        <w:separator/>
      </w:r>
    </w:p>
    <w:p w14:paraId="49FC5402" w14:textId="77777777" w:rsidR="00B0198E" w:rsidRDefault="00B0198E"/>
    <w:p w14:paraId="702FA997" w14:textId="77777777" w:rsidR="00B0198E" w:rsidRDefault="00B0198E"/>
  </w:footnote>
  <w:footnote w:type="continuationSeparator" w:id="0">
    <w:p w14:paraId="19CA2538" w14:textId="77777777" w:rsidR="00B0198E" w:rsidRDefault="00B0198E">
      <w:r>
        <w:continuationSeparator/>
      </w:r>
    </w:p>
    <w:p w14:paraId="7B02A5BD" w14:textId="77777777" w:rsidR="00B0198E" w:rsidRDefault="00B0198E"/>
    <w:p w14:paraId="2F9D400B" w14:textId="77777777" w:rsidR="00B0198E" w:rsidRDefault="00B0198E"/>
  </w:footnote>
  <w:footnote w:type="continuationNotice" w:id="1">
    <w:p w14:paraId="4E44E5F8" w14:textId="77777777" w:rsidR="00B0198E" w:rsidRDefault="00B0198E">
      <w:pPr>
        <w:pStyle w:val="Footer"/>
      </w:pPr>
    </w:p>
    <w:p w14:paraId="44373C93" w14:textId="77777777" w:rsidR="00B0198E" w:rsidRDefault="00B0198E"/>
    <w:p w14:paraId="161BB94F" w14:textId="77777777" w:rsidR="00B0198E" w:rsidRDefault="00B019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E776" w14:textId="00DF96A6" w:rsidR="002A193C" w:rsidRDefault="00D6185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72064" behindDoc="0" locked="0" layoutInCell="1" allowOverlap="1" wp14:anchorId="280A073C" wp14:editId="23C4408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437284851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B6A008" w14:textId="77777777" w:rsidR="00D61857" w:rsidRPr="00D61857" w:rsidRDefault="00D61857" w:rsidP="00D61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18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A073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left:0;text-align:left;margin-left:0;margin-top:0;width:43.45pt;height:31.85pt;z-index:2516720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3DB6A008" w14:textId="77777777" w:rsidR="00D61857" w:rsidRPr="00D61857" w:rsidRDefault="00D61857" w:rsidP="00D618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18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2951" w14:textId="7A8CA695" w:rsidR="002A193C" w:rsidRDefault="002A193C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119E8"/>
    <w:multiLevelType w:val="hybridMultilevel"/>
    <w:tmpl w:val="0FFEE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56DAA"/>
    <w:multiLevelType w:val="hybridMultilevel"/>
    <w:tmpl w:val="E13698D2"/>
    <w:lvl w:ilvl="0" w:tplc="1DA20EE0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1E20078"/>
    <w:multiLevelType w:val="multilevel"/>
    <w:tmpl w:val="B95457A8"/>
    <w:styleLink w:val="Headinglist"/>
    <w:lvl w:ilvl="0">
      <w:start w:val="1"/>
      <w:numFmt w:val="decimal"/>
      <w:pStyle w:val="Heading2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3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29A3359"/>
    <w:multiLevelType w:val="hybridMultilevel"/>
    <w:tmpl w:val="4C1A1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917CC"/>
    <w:multiLevelType w:val="hybridMultilevel"/>
    <w:tmpl w:val="38186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6306B"/>
    <w:multiLevelType w:val="hybridMultilevel"/>
    <w:tmpl w:val="8E444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800B4"/>
    <w:multiLevelType w:val="multilevel"/>
    <w:tmpl w:val="A0241B28"/>
    <w:numStyleLink w:val="List1"/>
  </w:abstractNum>
  <w:abstractNum w:abstractNumId="7" w15:restartNumberingAfterBreak="0">
    <w:nsid w:val="48DE2E4A"/>
    <w:multiLevelType w:val="hybridMultilevel"/>
    <w:tmpl w:val="6626592E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329DA"/>
    <w:multiLevelType w:val="multilevel"/>
    <w:tmpl w:val="2B64EC84"/>
    <w:lvl w:ilvl="0">
      <w:start w:val="1"/>
      <w:numFmt w:val="decimal"/>
      <w:pStyle w:val="BoxTex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B541B"/>
    <w:multiLevelType w:val="multilevel"/>
    <w:tmpl w:val="BF3294C2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12966"/>
    <w:multiLevelType w:val="multilevel"/>
    <w:tmpl w:val="A0241B28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B8F3B04"/>
    <w:multiLevelType w:val="multilevel"/>
    <w:tmpl w:val="BE78A4F8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3" w15:restartNumberingAfterBreak="0">
    <w:nsid w:val="676E3536"/>
    <w:multiLevelType w:val="hybridMultilevel"/>
    <w:tmpl w:val="242AD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87645"/>
    <w:multiLevelType w:val="hybridMultilevel"/>
    <w:tmpl w:val="239C9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30FE1"/>
    <w:multiLevelType w:val="hybridMultilevel"/>
    <w:tmpl w:val="7E96ACDE"/>
    <w:lvl w:ilvl="0" w:tplc="E3BC5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E4563"/>
    <w:multiLevelType w:val="multilevel"/>
    <w:tmpl w:val="F452ADBA"/>
    <w:styleLink w:val="Tablenumberedlists"/>
    <w:lvl w:ilvl="0">
      <w:start w:val="1"/>
      <w:numFmt w:val="decimal"/>
      <w:pStyle w:val="TableListNumber"/>
      <w:lvlText w:val="%1)"/>
      <w:lvlJc w:val="left"/>
      <w:pPr>
        <w:ind w:left="284" w:hanging="284"/>
      </w:pPr>
      <w:rPr>
        <w:rFonts w:ascii="Calibri" w:hAnsi="Calibri" w:hint="default"/>
        <w:sz w:val="18"/>
      </w:rPr>
    </w:lvl>
    <w:lvl w:ilvl="1">
      <w:start w:val="1"/>
      <w:numFmt w:val="lowerLetter"/>
      <w:pStyle w:val="TableListNumber2"/>
      <w:lvlText w:val="%2)"/>
      <w:lvlJc w:val="left"/>
      <w:pPr>
        <w:ind w:left="567" w:hanging="283"/>
      </w:pPr>
      <w:rPr>
        <w:rFonts w:ascii="Calibri" w:hAnsi="Calibri" w:hint="default"/>
        <w:sz w:val="18"/>
      </w:rPr>
    </w:lvl>
    <w:lvl w:ilvl="2">
      <w:start w:val="1"/>
      <w:numFmt w:val="lowerRoman"/>
      <w:pStyle w:val="TableListNumber3"/>
      <w:lvlText w:val="%3)"/>
      <w:lvlJc w:val="left"/>
      <w:pPr>
        <w:ind w:left="851" w:hanging="284"/>
      </w:pPr>
      <w:rPr>
        <w:rFonts w:ascii="Calibri" w:hAnsi="Calibri" w:hint="default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37268471">
    <w:abstractNumId w:val="11"/>
  </w:num>
  <w:num w:numId="2" w16cid:durableId="1355770275">
    <w:abstractNumId w:val="12"/>
  </w:num>
  <w:num w:numId="3" w16cid:durableId="1882862685">
    <w:abstractNumId w:val="2"/>
  </w:num>
  <w:num w:numId="4" w16cid:durableId="360508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6162399">
    <w:abstractNumId w:val="9"/>
  </w:num>
  <w:num w:numId="6" w16cid:durableId="1314989398">
    <w:abstractNumId w:val="10"/>
  </w:num>
  <w:num w:numId="7" w16cid:durableId="951480071">
    <w:abstractNumId w:val="7"/>
  </w:num>
  <w:num w:numId="8" w16cid:durableId="844629787">
    <w:abstractNumId w:val="2"/>
    <w:lvlOverride w:ilvl="0">
      <w:lvl w:ilvl="0">
        <w:start w:val="1"/>
        <w:numFmt w:val="decimal"/>
        <w:pStyle w:val="Heading2"/>
        <w:lvlText w:val="%1"/>
        <w:lvlJc w:val="left"/>
        <w:pPr>
          <w:ind w:left="720" w:hanging="720"/>
        </w:pPr>
      </w:lvl>
    </w:lvlOverride>
  </w:num>
  <w:num w:numId="9" w16cid:durableId="1698308952">
    <w:abstractNumId w:val="11"/>
  </w:num>
  <w:num w:numId="10" w16cid:durableId="547035718">
    <w:abstractNumId w:val="12"/>
  </w:num>
  <w:num w:numId="11" w16cid:durableId="1145393031">
    <w:abstractNumId w:val="1"/>
  </w:num>
  <w:num w:numId="12" w16cid:durableId="645671681">
    <w:abstractNumId w:val="13"/>
  </w:num>
  <w:num w:numId="13" w16cid:durableId="274824895">
    <w:abstractNumId w:val="16"/>
  </w:num>
  <w:num w:numId="14" w16cid:durableId="1361395064">
    <w:abstractNumId w:val="15"/>
  </w:num>
  <w:num w:numId="15" w16cid:durableId="236869232">
    <w:abstractNumId w:val="8"/>
  </w:num>
  <w:num w:numId="16" w16cid:durableId="139275263">
    <w:abstractNumId w:val="2"/>
    <w:lvlOverride w:ilvl="0">
      <w:lvl w:ilvl="0">
        <w:start w:val="1"/>
        <w:numFmt w:val="decimal"/>
        <w:pStyle w:val="Heading2"/>
        <w:lvlText w:val="%1"/>
        <w:lvlJc w:val="left"/>
        <w:pPr>
          <w:ind w:left="720" w:hanging="720"/>
        </w:pPr>
      </w:lvl>
    </w:lvlOverride>
  </w:num>
  <w:num w:numId="17" w16cid:durableId="670644348">
    <w:abstractNumId w:val="4"/>
  </w:num>
  <w:num w:numId="18" w16cid:durableId="897713537">
    <w:abstractNumId w:val="14"/>
  </w:num>
  <w:num w:numId="19" w16cid:durableId="1247499941">
    <w:abstractNumId w:val="5"/>
  </w:num>
  <w:num w:numId="20" w16cid:durableId="2121872567">
    <w:abstractNumId w:val="0"/>
  </w:num>
  <w:num w:numId="21" w16cid:durableId="104255652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8E"/>
    <w:rsid w:val="00047CF6"/>
    <w:rsid w:val="00071927"/>
    <w:rsid w:val="00093CD3"/>
    <w:rsid w:val="000D6DD8"/>
    <w:rsid w:val="00112B86"/>
    <w:rsid w:val="00134E1D"/>
    <w:rsid w:val="001450BA"/>
    <w:rsid w:val="001567E9"/>
    <w:rsid w:val="00183612"/>
    <w:rsid w:val="001A1F79"/>
    <w:rsid w:val="001B1009"/>
    <w:rsid w:val="001C3583"/>
    <w:rsid w:val="001D77BC"/>
    <w:rsid w:val="001E1C4C"/>
    <w:rsid w:val="00201500"/>
    <w:rsid w:val="00222B30"/>
    <w:rsid w:val="00236BA8"/>
    <w:rsid w:val="00262394"/>
    <w:rsid w:val="00274C12"/>
    <w:rsid w:val="002A193C"/>
    <w:rsid w:val="003005B7"/>
    <w:rsid w:val="00305911"/>
    <w:rsid w:val="00340820"/>
    <w:rsid w:val="00357095"/>
    <w:rsid w:val="00362353"/>
    <w:rsid w:val="00381D23"/>
    <w:rsid w:val="00396339"/>
    <w:rsid w:val="003A4B4A"/>
    <w:rsid w:val="003D3CE1"/>
    <w:rsid w:val="003D44DC"/>
    <w:rsid w:val="00402404"/>
    <w:rsid w:val="00406AC2"/>
    <w:rsid w:val="00451E21"/>
    <w:rsid w:val="00460750"/>
    <w:rsid w:val="004705F2"/>
    <w:rsid w:val="00473964"/>
    <w:rsid w:val="00482FD5"/>
    <w:rsid w:val="004837B1"/>
    <w:rsid w:val="0048569E"/>
    <w:rsid w:val="00486C20"/>
    <w:rsid w:val="00490E7F"/>
    <w:rsid w:val="004C6362"/>
    <w:rsid w:val="004C6C47"/>
    <w:rsid w:val="0059380F"/>
    <w:rsid w:val="005F0E4D"/>
    <w:rsid w:val="005F7ED2"/>
    <w:rsid w:val="00611DA7"/>
    <w:rsid w:val="006416D4"/>
    <w:rsid w:val="006A58EC"/>
    <w:rsid w:val="006E1CF5"/>
    <w:rsid w:val="00704CE7"/>
    <w:rsid w:val="007405CB"/>
    <w:rsid w:val="00762C3E"/>
    <w:rsid w:val="007B1F92"/>
    <w:rsid w:val="007C5B94"/>
    <w:rsid w:val="008153FE"/>
    <w:rsid w:val="00821DA2"/>
    <w:rsid w:val="0082249A"/>
    <w:rsid w:val="00826753"/>
    <w:rsid w:val="00833933"/>
    <w:rsid w:val="00835E9D"/>
    <w:rsid w:val="00892FE1"/>
    <w:rsid w:val="008A3190"/>
    <w:rsid w:val="008D1B48"/>
    <w:rsid w:val="0090774C"/>
    <w:rsid w:val="00951F8C"/>
    <w:rsid w:val="009679F4"/>
    <w:rsid w:val="00991227"/>
    <w:rsid w:val="00996A46"/>
    <w:rsid w:val="009A1E6B"/>
    <w:rsid w:val="009E7B5C"/>
    <w:rsid w:val="009F00C4"/>
    <w:rsid w:val="009F6E1F"/>
    <w:rsid w:val="00A16700"/>
    <w:rsid w:val="00A26D23"/>
    <w:rsid w:val="00A27706"/>
    <w:rsid w:val="00A3044C"/>
    <w:rsid w:val="00A336EC"/>
    <w:rsid w:val="00A52203"/>
    <w:rsid w:val="00A5250C"/>
    <w:rsid w:val="00A7401B"/>
    <w:rsid w:val="00A87C92"/>
    <w:rsid w:val="00A9002C"/>
    <w:rsid w:val="00AA70E3"/>
    <w:rsid w:val="00AB0FBE"/>
    <w:rsid w:val="00AB27F3"/>
    <w:rsid w:val="00AF1EB9"/>
    <w:rsid w:val="00AF5211"/>
    <w:rsid w:val="00B0198E"/>
    <w:rsid w:val="00B01FB8"/>
    <w:rsid w:val="00B35721"/>
    <w:rsid w:val="00B43A41"/>
    <w:rsid w:val="00B5453F"/>
    <w:rsid w:val="00B97EBA"/>
    <w:rsid w:val="00BA0AFF"/>
    <w:rsid w:val="00BB6ACE"/>
    <w:rsid w:val="00BC6BA3"/>
    <w:rsid w:val="00BD2275"/>
    <w:rsid w:val="00C00AAC"/>
    <w:rsid w:val="00C05EA8"/>
    <w:rsid w:val="00C06619"/>
    <w:rsid w:val="00C30975"/>
    <w:rsid w:val="00C51E35"/>
    <w:rsid w:val="00C759F8"/>
    <w:rsid w:val="00C92F0F"/>
    <w:rsid w:val="00CF7FF8"/>
    <w:rsid w:val="00D06356"/>
    <w:rsid w:val="00D36729"/>
    <w:rsid w:val="00D45274"/>
    <w:rsid w:val="00D45E0E"/>
    <w:rsid w:val="00D61857"/>
    <w:rsid w:val="00D666DC"/>
    <w:rsid w:val="00D843C2"/>
    <w:rsid w:val="00D912A7"/>
    <w:rsid w:val="00E05D92"/>
    <w:rsid w:val="00E223F4"/>
    <w:rsid w:val="00E3006D"/>
    <w:rsid w:val="00E362EF"/>
    <w:rsid w:val="00E732BE"/>
    <w:rsid w:val="00E74C11"/>
    <w:rsid w:val="00E86770"/>
    <w:rsid w:val="00E96E54"/>
    <w:rsid w:val="00EC23BE"/>
    <w:rsid w:val="00F01D00"/>
    <w:rsid w:val="00F35EE8"/>
    <w:rsid w:val="00F5729D"/>
    <w:rsid w:val="00F65DFD"/>
    <w:rsid w:val="00F90D42"/>
    <w:rsid w:val="00FB088E"/>
    <w:rsid w:val="00FB6115"/>
    <w:rsid w:val="00FD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ACA34"/>
  <w15:docId w15:val="{E39B36B9-91E8-47AD-B108-3D9D37A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26" w:unhideWhenUsed="1"/>
    <w:lsdException w:name="footer" w:semiHidden="1" w:uiPriority="27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locked="1" w:uiPriority="21" w:qFormat="1"/>
    <w:lsdException w:name="Subtle Reference" w:semiHidden="1" w:uiPriority="31" w:qFormat="1"/>
    <w:lsdException w:name="Intense Reference" w:locked="1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75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835E9D"/>
    <w:pPr>
      <w:widowControl w:val="0"/>
      <w:spacing w:before="360"/>
      <w:contextualSpacing/>
      <w:outlineLvl w:val="0"/>
    </w:pPr>
    <w:rPr>
      <w:rFonts w:ascii="Calibri" w:eastAsiaTheme="minorHAnsi" w:hAnsi="Calibri" w:cstheme="minorBidi"/>
      <w:b/>
      <w:bCs/>
      <w:spacing w:val="5"/>
      <w:kern w:val="28"/>
      <w:sz w:val="60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835E9D"/>
    <w:pPr>
      <w:keepNext/>
      <w:numPr>
        <w:numId w:val="8"/>
      </w:numPr>
      <w:spacing w:after="60" w:line="240" w:lineRule="auto"/>
      <w:outlineLvl w:val="1"/>
    </w:pPr>
    <w:rPr>
      <w:rFonts w:ascii="Calibri" w:eastAsiaTheme="minorEastAsia" w:hAnsi="Calibri"/>
      <w:bCs/>
      <w:color w:val="000000"/>
      <w:sz w:val="44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835E9D"/>
    <w:pPr>
      <w:keepNext/>
      <w:keepLines/>
      <w:numPr>
        <w:ilvl w:val="1"/>
        <w:numId w:val="8"/>
      </w:numPr>
      <w:outlineLvl w:val="2"/>
    </w:pPr>
    <w:rPr>
      <w:rFonts w:ascii="Calibri" w:eastAsia="Times New Roman" w:hAnsi="Calibri"/>
      <w:b/>
      <w:bCs/>
      <w:sz w:val="36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835E9D"/>
    <w:pPr>
      <w:keepNext/>
      <w:numPr>
        <w:ilvl w:val="2"/>
        <w:numId w:val="8"/>
      </w:numPr>
      <w:outlineLvl w:val="3"/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835E9D"/>
    <w:pPr>
      <w:keepNext/>
      <w:keepLines/>
      <w:spacing w:after="0" w:line="240" w:lineRule="auto"/>
      <w:outlineLvl w:val="4"/>
    </w:pPr>
    <w:rPr>
      <w:rFonts w:ascii="Calibri" w:hAnsi="Calibri"/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16700"/>
    <w:pPr>
      <w:keepNext/>
      <w:keepLines/>
      <w:spacing w:before="40" w:after="0"/>
      <w:outlineLvl w:val="5"/>
    </w:pPr>
    <w:rPr>
      <w:rFonts w:eastAsiaTheme="majorEastAsia" w:cstheme="majorBidi"/>
      <w:b/>
      <w:i/>
      <w:color w:val="000000" w:themeColor="text1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16700"/>
    <w:pPr>
      <w:keepNext/>
      <w:keepLines/>
      <w:spacing w:before="40" w:after="0"/>
      <w:outlineLvl w:val="6"/>
    </w:pPr>
    <w:rPr>
      <w:rFonts w:eastAsiaTheme="majorEastAsia" w:cstheme="majorBidi"/>
      <w:b/>
      <w:iCs/>
      <w:color w:val="000000" w:themeColor="tex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16700"/>
    <w:pPr>
      <w:keepNext/>
      <w:keepLines/>
      <w:spacing w:before="40" w:after="0"/>
      <w:outlineLvl w:val="7"/>
    </w:pPr>
    <w:rPr>
      <w:rFonts w:eastAsiaTheme="majorEastAsia" w:cstheme="majorBidi"/>
      <w:b/>
      <w:i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26753"/>
    <w:pPr>
      <w:keepNext/>
      <w:keepLines/>
      <w:spacing w:before="40" w:after="0"/>
      <w:outlineLvl w:val="8"/>
    </w:pPr>
    <w:rPr>
      <w:rFonts w:eastAsiaTheme="majorEastAsia" w:cstheme="majorBidi"/>
      <w:b/>
      <w:iCs/>
      <w:color w:val="000000" w:themeColor="tex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BB6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6ACE"/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26"/>
    <w:rsid w:val="00D61857"/>
    <w:pPr>
      <w:tabs>
        <w:tab w:val="center" w:pos="4820"/>
      </w:tabs>
      <w:spacing w:before="120"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26"/>
    <w:rsid w:val="00D61857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27"/>
    <w:rsid w:val="00D61857"/>
    <w:pPr>
      <w:tabs>
        <w:tab w:val="center" w:pos="4536"/>
      </w:tabs>
      <w:spacing w:after="480"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27"/>
    <w:rsid w:val="00D61857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6A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ACE"/>
    <w:rPr>
      <w:rFonts w:asciiTheme="minorHAnsi" w:eastAsiaTheme="minorHAnsi" w:hAnsi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ACE"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ACE"/>
    <w:rPr>
      <w:rFonts w:ascii="Calibri" w:eastAsiaTheme="minorHAnsi" w:hAnsi="Calibri" w:cstheme="minorBidi"/>
      <w:sz w:val="18"/>
      <w:szCs w:val="18"/>
      <w:lang w:eastAsia="en-US"/>
    </w:rPr>
  </w:style>
  <w:style w:type="paragraph" w:customStyle="1" w:styleId="Footeraddress">
    <w:name w:val="Footer address"/>
    <w:basedOn w:val="Footer"/>
    <w:semiHidden/>
    <w:qFormat/>
    <w:rsid w:val="00BB6ACE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835E9D"/>
    <w:rPr>
      <w:rFonts w:ascii="Calibri" w:eastAsiaTheme="minorHAnsi" w:hAnsi="Calibri" w:cstheme="minorBidi"/>
      <w:b/>
      <w:bCs/>
      <w:spacing w:val="5"/>
      <w:kern w:val="28"/>
      <w:sz w:val="60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835E9D"/>
    <w:rPr>
      <w:rFonts w:ascii="Calibri" w:eastAsiaTheme="minorEastAsia" w:hAnsi="Calibri" w:cstheme="minorBidi"/>
      <w:bCs/>
      <w:color w:val="000000"/>
      <w:sz w:val="4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835E9D"/>
    <w:rPr>
      <w:rFonts w:ascii="Calibri" w:eastAsia="Times New Roman" w:hAnsi="Calibri"/>
      <w:b/>
      <w:bCs/>
      <w:sz w:val="36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835E9D"/>
    <w:rPr>
      <w:rFonts w:ascii="Calibri" w:eastAsia="Times New Roman" w:hAnsi="Calibri"/>
      <w:b/>
      <w:bCs/>
      <w:sz w:val="3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835E9D"/>
    <w:rPr>
      <w:rFonts w:ascii="Calibri" w:eastAsiaTheme="minorHAnsi" w:hAnsi="Calibri" w:cstheme="minorBidi"/>
      <w:b/>
      <w:sz w:val="28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rsid w:val="00BB6ACE"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sid w:val="00BB6ACE"/>
    <w:rPr>
      <w:rFonts w:asciiTheme="minorHAnsi" w:eastAsiaTheme="minorHAnsi" w:hAnsi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rsid w:val="00BB6ACE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 w:after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rsid w:val="00BB6ACE"/>
    <w:pPr>
      <w:keepNext/>
      <w:spacing w:after="120" w:line="240" w:lineRule="auto"/>
    </w:pPr>
    <w:rPr>
      <w:rFonts w:ascii="Calibri" w:hAnsi="Calibri"/>
      <w:b/>
      <w:bCs/>
      <w:sz w:val="24"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BB6ACE"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B5453F"/>
    <w:pPr>
      <w:spacing w:before="120"/>
    </w:pPr>
    <w:rPr>
      <w:b w:val="0"/>
      <w:color w:val="000000" w:themeColor="text1"/>
      <w:sz w:val="44"/>
      <w:szCs w:val="56"/>
    </w:rPr>
  </w:style>
  <w:style w:type="character" w:customStyle="1" w:styleId="SubtitleChar">
    <w:name w:val="Subtitle Char"/>
    <w:basedOn w:val="DefaultParagraphFont"/>
    <w:link w:val="Subtitle"/>
    <w:uiPriority w:val="23"/>
    <w:rsid w:val="00B5453F"/>
    <w:rPr>
      <w:rFonts w:ascii="Calibri" w:eastAsiaTheme="minorHAnsi" w:hAnsi="Calibri" w:cstheme="minorBidi"/>
      <w:bCs/>
      <w:color w:val="000000" w:themeColor="text1"/>
      <w:spacing w:val="5"/>
      <w:kern w:val="28"/>
      <w:sz w:val="44"/>
      <w:szCs w:val="56"/>
      <w:lang w:eastAsia="en-US"/>
    </w:rPr>
  </w:style>
  <w:style w:type="paragraph" w:styleId="TOCHeading">
    <w:name w:val="TOC Heading"/>
    <w:next w:val="Normal"/>
    <w:uiPriority w:val="39"/>
    <w:qFormat/>
    <w:rsid w:val="00BB6ACE"/>
    <w:pPr>
      <w:spacing w:before="480" w:line="276" w:lineRule="auto"/>
    </w:pPr>
    <w:rPr>
      <w:rFonts w:ascii="Calibri" w:eastAsiaTheme="minorEastAsia" w:hAnsi="Calibri" w:cstheme="minorBidi"/>
      <w:bCs/>
      <w:color w:val="22372B"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BB6ACE"/>
    <w:pPr>
      <w:tabs>
        <w:tab w:val="left" w:pos="426"/>
        <w:tab w:val="right" w:leader="dot" w:pos="9072"/>
      </w:tabs>
      <w:spacing w:before="120" w:after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BB6ACE"/>
    <w:pPr>
      <w:tabs>
        <w:tab w:val="right" w:leader="dot" w:pos="9060"/>
      </w:tabs>
      <w:spacing w:before="120" w:after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BB6ACE"/>
    <w:pPr>
      <w:tabs>
        <w:tab w:val="right" w:leader="dot" w:pos="9072"/>
      </w:tabs>
      <w:spacing w:before="120" w:after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sid w:val="00BB6ACE"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762C3E"/>
    <w:pPr>
      <w:numPr>
        <w:numId w:val="9"/>
      </w:numPr>
      <w:spacing w:before="120" w:after="120"/>
      <w:ind w:left="454" w:hanging="454"/>
    </w:pPr>
  </w:style>
  <w:style w:type="paragraph" w:styleId="TableofFigures">
    <w:name w:val="table of figures"/>
    <w:basedOn w:val="Normal"/>
    <w:next w:val="Normal"/>
    <w:uiPriority w:val="99"/>
    <w:rsid w:val="00BB6ACE"/>
    <w:pPr>
      <w:spacing w:before="120" w:after="120" w:line="240" w:lineRule="auto"/>
    </w:pPr>
  </w:style>
  <w:style w:type="paragraph" w:styleId="ListBullet2">
    <w:name w:val="List Bullet 2"/>
    <w:basedOn w:val="Normal"/>
    <w:uiPriority w:val="8"/>
    <w:qFormat/>
    <w:rsid w:val="00762C3E"/>
    <w:pPr>
      <w:numPr>
        <w:ilvl w:val="1"/>
        <w:numId w:val="9"/>
      </w:numPr>
      <w:spacing w:before="120" w:after="120"/>
      <w:ind w:left="908" w:hanging="454"/>
      <w:contextualSpacing/>
    </w:pPr>
  </w:style>
  <w:style w:type="paragraph" w:styleId="ListNumber">
    <w:name w:val="List Number"/>
    <w:basedOn w:val="Normal"/>
    <w:uiPriority w:val="9"/>
    <w:qFormat/>
    <w:rsid w:val="00762C3E"/>
    <w:pPr>
      <w:numPr>
        <w:numId w:val="10"/>
      </w:numPr>
      <w:tabs>
        <w:tab w:val="left" w:pos="142"/>
      </w:tabs>
      <w:spacing w:before="120" w:after="120"/>
      <w:ind w:left="454" w:hanging="454"/>
    </w:pPr>
  </w:style>
  <w:style w:type="paragraph" w:styleId="ListNumber2">
    <w:name w:val="List Number 2"/>
    <w:uiPriority w:val="10"/>
    <w:qFormat/>
    <w:rsid w:val="009E7B5C"/>
    <w:pPr>
      <w:numPr>
        <w:ilvl w:val="1"/>
        <w:numId w:val="10"/>
      </w:numPr>
      <w:spacing w:before="120" w:after="120" w:line="264" w:lineRule="auto"/>
      <w:ind w:left="908" w:hanging="454"/>
    </w:pPr>
    <w:rPr>
      <w:rFonts w:asciiTheme="minorHAnsi" w:eastAsia="Times New Roman" w:hAnsiTheme="minorHAnsi"/>
      <w:sz w:val="22"/>
      <w:szCs w:val="24"/>
      <w:lang w:eastAsia="en-US"/>
    </w:rPr>
  </w:style>
  <w:style w:type="paragraph" w:styleId="ListNumber3">
    <w:name w:val="List Number 3"/>
    <w:uiPriority w:val="11"/>
    <w:qFormat/>
    <w:rsid w:val="00821DA2"/>
    <w:pPr>
      <w:numPr>
        <w:ilvl w:val="2"/>
        <w:numId w:val="10"/>
      </w:numPr>
      <w:spacing w:before="120" w:after="120" w:line="264" w:lineRule="auto"/>
      <w:ind w:left="1361" w:hanging="454"/>
    </w:pPr>
    <w:rPr>
      <w:rFonts w:asciiTheme="minorHAnsi" w:eastAsia="Times New Roman" w:hAnsiTheme="minorHAnsi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BB6AC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sid w:val="00BB6ACE"/>
    <w:rPr>
      <w:color w:val="E36C0A"/>
      <w:lang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TableText">
    <w:name w:val="Table Text"/>
    <w:basedOn w:val="Normal"/>
    <w:uiPriority w:val="13"/>
    <w:qFormat/>
    <w:rsid w:val="00BB6ACE"/>
    <w:pPr>
      <w:spacing w:before="60" w:after="60" w:line="240" w:lineRule="auto"/>
    </w:pPr>
    <w:rPr>
      <w:sz w:val="18"/>
    </w:rPr>
  </w:style>
  <w:style w:type="table" w:styleId="TableGrid1">
    <w:name w:val="Table Grid 1"/>
    <w:basedOn w:val="TableNormal"/>
    <w:uiPriority w:val="99"/>
    <w:semiHidden/>
    <w:unhideWhenUsed/>
    <w:rsid w:val="00BB6ACE"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TableText"/>
    <w:uiPriority w:val="14"/>
    <w:qFormat/>
    <w:rsid w:val="00BB6ACE"/>
    <w:pPr>
      <w:keepNext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BB6ACE"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rsid w:val="00BB6ACE"/>
    <w:pPr>
      <w:spacing w:after="60"/>
    </w:pPr>
    <w:rPr>
      <w:b/>
      <w:sz w:val="24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rsid w:val="00BB6ACE"/>
  </w:style>
  <w:style w:type="character" w:styleId="Strong">
    <w:name w:val="Strong"/>
    <w:basedOn w:val="DefaultParagraphFont"/>
    <w:uiPriority w:val="22"/>
    <w:qFormat/>
    <w:rsid w:val="00BB6ACE"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rsid w:val="00BB6ACE"/>
    <w:pPr>
      <w:spacing w:before="120" w:after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sid w:val="00BB6ACE"/>
    <w:rPr>
      <w:rFonts w:asciiTheme="minorHAnsi" w:eastAsia="Calibri" w:hAnsiTheme="minorHAns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BB6ACE"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rsid w:val="00BB6ACE"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BB6ACE"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rsid w:val="00BC6BA3"/>
    <w:pPr>
      <w:numPr>
        <w:numId w:val="7"/>
      </w:numPr>
      <w:ind w:left="357" w:hanging="357"/>
    </w:pPr>
  </w:style>
  <w:style w:type="paragraph" w:customStyle="1" w:styleId="TableBullet">
    <w:name w:val="Table Bullet"/>
    <w:basedOn w:val="TableText"/>
    <w:uiPriority w:val="15"/>
    <w:qFormat/>
    <w:rsid w:val="00996A46"/>
    <w:pPr>
      <w:numPr>
        <w:numId w:val="6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BB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B6AC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rsid w:val="00BB6ACE"/>
    <w:pPr>
      <w:spacing w:line="240" w:lineRule="auto"/>
    </w:pPr>
    <w:rPr>
      <w:b/>
    </w:rPr>
  </w:style>
  <w:style w:type="paragraph" w:customStyle="1" w:styleId="Securityclassification">
    <w:name w:val="Security classification"/>
    <w:basedOn w:val="Header"/>
    <w:next w:val="Header"/>
    <w:uiPriority w:val="26"/>
    <w:semiHidden/>
    <w:qFormat/>
    <w:rsid w:val="00BB6ACE"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semiHidden/>
    <w:rsid w:val="00BB6ACE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BB6ACE"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6ACE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B6AC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BB6ACE"/>
    <w:pPr>
      <w:spacing w:after="60" w:line="264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B6ACE"/>
    <w:rPr>
      <w:rFonts w:asciiTheme="minorHAnsi" w:eastAsiaTheme="minorHAnsi" w:hAnsi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B6A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B6ACE"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rsid w:val="00BB6ACE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  <w:rPr>
      <w:rFonts w:asciiTheme="minorHAnsi" w:hAnsiTheme="minorHAnsi"/>
    </w:rPr>
  </w:style>
  <w:style w:type="numbering" w:customStyle="1" w:styleId="List1">
    <w:name w:val="List1"/>
    <w:basedOn w:val="NoList"/>
    <w:uiPriority w:val="99"/>
    <w:rsid w:val="00BB6ACE"/>
    <w:pPr>
      <w:numPr>
        <w:numId w:val="1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BB6ACE"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B6ACE"/>
    <w:rPr>
      <w:rFonts w:asciiTheme="minorHAnsi" w:eastAsiaTheme="majorEastAsia" w:hAnsiTheme="minorHAnsi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sid w:val="00BB6ACE"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rsid w:val="00BB6ACE"/>
    <w:pPr>
      <w:numPr>
        <w:numId w:val="2"/>
      </w:numPr>
    </w:pPr>
  </w:style>
  <w:style w:type="numbering" w:customStyle="1" w:styleId="Headinglist">
    <w:name w:val="Heading list"/>
    <w:uiPriority w:val="99"/>
    <w:rsid w:val="00BB6ACE"/>
    <w:pPr>
      <w:numPr>
        <w:numId w:val="3"/>
      </w:numPr>
    </w:pPr>
  </w:style>
  <w:style w:type="paragraph" w:customStyle="1" w:styleId="Normalsmall">
    <w:name w:val="Normal small"/>
    <w:qFormat/>
    <w:rsid w:val="00BB6ACE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rsid w:val="00762C3E"/>
    <w:pPr>
      <w:numPr>
        <w:ilvl w:val="2"/>
        <w:numId w:val="9"/>
      </w:numPr>
      <w:ind w:left="1361" w:hanging="454"/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ListNumber">
    <w:name w:val="Table List Number"/>
    <w:uiPriority w:val="99"/>
    <w:qFormat/>
    <w:rsid w:val="00CF7FF8"/>
    <w:pPr>
      <w:numPr>
        <w:numId w:val="13"/>
      </w:numPr>
      <w:spacing w:before="60" w:after="60"/>
      <w:contextualSpacing/>
    </w:pPr>
    <w:rPr>
      <w:rFonts w:asciiTheme="minorHAnsi" w:eastAsia="Calibri" w:hAnsiTheme="minorHAnsi"/>
      <w:color w:val="000000" w:themeColor="text1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sid w:val="00BB6ACE"/>
    <w:rPr>
      <w:i/>
      <w:iCs/>
      <w:color w:val="4F81BD" w:themeColor="accent1"/>
    </w:rPr>
  </w:style>
  <w:style w:type="paragraph" w:customStyle="1" w:styleId="TableBullet2">
    <w:name w:val="Table Bullet 2"/>
    <w:basedOn w:val="TableBullet"/>
    <w:qFormat/>
    <w:rsid w:val="00996A46"/>
    <w:pPr>
      <w:numPr>
        <w:numId w:val="11"/>
      </w:numPr>
      <w:tabs>
        <w:tab w:val="num" w:pos="462"/>
      </w:tabs>
      <w:ind w:left="568" w:hanging="284"/>
    </w:pPr>
  </w:style>
  <w:style w:type="numbering" w:customStyle="1" w:styleId="TableBulletlist">
    <w:name w:val="Table Bullet list"/>
    <w:uiPriority w:val="99"/>
    <w:rsid w:val="00BB6ACE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B6A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BB6ACE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700"/>
    <w:rPr>
      <w:rFonts w:asciiTheme="minorHAnsi" w:eastAsiaTheme="majorEastAsia" w:hAnsiTheme="minorHAnsi" w:cstheme="majorBidi"/>
      <w:b/>
      <w:i/>
      <w:color w:val="000000" w:themeColor="text1"/>
      <w:sz w:val="26"/>
      <w:szCs w:val="22"/>
      <w:lang w:eastAsia="en-US"/>
    </w:rPr>
  </w:style>
  <w:style w:type="paragraph" w:customStyle="1" w:styleId="TableListNumber2">
    <w:name w:val="Table List Number 2"/>
    <w:basedOn w:val="TableText"/>
    <w:qFormat/>
    <w:rsid w:val="00CF7FF8"/>
    <w:pPr>
      <w:numPr>
        <w:ilvl w:val="1"/>
        <w:numId w:val="13"/>
      </w:numPr>
    </w:pPr>
  </w:style>
  <w:style w:type="paragraph" w:customStyle="1" w:styleId="TableListNumber3">
    <w:name w:val="Table List Number 3"/>
    <w:basedOn w:val="TableText"/>
    <w:qFormat/>
    <w:rsid w:val="00CF7FF8"/>
    <w:pPr>
      <w:numPr>
        <w:ilvl w:val="2"/>
        <w:numId w:val="13"/>
      </w:numPr>
    </w:pPr>
  </w:style>
  <w:style w:type="numbering" w:customStyle="1" w:styleId="Tablenumberedlists">
    <w:name w:val="Table numbered lists"/>
    <w:uiPriority w:val="99"/>
    <w:rsid w:val="00CF7FF8"/>
    <w:pPr>
      <w:numPr>
        <w:numId w:val="13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A16700"/>
    <w:rPr>
      <w:rFonts w:asciiTheme="minorHAnsi" w:eastAsiaTheme="majorEastAsia" w:hAnsiTheme="minorHAnsi" w:cstheme="majorBidi"/>
      <w:b/>
      <w:iCs/>
      <w:color w:val="000000" w:themeColor="text1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700"/>
    <w:rPr>
      <w:rFonts w:asciiTheme="minorHAnsi" w:eastAsiaTheme="majorEastAsia" w:hAnsiTheme="minorHAnsi" w:cstheme="majorBidi"/>
      <w:b/>
      <w:i/>
      <w:sz w:val="22"/>
      <w:szCs w:val="21"/>
      <w:lang w:eastAsia="en-US"/>
    </w:rPr>
  </w:style>
  <w:style w:type="paragraph" w:customStyle="1" w:styleId="BoxTextNumber">
    <w:name w:val="Box Text Number"/>
    <w:basedOn w:val="BoxText"/>
    <w:qFormat/>
    <w:rsid w:val="00A27706"/>
    <w:pPr>
      <w:numPr>
        <w:numId w:val="15"/>
      </w:numPr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826753"/>
    <w:rPr>
      <w:rFonts w:asciiTheme="minorHAnsi" w:eastAsiaTheme="majorEastAsia" w:hAnsiTheme="minorHAnsi" w:cstheme="majorBidi"/>
      <w:b/>
      <w:iCs/>
      <w:color w:val="000000" w:themeColor="text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ptagriculture.sharepoint.com/OfficeTemplates/Print%20and%20web%20content/Short_documen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82D4D3ABBAF49949BEA620E23A834" ma:contentTypeVersion="6" ma:contentTypeDescription="Create a new document." ma:contentTypeScope="" ma:versionID="2f9491a9300e20773862bbf2a13517b2">
  <xsd:schema xmlns:xsd="http://www.w3.org/2001/XMLSchema" xmlns:xs="http://www.w3.org/2001/XMLSchema" xmlns:p="http://schemas.microsoft.com/office/2006/metadata/properties" xmlns:ns2="c527c9b7-9ec8-4c5f-a515-89657b782942" targetNamespace="http://schemas.microsoft.com/office/2006/metadata/properties" ma:root="true" ma:fieldsID="b5a1c347192ad58c4fe9a65530de6653" ns2:_="">
    <xsd:import namespace="c527c9b7-9ec8-4c5f-a515-89657b782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7c9b7-9ec8-4c5f-a515-89657b782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867144-1A3A-469F-91B9-29B4C357A7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F656C-B5E7-4000-8877-C0A86D979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7c9b7-9ec8-4c5f-a515-89657b782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1CAD33-3B39-4665-A5E6-666D035120E9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527c9b7-9ec8-4c5f-a515-89657b782942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Short_document_template</Template>
  <TotalTime>11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for General Surveillance Program Design, Monitoring and Evaluation - Program Logic Example</vt:lpstr>
    </vt:vector>
  </TitlesOfParts>
  <Company/>
  <LinksUpToDate>false</LinksUpToDate>
  <CharactersWithSpaces>3355</CharactersWithSpaces>
  <SharedDoc>false</SharedDoc>
  <HLinks>
    <vt:vector size="42" baseType="variant">
      <vt:variant>
        <vt:i4>3735676</vt:i4>
      </vt:variant>
      <vt:variant>
        <vt:i4>123</vt:i4>
      </vt:variant>
      <vt:variant>
        <vt:i4>0</vt:i4>
      </vt:variant>
      <vt:variant>
        <vt:i4>5</vt:i4>
      </vt:variant>
      <vt:variant>
        <vt:lpwstr>http://www.fao.org/docrep/016/i3027e/i3027e.pdf</vt:lpwstr>
      </vt:variant>
      <vt:variant>
        <vt:lpwstr/>
      </vt:variant>
      <vt:variant>
        <vt:i4>7012470</vt:i4>
      </vt:variant>
      <vt:variant>
        <vt:i4>120</vt:i4>
      </vt:variant>
      <vt:variant>
        <vt:i4>0</vt:i4>
      </vt:variant>
      <vt:variant>
        <vt:i4>5</vt:i4>
      </vt:variant>
      <vt:variant>
        <vt:lpwstr>http://www.daff.gov.au/abares/publications</vt:lpwstr>
      </vt:variant>
      <vt:variant>
        <vt:lpwstr/>
      </vt:variant>
      <vt:variant>
        <vt:i4>3342462</vt:i4>
      </vt:variant>
      <vt:variant>
        <vt:i4>12</vt:i4>
      </vt:variant>
      <vt:variant>
        <vt:i4>0</vt:i4>
      </vt:variant>
      <vt:variant>
        <vt:i4>5</vt:i4>
      </vt:variant>
      <vt:variant>
        <vt:lpwstr>http://daff.gov.au/</vt:lpwstr>
      </vt:variant>
      <vt:variant>
        <vt:lpwstr/>
      </vt:variant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http://daff.gov.au/publications</vt:lpwstr>
      </vt:variant>
      <vt:variant>
        <vt:lpwstr/>
      </vt:variant>
      <vt:variant>
        <vt:i4>524394</vt:i4>
      </vt:variant>
      <vt:variant>
        <vt:i4>6</vt:i4>
      </vt:variant>
      <vt:variant>
        <vt:i4>0</vt:i4>
      </vt:variant>
      <vt:variant>
        <vt:i4>5</vt:i4>
      </vt:variant>
      <vt:variant>
        <vt:lpwstr>mailto:copyright@daff.gov.au</vt:lpwstr>
      </vt:variant>
      <vt:variant>
        <vt:lpwstr/>
      </vt:variant>
      <vt:variant>
        <vt:i4>2687028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http://creativecommons.org/licenses/by/3.0/au/legalcode</vt:lpwstr>
      </vt:variant>
      <vt:variant>
        <vt:lpwstr/>
      </vt:variant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http://creativecommons.org/licenses/by/3.0/au/deed.en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for General Surveillance Program Design, Monitoring and Evaluation - Program Logic Example</dc:title>
  <dc:creator>Department of Agriculture, Fisheries and Forestry</dc:creator>
  <cp:revision>3</cp:revision>
  <cp:lastPrinted>2019-02-13T02:42:00Z</cp:lastPrinted>
  <dcterms:created xsi:type="dcterms:W3CDTF">2025-12-05T01:33:00Z</dcterms:created>
  <dcterms:modified xsi:type="dcterms:W3CDTF">2025-12-09T06:04:00Z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0x0101002C982D4D3ABBAF49949BEA620E23A834</vt:lpwstr>
  </property>
  <property fmtid="{D5CDD505-2E9C-101B-9397-08002B2CF9AE}" pid="3" name="_DocHome">
    <vt:i4>986778056</vt:i4>
  </property>
  <property fmtid="{D5CDD505-2E9C-101B-9397-08002B2CF9AE}" pid="4" name="ClassificationContentMarkingHeaderShapeIds">
    <vt:lpwstr>75e73740,2c8aeb6c,4d3bd1fa,55ab39f3,34f34a2f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351e854a,51c89a,793599a5,3e83fc58,78ecbfb3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933d8be6-3c40-4052-87a2-9c2adcba8759_Enabled">
    <vt:lpwstr>true</vt:lpwstr>
  </property>
  <property fmtid="{D5CDD505-2E9C-101B-9397-08002B2CF9AE}" pid="11" name="MSIP_Label_933d8be6-3c40-4052-87a2-9c2adcba8759_SetDate">
    <vt:lpwstr>2024-07-17T04:47:03Z</vt:lpwstr>
  </property>
  <property fmtid="{D5CDD505-2E9C-101B-9397-08002B2CF9AE}" pid="12" name="MSIP_Label_933d8be6-3c40-4052-87a2-9c2adcba8759_Method">
    <vt:lpwstr>Privileged</vt:lpwstr>
  </property>
  <property fmtid="{D5CDD505-2E9C-101B-9397-08002B2CF9AE}" pid="13" name="MSIP_Label_933d8be6-3c40-4052-87a2-9c2adcba8759_Name">
    <vt:lpwstr>OFFICIAL</vt:lpwstr>
  </property>
  <property fmtid="{D5CDD505-2E9C-101B-9397-08002B2CF9AE}" pid="14" name="MSIP_Label_933d8be6-3c40-4052-87a2-9c2adcba8759_SiteId">
    <vt:lpwstr>2be67eb7-400c-4b3f-a5a1-1258c0da0696</vt:lpwstr>
  </property>
  <property fmtid="{D5CDD505-2E9C-101B-9397-08002B2CF9AE}" pid="15" name="MSIP_Label_933d8be6-3c40-4052-87a2-9c2adcba8759_ActionId">
    <vt:lpwstr>9f8d9c3c-f4a4-40a1-ad7c-6abbf8b868bb</vt:lpwstr>
  </property>
  <property fmtid="{D5CDD505-2E9C-101B-9397-08002B2CF9AE}" pid="16" name="MSIP_Label_933d8be6-3c40-4052-87a2-9c2adcba8759_ContentBits">
    <vt:lpwstr>3</vt:lpwstr>
  </property>
</Properties>
</file>