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55" w14:textId="240BDBC9" w:rsidR="00DA6A45" w:rsidRPr="00DA6A45" w:rsidRDefault="00DA6A45" w:rsidP="00DA6A45">
      <w:pPr>
        <w:widowControl w:val="0"/>
        <w:spacing w:after="120"/>
        <w:outlineLvl w:val="1"/>
        <w:rPr>
          <w:rFonts w:eastAsiaTheme="majorEastAsia" w:cstheme="majorBidi"/>
          <w:b/>
          <w:color w:val="4D4DB8"/>
          <w:sz w:val="28"/>
          <w:szCs w:val="26"/>
        </w:rPr>
      </w:pPr>
      <w:r w:rsidRPr="00DA6A45">
        <w:rPr>
          <w:rFonts w:eastAsiaTheme="majorEastAsia" w:cstheme="majorBidi"/>
          <w:b/>
          <w:color w:val="4D4DB8"/>
          <w:sz w:val="28"/>
          <w:szCs w:val="26"/>
        </w:rPr>
        <w:t xml:space="preserve">Exports of Australian waste and recovered materials in </w:t>
      </w:r>
      <w:r w:rsidR="00CA3B6A">
        <w:rPr>
          <w:rFonts w:eastAsiaTheme="majorEastAsia" w:cstheme="majorBidi"/>
          <w:b/>
          <w:color w:val="4D4DB8"/>
          <w:sz w:val="28"/>
          <w:szCs w:val="26"/>
        </w:rPr>
        <w:t>2020-</w:t>
      </w:r>
      <w:r w:rsidRPr="00DA6A45">
        <w:rPr>
          <w:rFonts w:eastAsiaTheme="majorEastAsia" w:cstheme="majorBidi"/>
          <w:b/>
          <w:color w:val="4D4DB8"/>
          <w:sz w:val="28"/>
          <w:szCs w:val="26"/>
        </w:rPr>
        <w:t>2</w:t>
      </w:r>
      <w:r w:rsidR="00110651">
        <w:rPr>
          <w:rFonts w:eastAsiaTheme="majorEastAsia" w:cstheme="majorBidi"/>
          <w:b/>
          <w:color w:val="4D4DB8"/>
          <w:sz w:val="28"/>
          <w:szCs w:val="26"/>
        </w:rPr>
        <w:t>1</w:t>
      </w:r>
    </w:p>
    <w:p w14:paraId="599D0EBA" w14:textId="764DF41D" w:rsidR="00DA6A45" w:rsidRPr="00DA6A45" w:rsidRDefault="003D4C6B" w:rsidP="00DA6A45">
      <w:pPr>
        <w:jc w:val="right"/>
        <w:rPr>
          <w:i/>
        </w:rPr>
      </w:pPr>
      <w:r>
        <w:rPr>
          <w:i/>
        </w:rPr>
        <w:t>14</w:t>
      </w:r>
      <w:r w:rsidR="00532FE3">
        <w:rPr>
          <w:i/>
        </w:rPr>
        <w:t xml:space="preserve"> September</w:t>
      </w:r>
      <w:r w:rsidR="00CA3B6A">
        <w:rPr>
          <w:i/>
        </w:rPr>
        <w:t> </w:t>
      </w:r>
      <w:r w:rsidR="00DA6A45" w:rsidRPr="00DA6A45">
        <w:rPr>
          <w:i/>
        </w:rPr>
        <w:t>202</w:t>
      </w:r>
      <w:r w:rsidR="00E44550">
        <w:rPr>
          <w:i/>
        </w:rPr>
        <w:t>1</w:t>
      </w:r>
      <w:r w:rsidR="00DA6A45" w:rsidRPr="00DA6A45">
        <w:rPr>
          <w:i/>
        </w:rPr>
        <w:t>, Sally Donovan</w:t>
      </w:r>
      <w:r w:rsidR="00646F31">
        <w:rPr>
          <w:i/>
        </w:rPr>
        <w:t xml:space="preserve"> and Joe Pickin</w:t>
      </w:r>
    </w:p>
    <w:p w14:paraId="794AEC7A" w14:textId="77777777" w:rsidR="00DA6A45" w:rsidRPr="00DA6A45" w:rsidRDefault="00DA6A45" w:rsidP="00DA6A45">
      <w:pPr>
        <w:spacing w:before="120" w:after="120"/>
        <w:jc w:val="right"/>
        <w:rPr>
          <w:i/>
        </w:rPr>
      </w:pPr>
      <w:r w:rsidRPr="00DA6A45">
        <w:rPr>
          <w:i/>
          <w:sz w:val="16"/>
          <w:szCs w:val="16"/>
        </w:rPr>
        <w:t>©The Department of Agriculture, Water and the Environment</w:t>
      </w:r>
    </w:p>
    <w:p w14:paraId="3817858C" w14:textId="7E927D3A" w:rsidR="00AD4659" w:rsidRDefault="00AF1D05" w:rsidP="00F46CB5">
      <w:pPr>
        <w:pStyle w:val="BodyText"/>
      </w:pPr>
      <w:r w:rsidRPr="00F46CB5">
        <w:t xml:space="preserve">Blue Environment is commissioned by the Department of </w:t>
      </w:r>
      <w:r w:rsidR="003B0ED0" w:rsidRPr="00F46CB5">
        <w:t xml:space="preserve">Agriculture, Water and </w:t>
      </w:r>
      <w:r w:rsidR="005D3814" w:rsidRPr="00F46CB5">
        <w:t xml:space="preserve">the </w:t>
      </w:r>
      <w:r w:rsidR="003B0ED0" w:rsidRPr="00F46CB5">
        <w:t>Environment</w:t>
      </w:r>
      <w:r w:rsidRPr="00F46CB5">
        <w:t xml:space="preserve"> to</w:t>
      </w:r>
      <w:r w:rsidR="002C38B8">
        <w:t xml:space="preserve"> </w:t>
      </w:r>
      <w:r w:rsidR="001D40D7" w:rsidRPr="00F46CB5">
        <w:t xml:space="preserve">analyse and report </w:t>
      </w:r>
      <w:r w:rsidR="002C38B8">
        <w:t xml:space="preserve">data </w:t>
      </w:r>
      <w:r w:rsidR="001D40D7" w:rsidRPr="00F46CB5">
        <w:t xml:space="preserve">on </w:t>
      </w:r>
      <w:r w:rsidR="00862833" w:rsidRPr="00F46CB5">
        <w:t xml:space="preserve">monthly </w:t>
      </w:r>
      <w:r w:rsidR="00C320D5" w:rsidRPr="00F46CB5">
        <w:t xml:space="preserve">and annual </w:t>
      </w:r>
      <w:r w:rsidR="00862833" w:rsidRPr="00F46CB5">
        <w:t xml:space="preserve">exports of </w:t>
      </w:r>
      <w:r w:rsidR="00693E99" w:rsidRPr="00F46CB5">
        <w:t>waste</w:t>
      </w:r>
      <w:r w:rsidR="003F0BCD" w:rsidRPr="00F46CB5">
        <w:t xml:space="preserve"> and recovered materials</w:t>
      </w:r>
      <w:r w:rsidR="00AD4659" w:rsidRPr="002610FB">
        <w:rPr>
          <w:vertAlign w:val="superscript"/>
        </w:rPr>
        <w:footnoteReference w:id="1"/>
      </w:r>
      <w:r w:rsidRPr="00F46CB5">
        <w:t xml:space="preserve">. The </w:t>
      </w:r>
      <w:r w:rsidR="00DF2526" w:rsidRPr="00F46CB5">
        <w:t xml:space="preserve">original </w:t>
      </w:r>
      <w:r w:rsidRPr="00F46CB5">
        <w:t>data is provided by the Australian Bureau of Statistics</w:t>
      </w:r>
      <w:r w:rsidR="00DF2526" w:rsidRPr="00F46CB5">
        <w:t xml:space="preserve"> (ABS)</w:t>
      </w:r>
      <w:r w:rsidRPr="00F46CB5">
        <w:t xml:space="preserve">, </w:t>
      </w:r>
      <w:r w:rsidR="0033615A" w:rsidRPr="00F46CB5">
        <w:t>and comprises</w:t>
      </w:r>
      <w:r w:rsidRPr="00F46CB5">
        <w:t xml:space="preserve"> monthly data </w:t>
      </w:r>
      <w:r w:rsidR="004058FA" w:rsidRPr="00F46CB5">
        <w:t>and</w:t>
      </w:r>
      <w:r w:rsidRPr="00F46CB5">
        <w:t xml:space="preserve"> updates</w:t>
      </w:r>
      <w:r w:rsidR="00486797" w:rsidRPr="00F46CB5">
        <w:t xml:space="preserve"> to previously reported data</w:t>
      </w:r>
      <w:r w:rsidR="00084FDB" w:rsidRPr="002610FB">
        <w:rPr>
          <w:vertAlign w:val="superscript"/>
        </w:rPr>
        <w:footnoteReference w:id="2"/>
      </w:r>
      <w:r w:rsidR="00084FDB" w:rsidRPr="002610FB">
        <w:rPr>
          <w:vertAlign w:val="superscript"/>
        </w:rPr>
        <w:t>,</w:t>
      </w:r>
      <w:r w:rsidR="004058FA" w:rsidRPr="002610FB">
        <w:rPr>
          <w:vertAlign w:val="superscript"/>
        </w:rPr>
        <w:footnoteReference w:id="3"/>
      </w:r>
      <w:r w:rsidR="00084FDB" w:rsidRPr="002610FB">
        <w:rPr>
          <w:vertAlign w:val="superscript"/>
        </w:rPr>
        <w:t>,</w:t>
      </w:r>
      <w:r w:rsidR="00084FDB" w:rsidRPr="002610FB">
        <w:rPr>
          <w:vertAlign w:val="superscript"/>
        </w:rPr>
        <w:footnoteReference w:id="4"/>
      </w:r>
      <w:r w:rsidRPr="00F46CB5">
        <w:t>.</w:t>
      </w:r>
      <w:r w:rsidR="004B2354" w:rsidRPr="00F46CB5">
        <w:t xml:space="preserve"> </w:t>
      </w:r>
      <w:r w:rsidR="00DF2526" w:rsidRPr="00F46CB5">
        <w:t>Th</w:t>
      </w:r>
      <w:r w:rsidR="008A188B" w:rsidRPr="00F46CB5">
        <w:t>e</w:t>
      </w:r>
      <w:r w:rsidR="00DF2526" w:rsidRPr="00F46CB5">
        <w:t xml:space="preserve"> ABS data is transformed to account for issues such as </w:t>
      </w:r>
      <w:r w:rsidR="006F49D0">
        <w:t>export</w:t>
      </w:r>
      <w:r w:rsidR="006F49D0" w:rsidRPr="00F46CB5">
        <w:t xml:space="preserve"> </w:t>
      </w:r>
      <w:r w:rsidR="00DF2526" w:rsidRPr="00F46CB5">
        <w:t xml:space="preserve">codes </w:t>
      </w:r>
      <w:r w:rsidR="008A188B" w:rsidRPr="00F46CB5">
        <w:t>covering</w:t>
      </w:r>
      <w:r w:rsidR="00DF2526" w:rsidRPr="00F46CB5">
        <w:t xml:space="preserve"> a mixture of wastes and non-wastes, and </w:t>
      </w:r>
      <w:r w:rsidR="000A2ACE" w:rsidRPr="00F46CB5">
        <w:t>to make</w:t>
      </w:r>
      <w:r w:rsidR="00DF2526" w:rsidRPr="00F46CB5">
        <w:t xml:space="preserve"> it consistent with national waste data methods</w:t>
      </w:r>
      <w:r w:rsidR="003E3CDB">
        <w:rPr>
          <w:rStyle w:val="FootnoteReference"/>
        </w:rPr>
        <w:footnoteReference w:id="5"/>
      </w:r>
      <w:r w:rsidR="00DF2526" w:rsidRPr="00F46CB5">
        <w:t xml:space="preserve">. </w:t>
      </w:r>
      <w:r w:rsidR="00F03947" w:rsidRPr="00F46CB5">
        <w:t>On a tonnage basis nearly all these exports are materials recovered from waste streams for recycling</w:t>
      </w:r>
      <w:r w:rsidR="003F0BCD" w:rsidRPr="002610FB">
        <w:rPr>
          <w:vertAlign w:val="superscript"/>
        </w:rPr>
        <w:footnoteReference w:id="6"/>
      </w:r>
      <w:r w:rsidR="00F03947" w:rsidRPr="00F46CB5">
        <w:t xml:space="preserve"> or energy recovery</w:t>
      </w:r>
      <w:r w:rsidR="00B02A2E" w:rsidRPr="00F46CB5">
        <w:t>, but a small portion is hazardous waste sent for treatment</w:t>
      </w:r>
      <w:r w:rsidR="00F03947">
        <w:t>.</w:t>
      </w:r>
      <w:r w:rsidR="00AD4659">
        <w:t xml:space="preserve"> </w:t>
      </w:r>
    </w:p>
    <w:p w14:paraId="46C49E33" w14:textId="7465FDA7" w:rsidR="00E30EBE" w:rsidRPr="00850B51" w:rsidRDefault="00E30EBE" w:rsidP="00823799">
      <w:pPr>
        <w:pStyle w:val="Heading3-nonumber"/>
        <w:shd w:val="clear" w:color="auto" w:fill="F2F2F2" w:themeFill="background1" w:themeFillShade="F2"/>
        <w:spacing w:before="240"/>
      </w:pPr>
      <w:r w:rsidRPr="00823799">
        <w:t>Summary</w:t>
      </w:r>
    </w:p>
    <w:p w14:paraId="7F2147B7" w14:textId="4539056A" w:rsidR="00EF1F9C" w:rsidRDefault="0083200E" w:rsidP="00823799">
      <w:pPr>
        <w:pStyle w:val="BodyText"/>
        <w:shd w:val="clear" w:color="auto" w:fill="F2F2F2" w:themeFill="background1" w:themeFillShade="F2"/>
      </w:pPr>
      <w:r w:rsidRPr="00545CCF">
        <w:t>In</w:t>
      </w:r>
      <w:r w:rsidR="009B17CE">
        <w:t> </w:t>
      </w:r>
      <w:r w:rsidR="00C742F0">
        <w:t>2</w:t>
      </w:r>
      <w:r w:rsidR="00110651">
        <w:t>0</w:t>
      </w:r>
      <w:r w:rsidR="00CA3B6A">
        <w:t>20-</w:t>
      </w:r>
      <w:r w:rsidR="00110651">
        <w:t>21</w:t>
      </w:r>
      <w:r w:rsidRPr="00545CCF">
        <w:t xml:space="preserve">, Australia exported </w:t>
      </w:r>
      <w:r w:rsidR="00C3658F" w:rsidRPr="0049132A">
        <w:t>about</w:t>
      </w:r>
      <w:r w:rsidR="007928A3" w:rsidRPr="0049132A">
        <w:t xml:space="preserve"> </w:t>
      </w:r>
      <w:r w:rsidR="00CA3B6A">
        <w:t>4.2</w:t>
      </w:r>
      <w:r w:rsidR="00024F63">
        <w:t>5</w:t>
      </w:r>
      <w:r w:rsidR="00CA3B6A">
        <w:t> million</w:t>
      </w:r>
      <w:r w:rsidR="00A040BA">
        <w:t> </w:t>
      </w:r>
      <w:r w:rsidRPr="00545CCF">
        <w:t>tonnes</w:t>
      </w:r>
      <w:r w:rsidR="00CA3B6A">
        <w:t xml:space="preserve"> (Mt)</w:t>
      </w:r>
      <w:r w:rsidRPr="00545CCF">
        <w:t xml:space="preserve"> of </w:t>
      </w:r>
      <w:r w:rsidR="00C9470A">
        <w:t>waste and recovered materials</w:t>
      </w:r>
      <w:r w:rsidRPr="00545CCF">
        <w:t xml:space="preserve"> with a </w:t>
      </w:r>
      <w:r w:rsidR="00A24EFE">
        <w:t xml:space="preserve">reported </w:t>
      </w:r>
      <w:r w:rsidRPr="00545CCF">
        <w:t xml:space="preserve">value </w:t>
      </w:r>
      <w:r w:rsidRPr="00D245D3">
        <w:t>of $</w:t>
      </w:r>
      <w:r w:rsidR="00CA3B6A">
        <w:t>3</w:t>
      </w:r>
      <w:r w:rsidR="00024F63">
        <w:t>.</w:t>
      </w:r>
      <w:r w:rsidR="00CA3B6A">
        <w:t>2 </w:t>
      </w:r>
      <w:r w:rsidR="00024F63">
        <w:t>b</w:t>
      </w:r>
      <w:r w:rsidR="00B02451" w:rsidRPr="00D245D3">
        <w:t>illion</w:t>
      </w:r>
      <w:r w:rsidR="00CA459B">
        <w:rPr>
          <w:rStyle w:val="FootnoteReference"/>
        </w:rPr>
        <w:footnoteReference w:id="7"/>
      </w:r>
      <w:r w:rsidRPr="00545CCF">
        <w:t>. Th</w:t>
      </w:r>
      <w:r w:rsidR="00024F63">
        <w:t xml:space="preserve">e tonnage is almost identical to last year, but the reported value is </w:t>
      </w:r>
      <w:r w:rsidR="00CA3B6A">
        <w:t>12</w:t>
      </w:r>
      <w:r w:rsidR="00040D3F" w:rsidRPr="00D245D3">
        <w:t xml:space="preserve">% </w:t>
      </w:r>
      <w:r w:rsidR="00024F63">
        <w:t>higher</w:t>
      </w:r>
      <w:r w:rsidR="00040D3F" w:rsidRPr="00D245D3">
        <w:t>.</w:t>
      </w:r>
      <w:r w:rsidR="00DD1345">
        <w:t xml:space="preserve"> </w:t>
      </w:r>
      <w:r w:rsidR="000277E7">
        <w:t xml:space="preserve">The exports included </w:t>
      </w:r>
      <w:r w:rsidR="00B9335F">
        <w:t>3.9 Mt</w:t>
      </w:r>
      <w:r w:rsidR="000277E7">
        <w:t xml:space="preserve"> (</w:t>
      </w:r>
      <w:r w:rsidR="00B9335F">
        <w:t>91</w:t>
      </w:r>
      <w:r w:rsidR="000277E7">
        <w:t xml:space="preserve">%) </w:t>
      </w:r>
      <w:r w:rsidR="006F2701">
        <w:t>within the</w:t>
      </w:r>
      <w:r w:rsidR="00DF2526">
        <w:t xml:space="preserve"> </w:t>
      </w:r>
      <w:r w:rsidR="006F2701">
        <w:t>scope of national waste reporting</w:t>
      </w:r>
      <w:r w:rsidR="00E918F3">
        <w:t xml:space="preserve"> </w:t>
      </w:r>
      <w:r w:rsidR="006F2701">
        <w:t>(‘</w:t>
      </w:r>
      <w:r w:rsidR="00E918F3">
        <w:t>core waste plus ash</w:t>
      </w:r>
      <w:r w:rsidR="006F2701">
        <w:t>’)</w:t>
      </w:r>
      <w:r w:rsidR="00E918F3">
        <w:t>.</w:t>
      </w:r>
      <w:r w:rsidR="001D799A">
        <w:t xml:space="preserve"> </w:t>
      </w:r>
      <w:r w:rsidR="0062760E">
        <w:t>Exports of scrap plastic grew slightly but the proportion of mixed plastics continued to decline.</w:t>
      </w:r>
      <w:r w:rsidR="0062760E" w:rsidRPr="0062760E">
        <w:t xml:space="preserve"> </w:t>
      </w:r>
      <w:r w:rsidR="0062760E">
        <w:t>Scrap glass exports dropped</w:t>
      </w:r>
      <w:r w:rsidR="00A57466">
        <w:t xml:space="preserve"> from a low level</w:t>
      </w:r>
      <w:r w:rsidR="0062760E">
        <w:t xml:space="preserve"> to almost zero as Australia’s ban on unprocessed glass exports came into force in January.</w:t>
      </w:r>
    </w:p>
    <w:p w14:paraId="4338DE4E" w14:textId="40EE5AB6" w:rsidR="000B4AF3" w:rsidRDefault="002615D4" w:rsidP="00823799">
      <w:pPr>
        <w:pStyle w:val="BodyText"/>
        <w:shd w:val="clear" w:color="auto" w:fill="F2F2F2" w:themeFill="background1" w:themeFillShade="F2"/>
      </w:pPr>
      <w:r w:rsidRPr="00BF0139">
        <w:t xml:space="preserve">About </w:t>
      </w:r>
      <w:r w:rsidR="008D55E5">
        <w:t>1.3 Mt</w:t>
      </w:r>
      <w:r w:rsidRPr="00BF0139">
        <w:t xml:space="preserve"> </w:t>
      </w:r>
      <w:r w:rsidR="00E865E3">
        <w:t>w</w:t>
      </w:r>
      <w:r w:rsidR="004E7104">
        <w:t>ere</w:t>
      </w:r>
      <w:r w:rsidR="001C3828" w:rsidRPr="00BF0139">
        <w:t xml:space="preserve"> </w:t>
      </w:r>
      <w:r w:rsidR="009E5752" w:rsidRPr="00BF0139">
        <w:t xml:space="preserve">exported in </w:t>
      </w:r>
      <w:r w:rsidR="008D55E5">
        <w:t>2020-21</w:t>
      </w:r>
      <w:r w:rsidR="00E865E3">
        <w:t xml:space="preserve"> in codes that</w:t>
      </w:r>
      <w:r w:rsidR="00BB0D07" w:rsidRPr="00BF0139">
        <w:t xml:space="preserve"> </w:t>
      </w:r>
      <w:r w:rsidR="009E5752" w:rsidRPr="00BF0139">
        <w:t xml:space="preserve">could be affected by </w:t>
      </w:r>
      <w:r w:rsidR="00A86113">
        <w:t>Australia’s</w:t>
      </w:r>
      <w:r w:rsidR="001C3828" w:rsidRPr="00BF0139">
        <w:t xml:space="preserve"> </w:t>
      </w:r>
      <w:r w:rsidR="000E56F0">
        <w:t xml:space="preserve">scheduled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8D55E5">
        <w:t>30</w:t>
      </w:r>
      <w:r w:rsidR="000F315D" w:rsidRPr="00BF0139">
        <w:t>%</w:t>
      </w:r>
      <w:r w:rsidR="009E5752" w:rsidRPr="00BF0139">
        <w:t xml:space="preserve"> of the total export</w:t>
      </w:r>
      <w:r w:rsidR="00E865E3">
        <w:t xml:space="preserve">s </w:t>
      </w:r>
      <w:r w:rsidR="00E865E3" w:rsidRPr="00BF0139">
        <w:t xml:space="preserve">of </w:t>
      </w:r>
      <w:r w:rsidR="00C9470A">
        <w:t>waste and recovered materials</w:t>
      </w:r>
      <w:r w:rsidR="009E5752" w:rsidRPr="00BF0139">
        <w:t>.</w:t>
      </w:r>
      <w:r w:rsidR="001C6127">
        <w:t xml:space="preserve"> </w:t>
      </w:r>
    </w:p>
    <w:p w14:paraId="131ABCFB" w14:textId="77777777" w:rsidR="00893C57" w:rsidRPr="002C38B8" w:rsidRDefault="00893C57" w:rsidP="00823799">
      <w:pPr>
        <w:pStyle w:val="BodyText"/>
        <w:shd w:val="clear" w:color="auto" w:fill="F2F2F2" w:themeFill="background1" w:themeFillShade="F2"/>
        <w:rPr>
          <w:sz w:val="2"/>
          <w:szCs w:val="2"/>
        </w:rPr>
      </w:pPr>
    </w:p>
    <w:p w14:paraId="7C5F1044" w14:textId="21D58C74" w:rsidR="008D55E5" w:rsidRPr="000F70AB" w:rsidRDefault="008D55E5" w:rsidP="000F70AB">
      <w:pPr>
        <w:pStyle w:val="Heading2nonumber"/>
        <w:spacing w:before="240" w:after="120"/>
        <w:rPr>
          <w:sz w:val="26"/>
        </w:rPr>
      </w:pPr>
      <w:r w:rsidRPr="000F70AB">
        <w:rPr>
          <w:sz w:val="26"/>
        </w:rPr>
        <w:t>Annual trends in exports of waste and recovered materials</w:t>
      </w:r>
      <w:r w:rsidR="00463D89" w:rsidRPr="000F70AB">
        <w:rPr>
          <w:sz w:val="26"/>
        </w:rPr>
        <w:t>, in aggregate</w:t>
      </w:r>
    </w:p>
    <w:p w14:paraId="4447AEC5" w14:textId="33599F7A" w:rsidR="00F46CB5" w:rsidRDefault="009E5E43" w:rsidP="00F46CB5">
      <w:pPr>
        <w:pStyle w:val="BodyText"/>
      </w:pPr>
      <w:r>
        <w:fldChar w:fldCharType="begin"/>
      </w:r>
      <w:r>
        <w:instrText xml:space="preserve"> REF _Ref80016647 \h </w:instrText>
      </w:r>
      <w:r>
        <w:fldChar w:fldCharType="separate"/>
      </w:r>
      <w:r w:rsidR="00557024">
        <w:t xml:space="preserve">Figure </w:t>
      </w:r>
      <w:r w:rsidR="00557024">
        <w:rPr>
          <w:noProof/>
        </w:rPr>
        <w:t>1</w:t>
      </w:r>
      <w:r>
        <w:fldChar w:fldCharType="end"/>
      </w:r>
      <w:r>
        <w:t xml:space="preserve"> shows the tonnage of exports of waste and recovered materials from 2006-07 to 2020-21</w:t>
      </w:r>
      <w:r w:rsidR="00F46CB5">
        <w:t xml:space="preserve">. </w:t>
      </w:r>
      <w:r w:rsidR="00751EEB">
        <w:t>Across all waste and recovered materials, 4.25 Mt were exported</w:t>
      </w:r>
      <w:r w:rsidR="002C38B8">
        <w:t xml:space="preserve"> in 2020-21</w:t>
      </w:r>
      <w:r w:rsidR="00751EEB">
        <w:t>, almost identical to the previous year and little changed over the past five years.</w:t>
      </w:r>
    </w:p>
    <w:p w14:paraId="4A5D33F9" w14:textId="77777777" w:rsidR="00F46CB5" w:rsidRDefault="00CF15F1" w:rsidP="00F46CB5">
      <w:pPr>
        <w:pStyle w:val="BodyText"/>
      </w:pPr>
      <w:r>
        <w:t xml:space="preserve">Scrap metal exports accounted for </w:t>
      </w:r>
      <w:r w:rsidR="008221CD">
        <w:t>48%</w:t>
      </w:r>
      <w:r>
        <w:t xml:space="preserve"> </w:t>
      </w:r>
      <w:r w:rsidR="00A33F19">
        <w:t>to</w:t>
      </w:r>
      <w:r>
        <w:t xml:space="preserve"> 60% of exports</w:t>
      </w:r>
      <w:r w:rsidR="008221CD">
        <w:t xml:space="preserve"> in all years</w:t>
      </w:r>
      <w:r>
        <w:t xml:space="preserve">. </w:t>
      </w:r>
      <w:r w:rsidR="008221CD">
        <w:t>Annual tonnages have been relatively stable s</w:t>
      </w:r>
      <w:r>
        <w:t>ince 2016-17</w:t>
      </w:r>
      <w:r w:rsidR="008221CD">
        <w:t>, and were 2.45 Mt in 2020-21</w:t>
      </w:r>
      <w:r w:rsidR="00751EEB">
        <w:t>, representing 58% of the total</w:t>
      </w:r>
      <w:r>
        <w:t xml:space="preserve">. </w:t>
      </w:r>
    </w:p>
    <w:p w14:paraId="6888DFB5" w14:textId="5B56F4AD" w:rsidR="00F46CB5" w:rsidRDefault="00CF15F1" w:rsidP="00F46CB5">
      <w:pPr>
        <w:pStyle w:val="BodyText"/>
      </w:pPr>
      <w:r>
        <w:t xml:space="preserve">Scrap paper and cardboard </w:t>
      </w:r>
      <w:r w:rsidR="008221CD">
        <w:t>tonnages peaked in 2015-16 at 1.53 Mt and have declined in each year since</w:t>
      </w:r>
      <w:r w:rsidR="00751EEB">
        <w:t xml:space="preserve">. In 2020-21, </w:t>
      </w:r>
      <w:r w:rsidR="008221CD">
        <w:t xml:space="preserve">1.05 Mt </w:t>
      </w:r>
      <w:r w:rsidR="00751EEB">
        <w:t>were exported, or 25% of the total.</w:t>
      </w:r>
    </w:p>
    <w:p w14:paraId="77966A42" w14:textId="60F91F4D" w:rsidR="00751EEB" w:rsidRDefault="00A77838" w:rsidP="00F46CB5">
      <w:pPr>
        <w:pStyle w:val="BodyText"/>
      </w:pPr>
      <w:r>
        <w:t>The remaining</w:t>
      </w:r>
      <w:r w:rsidR="00751EEB">
        <w:t xml:space="preserve"> components of exports are relatively small. </w:t>
      </w:r>
      <w:r>
        <w:t xml:space="preserve">Exports in </w:t>
      </w:r>
      <w:r w:rsidR="00751EEB">
        <w:t xml:space="preserve">the ‘other’ </w:t>
      </w:r>
      <w:r>
        <w:t>category have</w:t>
      </w:r>
      <w:r w:rsidR="00751EEB">
        <w:t xml:space="preserve"> </w:t>
      </w:r>
      <w:r>
        <w:t>grown in recent years. These tend to be dominated by large one-off shipments. Four shipments of sawdust and wood waste pellets to Japan accounted for 25% of ‘other’ wastes in 2020-21.</w:t>
      </w:r>
    </w:p>
    <w:p w14:paraId="396DDD4C" w14:textId="296FDC34" w:rsidR="00DB177F" w:rsidRDefault="00DB177F" w:rsidP="00DB177F">
      <w:pPr>
        <w:pStyle w:val="BodyText"/>
      </w:pPr>
      <w:r>
        <w:fldChar w:fldCharType="begin"/>
      </w:r>
      <w:r>
        <w:instrText xml:space="preserve"> REF _Ref80020306 \h </w:instrText>
      </w:r>
      <w:r>
        <w:fldChar w:fldCharType="separate"/>
      </w:r>
      <w:r w:rsidR="00557024">
        <w:t xml:space="preserve">Figure </w:t>
      </w:r>
      <w:r w:rsidR="00557024">
        <w:rPr>
          <w:noProof/>
        </w:rPr>
        <w:t>2</w:t>
      </w:r>
      <w:r>
        <w:fldChar w:fldCharType="end"/>
      </w:r>
      <w:r>
        <w:t xml:space="preserve"> shows the reported dollar value of exports over 2006-07 to 2020-21, adjusted to dollar values in 2020-21. The total value has varied more than the tonnages, and in 2020-21 increased 12% to $3.2b. Scrap metals represented 70% of the total value, while paper and cardboard accounted for only 7% despite being 25% of the tonnage. Hazardous materials accounted for 12% while only 1% of the tonnage</w:t>
      </w:r>
      <w:r>
        <w:rPr>
          <w:rStyle w:val="FootnoteReference"/>
        </w:rPr>
        <w:footnoteReference w:id="8"/>
      </w:r>
      <w:r>
        <w:t xml:space="preserve">.  </w:t>
      </w:r>
    </w:p>
    <w:p w14:paraId="735D9AA3" w14:textId="38798488" w:rsidR="009E5E43" w:rsidRDefault="009E5E43" w:rsidP="009E5E43">
      <w:pPr>
        <w:pStyle w:val="Caption"/>
        <w:keepNext/>
      </w:pPr>
      <w:bookmarkStart w:id="1" w:name="_Ref80016647"/>
      <w:r>
        <w:lastRenderedPageBreak/>
        <w:t xml:space="preserve">Figure </w:t>
      </w:r>
      <w:fldSimple w:instr=" SEQ Figure \* ARABIC ">
        <w:r w:rsidR="00557024">
          <w:rPr>
            <w:noProof/>
          </w:rPr>
          <w:t>1</w:t>
        </w:r>
      </w:fldSimple>
      <w:bookmarkEnd w:id="1"/>
      <w:r>
        <w:tab/>
        <w:t>Exports of waste from Australia by financial year and type, 2006-07 to 2020-21 (Mt)</w:t>
      </w:r>
    </w:p>
    <w:p w14:paraId="2C7EB906" w14:textId="5D7E7735" w:rsidR="008D55E5" w:rsidRDefault="002C38B8" w:rsidP="00F46CB5">
      <w:pPr>
        <w:pStyle w:val="BodyText"/>
      </w:pPr>
      <w:r>
        <w:rPr>
          <w:noProof/>
        </w:rPr>
        <w:drawing>
          <wp:inline distT="0" distB="0" distL="0" distR="0" wp14:anchorId="67554E12" wp14:editId="3DE035D8">
            <wp:extent cx="5888990" cy="2383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8990" cy="2383790"/>
                    </a:xfrm>
                    <a:prstGeom prst="rect">
                      <a:avLst/>
                    </a:prstGeom>
                    <a:noFill/>
                  </pic:spPr>
                </pic:pic>
              </a:graphicData>
            </a:graphic>
          </wp:inline>
        </w:drawing>
      </w:r>
    </w:p>
    <w:p w14:paraId="6FF5B6B6" w14:textId="379A2B9C" w:rsidR="00DB177F" w:rsidRDefault="00DB177F" w:rsidP="00DB177F">
      <w:pPr>
        <w:pStyle w:val="Caption"/>
        <w:keepNext/>
      </w:pPr>
      <w:bookmarkStart w:id="2" w:name="_Ref80020306"/>
      <w:bookmarkStart w:id="3" w:name="_Ref80019258"/>
      <w:r>
        <w:t xml:space="preserve">Figure </w:t>
      </w:r>
      <w:fldSimple w:instr=" SEQ Figure \* ARABIC ">
        <w:r w:rsidR="00557024">
          <w:rPr>
            <w:noProof/>
          </w:rPr>
          <w:t>2</w:t>
        </w:r>
      </w:fldSimple>
      <w:bookmarkEnd w:id="2"/>
      <w:r>
        <w:tab/>
        <w:t>Value of exports of waste from Australia by financial year and type (billions of dollars)</w:t>
      </w:r>
    </w:p>
    <w:p w14:paraId="406F660A" w14:textId="66D22A45" w:rsidR="00DB177F" w:rsidRDefault="002610FB" w:rsidP="00DB177F">
      <w:pPr>
        <w:pStyle w:val="BodyText"/>
      </w:pPr>
      <w:r>
        <w:rPr>
          <w:noProof/>
        </w:rPr>
        <w:drawing>
          <wp:inline distT="0" distB="0" distL="0" distR="0" wp14:anchorId="114F8032" wp14:editId="640AF5C2">
            <wp:extent cx="5928107" cy="24098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0812" cy="2419055"/>
                    </a:xfrm>
                    <a:prstGeom prst="rect">
                      <a:avLst/>
                    </a:prstGeom>
                    <a:noFill/>
                  </pic:spPr>
                </pic:pic>
              </a:graphicData>
            </a:graphic>
          </wp:inline>
        </w:drawing>
      </w:r>
    </w:p>
    <w:p w14:paraId="1DAF189A" w14:textId="1ECDCF68" w:rsidR="00463D89" w:rsidRPr="000F70AB" w:rsidRDefault="00463D89" w:rsidP="000F70AB">
      <w:pPr>
        <w:pStyle w:val="Heading2nonumber"/>
        <w:spacing w:before="240" w:after="120"/>
        <w:rPr>
          <w:sz w:val="26"/>
        </w:rPr>
      </w:pPr>
      <w:r w:rsidRPr="000F70AB">
        <w:rPr>
          <w:sz w:val="26"/>
        </w:rPr>
        <w:t>Annual trends in exports of recovered materials to be subject to export bans</w:t>
      </w:r>
    </w:p>
    <w:p w14:paraId="3F63F0F2" w14:textId="35B3C908" w:rsidR="00DB177F" w:rsidRDefault="00DB177F" w:rsidP="00DB177F">
      <w:pPr>
        <w:pStyle w:val="BodyText"/>
      </w:pPr>
      <w:r>
        <w:t xml:space="preserve">Australia has determined to </w:t>
      </w:r>
      <w:r w:rsidRPr="00773ED4">
        <w:t xml:space="preserve">ban </w:t>
      </w:r>
      <w:r>
        <w:t xml:space="preserve">the </w:t>
      </w:r>
      <w:r w:rsidRPr="00773ED4">
        <w:t>export</w:t>
      </w:r>
      <w:r>
        <w:t xml:space="preserve"> of</w:t>
      </w:r>
      <w:r w:rsidRPr="00773ED4">
        <w:t xml:space="preserve"> waste glass, paper, plastics, and tyres not processed into a value-added material.</w:t>
      </w:r>
      <w:r>
        <w:t xml:space="preserve"> </w:t>
      </w:r>
      <w:r w:rsidR="006B2CDA">
        <w:fldChar w:fldCharType="begin"/>
      </w:r>
      <w:r w:rsidR="006B2CDA">
        <w:instrText xml:space="preserve"> REF _Ref81219329 \h </w:instrText>
      </w:r>
      <w:r w:rsidR="006B2CDA">
        <w:fldChar w:fldCharType="separate"/>
      </w:r>
      <w:r w:rsidR="00557024">
        <w:t xml:space="preserve">Figure </w:t>
      </w:r>
      <w:r w:rsidR="00557024">
        <w:rPr>
          <w:noProof/>
        </w:rPr>
        <w:t>3</w:t>
      </w:r>
      <w:r w:rsidR="006B2CDA">
        <w:fldChar w:fldCharType="end"/>
      </w:r>
      <w:r>
        <w:t xml:space="preserve"> shows the trend in exports of these materials alone. Scrap plastics fell from a 2015-16 peak of 203 kt (kilotonnes, or thousands of tonnes) and were 124 kt in 2020-21. Exports of scrap glass – the first material to face a ban, from January 2021 – dropped from 26 kt in 2019-20 to just 377 tonnes in 2020-21. Tyre exports were at 101 kt, higher than 2019-20 but lower than 2018-19.</w:t>
      </w:r>
    </w:p>
    <w:p w14:paraId="7FE0F5E4" w14:textId="4DEBCEE7" w:rsidR="00481B32" w:rsidRDefault="00481B32" w:rsidP="00481B32">
      <w:pPr>
        <w:pStyle w:val="Caption"/>
        <w:keepNext/>
      </w:pPr>
      <w:bookmarkStart w:id="4" w:name="_Ref81219329"/>
      <w:r>
        <w:t xml:space="preserve">Figure </w:t>
      </w:r>
      <w:fldSimple w:instr=" SEQ Figure \* ARABIC ">
        <w:r w:rsidR="00557024">
          <w:rPr>
            <w:noProof/>
          </w:rPr>
          <w:t>3</w:t>
        </w:r>
      </w:fldSimple>
      <w:bookmarkEnd w:id="3"/>
      <w:bookmarkEnd w:id="4"/>
      <w:r>
        <w:tab/>
        <w:t>Exports of waste glass, paper, plastics and tyres, 2006-07 to 2020-21 (Mt)</w:t>
      </w:r>
    </w:p>
    <w:p w14:paraId="6F8B3EFF" w14:textId="5FCAD835" w:rsidR="0006434E" w:rsidRDefault="00A84E08" w:rsidP="00F46CB5">
      <w:pPr>
        <w:pStyle w:val="BodyText"/>
      </w:pPr>
      <w:r>
        <w:rPr>
          <w:noProof/>
        </w:rPr>
        <w:drawing>
          <wp:inline distT="0" distB="0" distL="0" distR="0" wp14:anchorId="06D6E2CE" wp14:editId="14EC0038">
            <wp:extent cx="5908136" cy="23717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100" cy="2374521"/>
                    </a:xfrm>
                    <a:prstGeom prst="rect">
                      <a:avLst/>
                    </a:prstGeom>
                    <a:noFill/>
                  </pic:spPr>
                </pic:pic>
              </a:graphicData>
            </a:graphic>
          </wp:inline>
        </w:drawing>
      </w:r>
    </w:p>
    <w:p w14:paraId="0E3ADE69" w14:textId="789920AA" w:rsidR="00E4133D" w:rsidRDefault="00E4133D" w:rsidP="00F46CB5">
      <w:pPr>
        <w:pStyle w:val="BodyText"/>
      </w:pPr>
      <w:r>
        <w:lastRenderedPageBreak/>
        <w:t>Figures 4 and 5 look more closely at</w:t>
      </w:r>
      <w:r w:rsidR="00463D89">
        <w:t xml:space="preserve"> trends</w:t>
      </w:r>
      <w:r w:rsidR="008C25EB">
        <w:t xml:space="preserve"> since 2014-15</w:t>
      </w:r>
      <w:r w:rsidR="00463D89">
        <w:t xml:space="preserve"> in the export of</w:t>
      </w:r>
      <w:r>
        <w:t xml:space="preserve"> two of the key material types to be subject to bans: paper and cardboard, and plastics. </w:t>
      </w:r>
      <w:r w:rsidR="00463D89">
        <w:t xml:space="preserve">The figures highlight the changes in quantities and destinations by grade since China began to restrict imports of recovered material in 2017-18. </w:t>
      </w:r>
      <w:r w:rsidR="000811E5">
        <w:t>In each case, e</w:t>
      </w:r>
      <w:r w:rsidR="008C25EB">
        <w:t>xports to China are shown on the left, and to other destinations on the right.</w:t>
      </w:r>
    </w:p>
    <w:p w14:paraId="54F7DD2B" w14:textId="6C74E471" w:rsidR="009C67A7" w:rsidRDefault="009C67A7" w:rsidP="00F46CB5">
      <w:pPr>
        <w:pStyle w:val="BodyText"/>
      </w:pPr>
      <w:r>
        <w:fldChar w:fldCharType="begin"/>
      </w:r>
      <w:r>
        <w:instrText xml:space="preserve"> REF _Ref80024443 \h </w:instrText>
      </w:r>
      <w:r>
        <w:fldChar w:fldCharType="separate"/>
      </w:r>
      <w:r w:rsidR="00557024">
        <w:t xml:space="preserve">Figure </w:t>
      </w:r>
      <w:r w:rsidR="00557024">
        <w:rPr>
          <w:noProof/>
        </w:rPr>
        <w:t>4</w:t>
      </w:r>
      <w:r>
        <w:fldChar w:fldCharType="end"/>
      </w:r>
      <w:r w:rsidR="00E4133D">
        <w:t xml:space="preserve"> </w:t>
      </w:r>
      <w:r w:rsidR="00C47E92">
        <w:t xml:space="preserve">shows exports of paper and cardboard by grade. </w:t>
      </w:r>
      <w:r w:rsidR="00D12102">
        <w:t xml:space="preserve">The initial restrictions on waste imports introduced by </w:t>
      </w:r>
      <w:r w:rsidR="00C47E92">
        <w:t>China in 2017</w:t>
      </w:r>
      <w:r w:rsidR="00D12102">
        <w:t xml:space="preserve"> were</w:t>
      </w:r>
      <w:r w:rsidR="00C47E92">
        <w:t xml:space="preserve"> expanded in January 2021</w:t>
      </w:r>
      <w:r w:rsidR="008C25EB">
        <w:t xml:space="preserve"> but s</w:t>
      </w:r>
      <w:r w:rsidR="00C47E92">
        <w:t xml:space="preserve">mall </w:t>
      </w:r>
      <w:r w:rsidR="008C25EB">
        <w:t xml:space="preserve">quantities of better processed materials </w:t>
      </w:r>
      <w:r w:rsidR="00C47E92">
        <w:t xml:space="preserve">continue to be </w:t>
      </w:r>
      <w:r w:rsidR="008C25EB">
        <w:t>received</w:t>
      </w:r>
      <w:r w:rsidR="00C47E92">
        <w:t xml:space="preserve">. </w:t>
      </w:r>
      <w:r w:rsidR="00124CE1">
        <w:t xml:space="preserve">Exports to other destinations </w:t>
      </w:r>
      <w:r w:rsidR="008C25EB">
        <w:t>grew</w:t>
      </w:r>
      <w:r w:rsidR="00124CE1">
        <w:t>, particular</w:t>
      </w:r>
      <w:r w:rsidR="005B0603">
        <w:t>ly</w:t>
      </w:r>
      <w:r w:rsidR="00124CE1">
        <w:t xml:space="preserve"> to Indonesia. </w:t>
      </w:r>
      <w:r w:rsidR="00C47E92">
        <w:t xml:space="preserve"> </w:t>
      </w:r>
    </w:p>
    <w:p w14:paraId="4FDC68A6" w14:textId="13BF56B9" w:rsidR="00DE2DA5" w:rsidRDefault="00DE2DA5" w:rsidP="00DE2DA5">
      <w:pPr>
        <w:pStyle w:val="Caption"/>
        <w:keepNext/>
      </w:pPr>
      <w:bookmarkStart w:id="5" w:name="_Ref80024443"/>
      <w:r>
        <w:t xml:space="preserve">Figure </w:t>
      </w:r>
      <w:fldSimple w:instr=" SEQ Figure \* ARABIC ">
        <w:r w:rsidR="00557024">
          <w:rPr>
            <w:noProof/>
          </w:rPr>
          <w:t>4</w:t>
        </w:r>
      </w:fldSimple>
      <w:bookmarkEnd w:id="5"/>
      <w:r>
        <w:tab/>
      </w:r>
      <w:r w:rsidR="005F5DEE">
        <w:t>Exports of scrap paper and cardboard from Australia to China and other destinations by financial year (kt)</w:t>
      </w:r>
    </w:p>
    <w:p w14:paraId="121048B1" w14:textId="0D240F96" w:rsidR="00DE2DA5" w:rsidRDefault="00F25618" w:rsidP="00F46CB5">
      <w:pPr>
        <w:pStyle w:val="BodyText"/>
      </w:pPr>
      <w:r>
        <w:rPr>
          <w:noProof/>
        </w:rPr>
        <w:drawing>
          <wp:inline distT="0" distB="0" distL="0" distR="0" wp14:anchorId="5B064972" wp14:editId="2F552002">
            <wp:extent cx="6172200" cy="1562067"/>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4516" cy="1575307"/>
                    </a:xfrm>
                    <a:prstGeom prst="rect">
                      <a:avLst/>
                    </a:prstGeom>
                    <a:noFill/>
                  </pic:spPr>
                </pic:pic>
              </a:graphicData>
            </a:graphic>
          </wp:inline>
        </w:drawing>
      </w:r>
    </w:p>
    <w:p w14:paraId="3904426A" w14:textId="77777777" w:rsidR="00973E0D" w:rsidRPr="00973E0D" w:rsidRDefault="00973E0D" w:rsidP="00F46CB5">
      <w:pPr>
        <w:pStyle w:val="BodyText"/>
        <w:rPr>
          <w:sz w:val="2"/>
          <w:szCs w:val="2"/>
        </w:rPr>
      </w:pPr>
    </w:p>
    <w:p w14:paraId="1D26D759" w14:textId="12BD42EC" w:rsidR="00E948BF" w:rsidRDefault="00124CE1" w:rsidP="00F46CB5">
      <w:pPr>
        <w:pStyle w:val="BodyText"/>
      </w:pPr>
      <w:r>
        <w:fldChar w:fldCharType="begin"/>
      </w:r>
      <w:r>
        <w:instrText xml:space="preserve"> REF _Ref80025444 \h </w:instrText>
      </w:r>
      <w:r>
        <w:fldChar w:fldCharType="separate"/>
      </w:r>
      <w:r w:rsidR="00557024">
        <w:t xml:space="preserve">Figure </w:t>
      </w:r>
      <w:r w:rsidR="00557024">
        <w:rPr>
          <w:noProof/>
        </w:rPr>
        <w:t>5</w:t>
      </w:r>
      <w:r>
        <w:fldChar w:fldCharType="end"/>
      </w:r>
      <w:r>
        <w:t xml:space="preserve"> similarly shows exports of plastics since 2014-15. </w:t>
      </w:r>
      <w:r w:rsidR="000811E5">
        <w:t>In all years, t</w:t>
      </w:r>
      <w:r>
        <w:t xml:space="preserve">he largest export grade </w:t>
      </w:r>
      <w:r w:rsidR="000811E5">
        <w:t>is</w:t>
      </w:r>
      <w:r>
        <w:t xml:space="preserve"> mixed plastics</w:t>
      </w:r>
      <w:r w:rsidR="000811E5">
        <w:t xml:space="preserve"> (</w:t>
      </w:r>
      <w:r w:rsidR="006B2CDA">
        <w:t xml:space="preserve">predominantly </w:t>
      </w:r>
      <w:r>
        <w:t>unsorted materials</w:t>
      </w:r>
      <w:r w:rsidR="000811E5">
        <w:t xml:space="preserve"> </w:t>
      </w:r>
      <w:r>
        <w:t>from domestic recycling collections</w:t>
      </w:r>
      <w:r w:rsidR="000811E5">
        <w:t xml:space="preserve">), followed by </w:t>
      </w:r>
      <w:r w:rsidR="006B2CDA">
        <w:t>sorted HDPE, LDPE and PET</w:t>
      </w:r>
      <w:r w:rsidR="000811E5">
        <w:t xml:space="preserve"> (mainly packaging)</w:t>
      </w:r>
      <w:r>
        <w:t xml:space="preserve">. China was the largest market </w:t>
      </w:r>
      <w:r w:rsidR="000811E5">
        <w:t xml:space="preserve">until </w:t>
      </w:r>
      <w:r>
        <w:t>201</w:t>
      </w:r>
      <w:r w:rsidR="000811E5">
        <w:t xml:space="preserve">6-17, after which its restrictions displaced material to other </w:t>
      </w:r>
      <w:r>
        <w:t xml:space="preserve">Asian destinations, mainly Indonesia and Malaysia. </w:t>
      </w:r>
      <w:r w:rsidR="000811E5">
        <w:t>T</w:t>
      </w:r>
      <w:r w:rsidR="00E948BF">
        <w:t xml:space="preserve">hese destinations </w:t>
      </w:r>
      <w:r w:rsidR="000811E5">
        <w:t xml:space="preserve">also </w:t>
      </w:r>
      <w:r w:rsidR="00E948BF">
        <w:t>introduced import restrictions</w:t>
      </w:r>
      <w:r w:rsidR="000811E5">
        <w:t xml:space="preserve">, and </w:t>
      </w:r>
      <w:r w:rsidR="00E948BF">
        <w:t>exports dropped to a low in 2019-20</w:t>
      </w:r>
      <w:r w:rsidR="000811E5">
        <w:t xml:space="preserve"> then </w:t>
      </w:r>
      <w:r w:rsidR="00E948BF">
        <w:t>rose slightly in 2020-21. Most restrictions relat</w:t>
      </w:r>
      <w:r w:rsidR="000811E5">
        <w:t>e</w:t>
      </w:r>
      <w:r w:rsidR="00E948BF">
        <w:t xml:space="preserve"> to contamination rates, and</w:t>
      </w:r>
      <w:r w:rsidR="000811E5">
        <w:t xml:space="preserve"> the recent rise</w:t>
      </w:r>
      <w:r w:rsidR="00E948BF">
        <w:t xml:space="preserve"> may indicate that exporters have improved the quality of their shipments. </w:t>
      </w:r>
    </w:p>
    <w:p w14:paraId="36795EA6" w14:textId="59AF6DDA" w:rsidR="00C30721" w:rsidRDefault="00C30721" w:rsidP="00C30721">
      <w:pPr>
        <w:pStyle w:val="Caption"/>
        <w:keepNext/>
      </w:pPr>
      <w:bookmarkStart w:id="6" w:name="_Ref80025444"/>
      <w:r>
        <w:t xml:space="preserve">Figure </w:t>
      </w:r>
      <w:fldSimple w:instr=" SEQ Figure \* ARABIC ">
        <w:r w:rsidR="00557024">
          <w:rPr>
            <w:noProof/>
          </w:rPr>
          <w:t>5</w:t>
        </w:r>
      </w:fldSimple>
      <w:bookmarkEnd w:id="6"/>
      <w:r>
        <w:tab/>
        <w:t>Exports of waste plastic from Australia to China and other destinations by financial year (kt)</w:t>
      </w:r>
    </w:p>
    <w:p w14:paraId="43339A9C" w14:textId="76937CC3" w:rsidR="00C30721" w:rsidRDefault="00B30277" w:rsidP="00F46CB5">
      <w:pPr>
        <w:pStyle w:val="BodyText"/>
      </w:pPr>
      <w:r>
        <w:rPr>
          <w:noProof/>
        </w:rPr>
        <w:drawing>
          <wp:inline distT="0" distB="0" distL="0" distR="0" wp14:anchorId="40D77F96" wp14:editId="207C4722">
            <wp:extent cx="5972175" cy="178954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6664" cy="1802871"/>
                    </a:xfrm>
                    <a:prstGeom prst="rect">
                      <a:avLst/>
                    </a:prstGeom>
                    <a:noFill/>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67"/>
      </w:tblGrid>
      <w:tr w:rsidR="00BD79E4" w14:paraId="25CE4370" w14:textId="77777777" w:rsidTr="0095528B">
        <w:tc>
          <w:tcPr>
            <w:tcW w:w="4248" w:type="dxa"/>
            <w:vMerge w:val="restart"/>
          </w:tcPr>
          <w:p w14:paraId="7B9ED4A9" w14:textId="2ACA7497" w:rsidR="00A150DD" w:rsidRDefault="00A150DD" w:rsidP="00F46CB5">
            <w:pPr>
              <w:pStyle w:val="BodyText"/>
            </w:pPr>
            <w:r>
              <w:fldChar w:fldCharType="begin"/>
            </w:r>
            <w:r>
              <w:instrText xml:space="preserve"> REF _Ref80027160 \h </w:instrText>
            </w:r>
            <w:r>
              <w:fldChar w:fldCharType="separate"/>
            </w:r>
            <w:r w:rsidR="00557024">
              <w:t xml:space="preserve">Figure </w:t>
            </w:r>
            <w:r w:rsidR="00557024">
              <w:rPr>
                <w:noProof/>
              </w:rPr>
              <w:t>6</w:t>
            </w:r>
            <w:r>
              <w:fldChar w:fldCharType="end"/>
            </w:r>
            <w:r>
              <w:t xml:space="preserve"> shows exports of waste and recovered materials by destination </w:t>
            </w:r>
            <w:r w:rsidR="0095528B">
              <w:t>since 2014-15</w:t>
            </w:r>
            <w:r>
              <w:t xml:space="preserve">, ranking the </w:t>
            </w:r>
            <w:r w:rsidR="0095528B">
              <w:t>seven</w:t>
            </w:r>
            <w:r>
              <w:t xml:space="preserve"> destinations that received the most materials in 2020-21. China was the top ranked destination until 2016-17 when it received 1.26 Mt and 30% of Australia’s waste exports, but subsequently dropped dramatically. Exports to Indonesia, India and Vietnam grew from 1.3 Mt in 2015-16 to more than 2.0 Mt in 2020-21 as they provided alternative markets for paper and cardboard waste from China.</w:t>
            </w:r>
          </w:p>
        </w:tc>
        <w:tc>
          <w:tcPr>
            <w:tcW w:w="5267" w:type="dxa"/>
          </w:tcPr>
          <w:p w14:paraId="17515248" w14:textId="1E638F4F" w:rsidR="00A150DD" w:rsidRDefault="00A150DD" w:rsidP="00A150DD">
            <w:pPr>
              <w:pStyle w:val="Caption"/>
              <w:keepNext/>
              <w:spacing w:before="0"/>
              <w:ind w:left="881" w:hanging="881"/>
            </w:pPr>
            <w:bookmarkStart w:id="7" w:name="_Ref80027160"/>
            <w:r>
              <w:t xml:space="preserve">Figure </w:t>
            </w:r>
            <w:fldSimple w:instr=" SEQ Figure \* ARABIC ">
              <w:r w:rsidR="00557024">
                <w:rPr>
                  <w:noProof/>
                </w:rPr>
                <w:t>6</w:t>
              </w:r>
            </w:fldSimple>
            <w:bookmarkEnd w:id="7"/>
            <w:r>
              <w:tab/>
              <w:t xml:space="preserve">Exports of waste from Australia by financial year, showing the top </w:t>
            </w:r>
            <w:r w:rsidR="00765CD6">
              <w:t>seven</w:t>
            </w:r>
            <w:r>
              <w:t xml:space="preserve"> destinations (Mt)</w:t>
            </w:r>
          </w:p>
        </w:tc>
      </w:tr>
      <w:tr w:rsidR="00BD79E4" w14:paraId="24FFA67C" w14:textId="77777777" w:rsidTr="0095528B">
        <w:tc>
          <w:tcPr>
            <w:tcW w:w="4248" w:type="dxa"/>
            <w:vMerge/>
          </w:tcPr>
          <w:p w14:paraId="74FDEAC3" w14:textId="77777777" w:rsidR="00A150DD" w:rsidRDefault="00A150DD" w:rsidP="00F46CB5">
            <w:pPr>
              <w:pStyle w:val="BodyText"/>
            </w:pPr>
          </w:p>
        </w:tc>
        <w:tc>
          <w:tcPr>
            <w:tcW w:w="5267" w:type="dxa"/>
          </w:tcPr>
          <w:p w14:paraId="4C243B31" w14:textId="262AE3F9" w:rsidR="00A150DD" w:rsidRPr="00A150DD" w:rsidRDefault="00BD79E4" w:rsidP="00A150DD">
            <w:pPr>
              <w:pStyle w:val="BodyText"/>
              <w:jc w:val="center"/>
              <w:rPr>
                <w:sz w:val="2"/>
                <w:szCs w:val="2"/>
              </w:rPr>
            </w:pPr>
            <w:r>
              <w:rPr>
                <w:noProof/>
                <w:sz w:val="2"/>
                <w:szCs w:val="2"/>
              </w:rPr>
              <w:drawing>
                <wp:inline distT="0" distB="0" distL="0" distR="0" wp14:anchorId="6A548218" wp14:editId="198F665D">
                  <wp:extent cx="3121589" cy="2019300"/>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898" cy="2027263"/>
                          </a:xfrm>
                          <a:prstGeom prst="rect">
                            <a:avLst/>
                          </a:prstGeom>
                          <a:noFill/>
                        </pic:spPr>
                      </pic:pic>
                    </a:graphicData>
                  </a:graphic>
                </wp:inline>
              </w:drawing>
            </w:r>
          </w:p>
        </w:tc>
      </w:tr>
    </w:tbl>
    <w:p w14:paraId="033A4C1D" w14:textId="73813668" w:rsidR="00567869" w:rsidRPr="000F70AB" w:rsidRDefault="00567869" w:rsidP="000F70AB">
      <w:pPr>
        <w:pStyle w:val="Heading2nonumber"/>
        <w:spacing w:before="240" w:after="120"/>
        <w:rPr>
          <w:sz w:val="26"/>
        </w:rPr>
      </w:pPr>
      <w:r w:rsidRPr="000F70AB">
        <w:rPr>
          <w:sz w:val="26"/>
        </w:rPr>
        <w:lastRenderedPageBreak/>
        <w:t>2020-21 in focus</w:t>
      </w:r>
    </w:p>
    <w:tbl>
      <w:tblPr>
        <w:tblStyle w:val="TableGridLight1"/>
        <w:tblW w:w="93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148"/>
      </w:tblGrid>
      <w:tr w:rsidR="00567869" w14:paraId="3A01389A" w14:textId="77777777" w:rsidTr="006F4B1C">
        <w:tc>
          <w:tcPr>
            <w:tcW w:w="3227" w:type="dxa"/>
          </w:tcPr>
          <w:p w14:paraId="6AFE2789" w14:textId="4A3ADB06" w:rsidR="007E357A" w:rsidRDefault="00567869" w:rsidP="00F46CB5">
            <w:pPr>
              <w:pStyle w:val="BodyText"/>
            </w:pPr>
            <w:r>
              <w:fldChar w:fldCharType="begin"/>
            </w:r>
            <w:r>
              <w:instrText xml:space="preserve"> REF _Ref25938868 \h  \* MERGEFORMAT </w:instrText>
            </w:r>
            <w:r>
              <w:fldChar w:fldCharType="separate"/>
            </w:r>
            <w:r w:rsidR="00557024" w:rsidRPr="009C2EA2">
              <w:t xml:space="preserve">Figure </w:t>
            </w:r>
            <w:r w:rsidR="00557024">
              <w:rPr>
                <w:noProof/>
              </w:rPr>
              <w:t>7</w:t>
            </w:r>
            <w:r>
              <w:fldChar w:fldCharType="end"/>
            </w:r>
            <w:r>
              <w:t xml:space="preserve"> </w:t>
            </w:r>
            <w:r w:rsidRPr="00D80CED">
              <w:t xml:space="preserve">presents the monthly trend in exports of waste from Australia </w:t>
            </w:r>
            <w:r>
              <w:t xml:space="preserve">in tonnes </w:t>
            </w:r>
            <w:r w:rsidRPr="00D80CED">
              <w:t>by material between July</w:t>
            </w:r>
            <w:r>
              <w:t> </w:t>
            </w:r>
            <w:r w:rsidRPr="00D80CED">
              <w:t>20</w:t>
            </w:r>
            <w:r w:rsidR="007E357A">
              <w:t>20</w:t>
            </w:r>
            <w:r w:rsidRPr="00D80CED">
              <w:t xml:space="preserve"> and </w:t>
            </w:r>
            <w:r w:rsidR="007E357A">
              <w:t>June </w:t>
            </w:r>
            <w:r>
              <w:t>2021</w:t>
            </w:r>
            <w:r w:rsidRPr="00D80CED">
              <w:t>.</w:t>
            </w:r>
            <w:r>
              <w:t xml:space="preserve"> </w:t>
            </w:r>
          </w:p>
          <w:p w14:paraId="03E85753" w14:textId="1BCC7195" w:rsidR="007E357A" w:rsidRDefault="00567869" w:rsidP="00F46CB5">
            <w:pPr>
              <w:pStyle w:val="BodyText"/>
            </w:pPr>
            <w:r w:rsidRPr="00975D73">
              <w:t xml:space="preserve">Scrap metal exports </w:t>
            </w:r>
            <w:r w:rsidR="007E357A">
              <w:t xml:space="preserve">dropped in the first half of the year then rose </w:t>
            </w:r>
            <w:r w:rsidR="00AD05C2">
              <w:t>to</w:t>
            </w:r>
            <w:r w:rsidR="007E357A">
              <w:t xml:space="preserve"> reach a new high in </w:t>
            </w:r>
            <w:r w:rsidR="005B0603">
              <w:t xml:space="preserve">the </w:t>
            </w:r>
            <w:r w:rsidR="007E357A">
              <w:t>last few months</w:t>
            </w:r>
            <w:r w:rsidR="00AD05C2">
              <w:t xml:space="preserve"> as prices boomed</w:t>
            </w:r>
            <w:r w:rsidR="007E357A">
              <w:t>. The main recipients were Vietnam, Bangladesh, India and Indonesia</w:t>
            </w:r>
            <w:r w:rsidR="00AD05C2">
              <w:t>, which</w:t>
            </w:r>
            <w:r w:rsidR="007E357A">
              <w:t xml:space="preserve"> account</w:t>
            </w:r>
            <w:r w:rsidR="005B0603">
              <w:t>ed</w:t>
            </w:r>
            <w:r w:rsidR="007E357A">
              <w:t xml:space="preserve"> for 62%. </w:t>
            </w:r>
          </w:p>
          <w:p w14:paraId="55953F70" w14:textId="3644426A" w:rsidR="00AD05C2" w:rsidRDefault="007E357A" w:rsidP="00F36E94">
            <w:pPr>
              <w:pStyle w:val="BodyText"/>
            </w:pPr>
            <w:r>
              <w:t>S</w:t>
            </w:r>
            <w:r w:rsidR="00567869" w:rsidRPr="00975D73">
              <w:t>crap paper and cardboard</w:t>
            </w:r>
            <w:r w:rsidR="00567869">
              <w:t xml:space="preserve"> </w:t>
            </w:r>
            <w:r>
              <w:t>exports gradual</w:t>
            </w:r>
            <w:r w:rsidR="00AD05C2">
              <w:t>ly</w:t>
            </w:r>
            <w:r>
              <w:t xml:space="preserve"> increase</w:t>
            </w:r>
            <w:r w:rsidR="00AD05C2">
              <w:t>d</w:t>
            </w:r>
            <w:r>
              <w:t xml:space="preserve"> to February then held steady for the rest of the year. </w:t>
            </w:r>
            <w:r w:rsidR="00AD13A3">
              <w:t>Indonesia received 50% of the total</w:t>
            </w:r>
            <w:r w:rsidR="00AD05C2">
              <w:t>. Of this</w:t>
            </w:r>
            <w:r w:rsidR="00AD13A3">
              <w:t xml:space="preserve">, 68% was received in the </w:t>
            </w:r>
            <w:r w:rsidR="00AD05C2">
              <w:t xml:space="preserve">last </w:t>
            </w:r>
            <w:r w:rsidR="00AD13A3">
              <w:t xml:space="preserve">half of the period, </w:t>
            </w:r>
            <w:r w:rsidR="00AD05C2">
              <w:t xml:space="preserve">apparently </w:t>
            </w:r>
            <w:r w:rsidR="00AD13A3">
              <w:t>diverted from China</w:t>
            </w:r>
            <w:r w:rsidR="00AD05C2">
              <w:t xml:space="preserve"> after its</w:t>
            </w:r>
            <w:r w:rsidR="00AD13A3">
              <w:t xml:space="preserve"> </w:t>
            </w:r>
            <w:r w:rsidR="00AD05C2">
              <w:t>latest</w:t>
            </w:r>
            <w:r w:rsidR="00AD13A3">
              <w:t xml:space="preserve"> ban came into force</w:t>
            </w:r>
            <w:r w:rsidR="00AD05C2">
              <w:t xml:space="preserve"> (see </w:t>
            </w:r>
            <w:r w:rsidR="00AD05C2">
              <w:fldChar w:fldCharType="begin"/>
            </w:r>
            <w:r w:rsidR="00AD05C2">
              <w:instrText xml:space="preserve"> REF _Ref80540292 \h </w:instrText>
            </w:r>
            <w:r w:rsidR="006F4B1C">
              <w:instrText xml:space="preserve"> \* MERGEFORMAT </w:instrText>
            </w:r>
            <w:r w:rsidR="00AD05C2">
              <w:fldChar w:fldCharType="separate"/>
            </w:r>
            <w:r w:rsidR="00557024">
              <w:t xml:space="preserve">Table </w:t>
            </w:r>
            <w:r w:rsidR="00557024">
              <w:rPr>
                <w:noProof/>
              </w:rPr>
              <w:t>4</w:t>
            </w:r>
            <w:r w:rsidR="00AD05C2">
              <w:fldChar w:fldCharType="end"/>
            </w:r>
            <w:r w:rsidR="00AD05C2">
              <w:t>)</w:t>
            </w:r>
            <w:r w:rsidR="00AD13A3">
              <w:t xml:space="preserve">. </w:t>
            </w:r>
          </w:p>
        </w:tc>
        <w:tc>
          <w:tcPr>
            <w:tcW w:w="6148" w:type="dxa"/>
          </w:tcPr>
          <w:p w14:paraId="59AF94D0" w14:textId="66D4D734" w:rsidR="00567869" w:rsidRDefault="00567869" w:rsidP="00210389">
            <w:pPr>
              <w:pStyle w:val="Caption"/>
              <w:spacing w:before="0"/>
            </w:pPr>
            <w:bookmarkStart w:id="8" w:name="_Ref526509038"/>
            <w:bookmarkStart w:id="9" w:name="_Ref25938868"/>
            <w:r w:rsidRPr="009C2EA2">
              <w:t xml:space="preserve">Figure </w:t>
            </w:r>
            <w:fldSimple w:instr=" SEQ Figure \* ARABIC ">
              <w:r w:rsidR="00557024">
                <w:rPr>
                  <w:noProof/>
                </w:rPr>
                <w:t>7</w:t>
              </w:r>
            </w:fldSimple>
            <w:bookmarkEnd w:id="8"/>
            <w:bookmarkEnd w:id="9"/>
            <w:r w:rsidRPr="009C2EA2">
              <w:tab/>
              <w:t xml:space="preserve">Monthly exports of </w:t>
            </w:r>
            <w:r>
              <w:t>waste and recovered materials</w:t>
            </w:r>
            <w:r w:rsidRPr="009C2EA2">
              <w:t xml:space="preserve"> from Australia by material, July 20</w:t>
            </w:r>
            <w:r w:rsidR="007E357A">
              <w:t>20</w:t>
            </w:r>
            <w:r w:rsidRPr="009C2EA2">
              <w:t xml:space="preserve"> </w:t>
            </w:r>
            <w:r>
              <w:t>to</w:t>
            </w:r>
            <w:r w:rsidRPr="009C2EA2">
              <w:t xml:space="preserve"> </w:t>
            </w:r>
            <w:r>
              <w:t>June 2021</w:t>
            </w:r>
            <w:r w:rsidR="0018755D">
              <w:t xml:space="preserve"> (kt)</w:t>
            </w:r>
          </w:p>
          <w:p w14:paraId="3FECC355" w14:textId="4B2823CA" w:rsidR="00567869" w:rsidRDefault="002610FB" w:rsidP="00F46CB5">
            <w:pPr>
              <w:pStyle w:val="BodyText"/>
            </w:pPr>
            <w:r>
              <w:rPr>
                <w:noProof/>
              </w:rPr>
              <mc:AlternateContent>
                <mc:Choice Requires="wps">
                  <w:drawing>
                    <wp:anchor distT="45720" distB="45720" distL="114300" distR="114300" simplePos="0" relativeHeight="251686912" behindDoc="0" locked="0" layoutInCell="1" allowOverlap="1" wp14:anchorId="278D254F" wp14:editId="54FEFEB2">
                      <wp:simplePos x="0" y="0"/>
                      <wp:positionH relativeFrom="margin">
                        <wp:posOffset>3580130</wp:posOffset>
                      </wp:positionH>
                      <wp:positionV relativeFrom="paragraph">
                        <wp:posOffset>2150110</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49F341CE" w14:textId="77777777" w:rsidR="00567869" w:rsidRPr="00F33DDA" w:rsidRDefault="00567869" w:rsidP="00567869">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D254F" id="_x0000_t202" coordsize="21600,21600" o:spt="202" path="m,l,21600r21600,l21600,xe">
                      <v:stroke joinstyle="miter"/>
                      <v:path gradientshapeok="t" o:connecttype="rect"/>
                    </v:shapetype>
                    <v:shape id="Text Box 2" o:spid="_x0000_s1026" type="#_x0000_t202" style="position:absolute;margin-left:281.9pt;margin-top:169.3pt;width:45pt;height:22.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" filled="f" stroked="f">
                      <v:textbox>
                        <w:txbxContent>
                          <w:p w14:paraId="49F341CE" w14:textId="77777777" w:rsidR="00567869" w:rsidRPr="00F33DDA" w:rsidRDefault="00567869" w:rsidP="00567869">
                            <w:pPr>
                              <w:rPr>
                                <w:sz w:val="20"/>
                                <w:szCs w:val="20"/>
                              </w:rPr>
                            </w:pPr>
                            <w:r w:rsidRPr="00F33DDA">
                              <w:rPr>
                                <w:sz w:val="20"/>
                                <w:szCs w:val="20"/>
                              </w:rPr>
                              <w:t>Tyres</w:t>
                            </w:r>
                          </w:p>
                        </w:txbxContent>
                      </v:textbox>
                      <w10:wrap anchorx="margin"/>
                    </v:shape>
                  </w:pict>
                </mc:Fallback>
              </mc:AlternateContent>
            </w:r>
            <w:r w:rsidR="00AD05C2" w:rsidRPr="00A849A8">
              <w:rPr>
                <w:noProof/>
              </w:rPr>
              <mc:AlternateContent>
                <mc:Choice Requires="wps">
                  <w:drawing>
                    <wp:anchor distT="45720" distB="45720" distL="114300" distR="114300" simplePos="0" relativeHeight="251685888" behindDoc="0" locked="0" layoutInCell="1" allowOverlap="1" wp14:anchorId="3A6DFAE4" wp14:editId="2BF86681">
                      <wp:simplePos x="0" y="0"/>
                      <wp:positionH relativeFrom="column">
                        <wp:posOffset>3563620</wp:posOffset>
                      </wp:positionH>
                      <wp:positionV relativeFrom="paragraph">
                        <wp:posOffset>2876550</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0D177A68" w14:textId="77777777" w:rsidR="00567869" w:rsidRPr="00F33DDA" w:rsidRDefault="00567869" w:rsidP="00567869">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DFAE4" id="_x0000_s1027" type="#_x0000_t202" style="position:absolute;margin-left:280.6pt;margin-top:226.5pt;width:51pt;height:22.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7pDAIAAPk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" filled="f" stroked="f">
                      <v:textbox>
                        <w:txbxContent>
                          <w:p w14:paraId="0D177A68" w14:textId="77777777" w:rsidR="00567869" w:rsidRPr="00F33DDA" w:rsidRDefault="00567869" w:rsidP="00567869">
                            <w:pPr>
                              <w:rPr>
                                <w:sz w:val="20"/>
                                <w:szCs w:val="20"/>
                              </w:rPr>
                            </w:pPr>
                            <w:r w:rsidRPr="00F33DDA">
                              <w:rPr>
                                <w:sz w:val="20"/>
                                <w:szCs w:val="20"/>
                              </w:rPr>
                              <w:t>Glass</w:t>
                            </w:r>
                          </w:p>
                        </w:txbxContent>
                      </v:textbox>
                    </v:shape>
                  </w:pict>
                </mc:Fallback>
              </mc:AlternateContent>
            </w:r>
            <w:r w:rsidR="00AD05C2" w:rsidRPr="00A849A8">
              <w:rPr>
                <w:noProof/>
              </w:rPr>
              <mc:AlternateContent>
                <mc:Choice Requires="wps">
                  <w:drawing>
                    <wp:anchor distT="45720" distB="45720" distL="114300" distR="114300" simplePos="0" relativeHeight="251688960" behindDoc="0" locked="0" layoutInCell="1" allowOverlap="1" wp14:anchorId="2DF5226E" wp14:editId="70D8C007">
                      <wp:simplePos x="0" y="0"/>
                      <wp:positionH relativeFrom="column">
                        <wp:posOffset>3571875</wp:posOffset>
                      </wp:positionH>
                      <wp:positionV relativeFrom="paragraph">
                        <wp:posOffset>2448560</wp:posOffset>
                      </wp:positionV>
                      <wp:extent cx="768350" cy="29019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0195"/>
                              </a:xfrm>
                              <a:prstGeom prst="rect">
                                <a:avLst/>
                              </a:prstGeom>
                              <a:noFill/>
                              <a:ln w="9525">
                                <a:noFill/>
                                <a:miter lim="800000"/>
                                <a:headEnd/>
                                <a:tailEnd/>
                              </a:ln>
                            </wps:spPr>
                            <wps:txbx>
                              <w:txbxContent>
                                <w:p w14:paraId="1DCE441B" w14:textId="77777777" w:rsidR="00567869" w:rsidRPr="00F33DDA" w:rsidRDefault="00567869" w:rsidP="00567869">
                                  <w:pPr>
                                    <w:rPr>
                                      <w:sz w:val="20"/>
                                      <w:szCs w:val="20"/>
                                    </w:rPr>
                                  </w:pPr>
                                  <w:r>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5226E" id="_x0000_s1028" type="#_x0000_t202" style="position:absolute;margin-left:281.25pt;margin-top:192.8pt;width:60.5pt;height:22.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" filled="f" stroked="f">
                      <v:textbox>
                        <w:txbxContent>
                          <w:p w14:paraId="1DCE441B" w14:textId="77777777" w:rsidR="00567869" w:rsidRPr="00F33DDA" w:rsidRDefault="00567869" w:rsidP="00567869">
                            <w:pPr>
                              <w:rPr>
                                <w:sz w:val="20"/>
                                <w:szCs w:val="20"/>
                              </w:rPr>
                            </w:pPr>
                            <w:r>
                              <w:rPr>
                                <w:sz w:val="20"/>
                                <w:szCs w:val="20"/>
                              </w:rPr>
                              <w:t>Hazardous</w:t>
                            </w:r>
                          </w:p>
                        </w:txbxContent>
                      </v:textbox>
                    </v:shape>
                  </w:pict>
                </mc:Fallback>
              </mc:AlternateContent>
            </w:r>
            <w:r w:rsidR="00AD05C2" w:rsidRPr="00A849A8">
              <w:rPr>
                <w:noProof/>
              </w:rPr>
              <mc:AlternateContent>
                <mc:Choice Requires="wps">
                  <w:drawing>
                    <wp:anchor distT="45720" distB="45720" distL="114300" distR="114300" simplePos="0" relativeHeight="251684864" behindDoc="0" locked="0" layoutInCell="1" allowOverlap="1" wp14:anchorId="0BFDC3F9" wp14:editId="78FDB534">
                      <wp:simplePos x="0" y="0"/>
                      <wp:positionH relativeFrom="column">
                        <wp:posOffset>3563620</wp:posOffset>
                      </wp:positionH>
                      <wp:positionV relativeFrom="paragraph">
                        <wp:posOffset>1899920</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58BF9CE7" w14:textId="77777777" w:rsidR="00567869" w:rsidRPr="00F33DDA" w:rsidRDefault="00567869" w:rsidP="00567869">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DC3F9" id="_x0000_s1029" type="#_x0000_t202" style="position:absolute;margin-left:280.6pt;margin-top:149.6pt;width:66.75pt;height:18.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" filled="f" stroked="f">
                      <v:textbox>
                        <w:txbxContent>
                          <w:p w14:paraId="58BF9CE7" w14:textId="77777777" w:rsidR="00567869" w:rsidRPr="00F33DDA" w:rsidRDefault="00567869" w:rsidP="00567869">
                            <w:pPr>
                              <w:rPr>
                                <w:sz w:val="20"/>
                                <w:szCs w:val="20"/>
                              </w:rPr>
                            </w:pPr>
                            <w:r w:rsidRPr="00F33DDA">
                              <w:rPr>
                                <w:sz w:val="20"/>
                                <w:szCs w:val="20"/>
                              </w:rPr>
                              <w:t>Textiles</w:t>
                            </w:r>
                          </w:p>
                        </w:txbxContent>
                      </v:textbox>
                    </v:shape>
                  </w:pict>
                </mc:Fallback>
              </mc:AlternateContent>
            </w:r>
            <w:r w:rsidR="00AD05C2" w:rsidRPr="00A849A8">
              <w:rPr>
                <w:noProof/>
              </w:rPr>
              <mc:AlternateContent>
                <mc:Choice Requires="wps">
                  <w:drawing>
                    <wp:anchor distT="45720" distB="45720" distL="114300" distR="114300" simplePos="0" relativeHeight="251683840" behindDoc="0" locked="0" layoutInCell="1" allowOverlap="1" wp14:anchorId="1E87267B" wp14:editId="4238C5DF">
                      <wp:simplePos x="0" y="0"/>
                      <wp:positionH relativeFrom="page">
                        <wp:posOffset>3631565</wp:posOffset>
                      </wp:positionH>
                      <wp:positionV relativeFrom="paragraph">
                        <wp:posOffset>1548130</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3F25878F" w14:textId="77777777" w:rsidR="00567869" w:rsidRPr="00F33DDA" w:rsidRDefault="00567869" w:rsidP="00567869">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7267B" id="_x0000_s1030" type="#_x0000_t202" style="position:absolute;margin-left:285.95pt;margin-top:121.9pt;width:58.5pt;height:20.6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" filled="f" stroked="f">
                      <v:textbox>
                        <w:txbxContent>
                          <w:p w14:paraId="3F25878F" w14:textId="77777777" w:rsidR="00567869" w:rsidRPr="00F33DDA" w:rsidRDefault="00567869" w:rsidP="00567869">
                            <w:pPr>
                              <w:rPr>
                                <w:sz w:val="20"/>
                                <w:szCs w:val="20"/>
                              </w:rPr>
                            </w:pPr>
                            <w:r w:rsidRPr="00F33DDA">
                              <w:rPr>
                                <w:sz w:val="20"/>
                                <w:szCs w:val="20"/>
                              </w:rPr>
                              <w:t>Plastics</w:t>
                            </w:r>
                          </w:p>
                        </w:txbxContent>
                      </v:textbox>
                      <w10:wrap anchorx="page"/>
                    </v:shape>
                  </w:pict>
                </mc:Fallback>
              </mc:AlternateContent>
            </w:r>
            <w:r w:rsidR="00AD05C2" w:rsidRPr="00A849A8">
              <w:rPr>
                <w:noProof/>
              </w:rPr>
              <mc:AlternateContent>
                <mc:Choice Requires="wps">
                  <w:drawing>
                    <wp:anchor distT="45720" distB="45720" distL="114300" distR="114300" simplePos="0" relativeHeight="251692032" behindDoc="0" locked="0" layoutInCell="1" allowOverlap="1" wp14:anchorId="7A177FE8" wp14:editId="7BBD2C9F">
                      <wp:simplePos x="0" y="0"/>
                      <wp:positionH relativeFrom="page">
                        <wp:posOffset>3638550</wp:posOffset>
                      </wp:positionH>
                      <wp:positionV relativeFrom="paragraph">
                        <wp:posOffset>913765</wp:posOffset>
                      </wp:positionV>
                      <wp:extent cx="742950" cy="2616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1430474B" w14:textId="77777777" w:rsidR="00567869" w:rsidRPr="00F33DDA" w:rsidRDefault="00567869" w:rsidP="00567869">
                                  <w:pPr>
                                    <w:rPr>
                                      <w:sz w:val="20"/>
                                      <w:szCs w:val="20"/>
                                    </w:rPr>
                                  </w:pPr>
                                  <w:r>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77FE8" id="Text Box 4" o:spid="_x0000_s1031" type="#_x0000_t202" style="position:absolute;margin-left:286.5pt;margin-top:71.95pt;width:58.5pt;height:20.6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" filled="f" stroked="f">
                      <v:textbox>
                        <w:txbxContent>
                          <w:p w14:paraId="1430474B" w14:textId="77777777" w:rsidR="00567869" w:rsidRPr="00F33DDA" w:rsidRDefault="00567869" w:rsidP="00567869">
                            <w:pPr>
                              <w:rPr>
                                <w:sz w:val="20"/>
                                <w:szCs w:val="20"/>
                              </w:rPr>
                            </w:pPr>
                            <w:r>
                              <w:rPr>
                                <w:sz w:val="20"/>
                                <w:szCs w:val="20"/>
                              </w:rPr>
                              <w:t>Other</w:t>
                            </w:r>
                          </w:p>
                        </w:txbxContent>
                      </v:textbox>
                      <w10:wrap anchorx="page"/>
                    </v:shape>
                  </w:pict>
                </mc:Fallback>
              </mc:AlternateContent>
            </w:r>
            <w:r w:rsidR="00AD05C2" w:rsidRPr="00A849A8">
              <w:rPr>
                <w:noProof/>
              </w:rPr>
              <mc:AlternateContent>
                <mc:Choice Requires="wps">
                  <w:drawing>
                    <wp:anchor distT="45720" distB="45720" distL="114300" distR="114300" simplePos="0" relativeHeight="251687936" behindDoc="0" locked="0" layoutInCell="1" allowOverlap="1" wp14:anchorId="064EEE40" wp14:editId="5DF1E654">
                      <wp:simplePos x="0" y="0"/>
                      <wp:positionH relativeFrom="page">
                        <wp:posOffset>3640455</wp:posOffset>
                      </wp:positionH>
                      <wp:positionV relativeFrom="paragraph">
                        <wp:posOffset>533400</wp:posOffset>
                      </wp:positionV>
                      <wp:extent cx="923925" cy="4000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noFill/>
                              <a:ln w="9525">
                                <a:noFill/>
                                <a:miter lim="800000"/>
                                <a:headEnd/>
                                <a:tailEnd/>
                              </a:ln>
                            </wps:spPr>
                            <wps:txbx>
                              <w:txbxContent>
                                <w:p w14:paraId="1B2BB85A" w14:textId="085C4578" w:rsidR="00567869" w:rsidRDefault="00567869" w:rsidP="00567869">
                                  <w:r>
                                    <w:rPr>
                                      <w:sz w:val="20"/>
                                      <w:szCs w:val="20"/>
                                    </w:rPr>
                                    <w:t>Paper &amp; card</w:t>
                                  </w:r>
                                  <w:r w:rsidR="00AD05C2">
                                    <w:rPr>
                                      <w:sz w:val="20"/>
                                      <w:szCs w:val="20"/>
                                    </w:rPr>
                                    <w:t>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EEE40" id="_x0000_s1032" type="#_x0000_t202" style="position:absolute;margin-left:286.65pt;margin-top:42pt;width:72.75pt;height:31.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" filled="f" stroked="f">
                      <v:textbox>
                        <w:txbxContent>
                          <w:p w14:paraId="1B2BB85A" w14:textId="085C4578" w:rsidR="00567869" w:rsidRDefault="00567869" w:rsidP="00567869">
                            <w:r>
                              <w:rPr>
                                <w:sz w:val="20"/>
                                <w:szCs w:val="20"/>
                              </w:rPr>
                              <w:t>Paper &amp; card</w:t>
                            </w:r>
                            <w:r w:rsidR="00AD05C2">
                              <w:rPr>
                                <w:sz w:val="20"/>
                                <w:szCs w:val="20"/>
                              </w:rPr>
                              <w:t>board</w:t>
                            </w:r>
                          </w:p>
                        </w:txbxContent>
                      </v:textbox>
                      <w10:wrap anchorx="page"/>
                    </v:shape>
                  </w:pict>
                </mc:Fallback>
              </mc:AlternateContent>
            </w:r>
            <w:r w:rsidR="00567869" w:rsidRPr="00A849A8">
              <w:rPr>
                <w:noProof/>
              </w:rPr>
              <mc:AlternateContent>
                <mc:Choice Requires="wps">
                  <w:drawing>
                    <wp:anchor distT="45720" distB="45720" distL="114300" distR="114300" simplePos="0" relativeHeight="251691008" behindDoc="0" locked="0" layoutInCell="1" allowOverlap="1" wp14:anchorId="0BCCFE2E" wp14:editId="523FD3D9">
                      <wp:simplePos x="0" y="0"/>
                      <wp:positionH relativeFrom="page">
                        <wp:posOffset>3624580</wp:posOffset>
                      </wp:positionH>
                      <wp:positionV relativeFrom="paragraph">
                        <wp:posOffset>57785</wp:posOffset>
                      </wp:positionV>
                      <wp:extent cx="742950" cy="2616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774C1FB2" w14:textId="77777777" w:rsidR="00567869" w:rsidRPr="00F33DDA" w:rsidRDefault="00567869" w:rsidP="00567869">
                                  <w:pPr>
                                    <w:rPr>
                                      <w:sz w:val="20"/>
                                      <w:szCs w:val="20"/>
                                    </w:rPr>
                                  </w:pPr>
                                  <w:r>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CFE2E" id="_x0000_s1033" type="#_x0000_t202" style="position:absolute;margin-left:285.4pt;margin-top:4.55pt;width:58.5pt;height:20.6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" filled="f" stroked="f">
                      <v:textbox>
                        <w:txbxContent>
                          <w:p w14:paraId="774C1FB2" w14:textId="77777777" w:rsidR="00567869" w:rsidRPr="00F33DDA" w:rsidRDefault="00567869" w:rsidP="00567869">
                            <w:pPr>
                              <w:rPr>
                                <w:sz w:val="20"/>
                                <w:szCs w:val="20"/>
                              </w:rPr>
                            </w:pPr>
                            <w:r>
                              <w:rPr>
                                <w:sz w:val="20"/>
                                <w:szCs w:val="20"/>
                              </w:rPr>
                              <w:t>Metals</w:t>
                            </w:r>
                          </w:p>
                        </w:txbxContent>
                      </v:textbox>
                      <w10:wrap anchorx="page"/>
                    </v:shape>
                  </w:pict>
                </mc:Fallback>
              </mc:AlternateContent>
            </w:r>
            <w:r w:rsidR="007E357A">
              <w:rPr>
                <w:noProof/>
              </w:rPr>
              <w:drawing>
                <wp:inline distT="0" distB="0" distL="0" distR="0" wp14:anchorId="5E008E5E" wp14:editId="79C72F47">
                  <wp:extent cx="3766820" cy="3438525"/>
                  <wp:effectExtent l="0" t="0" r="508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2800"/>
                          <a:stretch/>
                        </pic:blipFill>
                        <pic:spPr bwMode="auto">
                          <a:xfrm>
                            <a:off x="0" y="0"/>
                            <a:ext cx="3766820" cy="3438525"/>
                          </a:xfrm>
                          <a:prstGeom prst="rect">
                            <a:avLst/>
                          </a:prstGeom>
                          <a:ln>
                            <a:noFill/>
                          </a:ln>
                          <a:extLst>
                            <a:ext uri="{53640926-AAD7-44D8-BBD7-CCE9431645EC}">
                              <a14:shadowObscured xmlns:a14="http://schemas.microsoft.com/office/drawing/2010/main"/>
                            </a:ext>
                          </a:extLst>
                        </pic:spPr>
                      </pic:pic>
                    </a:graphicData>
                  </a:graphic>
                </wp:inline>
              </w:drawing>
            </w:r>
          </w:p>
          <w:p w14:paraId="790E7090" w14:textId="77777777" w:rsidR="00567869" w:rsidRDefault="00567869" w:rsidP="00F46CB5">
            <w:pPr>
              <w:pStyle w:val="BodyText"/>
            </w:pPr>
          </w:p>
        </w:tc>
      </w:tr>
    </w:tbl>
    <w:p w14:paraId="2033AE09" w14:textId="1CE5A39C" w:rsidR="006F4B1C" w:rsidRDefault="00F36E94" w:rsidP="006F4B1C">
      <w:pPr>
        <w:pStyle w:val="BodyText"/>
      </w:pPr>
      <w:r>
        <w:t xml:space="preserve">‘Other’ waste exports were consistent except for peaks in </w:t>
      </w:r>
      <w:r w:rsidR="006F4B1C">
        <w:t xml:space="preserve">October, March and May driven by large one-off shipments of sawdust and wood waste pellets from Bundaberg and Albany to Japan. </w:t>
      </w:r>
    </w:p>
    <w:p w14:paraId="79A84990" w14:textId="50EE2430" w:rsidR="006F4B1C" w:rsidRDefault="006F4B1C" w:rsidP="006F4B1C">
      <w:pPr>
        <w:pStyle w:val="BodyText"/>
      </w:pPr>
      <w:r>
        <w:t xml:space="preserve">Exports of scrap plastic rose slightly despite tightening restrictions on international flows of this waste </w:t>
      </w:r>
      <w:r w:rsidR="00F36E94">
        <w:t>material</w:t>
      </w:r>
      <w:r>
        <w:t xml:space="preserve">. This suggests the quality of the reprocessed materials has increased to comply with the new regulations. </w:t>
      </w:r>
      <w:r w:rsidR="006B2CDA">
        <w:t>Prices for clean bales o</w:t>
      </w:r>
      <w:r w:rsidR="00F36E94">
        <w:t>f</w:t>
      </w:r>
      <w:r w:rsidR="006B2CDA">
        <w:t xml:space="preserve"> HDPE and PET packaging increased strongly during 2020-21. </w:t>
      </w:r>
      <w:r>
        <w:t xml:space="preserve">The main recipients were Malaysia (41%), Indonesia (16%) and China (13%). </w:t>
      </w:r>
    </w:p>
    <w:p w14:paraId="481AFF4A" w14:textId="77777777" w:rsidR="006F4B1C" w:rsidRDefault="006F4B1C" w:rsidP="006F4B1C">
      <w:pPr>
        <w:pStyle w:val="BodyText"/>
      </w:pPr>
      <w:r>
        <w:t>Scrap tyre exports fluctuated</w:t>
      </w:r>
      <w:bookmarkStart w:id="10" w:name="_Ref80547895"/>
      <w:r>
        <w:rPr>
          <w:rStyle w:val="FootnoteReference"/>
        </w:rPr>
        <w:footnoteReference w:id="9"/>
      </w:r>
      <w:bookmarkEnd w:id="10"/>
      <w:r>
        <w:t xml:space="preserve">. The main recipients were India (46%) and Malaysia (29%). </w:t>
      </w:r>
    </w:p>
    <w:p w14:paraId="4EC09BF7" w14:textId="77777777" w:rsidR="006F4B1C" w:rsidRDefault="006F4B1C" w:rsidP="006F4B1C">
      <w:pPr>
        <w:pStyle w:val="BodyText"/>
      </w:pPr>
      <w:r>
        <w:t>Exports of hazardous waste were reasonably consistent. They mainly consisted of lead waste and scrap (74%) and lead-containing slag, ash and residues (20%). The main recipient was South Korea (43%).</w:t>
      </w:r>
    </w:p>
    <w:p w14:paraId="4E2C23A7" w14:textId="77777777" w:rsidR="006F4B1C" w:rsidRDefault="006F4B1C" w:rsidP="006F4B1C">
      <w:pPr>
        <w:pStyle w:val="BodyText"/>
      </w:pPr>
      <w:r>
        <w:t xml:space="preserve">Unprocessed glass waste exports were banned in January 2021. It appears that exporters were preparing in advance, as exports were very low throughout the year. </w:t>
      </w:r>
    </w:p>
    <w:p w14:paraId="0E609E1B" w14:textId="590A0C01" w:rsidR="006F4B1C" w:rsidRDefault="006F4B1C" w:rsidP="006F4B1C">
      <w:pPr>
        <w:pStyle w:val="BodyText"/>
      </w:pPr>
      <w:r>
        <w:t>Exports of</w:t>
      </w:r>
      <w:r w:rsidR="006B2CDA">
        <w:t xml:space="preserve"> textiles (nearly all used clothing)</w:t>
      </w:r>
      <w:r>
        <w:t xml:space="preserve"> increased slightly over the year, with most going to</w:t>
      </w:r>
      <w:r w:rsidR="00F36E94">
        <w:t xml:space="preserve"> the</w:t>
      </w:r>
      <w:r>
        <w:t xml:space="preserve"> UAE (60%).</w:t>
      </w:r>
    </w:p>
    <w:p w14:paraId="47732176" w14:textId="767ED0D1" w:rsidR="00567869" w:rsidRDefault="00572182" w:rsidP="008B496C">
      <w:pPr>
        <w:pStyle w:val="Bullet1"/>
        <w:numPr>
          <w:ilvl w:val="0"/>
          <w:numId w:val="0"/>
        </w:numPr>
      </w:pPr>
      <w:r>
        <w:fldChar w:fldCharType="begin"/>
      </w:r>
      <w:r>
        <w:instrText xml:space="preserve"> REF _Ref80039071 \h </w:instrText>
      </w:r>
      <w:r>
        <w:fldChar w:fldCharType="separate"/>
      </w:r>
      <w:r w:rsidR="00557024">
        <w:t xml:space="preserve">Figure </w:t>
      </w:r>
      <w:r w:rsidR="00557024">
        <w:rPr>
          <w:noProof/>
        </w:rPr>
        <w:t>8</w:t>
      </w:r>
      <w:r>
        <w:fldChar w:fldCharType="end"/>
      </w:r>
      <w:r>
        <w:t xml:space="preserve"> shows</w:t>
      </w:r>
      <w:r w:rsidR="0060258B">
        <w:t xml:space="preserve"> monthly</w:t>
      </w:r>
      <w:r>
        <w:t xml:space="preserve"> exports from Australia </w:t>
      </w:r>
      <w:r w:rsidR="0060258B">
        <w:t>during 2020-</w:t>
      </w:r>
      <w:r>
        <w:t>21, ranking the seven destinations receiving the most materials (from the bottom)</w:t>
      </w:r>
      <w:r w:rsidR="00264815">
        <w:t>. Indonesia</w:t>
      </w:r>
      <w:r w:rsidR="005241BE">
        <w:t xml:space="preserve"> was the </w:t>
      </w:r>
      <w:r w:rsidR="00264815">
        <w:t>biggest export destination</w:t>
      </w:r>
      <w:r w:rsidR="005241BE">
        <w:t xml:space="preserve"> in all but two months</w:t>
      </w:r>
      <w:r w:rsidR="00264815">
        <w:t xml:space="preserve">, receiving mainly scrap metals and paper and cardboard. </w:t>
      </w:r>
      <w:r w:rsidR="005241BE">
        <w:t xml:space="preserve">Vietnam’s quantities varied </w:t>
      </w:r>
      <w:r w:rsidR="006B2CDA">
        <w:t>significantly</w:t>
      </w:r>
      <w:r w:rsidR="00AA2421">
        <w:t xml:space="preserve"> </w:t>
      </w:r>
      <w:r w:rsidR="005241BE">
        <w:t xml:space="preserve">because it receives </w:t>
      </w:r>
      <w:r w:rsidR="006F49D0">
        <w:t>mainly</w:t>
      </w:r>
      <w:r w:rsidR="005241BE">
        <w:t xml:space="preserve"> metals, which vary </w:t>
      </w:r>
      <w:r w:rsidR="006B2CDA">
        <w:t>considerably</w:t>
      </w:r>
      <w:r w:rsidR="005241BE">
        <w:t xml:space="preserve"> by month. Exports to China </w:t>
      </w:r>
      <w:r w:rsidR="00AA2421">
        <w:t>diminished</w:t>
      </w:r>
      <w:r w:rsidR="005241BE">
        <w:t xml:space="preserve"> as its new January import restrictions approached, and have not recovered.</w:t>
      </w:r>
      <w:r w:rsidR="00C60583">
        <w:t xml:space="preserve"> </w:t>
      </w:r>
    </w:p>
    <w:p w14:paraId="70BBD0B8" w14:textId="01ECFFB1" w:rsidR="00572182" w:rsidRDefault="00572182" w:rsidP="00572182">
      <w:pPr>
        <w:pStyle w:val="Caption"/>
        <w:keepNext/>
      </w:pPr>
      <w:bookmarkStart w:id="11" w:name="_Ref80039071"/>
      <w:r>
        <w:lastRenderedPageBreak/>
        <w:t xml:space="preserve">Figure </w:t>
      </w:r>
      <w:fldSimple w:instr=" SEQ Figure \* ARABIC ">
        <w:r w:rsidR="00557024">
          <w:rPr>
            <w:noProof/>
          </w:rPr>
          <w:t>8</w:t>
        </w:r>
      </w:fldSimple>
      <w:bookmarkEnd w:id="11"/>
      <w:r>
        <w:tab/>
        <w:t>Exports of waste from Australia by month</w:t>
      </w:r>
      <w:r w:rsidR="00765CD6">
        <w:t xml:space="preserve"> showing the top seven destinations</w:t>
      </w:r>
      <w:r>
        <w:t xml:space="preserve">, </w:t>
      </w:r>
      <w:r w:rsidR="005241BE">
        <w:t>2020-</w:t>
      </w:r>
      <w:r>
        <w:t>21</w:t>
      </w:r>
      <w:r w:rsidR="0018755D">
        <w:t xml:space="preserve"> (kt)</w:t>
      </w:r>
    </w:p>
    <w:p w14:paraId="2310EEE6" w14:textId="76B843E1" w:rsidR="00572182" w:rsidRDefault="00BD79E4" w:rsidP="00572182">
      <w:pPr>
        <w:pStyle w:val="Bullet1"/>
        <w:numPr>
          <w:ilvl w:val="0"/>
          <w:numId w:val="0"/>
        </w:numPr>
        <w:ind w:left="425" w:hanging="425"/>
      </w:pPr>
      <w:r>
        <w:rPr>
          <w:noProof/>
        </w:rPr>
        <w:drawing>
          <wp:inline distT="0" distB="0" distL="0" distR="0" wp14:anchorId="038EF99C" wp14:editId="6572EB97">
            <wp:extent cx="6070038" cy="2724150"/>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869" cy="2727216"/>
                    </a:xfrm>
                    <a:prstGeom prst="rect">
                      <a:avLst/>
                    </a:prstGeom>
                    <a:noFill/>
                  </pic:spPr>
                </pic:pic>
              </a:graphicData>
            </a:graphic>
          </wp:inline>
        </w:drawing>
      </w:r>
    </w:p>
    <w:p w14:paraId="0329DB32" w14:textId="1DD70313" w:rsidR="00D02355" w:rsidRPr="00DA5039" w:rsidRDefault="00D02355" w:rsidP="00567869">
      <w:pPr>
        <w:pStyle w:val="Heading3-nonumber"/>
        <w:rPr>
          <w:sz w:val="2"/>
          <w:szCs w:val="2"/>
        </w:rPr>
      </w:pPr>
    </w:p>
    <w:p w14:paraId="2DB5204D" w14:textId="10425891" w:rsidR="00C170DE" w:rsidRDefault="00EB5257" w:rsidP="00F46CB5">
      <w:pPr>
        <w:pStyle w:val="BodyText"/>
      </w:pPr>
      <w:r>
        <w:t xml:space="preserve">Australia’s 2020-21 exports of waste and recovered materials were from the jurisdictions shown in </w:t>
      </w:r>
      <w:r w:rsidR="00DE5E9D">
        <w:t>Figure 9</w:t>
      </w:r>
      <w:r>
        <w:t>. Victoria</w:t>
      </w:r>
      <w:r w:rsidR="00DA5039">
        <w:t xml:space="preserve"> (</w:t>
      </w:r>
      <w:r w:rsidR="00C170DE">
        <w:t>1.06 Mt</w:t>
      </w:r>
      <w:r w:rsidR="00DA5039">
        <w:t>)</w:t>
      </w:r>
      <w:r w:rsidR="00C170DE">
        <w:t xml:space="preserve">, NSW </w:t>
      </w:r>
      <w:r w:rsidR="00DA5039">
        <w:t>(</w:t>
      </w:r>
      <w:r w:rsidR="00C170DE">
        <w:t>1.04 Mt</w:t>
      </w:r>
      <w:r w:rsidR="00DA5039">
        <w:t>)</w:t>
      </w:r>
      <w:r w:rsidR="00C170DE">
        <w:t xml:space="preserve"> and Queensland </w:t>
      </w:r>
      <w:r w:rsidR="00DA5039">
        <w:t>(</w:t>
      </w:r>
      <w:r w:rsidR="00C170DE">
        <w:t>1.01 Mt</w:t>
      </w:r>
      <w:r w:rsidR="00DA5039">
        <w:t>) all exported similar quantities</w:t>
      </w:r>
      <w:r w:rsidR="00C170DE">
        <w:t>.</w:t>
      </w:r>
      <w:r w:rsidR="00DA5039">
        <w:t xml:space="preserve"> </w:t>
      </w:r>
      <w:r w:rsidR="00C170DE">
        <w:t>Victoria exported the most paper and cardboard (340</w:t>
      </w:r>
      <w:r w:rsidR="00AA2421">
        <w:t xml:space="preserve"> </w:t>
      </w:r>
      <w:r w:rsidR="00C170DE">
        <w:t>kt), plastics (59</w:t>
      </w:r>
      <w:r w:rsidR="00AA2421">
        <w:t xml:space="preserve"> </w:t>
      </w:r>
      <w:r w:rsidR="00C170DE">
        <w:t>kt), textiles (50</w:t>
      </w:r>
      <w:r w:rsidR="00AA2421">
        <w:t xml:space="preserve"> </w:t>
      </w:r>
      <w:r w:rsidR="00C170DE">
        <w:t>kt), tyres (34</w:t>
      </w:r>
      <w:r w:rsidR="00AA2421">
        <w:t xml:space="preserve"> </w:t>
      </w:r>
      <w:r w:rsidR="00C170DE">
        <w:t>kt) and ‘other’ wastes (46</w:t>
      </w:r>
      <w:r w:rsidR="00AA2421">
        <w:t xml:space="preserve"> </w:t>
      </w:r>
      <w:r w:rsidR="00C170DE">
        <w:t>kt), while Queensland exported the most metals (723</w:t>
      </w:r>
      <w:r w:rsidR="00AA2421">
        <w:t xml:space="preserve"> </w:t>
      </w:r>
      <w:r w:rsidR="00C170DE">
        <w:t xml:space="preserve">kt). </w:t>
      </w:r>
    </w:p>
    <w:p w14:paraId="54F91AE2" w14:textId="1B3BE8CA" w:rsidR="00D02355" w:rsidRDefault="00D02355" w:rsidP="00D02355">
      <w:pPr>
        <w:pStyle w:val="Caption"/>
        <w:keepNext/>
      </w:pPr>
      <w:bookmarkStart w:id="12" w:name="_Ref80171073"/>
      <w:r>
        <w:t xml:space="preserve">Figure </w:t>
      </w:r>
      <w:fldSimple w:instr=" SEQ Figure \* ARABIC ">
        <w:r w:rsidR="00557024">
          <w:rPr>
            <w:noProof/>
          </w:rPr>
          <w:t>9</w:t>
        </w:r>
      </w:fldSimple>
      <w:bookmarkEnd w:id="12"/>
      <w:r>
        <w:tab/>
        <w:t>Australian 2020-21 waste exports by jurisdiction of origin</w:t>
      </w:r>
      <w:r w:rsidR="0018755D">
        <w:t xml:space="preserve"> (kt)</w:t>
      </w:r>
    </w:p>
    <w:p w14:paraId="5C9DAB65" w14:textId="4E40FF22" w:rsidR="00D02355" w:rsidRPr="00D02355" w:rsidRDefault="00DA5039" w:rsidP="00F46CB5">
      <w:pPr>
        <w:pStyle w:val="BodyText"/>
      </w:pPr>
      <w:r>
        <w:rPr>
          <w:noProof/>
        </w:rPr>
        <w:drawing>
          <wp:inline distT="0" distB="0" distL="0" distR="0" wp14:anchorId="74B3B95E" wp14:editId="1E2B95C9">
            <wp:extent cx="5637703" cy="2324100"/>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5186" cy="2335430"/>
                    </a:xfrm>
                    <a:prstGeom prst="rect">
                      <a:avLst/>
                    </a:prstGeom>
                    <a:noFill/>
                  </pic:spPr>
                </pic:pic>
              </a:graphicData>
            </a:graphic>
          </wp:inline>
        </w:drawing>
      </w:r>
    </w:p>
    <w:p w14:paraId="7D63B3CB" w14:textId="52E10E26" w:rsidR="005537D7" w:rsidRDefault="005537D7" w:rsidP="00F46CB5">
      <w:pPr>
        <w:pStyle w:val="BodyText"/>
      </w:pPr>
      <w:r>
        <w:t>Most waste is exported from a port within its jurisdiction of origin. NSW export</w:t>
      </w:r>
      <w:r w:rsidR="00DA5039">
        <w:t>ed</w:t>
      </w:r>
      <w:r>
        <w:t xml:space="preserve"> 79% through Sydney, Queensland export</w:t>
      </w:r>
      <w:r w:rsidR="00DA5039">
        <w:t>ed</w:t>
      </w:r>
      <w:r>
        <w:t xml:space="preserve"> 70% through Brisbane, Victoria export</w:t>
      </w:r>
      <w:r w:rsidR="00DA5039">
        <w:t>ed</w:t>
      </w:r>
      <w:r>
        <w:t xml:space="preserve"> 87% from Melbourne, NT export</w:t>
      </w:r>
      <w:r w:rsidR="00DA5039">
        <w:t>ed</w:t>
      </w:r>
      <w:r>
        <w:t xml:space="preserve"> 97% from Darwin, WA export</w:t>
      </w:r>
      <w:r w:rsidR="00DA5039">
        <w:t>ed</w:t>
      </w:r>
      <w:r>
        <w:t xml:space="preserve"> 74% through Fremantle, </w:t>
      </w:r>
      <w:r w:rsidR="00DA5039">
        <w:t xml:space="preserve">and </w:t>
      </w:r>
      <w:r>
        <w:t>SA export</w:t>
      </w:r>
      <w:r w:rsidR="00DA5039">
        <w:t>ed</w:t>
      </w:r>
      <w:r>
        <w:t xml:space="preserve"> 93% through Port Adelaide. </w:t>
      </w:r>
      <w:r w:rsidR="000E4832">
        <w:t xml:space="preserve">Tasmania is the </w:t>
      </w:r>
      <w:r>
        <w:t>exception</w:t>
      </w:r>
      <w:r w:rsidR="000E4832">
        <w:t>. Only 42</w:t>
      </w:r>
      <w:r>
        <w:t>% was exported through Launceston</w:t>
      </w:r>
      <w:r w:rsidR="000E4832">
        <w:t xml:space="preserve"> and Burnie and the remainder went through Melbourne (</w:t>
      </w:r>
      <w:r>
        <w:t>47%</w:t>
      </w:r>
      <w:r w:rsidR="000E4832">
        <w:t>)</w:t>
      </w:r>
      <w:r>
        <w:t xml:space="preserve"> </w:t>
      </w:r>
      <w:r w:rsidR="000E4832">
        <w:t>and Sydney (11%)</w:t>
      </w:r>
      <w:r>
        <w:t xml:space="preserve">. </w:t>
      </w:r>
      <w:r w:rsidR="006B2CDA">
        <w:t>It is understood that exported materials generated in the Australian Capital Territory are typically exported from Sydney.</w:t>
      </w:r>
    </w:p>
    <w:p w14:paraId="3BC8F61E" w14:textId="3731A6FE" w:rsidR="00A22701" w:rsidRDefault="00A22701" w:rsidP="00F46CB5">
      <w:pPr>
        <w:pStyle w:val="BodyText"/>
      </w:pPr>
      <w:r>
        <w:fldChar w:fldCharType="begin"/>
      </w:r>
      <w:r>
        <w:instrText xml:space="preserve"> REF _Ref80174155 \h </w:instrText>
      </w:r>
      <w:r>
        <w:fldChar w:fldCharType="separate"/>
      </w:r>
      <w:r w:rsidR="00557024">
        <w:t xml:space="preserve">Figure </w:t>
      </w:r>
      <w:r w:rsidR="00557024">
        <w:rPr>
          <w:noProof/>
        </w:rPr>
        <w:t>10</w:t>
      </w:r>
      <w:r>
        <w:fldChar w:fldCharType="end"/>
      </w:r>
      <w:r>
        <w:t xml:space="preserve"> shows Australia’s 2020-21 waste exports by port of loading. </w:t>
      </w:r>
      <w:r w:rsidR="008B496C">
        <w:t>Most exports leave from four main ports</w:t>
      </w:r>
      <w:r w:rsidR="00AA2421">
        <w:t>:</w:t>
      </w:r>
      <w:r w:rsidR="008B496C">
        <w:t xml:space="preserve"> </w:t>
      </w:r>
      <w:r>
        <w:t>Melbourne (25%)</w:t>
      </w:r>
      <w:r w:rsidR="006F49D0">
        <w:t>;</w:t>
      </w:r>
      <w:r>
        <w:t xml:space="preserve"> Sydney (20%)</w:t>
      </w:r>
      <w:r w:rsidR="006F49D0">
        <w:t>;</w:t>
      </w:r>
      <w:r>
        <w:t xml:space="preserve"> Brisbane (19%)</w:t>
      </w:r>
      <w:r w:rsidR="006F49D0">
        <w:t>;</w:t>
      </w:r>
      <w:r>
        <w:t xml:space="preserve"> and Fremantle (16%). Metals, followed by paper and cardboard</w:t>
      </w:r>
      <w:r w:rsidR="00AA2421">
        <w:t>,</w:t>
      </w:r>
      <w:r>
        <w:t xml:space="preserve"> make up the largest</w:t>
      </w:r>
      <w:r w:rsidR="006F49D0">
        <w:t xml:space="preserve"> share of </w:t>
      </w:r>
      <w:r>
        <w:t xml:space="preserve">exports from all ports. Sydney and all other ports also had a large </w:t>
      </w:r>
      <w:r w:rsidR="006F49D0">
        <w:t>proportion</w:t>
      </w:r>
      <w:r>
        <w:t xml:space="preserve"> of ‘other’ wastes. </w:t>
      </w:r>
      <w:r w:rsidR="00C60583">
        <w:t xml:space="preserve">This data was only made available from January 2020, so there are no previous years </w:t>
      </w:r>
      <w:r w:rsidR="00AA2421">
        <w:t xml:space="preserve">for </w:t>
      </w:r>
      <w:r w:rsidR="00C60583">
        <w:t xml:space="preserve">comparison. </w:t>
      </w:r>
    </w:p>
    <w:p w14:paraId="09AE2A36" w14:textId="1BF7853F" w:rsidR="00A22701" w:rsidRDefault="00A22701" w:rsidP="00A22701">
      <w:pPr>
        <w:pStyle w:val="Caption"/>
        <w:keepNext/>
      </w:pPr>
      <w:bookmarkStart w:id="13" w:name="_Ref80174155"/>
      <w:r>
        <w:lastRenderedPageBreak/>
        <w:t xml:space="preserve">Figure </w:t>
      </w:r>
      <w:fldSimple w:instr=" SEQ Figure \* ARABIC ">
        <w:r w:rsidR="00557024">
          <w:rPr>
            <w:noProof/>
          </w:rPr>
          <w:t>10</w:t>
        </w:r>
      </w:fldSimple>
      <w:bookmarkEnd w:id="13"/>
      <w:r>
        <w:tab/>
        <w:t>Australian 2020-21 waste exports by port of loading</w:t>
      </w:r>
      <w:r w:rsidR="0018755D">
        <w:t xml:space="preserve"> (kt)</w:t>
      </w:r>
    </w:p>
    <w:p w14:paraId="6EBC2E95" w14:textId="6AE2F539" w:rsidR="00A22701" w:rsidRDefault="00DA5039" w:rsidP="00F46CB5">
      <w:pPr>
        <w:pStyle w:val="BodyText"/>
      </w:pPr>
      <w:r>
        <w:rPr>
          <w:noProof/>
        </w:rPr>
        <w:drawing>
          <wp:inline distT="0" distB="0" distL="0" distR="0" wp14:anchorId="3E4BE6A1" wp14:editId="77C02B2E">
            <wp:extent cx="4991891" cy="2343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1939" cy="2347867"/>
                    </a:xfrm>
                    <a:prstGeom prst="rect">
                      <a:avLst/>
                    </a:prstGeom>
                    <a:noFill/>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105"/>
      </w:tblGrid>
      <w:tr w:rsidR="00E75DF9" w14:paraId="13E1CAF7" w14:textId="77777777" w:rsidTr="009279FB">
        <w:tc>
          <w:tcPr>
            <w:tcW w:w="2410" w:type="dxa"/>
            <w:vMerge w:val="restart"/>
          </w:tcPr>
          <w:p w14:paraId="16BA7757" w14:textId="3FD7458A" w:rsidR="00E75DF9" w:rsidRDefault="00E75DF9" w:rsidP="00F46CB5">
            <w:pPr>
              <w:pStyle w:val="BodyText"/>
            </w:pPr>
            <w:r>
              <w:fldChar w:fldCharType="begin"/>
            </w:r>
            <w:r>
              <w:instrText xml:space="preserve"> REF _Ref80176008 \h  \* MERGEFORMAT </w:instrText>
            </w:r>
            <w:r>
              <w:fldChar w:fldCharType="separate"/>
            </w:r>
            <w:r w:rsidR="00557024">
              <w:t xml:space="preserve">Figure </w:t>
            </w:r>
            <w:r w:rsidR="00557024">
              <w:rPr>
                <w:noProof/>
              </w:rPr>
              <w:t>11</w:t>
            </w:r>
            <w:r>
              <w:fldChar w:fldCharType="end"/>
            </w:r>
            <w:r>
              <w:t xml:space="preserve"> presents monthly trends in the reported unit values of key waste-derived material exports from July 2020 to June 2021. The value of metals, plastics, and paper and cardboard have all increased gradually, while textiles have been consistent throughout the year. The value of tyres was on a decreasing trend but rose again in June. </w:t>
            </w:r>
          </w:p>
        </w:tc>
        <w:tc>
          <w:tcPr>
            <w:tcW w:w="7105" w:type="dxa"/>
          </w:tcPr>
          <w:p w14:paraId="0A810D24" w14:textId="7510FF68" w:rsidR="00E75DF9" w:rsidRDefault="00E75DF9" w:rsidP="00E75DF9">
            <w:pPr>
              <w:pStyle w:val="Caption"/>
              <w:keepNext/>
              <w:spacing w:before="0"/>
            </w:pPr>
            <w:bookmarkStart w:id="14" w:name="_Ref80176008"/>
            <w:r>
              <w:t xml:space="preserve">Figure </w:t>
            </w:r>
            <w:fldSimple w:instr=" SEQ Figure \* ARABIC ">
              <w:r w:rsidR="00557024">
                <w:rPr>
                  <w:noProof/>
                </w:rPr>
                <w:t>11</w:t>
              </w:r>
            </w:fldSimple>
            <w:bookmarkEnd w:id="14"/>
            <w:r>
              <w:tab/>
              <w:t>Comparison of average unit prices by material, July 2020</w:t>
            </w:r>
            <w:r w:rsidR="002610FB">
              <w:t xml:space="preserve"> to </w:t>
            </w:r>
            <w:r>
              <w:t>June</w:t>
            </w:r>
            <w:r w:rsidR="002610FB">
              <w:t> </w:t>
            </w:r>
            <w:r>
              <w:t>2021 ($/tonne)</w:t>
            </w:r>
          </w:p>
        </w:tc>
      </w:tr>
      <w:tr w:rsidR="00E75DF9" w14:paraId="631BB187" w14:textId="77777777" w:rsidTr="009279FB">
        <w:tc>
          <w:tcPr>
            <w:tcW w:w="2410" w:type="dxa"/>
            <w:vMerge/>
          </w:tcPr>
          <w:p w14:paraId="583411A3" w14:textId="77777777" w:rsidR="00E75DF9" w:rsidRDefault="00E75DF9" w:rsidP="00F46CB5">
            <w:pPr>
              <w:pStyle w:val="BodyText"/>
            </w:pPr>
          </w:p>
        </w:tc>
        <w:tc>
          <w:tcPr>
            <w:tcW w:w="7105" w:type="dxa"/>
          </w:tcPr>
          <w:p w14:paraId="609584FC" w14:textId="401352E7" w:rsidR="00E75DF9" w:rsidRDefault="009279FB" w:rsidP="00F46CB5">
            <w:pPr>
              <w:pStyle w:val="BodyText"/>
            </w:pPr>
            <w:r w:rsidRPr="00E75DF9">
              <w:rPr>
                <w:noProof/>
              </w:rPr>
              <mc:AlternateContent>
                <mc:Choice Requires="wps">
                  <w:drawing>
                    <wp:anchor distT="45720" distB="45720" distL="114300" distR="114300" simplePos="0" relativeHeight="251705344" behindDoc="0" locked="0" layoutInCell="1" allowOverlap="1" wp14:anchorId="48A8AFB3" wp14:editId="5BA1C86C">
                      <wp:simplePos x="0" y="0"/>
                      <wp:positionH relativeFrom="page">
                        <wp:posOffset>3289300</wp:posOffset>
                      </wp:positionH>
                      <wp:positionV relativeFrom="paragraph">
                        <wp:posOffset>1438910</wp:posOffset>
                      </wp:positionV>
                      <wp:extent cx="923925" cy="48577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85775"/>
                              </a:xfrm>
                              <a:prstGeom prst="rect">
                                <a:avLst/>
                              </a:prstGeom>
                              <a:noFill/>
                              <a:ln w="9525">
                                <a:noFill/>
                                <a:miter lim="800000"/>
                                <a:headEnd/>
                                <a:tailEnd/>
                              </a:ln>
                            </wps:spPr>
                            <wps:txbx>
                              <w:txbxContent>
                                <w:p w14:paraId="5B536276" w14:textId="2BD13CD9" w:rsidR="00E75DF9" w:rsidRDefault="00E75DF9" w:rsidP="00E75DF9">
                                  <w:r>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8AFB3" id="_x0000_s1034" type="#_x0000_t202" style="position:absolute;margin-left:259pt;margin-top:113.3pt;width:72.75pt;height:38.25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" filled="f" stroked="f">
                      <v:textbox>
                        <w:txbxContent>
                          <w:p w14:paraId="5B536276" w14:textId="2BD13CD9" w:rsidR="00E75DF9" w:rsidRDefault="00E75DF9" w:rsidP="00E75DF9">
                            <w:r>
                              <w:rPr>
                                <w:sz w:val="20"/>
                                <w:szCs w:val="20"/>
                              </w:rPr>
                              <w:t>Paper &amp; cardboard</w:t>
                            </w:r>
                          </w:p>
                        </w:txbxContent>
                      </v:textbox>
                      <w10:wrap anchorx="page"/>
                    </v:shape>
                  </w:pict>
                </mc:Fallback>
              </mc:AlternateContent>
            </w:r>
            <w:r w:rsidRPr="00E75DF9">
              <w:rPr>
                <w:noProof/>
              </w:rPr>
              <mc:AlternateContent>
                <mc:Choice Requires="wps">
                  <w:drawing>
                    <wp:anchor distT="45720" distB="45720" distL="114300" distR="114300" simplePos="0" relativeHeight="251704320" behindDoc="0" locked="0" layoutInCell="1" allowOverlap="1" wp14:anchorId="23E61658" wp14:editId="319FD457">
                      <wp:simplePos x="0" y="0"/>
                      <wp:positionH relativeFrom="margin">
                        <wp:posOffset>3230880</wp:posOffset>
                      </wp:positionH>
                      <wp:positionV relativeFrom="paragraph">
                        <wp:posOffset>1283970</wp:posOffset>
                      </wp:positionV>
                      <wp:extent cx="571500" cy="29019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3ADB8986" w14:textId="77777777" w:rsidR="00E75DF9" w:rsidRPr="00F33DDA" w:rsidRDefault="00E75DF9" w:rsidP="00E75DF9">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1658" id="_x0000_s1035" type="#_x0000_t202" style="position:absolute;margin-left:254.4pt;margin-top:101.1pt;width:45pt;height:22.8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" filled="f" stroked="f">
                      <v:textbox>
                        <w:txbxContent>
                          <w:p w14:paraId="3ADB8986" w14:textId="77777777" w:rsidR="00E75DF9" w:rsidRPr="00F33DDA" w:rsidRDefault="00E75DF9" w:rsidP="00E75DF9">
                            <w:pPr>
                              <w:rPr>
                                <w:sz w:val="20"/>
                                <w:szCs w:val="20"/>
                              </w:rPr>
                            </w:pPr>
                            <w:r w:rsidRPr="00F33DDA">
                              <w:rPr>
                                <w:sz w:val="20"/>
                                <w:szCs w:val="20"/>
                              </w:rPr>
                              <w:t>Tyres</w:t>
                            </w:r>
                          </w:p>
                        </w:txbxContent>
                      </v:textbox>
                      <w10:wrap anchorx="margin"/>
                    </v:shape>
                  </w:pict>
                </mc:Fallback>
              </mc:AlternateContent>
            </w:r>
            <w:r w:rsidRPr="00E75DF9">
              <w:rPr>
                <w:noProof/>
              </w:rPr>
              <mc:AlternateContent>
                <mc:Choice Requires="wps">
                  <w:drawing>
                    <wp:anchor distT="45720" distB="45720" distL="114300" distR="114300" simplePos="0" relativeHeight="251702272" behindDoc="0" locked="0" layoutInCell="1" allowOverlap="1" wp14:anchorId="620EE5A3" wp14:editId="5F545C9F">
                      <wp:simplePos x="0" y="0"/>
                      <wp:positionH relativeFrom="page">
                        <wp:posOffset>3288665</wp:posOffset>
                      </wp:positionH>
                      <wp:positionV relativeFrom="paragraph">
                        <wp:posOffset>1118235</wp:posOffset>
                      </wp:positionV>
                      <wp:extent cx="742950" cy="261620"/>
                      <wp:effectExtent l="0" t="0" r="0" b="50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7C3D8156" w14:textId="77777777" w:rsidR="00E75DF9" w:rsidRPr="00F33DDA" w:rsidRDefault="00E75DF9" w:rsidP="00E75DF9">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EE5A3" id="_x0000_s1036" type="#_x0000_t202" style="position:absolute;margin-left:258.95pt;margin-top:88.05pt;width:58.5pt;height:20.6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" filled="f" stroked="f">
                      <v:textbox>
                        <w:txbxContent>
                          <w:p w14:paraId="7C3D8156" w14:textId="77777777" w:rsidR="00E75DF9" w:rsidRPr="00F33DDA" w:rsidRDefault="00E75DF9" w:rsidP="00E75DF9">
                            <w:pPr>
                              <w:rPr>
                                <w:sz w:val="20"/>
                                <w:szCs w:val="20"/>
                              </w:rPr>
                            </w:pPr>
                            <w:r w:rsidRPr="00F33DDA">
                              <w:rPr>
                                <w:sz w:val="20"/>
                                <w:szCs w:val="20"/>
                              </w:rPr>
                              <w:t>Plastics</w:t>
                            </w:r>
                          </w:p>
                        </w:txbxContent>
                      </v:textbox>
                      <w10:wrap anchorx="page"/>
                    </v:shape>
                  </w:pict>
                </mc:Fallback>
              </mc:AlternateContent>
            </w:r>
            <w:r w:rsidRPr="00E75DF9">
              <w:rPr>
                <w:noProof/>
              </w:rPr>
              <mc:AlternateContent>
                <mc:Choice Requires="wps">
                  <w:drawing>
                    <wp:anchor distT="45720" distB="45720" distL="114300" distR="114300" simplePos="0" relativeHeight="251706368" behindDoc="0" locked="0" layoutInCell="1" allowOverlap="1" wp14:anchorId="04818547" wp14:editId="06A1F3F3">
                      <wp:simplePos x="0" y="0"/>
                      <wp:positionH relativeFrom="page">
                        <wp:posOffset>3270250</wp:posOffset>
                      </wp:positionH>
                      <wp:positionV relativeFrom="paragraph">
                        <wp:posOffset>287020</wp:posOffset>
                      </wp:positionV>
                      <wp:extent cx="742950" cy="261620"/>
                      <wp:effectExtent l="0" t="0" r="0" b="50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60919C4B" w14:textId="77777777" w:rsidR="00E75DF9" w:rsidRPr="00F33DDA" w:rsidRDefault="00E75DF9" w:rsidP="00E75DF9">
                                  <w:pPr>
                                    <w:rPr>
                                      <w:sz w:val="20"/>
                                      <w:szCs w:val="20"/>
                                    </w:rPr>
                                  </w:pPr>
                                  <w:r>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18547" id="Text Box 56" o:spid="_x0000_s1037" type="#_x0000_t202" style="position:absolute;margin-left:257.5pt;margin-top:22.6pt;width:58.5pt;height:20.6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" filled="f" stroked="f">
                      <v:textbox>
                        <w:txbxContent>
                          <w:p w14:paraId="60919C4B" w14:textId="77777777" w:rsidR="00E75DF9" w:rsidRPr="00F33DDA" w:rsidRDefault="00E75DF9" w:rsidP="00E75DF9">
                            <w:pPr>
                              <w:rPr>
                                <w:sz w:val="20"/>
                                <w:szCs w:val="20"/>
                              </w:rPr>
                            </w:pPr>
                            <w:r>
                              <w:rPr>
                                <w:sz w:val="20"/>
                                <w:szCs w:val="20"/>
                              </w:rPr>
                              <w:t>Metals</w:t>
                            </w:r>
                          </w:p>
                        </w:txbxContent>
                      </v:textbox>
                      <w10:wrap anchorx="page"/>
                    </v:shape>
                  </w:pict>
                </mc:Fallback>
              </mc:AlternateContent>
            </w:r>
            <w:r w:rsidRPr="00E75DF9">
              <w:rPr>
                <w:noProof/>
              </w:rPr>
              <mc:AlternateContent>
                <mc:Choice Requires="wps">
                  <w:drawing>
                    <wp:anchor distT="45720" distB="45720" distL="114300" distR="114300" simplePos="0" relativeHeight="251703296" behindDoc="0" locked="0" layoutInCell="1" allowOverlap="1" wp14:anchorId="5C7B4DFE" wp14:editId="0E18710B">
                      <wp:simplePos x="0" y="0"/>
                      <wp:positionH relativeFrom="column">
                        <wp:posOffset>3218180</wp:posOffset>
                      </wp:positionH>
                      <wp:positionV relativeFrom="paragraph">
                        <wp:posOffset>559435</wp:posOffset>
                      </wp:positionV>
                      <wp:extent cx="847725" cy="23304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7DF57036" w14:textId="77777777" w:rsidR="00E75DF9" w:rsidRPr="00F33DDA" w:rsidRDefault="00E75DF9" w:rsidP="00E75DF9">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B4DFE" id="_x0000_s1038" type="#_x0000_t202" style="position:absolute;margin-left:253.4pt;margin-top:44.05pt;width:66.75pt;height:18.3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" filled="f" stroked="f">
                      <v:textbox>
                        <w:txbxContent>
                          <w:p w14:paraId="7DF57036" w14:textId="77777777" w:rsidR="00E75DF9" w:rsidRPr="00F33DDA" w:rsidRDefault="00E75DF9" w:rsidP="00E75DF9">
                            <w:pPr>
                              <w:rPr>
                                <w:sz w:val="20"/>
                                <w:szCs w:val="20"/>
                              </w:rPr>
                            </w:pPr>
                            <w:r w:rsidRPr="00F33DDA">
                              <w:rPr>
                                <w:sz w:val="20"/>
                                <w:szCs w:val="20"/>
                              </w:rPr>
                              <w:t>Textiles</w:t>
                            </w:r>
                          </w:p>
                        </w:txbxContent>
                      </v:textbox>
                    </v:shape>
                  </w:pict>
                </mc:Fallback>
              </mc:AlternateContent>
            </w:r>
            <w:r>
              <w:rPr>
                <w:noProof/>
              </w:rPr>
              <w:drawing>
                <wp:inline distT="0" distB="0" distL="0" distR="0" wp14:anchorId="2D9453A1" wp14:editId="4A781369">
                  <wp:extent cx="3333750" cy="2342607"/>
                  <wp:effectExtent l="0" t="0" r="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101" cy="2368853"/>
                          </a:xfrm>
                          <a:prstGeom prst="rect">
                            <a:avLst/>
                          </a:prstGeom>
                          <a:noFill/>
                        </pic:spPr>
                      </pic:pic>
                    </a:graphicData>
                  </a:graphic>
                </wp:inline>
              </w:drawing>
            </w:r>
          </w:p>
        </w:tc>
      </w:tr>
    </w:tbl>
    <w:p w14:paraId="30682A64" w14:textId="48B0E90F" w:rsidR="005519B7" w:rsidRPr="000F70AB" w:rsidRDefault="00D544A1" w:rsidP="000F70AB">
      <w:pPr>
        <w:pStyle w:val="Heading2nonumber"/>
        <w:spacing w:before="240" w:after="120"/>
        <w:rPr>
          <w:sz w:val="26"/>
        </w:rPr>
      </w:pPr>
      <w:r w:rsidRPr="000F70AB">
        <w:rPr>
          <w:sz w:val="26"/>
        </w:rPr>
        <w:t>June 2021 in focus</w:t>
      </w:r>
    </w:p>
    <w:p w14:paraId="45E9CC86" w14:textId="59D2E0B7" w:rsidR="00D544A1" w:rsidRDefault="00D544A1" w:rsidP="00F46CB5">
      <w:pPr>
        <w:pStyle w:val="BodyText"/>
      </w:pPr>
      <w:r>
        <w:t>In June 2021, Australia exported 419,000 tonnes of waste and recovered materials with a reported value of $3</w:t>
      </w:r>
      <w:r w:rsidR="009E5D2C">
        <w:t>6</w:t>
      </w:r>
      <w:r>
        <w:t>4 million. This was a decrease of 9% in tonnes and 7% in value compared to May 2021. Indonesia received 27%, the most of all recipients, followed by Vietnam (14%)</w:t>
      </w:r>
      <w:r w:rsidR="006F23B4">
        <w:t>.</w:t>
      </w:r>
      <w:r>
        <w:t xml:space="preserve"> </w:t>
      </w:r>
      <w:r w:rsidR="00492F23">
        <w:t>South</w:t>
      </w:r>
      <w:r>
        <w:t xml:space="preserve"> Korea</w:t>
      </w:r>
      <w:r w:rsidR="006F23B4">
        <w:t xml:space="preserve"> received </w:t>
      </w:r>
      <w:r>
        <w:t>11%</w:t>
      </w:r>
      <w:r w:rsidR="006F23B4">
        <w:t xml:space="preserve"> of total exports, </w:t>
      </w:r>
      <w:r w:rsidR="00580273">
        <w:t>attributable</w:t>
      </w:r>
      <w:r w:rsidR="006F23B4">
        <w:t xml:space="preserve"> to two large shipments of ferrous waste and scrap from ports in WA</w:t>
      </w:r>
      <w:r>
        <w:t xml:space="preserve">. </w:t>
      </w:r>
      <w:r w:rsidR="00727CB4">
        <w:t xml:space="preserve">Exports of hazardous waste, paper and cardboard and plastics </w:t>
      </w:r>
      <w:r w:rsidR="005B611F">
        <w:t xml:space="preserve">were </w:t>
      </w:r>
      <w:r w:rsidR="00580273">
        <w:t xml:space="preserve">higher than </w:t>
      </w:r>
      <w:r w:rsidR="005B611F">
        <w:t xml:space="preserve">May, while exports of all other waste types were down. </w:t>
      </w:r>
    </w:p>
    <w:p w14:paraId="0453B8B0" w14:textId="73990B6B" w:rsidR="00123B82" w:rsidRPr="000F70AB" w:rsidRDefault="00123B82" w:rsidP="000F70AB">
      <w:pPr>
        <w:pStyle w:val="Heading2nonumber"/>
        <w:spacing w:before="240" w:after="120"/>
        <w:rPr>
          <w:sz w:val="26"/>
        </w:rPr>
      </w:pPr>
      <w:r w:rsidRPr="000F70AB">
        <w:rPr>
          <w:sz w:val="26"/>
        </w:rPr>
        <w:t>Context – Australian waste exports compared with overall waste flows</w:t>
      </w:r>
    </w:p>
    <w:p w14:paraId="5157ED66" w14:textId="167DCB12" w:rsidR="00123B82" w:rsidRDefault="00123B82" w:rsidP="00F46CB5">
      <w:pPr>
        <w:pStyle w:val="BodyText"/>
      </w:pPr>
      <w:r>
        <w:t xml:space="preserve">The </w:t>
      </w:r>
      <w:r w:rsidRPr="008270A4">
        <w:rPr>
          <w:i/>
          <w:iCs/>
        </w:rPr>
        <w:t>National Waste Report 2020</w:t>
      </w:r>
      <w:r>
        <w:t xml:space="preserve"> found Australia generated 74 Mt of waste in 2018-19, sending 60% (43 Mt) to recycling</w:t>
      </w:r>
      <w:r w:rsidR="453DC421">
        <w:t>, 3% to energy recovery and the remainder to disposal</w:t>
      </w:r>
      <w:r w:rsidR="000E4832">
        <w:t xml:space="preserve"> fates, such as</w:t>
      </w:r>
      <w:r w:rsidR="453DC421">
        <w:t xml:space="preserve"> landfill or incineration</w:t>
      </w:r>
      <w:r>
        <w:t xml:space="preserve">. The 2020-21 exports total of 4.3 Mt of waste and recovered materials therefore represents about 10% of national recycling and 6% of national waste generation. </w:t>
      </w:r>
    </w:p>
    <w:p w14:paraId="71FEFE40" w14:textId="5DDBB861" w:rsidR="04FC2ABA" w:rsidRDefault="009F0A5C" w:rsidP="00F46CB5">
      <w:pPr>
        <w:pStyle w:val="BodyText"/>
      </w:pPr>
      <w:r>
        <w:fldChar w:fldCharType="begin"/>
      </w:r>
      <w:r>
        <w:instrText xml:space="preserve"> REF _Ref80544953 \h </w:instrText>
      </w:r>
      <w:r>
        <w:fldChar w:fldCharType="separate"/>
      </w:r>
      <w:r w:rsidR="00557024">
        <w:t xml:space="preserve">Table </w:t>
      </w:r>
      <w:r w:rsidR="00557024">
        <w:rPr>
          <w:noProof/>
        </w:rPr>
        <w:t>1</w:t>
      </w:r>
      <w:r>
        <w:fldChar w:fldCharType="end"/>
      </w:r>
      <w:r>
        <w:t xml:space="preserve"> </w:t>
      </w:r>
      <w:r w:rsidR="04FC2ABA">
        <w:t>compares quantities of recycling in Australia with exports of waste and recovere</w:t>
      </w:r>
      <w:r w:rsidR="2C02156B">
        <w:t>d</w:t>
      </w:r>
      <w:r w:rsidR="04FC2ABA">
        <w:t xml:space="preserve"> materials, no</w:t>
      </w:r>
      <w:r w:rsidR="4BBCA806">
        <w:t>ting that nearly all exports are destined for recycling or energy recovery. The hazardous and ‘other’ categories are combined because the propor</w:t>
      </w:r>
      <w:r w:rsidR="757CAA17">
        <w:t>ti</w:t>
      </w:r>
      <w:r w:rsidR="4BBCA806">
        <w:t>on</w:t>
      </w:r>
      <w:r w:rsidR="006F49D0">
        <w:t>s</w:t>
      </w:r>
      <w:r w:rsidR="4BBCA806">
        <w:t xml:space="preserve"> of both </w:t>
      </w:r>
      <w:r w:rsidR="006F49D0">
        <w:t>are</w:t>
      </w:r>
      <w:r w:rsidR="4BBCA806">
        <w:t xml:space="preserve"> low. </w:t>
      </w:r>
    </w:p>
    <w:p w14:paraId="6135289A" w14:textId="0E789C2D" w:rsidR="4BBCA806" w:rsidRDefault="4BBCA806" w:rsidP="00F46CB5">
      <w:pPr>
        <w:pStyle w:val="BodyText"/>
      </w:pPr>
      <w:r>
        <w:t xml:space="preserve">The table suggests that 2020-21 exports accounted for 68% of tyres, half of recovered metals and around a third of plastics and paper and cardboard. Nearly all other recovered </w:t>
      </w:r>
      <w:r w:rsidR="6F966412">
        <w:t xml:space="preserve">materials were recycled in Australia. These encompass a wide range of materials, but most of the tonnes were masonry materials, organic wastes and fly ash from coal-fired power stations. </w:t>
      </w:r>
    </w:p>
    <w:p w14:paraId="2099CA21" w14:textId="21F3B052" w:rsidR="00123B82" w:rsidRDefault="009F0A5C" w:rsidP="009F0A5C">
      <w:pPr>
        <w:pStyle w:val="Caption"/>
      </w:pPr>
      <w:bookmarkStart w:id="15" w:name="_Ref80544953"/>
      <w:r>
        <w:lastRenderedPageBreak/>
        <w:t xml:space="preserve">Table </w:t>
      </w:r>
      <w:fldSimple w:instr=" SEQ Table \* ARABIC ">
        <w:r w:rsidR="00557024">
          <w:rPr>
            <w:noProof/>
          </w:rPr>
          <w:t>1</w:t>
        </w:r>
      </w:fldSimple>
      <w:bookmarkEnd w:id="15"/>
      <w:r>
        <w:tab/>
      </w:r>
      <w:r w:rsidRPr="009F0A5C">
        <w:t>Data comparing Australian exports and overall recovery of wastes</w:t>
      </w:r>
    </w:p>
    <w:tbl>
      <w:tblPr>
        <w:tblStyle w:val="BE-table1"/>
        <w:tblW w:w="9634" w:type="dxa"/>
        <w:tblCellMar>
          <w:bottom w:w="28" w:type="dxa"/>
        </w:tblCellMar>
        <w:tblLook w:val="04A0" w:firstRow="1" w:lastRow="0" w:firstColumn="1" w:lastColumn="0" w:noHBand="0" w:noVBand="1"/>
      </w:tblPr>
      <w:tblGrid>
        <w:gridCol w:w="2100"/>
        <w:gridCol w:w="1723"/>
        <w:gridCol w:w="1559"/>
        <w:gridCol w:w="1417"/>
        <w:gridCol w:w="1418"/>
        <w:gridCol w:w="1417"/>
      </w:tblGrid>
      <w:tr w:rsidR="00001E44" w14:paraId="222968BE" w14:textId="77777777" w:rsidTr="003D4C6B">
        <w:trPr>
          <w:cnfStyle w:val="100000000000" w:firstRow="1" w:lastRow="0" w:firstColumn="0" w:lastColumn="0" w:oddVBand="0" w:evenVBand="0" w:oddHBand="0" w:evenHBand="0" w:firstRowFirstColumn="0" w:firstRowLastColumn="0" w:lastRowFirstColumn="0" w:lastRowLastColumn="0"/>
          <w:trHeight w:val="198"/>
        </w:trPr>
        <w:tc>
          <w:tcPr>
            <w:tcW w:w="2100" w:type="dxa"/>
            <w:vMerge w:val="restart"/>
            <w:tcBorders>
              <w:top w:val="single" w:sz="4" w:space="0" w:color="9494D4" w:themeColor="accent1" w:themeTint="99"/>
              <w:left w:val="single" w:sz="4" w:space="0" w:color="9494D4" w:themeColor="accent1" w:themeTint="99"/>
              <w:bottom w:val="single" w:sz="4" w:space="0" w:color="9494D4" w:themeColor="accent1" w:themeTint="99"/>
            </w:tcBorders>
            <w:shd w:val="clear" w:color="auto" w:fill="9494D4" w:themeFill="accent1" w:themeFillTint="99"/>
          </w:tcPr>
          <w:p w14:paraId="10AA5CAC" w14:textId="490DE7BE" w:rsidR="00001E44" w:rsidRDefault="00001E44" w:rsidP="009F0A5C">
            <w:pPr>
              <w:pStyle w:val="BodyText"/>
              <w:spacing w:after="0"/>
            </w:pPr>
            <w:r>
              <w:t>Waste trade group</w:t>
            </w:r>
          </w:p>
        </w:tc>
        <w:tc>
          <w:tcPr>
            <w:tcW w:w="1723" w:type="dxa"/>
            <w:vMerge w:val="restart"/>
            <w:tcBorders>
              <w:top w:val="single" w:sz="4" w:space="0" w:color="9494D4" w:themeColor="accent1" w:themeTint="99"/>
              <w:right w:val="single" w:sz="4" w:space="0" w:color="9494D4" w:themeColor="accent1" w:themeTint="99"/>
            </w:tcBorders>
            <w:shd w:val="clear" w:color="auto" w:fill="9494D4" w:themeFill="accent1" w:themeFillTint="99"/>
          </w:tcPr>
          <w:p w14:paraId="797F45C0" w14:textId="4D8FC5D7" w:rsidR="00001E44" w:rsidRPr="000E4832" w:rsidRDefault="00001E44" w:rsidP="009F0A5C">
            <w:pPr>
              <w:pStyle w:val="BodyText"/>
              <w:spacing w:after="0"/>
              <w:jc w:val="right"/>
            </w:pPr>
            <w:r w:rsidRPr="000E4832">
              <w:t>Generated in 2018-19 (kt)</w:t>
            </w:r>
          </w:p>
        </w:tc>
        <w:tc>
          <w:tcPr>
            <w:tcW w:w="1559" w:type="dxa"/>
            <w:vMerge w:val="restart"/>
            <w:tcBorders>
              <w:top w:val="single" w:sz="4" w:space="0" w:color="9494D4" w:themeColor="accent1" w:themeTint="99"/>
              <w:left w:val="single" w:sz="4" w:space="0" w:color="9494D4" w:themeColor="accent1" w:themeTint="99"/>
              <w:bottom w:val="single" w:sz="4" w:space="0" w:color="9494D4" w:themeColor="accent1" w:themeTint="99"/>
            </w:tcBorders>
            <w:shd w:val="clear" w:color="auto" w:fill="9494D4" w:themeFill="accent1" w:themeFillTint="99"/>
          </w:tcPr>
          <w:p w14:paraId="72B1F2FF" w14:textId="3CB7FD5A" w:rsidR="00001E44" w:rsidRDefault="00001E44" w:rsidP="009F0A5C">
            <w:pPr>
              <w:pStyle w:val="BodyText"/>
              <w:spacing w:after="0"/>
              <w:jc w:val="right"/>
            </w:pPr>
            <w:r>
              <w:t>Recovered in 2018-19 (kt)</w:t>
            </w:r>
          </w:p>
        </w:tc>
        <w:tc>
          <w:tcPr>
            <w:tcW w:w="4252" w:type="dxa"/>
            <w:gridSpan w:val="3"/>
            <w:tcBorders>
              <w:bottom w:val="nil"/>
            </w:tcBorders>
            <w:shd w:val="clear" w:color="auto" w:fill="9494D4" w:themeFill="accent1" w:themeFillTint="99"/>
          </w:tcPr>
          <w:p w14:paraId="5EEF6CAF" w14:textId="6C9F44E2" w:rsidR="00001E44" w:rsidRDefault="00001E44" w:rsidP="00001E44">
            <w:pPr>
              <w:pStyle w:val="BodyText"/>
              <w:spacing w:after="0"/>
              <w:jc w:val="center"/>
            </w:pPr>
            <w:r>
              <w:t>Exported in 2020-21</w:t>
            </w:r>
          </w:p>
        </w:tc>
      </w:tr>
      <w:tr w:rsidR="00001E44" w14:paraId="656EE744" w14:textId="77777777" w:rsidTr="003D4C6B">
        <w:trPr>
          <w:trHeight w:val="268"/>
        </w:trPr>
        <w:tc>
          <w:tcPr>
            <w:tcW w:w="2100" w:type="dxa"/>
            <w:vMerge/>
            <w:tcBorders>
              <w:top w:val="single" w:sz="4" w:space="0" w:color="9494D4" w:themeColor="accent1" w:themeTint="99"/>
              <w:left w:val="single" w:sz="4" w:space="0" w:color="9494D4" w:themeColor="accent1" w:themeTint="99"/>
              <w:bottom w:val="single" w:sz="4" w:space="0" w:color="9494D4" w:themeColor="accent1" w:themeTint="99"/>
              <w:right w:val="single" w:sz="4" w:space="0" w:color="B7B7E2" w:themeColor="accent1" w:themeTint="66"/>
            </w:tcBorders>
            <w:shd w:val="clear" w:color="auto" w:fill="9494D4" w:themeFill="accent1" w:themeFillTint="99"/>
          </w:tcPr>
          <w:p w14:paraId="2BF82290" w14:textId="77777777" w:rsidR="00001E44" w:rsidRDefault="00001E44" w:rsidP="00001E44">
            <w:pPr>
              <w:pStyle w:val="BodyText"/>
              <w:spacing w:after="0"/>
            </w:pPr>
          </w:p>
        </w:tc>
        <w:tc>
          <w:tcPr>
            <w:tcW w:w="1723" w:type="dxa"/>
            <w:vMerge/>
            <w:tcBorders>
              <w:top w:val="single" w:sz="4" w:space="0" w:color="9494D4" w:themeColor="accent1" w:themeTint="99"/>
              <w:left w:val="single" w:sz="4" w:space="0" w:color="B7B7E2" w:themeColor="accent1" w:themeTint="66"/>
              <w:bottom w:val="single" w:sz="4" w:space="0" w:color="9494D4" w:themeColor="accent1" w:themeTint="99"/>
              <w:right w:val="single" w:sz="4" w:space="0" w:color="9494D4" w:themeColor="accent1" w:themeTint="99"/>
            </w:tcBorders>
            <w:shd w:val="clear" w:color="auto" w:fill="9494D4" w:themeFill="accent1" w:themeFillTint="99"/>
            <w:vAlign w:val="bottom"/>
          </w:tcPr>
          <w:p w14:paraId="25D38A11" w14:textId="0701EA08" w:rsidR="00001E44" w:rsidRPr="000E4832" w:rsidRDefault="00001E44" w:rsidP="00001E44">
            <w:pPr>
              <w:pStyle w:val="BodyText"/>
              <w:spacing w:after="0"/>
              <w:jc w:val="right"/>
              <w:rPr>
                <w:b/>
                <w:bCs/>
                <w:color w:val="FFFFFF" w:themeColor="background1"/>
              </w:rPr>
            </w:pPr>
          </w:p>
        </w:tc>
        <w:tc>
          <w:tcPr>
            <w:tcW w:w="1559" w:type="dxa"/>
            <w:vMerge/>
            <w:tcBorders>
              <w:top w:val="single" w:sz="4" w:space="0" w:color="9494D4" w:themeColor="accent1" w:themeTint="99"/>
              <w:left w:val="single" w:sz="4" w:space="0" w:color="9494D4" w:themeColor="accent1" w:themeTint="99"/>
              <w:bottom w:val="single" w:sz="4" w:space="0" w:color="9494D4" w:themeColor="accent1" w:themeTint="99"/>
              <w:right w:val="single" w:sz="4" w:space="0" w:color="B7B7E2" w:themeColor="accent1" w:themeTint="66"/>
            </w:tcBorders>
            <w:shd w:val="clear" w:color="auto" w:fill="9494D4" w:themeFill="accent1" w:themeFillTint="99"/>
          </w:tcPr>
          <w:p w14:paraId="6952B9EA" w14:textId="7AF861F9" w:rsidR="00001E44" w:rsidRDefault="00001E44" w:rsidP="00001E44">
            <w:pPr>
              <w:pStyle w:val="BodyText"/>
              <w:spacing w:after="0"/>
              <w:jc w:val="right"/>
            </w:pPr>
          </w:p>
        </w:tc>
        <w:tc>
          <w:tcPr>
            <w:tcW w:w="1417" w:type="dxa"/>
            <w:tcBorders>
              <w:top w:val="nil"/>
              <w:left w:val="single" w:sz="4" w:space="0" w:color="B7B7E2" w:themeColor="accent1" w:themeTint="66"/>
              <w:bottom w:val="single" w:sz="4" w:space="0" w:color="B7B7E2" w:themeColor="accent1" w:themeTint="66"/>
              <w:right w:val="single" w:sz="4" w:space="0" w:color="9494D4" w:themeColor="accent1" w:themeTint="99"/>
            </w:tcBorders>
            <w:shd w:val="clear" w:color="auto" w:fill="9494D4" w:themeFill="accent1" w:themeFillTint="99"/>
            <w:vAlign w:val="bottom"/>
          </w:tcPr>
          <w:p w14:paraId="4F0D923B" w14:textId="14DE55E6" w:rsidR="00001E44" w:rsidRPr="009F0A5C" w:rsidRDefault="00001E44" w:rsidP="00001E44">
            <w:pPr>
              <w:pStyle w:val="BodyText"/>
              <w:spacing w:after="0"/>
              <w:jc w:val="right"/>
              <w:rPr>
                <w:b/>
                <w:bCs/>
                <w:color w:val="FFFFFF" w:themeColor="background1"/>
              </w:rPr>
            </w:pPr>
            <w:r w:rsidRPr="009F0A5C">
              <w:rPr>
                <w:b/>
                <w:bCs/>
                <w:color w:val="FFFFFF" w:themeColor="background1"/>
              </w:rPr>
              <w:t>(kt)</w:t>
            </w:r>
          </w:p>
        </w:tc>
        <w:tc>
          <w:tcPr>
            <w:tcW w:w="1418" w:type="dxa"/>
            <w:tcBorders>
              <w:top w:val="nil"/>
              <w:left w:val="single" w:sz="4" w:space="0" w:color="9494D4" w:themeColor="accent1" w:themeTint="99"/>
              <w:bottom w:val="single" w:sz="4" w:space="0" w:color="9494D4" w:themeColor="accent1" w:themeTint="99"/>
              <w:right w:val="single" w:sz="4" w:space="0" w:color="9494D4" w:themeColor="accent1" w:themeTint="99"/>
            </w:tcBorders>
            <w:shd w:val="clear" w:color="auto" w:fill="9494D4" w:themeFill="accent1" w:themeFillTint="99"/>
            <w:vAlign w:val="bottom"/>
          </w:tcPr>
          <w:p w14:paraId="56AFB940" w14:textId="39F85D6D" w:rsidR="00001E44" w:rsidRPr="009F0A5C" w:rsidRDefault="00001E44" w:rsidP="00001E44">
            <w:pPr>
              <w:pStyle w:val="BodyText"/>
              <w:spacing w:after="0"/>
              <w:jc w:val="right"/>
              <w:rPr>
                <w:b/>
                <w:bCs/>
                <w:color w:val="FFFFFF" w:themeColor="background1"/>
              </w:rPr>
            </w:pPr>
            <w:r w:rsidRPr="009F0A5C">
              <w:rPr>
                <w:b/>
                <w:bCs/>
                <w:color w:val="FFFFFF" w:themeColor="background1"/>
              </w:rPr>
              <w:t>($m value)</w:t>
            </w:r>
          </w:p>
        </w:tc>
        <w:tc>
          <w:tcPr>
            <w:tcW w:w="1417" w:type="dxa"/>
            <w:tcBorders>
              <w:top w:val="nil"/>
              <w:left w:val="single" w:sz="4" w:space="0" w:color="9494D4" w:themeColor="accent1" w:themeTint="99"/>
              <w:bottom w:val="single" w:sz="4" w:space="0" w:color="9494D4" w:themeColor="accent1" w:themeTint="99"/>
            </w:tcBorders>
            <w:shd w:val="clear" w:color="auto" w:fill="9494D4" w:themeFill="accent1" w:themeFillTint="99"/>
          </w:tcPr>
          <w:p w14:paraId="25B32A6A" w14:textId="6855C63F" w:rsidR="00001E44" w:rsidRPr="009F0A5C" w:rsidRDefault="00001E44" w:rsidP="00001E44">
            <w:pPr>
              <w:pStyle w:val="BodyText"/>
              <w:spacing w:after="0"/>
              <w:jc w:val="right"/>
              <w:rPr>
                <w:b/>
                <w:bCs/>
                <w:color w:val="FFFFFF" w:themeColor="background1"/>
              </w:rPr>
            </w:pPr>
            <w:r w:rsidRPr="009F0A5C">
              <w:rPr>
                <w:b/>
                <w:bCs/>
                <w:color w:val="FFFFFF" w:themeColor="background1"/>
              </w:rPr>
              <w:t>(% of 2018-19 recovery)</w:t>
            </w:r>
          </w:p>
        </w:tc>
      </w:tr>
      <w:tr w:rsidR="000E4832" w14:paraId="4DD99DCE" w14:textId="77777777" w:rsidTr="003D4C6B">
        <w:tc>
          <w:tcPr>
            <w:tcW w:w="2100" w:type="dxa"/>
            <w:tcBorders>
              <w:top w:val="single" w:sz="4" w:space="0" w:color="9494D4" w:themeColor="accent1" w:themeTint="99"/>
            </w:tcBorders>
          </w:tcPr>
          <w:p w14:paraId="29A3FB78" w14:textId="5165193F" w:rsidR="000E4832" w:rsidRDefault="000E4832" w:rsidP="009F0A5C">
            <w:pPr>
              <w:pStyle w:val="BodyText"/>
              <w:spacing w:after="0"/>
            </w:pPr>
            <w:r>
              <w:t>Glass</w:t>
            </w:r>
          </w:p>
        </w:tc>
        <w:tc>
          <w:tcPr>
            <w:tcW w:w="1723" w:type="dxa"/>
            <w:tcBorders>
              <w:top w:val="single" w:sz="4" w:space="0" w:color="9494D4" w:themeColor="accent1" w:themeTint="99"/>
            </w:tcBorders>
          </w:tcPr>
          <w:p w14:paraId="3805C135" w14:textId="35D0DEA7" w:rsidR="000E4832" w:rsidRDefault="00F24457" w:rsidP="009F0A5C">
            <w:pPr>
              <w:pStyle w:val="BodyText"/>
              <w:spacing w:after="0"/>
              <w:jc w:val="right"/>
            </w:pPr>
            <w:r>
              <w:t>1,160</w:t>
            </w:r>
          </w:p>
        </w:tc>
        <w:tc>
          <w:tcPr>
            <w:tcW w:w="1559" w:type="dxa"/>
            <w:tcBorders>
              <w:top w:val="single" w:sz="4" w:space="0" w:color="9494D4" w:themeColor="accent1" w:themeTint="99"/>
            </w:tcBorders>
          </w:tcPr>
          <w:p w14:paraId="12F2F826" w14:textId="2867FA9A" w:rsidR="000E4832" w:rsidRDefault="000E4832" w:rsidP="009F0A5C">
            <w:pPr>
              <w:pStyle w:val="BodyText"/>
              <w:spacing w:after="0"/>
              <w:jc w:val="right"/>
            </w:pPr>
            <w:r>
              <w:t>690</w:t>
            </w:r>
          </w:p>
        </w:tc>
        <w:tc>
          <w:tcPr>
            <w:tcW w:w="1417" w:type="dxa"/>
            <w:tcBorders>
              <w:top w:val="single" w:sz="4" w:space="0" w:color="B7B7E2" w:themeColor="accent1" w:themeTint="66"/>
            </w:tcBorders>
          </w:tcPr>
          <w:p w14:paraId="0E267D35" w14:textId="2A5D896D" w:rsidR="000E4832" w:rsidRDefault="000E4832" w:rsidP="009F0A5C">
            <w:pPr>
              <w:pStyle w:val="BodyText"/>
              <w:spacing w:after="0"/>
              <w:jc w:val="right"/>
            </w:pPr>
            <w:r>
              <w:t>0.4</w:t>
            </w:r>
          </w:p>
        </w:tc>
        <w:tc>
          <w:tcPr>
            <w:tcW w:w="1418" w:type="dxa"/>
            <w:tcBorders>
              <w:top w:val="single" w:sz="4" w:space="0" w:color="9494D4" w:themeColor="accent1" w:themeTint="99"/>
            </w:tcBorders>
          </w:tcPr>
          <w:p w14:paraId="759E24F4" w14:textId="2F60B709" w:rsidR="000E4832" w:rsidRDefault="000E4832" w:rsidP="009F0A5C">
            <w:pPr>
              <w:pStyle w:val="BodyText"/>
              <w:spacing w:after="0"/>
              <w:jc w:val="right"/>
            </w:pPr>
            <w:r>
              <w:t>$0.22</w:t>
            </w:r>
          </w:p>
        </w:tc>
        <w:tc>
          <w:tcPr>
            <w:tcW w:w="1417" w:type="dxa"/>
            <w:tcBorders>
              <w:top w:val="single" w:sz="4" w:space="0" w:color="9494D4" w:themeColor="accent1" w:themeTint="99"/>
            </w:tcBorders>
          </w:tcPr>
          <w:p w14:paraId="4EFCA884" w14:textId="4E939EDA" w:rsidR="000E4832" w:rsidRDefault="000E4832" w:rsidP="009F0A5C">
            <w:pPr>
              <w:pStyle w:val="BodyText"/>
              <w:spacing w:after="0"/>
              <w:jc w:val="right"/>
            </w:pPr>
            <w:r>
              <w:t>0.1%</w:t>
            </w:r>
          </w:p>
        </w:tc>
      </w:tr>
      <w:tr w:rsidR="000E4832" w14:paraId="434C7B6B" w14:textId="77777777" w:rsidTr="003D4C6B">
        <w:tc>
          <w:tcPr>
            <w:tcW w:w="2100" w:type="dxa"/>
          </w:tcPr>
          <w:p w14:paraId="66E4AC6F" w14:textId="33A5DF82" w:rsidR="000E4832" w:rsidRDefault="000E4832" w:rsidP="009F0A5C">
            <w:pPr>
              <w:pStyle w:val="BodyText"/>
              <w:spacing w:after="0"/>
            </w:pPr>
            <w:r>
              <w:t>Metals</w:t>
            </w:r>
          </w:p>
        </w:tc>
        <w:tc>
          <w:tcPr>
            <w:tcW w:w="1723" w:type="dxa"/>
          </w:tcPr>
          <w:p w14:paraId="60BFBCCE" w14:textId="7C616FBC" w:rsidR="000E4832" w:rsidRDefault="00F24457" w:rsidP="009F0A5C">
            <w:pPr>
              <w:pStyle w:val="BodyText"/>
              <w:spacing w:after="0"/>
              <w:jc w:val="right"/>
            </w:pPr>
            <w:r>
              <w:t>5,600</w:t>
            </w:r>
          </w:p>
        </w:tc>
        <w:tc>
          <w:tcPr>
            <w:tcW w:w="1559" w:type="dxa"/>
          </w:tcPr>
          <w:p w14:paraId="6DB8154F" w14:textId="2973F661" w:rsidR="000E4832" w:rsidRDefault="000E4832" w:rsidP="009F0A5C">
            <w:pPr>
              <w:pStyle w:val="BodyText"/>
              <w:spacing w:after="0"/>
              <w:jc w:val="right"/>
            </w:pPr>
            <w:r>
              <w:t>5,040</w:t>
            </w:r>
          </w:p>
        </w:tc>
        <w:tc>
          <w:tcPr>
            <w:tcW w:w="1417" w:type="dxa"/>
          </w:tcPr>
          <w:p w14:paraId="4A16629F" w14:textId="14388A79" w:rsidR="000E4832" w:rsidRDefault="000E4832" w:rsidP="009F0A5C">
            <w:pPr>
              <w:pStyle w:val="BodyText"/>
              <w:spacing w:after="0"/>
              <w:jc w:val="right"/>
            </w:pPr>
            <w:r>
              <w:t>2,500</w:t>
            </w:r>
          </w:p>
        </w:tc>
        <w:tc>
          <w:tcPr>
            <w:tcW w:w="1418" w:type="dxa"/>
          </w:tcPr>
          <w:p w14:paraId="57D24F64" w14:textId="68909898" w:rsidR="000E4832" w:rsidRDefault="000E4832" w:rsidP="009F0A5C">
            <w:pPr>
              <w:pStyle w:val="BodyText"/>
              <w:spacing w:after="0"/>
              <w:jc w:val="right"/>
            </w:pPr>
            <w:r>
              <w:t>$2,200</w:t>
            </w:r>
          </w:p>
        </w:tc>
        <w:tc>
          <w:tcPr>
            <w:tcW w:w="1417" w:type="dxa"/>
          </w:tcPr>
          <w:p w14:paraId="3A3CA32B" w14:textId="128996FC" w:rsidR="000E4832" w:rsidRDefault="000E4832" w:rsidP="009F0A5C">
            <w:pPr>
              <w:pStyle w:val="BodyText"/>
              <w:spacing w:after="0"/>
              <w:jc w:val="right"/>
            </w:pPr>
            <w:r>
              <w:t>49%</w:t>
            </w:r>
          </w:p>
        </w:tc>
      </w:tr>
      <w:tr w:rsidR="000E4832" w14:paraId="05FB1741" w14:textId="77777777" w:rsidTr="003D4C6B">
        <w:tc>
          <w:tcPr>
            <w:tcW w:w="2100" w:type="dxa"/>
          </w:tcPr>
          <w:p w14:paraId="682786B2" w14:textId="71F76C6D" w:rsidR="000E4832" w:rsidRDefault="000E4832" w:rsidP="009F0A5C">
            <w:pPr>
              <w:pStyle w:val="BodyText"/>
              <w:spacing w:after="0"/>
            </w:pPr>
            <w:r>
              <w:t>Other and hazardous</w:t>
            </w:r>
            <w:r w:rsidR="003D4C6B">
              <w:rPr>
                <w:rStyle w:val="FootnoteReference"/>
              </w:rPr>
              <w:footnoteReference w:id="10"/>
            </w:r>
          </w:p>
        </w:tc>
        <w:tc>
          <w:tcPr>
            <w:tcW w:w="1723" w:type="dxa"/>
          </w:tcPr>
          <w:p w14:paraId="564007FE" w14:textId="307F5520" w:rsidR="000E4832" w:rsidRDefault="00001E44" w:rsidP="009F0A5C">
            <w:pPr>
              <w:pStyle w:val="BodyText"/>
              <w:spacing w:after="0"/>
              <w:jc w:val="right"/>
            </w:pPr>
            <w:r>
              <w:t>50,230</w:t>
            </w:r>
          </w:p>
        </w:tc>
        <w:tc>
          <w:tcPr>
            <w:tcW w:w="1559" w:type="dxa"/>
          </w:tcPr>
          <w:p w14:paraId="4F6737CD" w14:textId="381C1570" w:rsidR="000E4832" w:rsidRDefault="000E4832" w:rsidP="009F0A5C">
            <w:pPr>
              <w:pStyle w:val="BodyText"/>
              <w:spacing w:after="0"/>
              <w:jc w:val="right"/>
            </w:pPr>
            <w:r>
              <w:t>3</w:t>
            </w:r>
            <w:r w:rsidR="008321CE">
              <w:t>5</w:t>
            </w:r>
            <w:r>
              <w:t>,</w:t>
            </w:r>
            <w:r w:rsidR="008321CE">
              <w:t>7</w:t>
            </w:r>
            <w:r>
              <w:t>00</w:t>
            </w:r>
          </w:p>
        </w:tc>
        <w:tc>
          <w:tcPr>
            <w:tcW w:w="1417" w:type="dxa"/>
          </w:tcPr>
          <w:p w14:paraId="45D484D8" w14:textId="73D2A1AE" w:rsidR="000E4832" w:rsidRDefault="000E4832" w:rsidP="009F0A5C">
            <w:pPr>
              <w:pStyle w:val="BodyText"/>
              <w:spacing w:after="0"/>
              <w:jc w:val="right"/>
            </w:pPr>
            <w:r>
              <w:t>390</w:t>
            </w:r>
          </w:p>
        </w:tc>
        <w:tc>
          <w:tcPr>
            <w:tcW w:w="1418" w:type="dxa"/>
          </w:tcPr>
          <w:p w14:paraId="04F9365A" w14:textId="3A962D43" w:rsidR="000E4832" w:rsidRDefault="000E4832" w:rsidP="009F0A5C">
            <w:pPr>
              <w:pStyle w:val="BodyText"/>
              <w:spacing w:after="0"/>
              <w:jc w:val="right"/>
            </w:pPr>
            <w:r>
              <w:t>$230</w:t>
            </w:r>
          </w:p>
        </w:tc>
        <w:tc>
          <w:tcPr>
            <w:tcW w:w="1417" w:type="dxa"/>
          </w:tcPr>
          <w:p w14:paraId="67A6D30A" w14:textId="37D682B2" w:rsidR="000E4832" w:rsidRDefault="000E4832" w:rsidP="009F0A5C">
            <w:pPr>
              <w:pStyle w:val="BodyText"/>
              <w:spacing w:after="0"/>
              <w:jc w:val="right"/>
            </w:pPr>
            <w:r>
              <w:t>1%</w:t>
            </w:r>
          </w:p>
        </w:tc>
      </w:tr>
      <w:tr w:rsidR="000E4832" w14:paraId="08ABAF56" w14:textId="77777777" w:rsidTr="003D4C6B">
        <w:tc>
          <w:tcPr>
            <w:tcW w:w="2100" w:type="dxa"/>
          </w:tcPr>
          <w:p w14:paraId="0CB7CC51" w14:textId="3878C509" w:rsidR="000E4832" w:rsidRDefault="000E4832" w:rsidP="009F0A5C">
            <w:pPr>
              <w:pStyle w:val="BodyText"/>
              <w:spacing w:after="0"/>
            </w:pPr>
            <w:r>
              <w:t>Paper and cardboard</w:t>
            </w:r>
          </w:p>
        </w:tc>
        <w:tc>
          <w:tcPr>
            <w:tcW w:w="1723" w:type="dxa"/>
          </w:tcPr>
          <w:p w14:paraId="30D0E787" w14:textId="5A0B5153" w:rsidR="000E4832" w:rsidRDefault="00F24457" w:rsidP="009F0A5C">
            <w:pPr>
              <w:pStyle w:val="BodyText"/>
              <w:spacing w:after="0"/>
              <w:jc w:val="right"/>
            </w:pPr>
            <w:r>
              <w:t>5,920</w:t>
            </w:r>
          </w:p>
        </w:tc>
        <w:tc>
          <w:tcPr>
            <w:tcW w:w="1559" w:type="dxa"/>
          </w:tcPr>
          <w:p w14:paraId="0225FFA5" w14:textId="7DC2AF6D" w:rsidR="000E4832" w:rsidRDefault="000E4832" w:rsidP="009F0A5C">
            <w:pPr>
              <w:pStyle w:val="BodyText"/>
              <w:spacing w:after="0"/>
              <w:jc w:val="right"/>
            </w:pPr>
            <w:r>
              <w:t>3,500</w:t>
            </w:r>
          </w:p>
        </w:tc>
        <w:tc>
          <w:tcPr>
            <w:tcW w:w="1417" w:type="dxa"/>
          </w:tcPr>
          <w:p w14:paraId="06CD039C" w14:textId="1D486339" w:rsidR="000E4832" w:rsidRDefault="000E4832" w:rsidP="009F0A5C">
            <w:pPr>
              <w:pStyle w:val="BodyText"/>
              <w:spacing w:after="0"/>
              <w:jc w:val="right"/>
            </w:pPr>
            <w:r>
              <w:t>1,000</w:t>
            </w:r>
          </w:p>
        </w:tc>
        <w:tc>
          <w:tcPr>
            <w:tcW w:w="1418" w:type="dxa"/>
          </w:tcPr>
          <w:p w14:paraId="021020AA" w14:textId="5DBE31EA" w:rsidR="000E4832" w:rsidRDefault="000E4832" w:rsidP="009F0A5C">
            <w:pPr>
              <w:pStyle w:val="BodyText"/>
              <w:spacing w:after="0"/>
              <w:jc w:val="right"/>
            </w:pPr>
            <w:r>
              <w:t>$210</w:t>
            </w:r>
          </w:p>
        </w:tc>
        <w:tc>
          <w:tcPr>
            <w:tcW w:w="1417" w:type="dxa"/>
          </w:tcPr>
          <w:p w14:paraId="3FC1CB93" w14:textId="3586ABF7" w:rsidR="000E4832" w:rsidRDefault="000E4832" w:rsidP="009F0A5C">
            <w:pPr>
              <w:pStyle w:val="BodyText"/>
              <w:spacing w:after="0"/>
              <w:jc w:val="right"/>
            </w:pPr>
            <w:r>
              <w:t>30%</w:t>
            </w:r>
          </w:p>
        </w:tc>
      </w:tr>
      <w:tr w:rsidR="000E4832" w14:paraId="2C1FBA0C" w14:textId="77777777" w:rsidTr="003D4C6B">
        <w:tc>
          <w:tcPr>
            <w:tcW w:w="2100" w:type="dxa"/>
          </w:tcPr>
          <w:p w14:paraId="3D722D2A" w14:textId="28308C03" w:rsidR="000E4832" w:rsidRDefault="000E4832" w:rsidP="009F0A5C">
            <w:pPr>
              <w:pStyle w:val="BodyText"/>
              <w:spacing w:after="0"/>
            </w:pPr>
            <w:r>
              <w:t>Plastics</w:t>
            </w:r>
          </w:p>
        </w:tc>
        <w:tc>
          <w:tcPr>
            <w:tcW w:w="1723" w:type="dxa"/>
          </w:tcPr>
          <w:p w14:paraId="56972C31" w14:textId="740E1353" w:rsidR="000E4832" w:rsidRDefault="00F24457" w:rsidP="009F0A5C">
            <w:pPr>
              <w:pStyle w:val="BodyText"/>
              <w:spacing w:after="0"/>
              <w:jc w:val="right"/>
            </w:pPr>
            <w:r>
              <w:t>2,540</w:t>
            </w:r>
          </w:p>
        </w:tc>
        <w:tc>
          <w:tcPr>
            <w:tcW w:w="1559" w:type="dxa"/>
          </w:tcPr>
          <w:p w14:paraId="603B8391" w14:textId="21946FF1" w:rsidR="000E4832" w:rsidRDefault="000E4832" w:rsidP="009F0A5C">
            <w:pPr>
              <w:pStyle w:val="BodyText"/>
              <w:spacing w:after="0"/>
              <w:jc w:val="right"/>
            </w:pPr>
            <w:r>
              <w:t>330</w:t>
            </w:r>
          </w:p>
        </w:tc>
        <w:tc>
          <w:tcPr>
            <w:tcW w:w="1417" w:type="dxa"/>
          </w:tcPr>
          <w:p w14:paraId="66332D50" w14:textId="764DEC36" w:rsidR="000E4832" w:rsidRDefault="000E4832" w:rsidP="009F0A5C">
            <w:pPr>
              <w:pStyle w:val="BodyText"/>
              <w:spacing w:after="0"/>
              <w:jc w:val="right"/>
            </w:pPr>
            <w:r>
              <w:t>130</w:t>
            </w:r>
          </w:p>
        </w:tc>
        <w:tc>
          <w:tcPr>
            <w:tcW w:w="1418" w:type="dxa"/>
          </w:tcPr>
          <w:p w14:paraId="545E3585" w14:textId="5AF9786A" w:rsidR="000E4832" w:rsidRDefault="000E4832" w:rsidP="009F0A5C">
            <w:pPr>
              <w:pStyle w:val="BodyText"/>
              <w:spacing w:after="0"/>
              <w:jc w:val="right"/>
            </w:pPr>
            <w:r>
              <w:t>$40.4</w:t>
            </w:r>
          </w:p>
        </w:tc>
        <w:tc>
          <w:tcPr>
            <w:tcW w:w="1417" w:type="dxa"/>
          </w:tcPr>
          <w:p w14:paraId="3D3818E4" w14:textId="57F98E44" w:rsidR="000E4832" w:rsidRDefault="000E4832" w:rsidP="009F0A5C">
            <w:pPr>
              <w:pStyle w:val="BodyText"/>
              <w:spacing w:after="0"/>
              <w:jc w:val="right"/>
            </w:pPr>
            <w:r>
              <w:t>38%</w:t>
            </w:r>
          </w:p>
        </w:tc>
      </w:tr>
      <w:tr w:rsidR="000E4832" w14:paraId="5259A10D" w14:textId="77777777" w:rsidTr="003D4C6B">
        <w:tc>
          <w:tcPr>
            <w:tcW w:w="2100" w:type="dxa"/>
          </w:tcPr>
          <w:p w14:paraId="7A095E09" w14:textId="6FACBF2E" w:rsidR="000E4832" w:rsidRDefault="000E4832" w:rsidP="009F0A5C">
            <w:pPr>
              <w:pStyle w:val="BodyText"/>
              <w:spacing w:after="0"/>
            </w:pPr>
            <w:r>
              <w:t>Tyres</w:t>
            </w:r>
          </w:p>
        </w:tc>
        <w:tc>
          <w:tcPr>
            <w:tcW w:w="1723" w:type="dxa"/>
          </w:tcPr>
          <w:p w14:paraId="20134819" w14:textId="7F6A8C3C" w:rsidR="000E4832" w:rsidRDefault="00F24457" w:rsidP="009F0A5C">
            <w:pPr>
              <w:pStyle w:val="BodyText"/>
              <w:spacing w:after="0"/>
              <w:jc w:val="right"/>
            </w:pPr>
            <w:r>
              <w:t>449</w:t>
            </w:r>
          </w:p>
        </w:tc>
        <w:tc>
          <w:tcPr>
            <w:tcW w:w="1559" w:type="dxa"/>
          </w:tcPr>
          <w:p w14:paraId="546977AE" w14:textId="08898DD8" w:rsidR="000E4832" w:rsidRDefault="000E4832" w:rsidP="009F0A5C">
            <w:pPr>
              <w:pStyle w:val="BodyText"/>
              <w:spacing w:after="0"/>
              <w:jc w:val="right"/>
            </w:pPr>
            <w:r>
              <w:t>160</w:t>
            </w:r>
          </w:p>
        </w:tc>
        <w:tc>
          <w:tcPr>
            <w:tcW w:w="1417" w:type="dxa"/>
          </w:tcPr>
          <w:p w14:paraId="6D212427" w14:textId="0591197F" w:rsidR="000E4832" w:rsidRDefault="000E4832" w:rsidP="009F0A5C">
            <w:pPr>
              <w:pStyle w:val="BodyText"/>
              <w:spacing w:after="0"/>
              <w:jc w:val="right"/>
            </w:pPr>
            <w:r>
              <w:t>100</w:t>
            </w:r>
          </w:p>
        </w:tc>
        <w:tc>
          <w:tcPr>
            <w:tcW w:w="1418" w:type="dxa"/>
          </w:tcPr>
          <w:p w14:paraId="2B74D31F" w14:textId="1D22D756" w:rsidR="000E4832" w:rsidRDefault="000E4832" w:rsidP="009F0A5C">
            <w:pPr>
              <w:pStyle w:val="BodyText"/>
              <w:spacing w:after="0"/>
              <w:jc w:val="right"/>
            </w:pPr>
            <w:r>
              <w:t>$19.8</w:t>
            </w:r>
          </w:p>
        </w:tc>
        <w:tc>
          <w:tcPr>
            <w:tcW w:w="1417" w:type="dxa"/>
          </w:tcPr>
          <w:p w14:paraId="3BD415EB" w14:textId="4C9F7570" w:rsidR="000E4832" w:rsidRDefault="000E4832" w:rsidP="009F0A5C">
            <w:pPr>
              <w:pStyle w:val="BodyText"/>
              <w:spacing w:after="0"/>
              <w:jc w:val="right"/>
            </w:pPr>
            <w:r>
              <w:t>65%</w:t>
            </w:r>
          </w:p>
        </w:tc>
      </w:tr>
    </w:tbl>
    <w:p w14:paraId="5515DE6D" w14:textId="77777777" w:rsidR="00567869" w:rsidRPr="000F70AB" w:rsidRDefault="00567869" w:rsidP="000F70AB">
      <w:pPr>
        <w:pStyle w:val="Heading2nonumber"/>
        <w:spacing w:before="240" w:after="120"/>
        <w:rPr>
          <w:sz w:val="26"/>
        </w:rPr>
      </w:pPr>
      <w:r w:rsidRPr="000F70AB">
        <w:rPr>
          <w:sz w:val="26"/>
        </w:rPr>
        <w:t>Australian waste export ban</w:t>
      </w:r>
    </w:p>
    <w:p w14:paraId="4302D97C" w14:textId="72E9C358" w:rsidR="00567869" w:rsidRDefault="00567869" w:rsidP="00F46CB5">
      <w:pPr>
        <w:pStyle w:val="BodyText"/>
      </w:pPr>
      <w:r w:rsidRPr="00773ED4">
        <w:t xml:space="preserve">A March 2020 meeting of the </w:t>
      </w:r>
      <w:r>
        <w:t xml:space="preserve">then </w:t>
      </w:r>
      <w:r w:rsidRPr="00773ED4">
        <w:t xml:space="preserve">Council of Australian Governments agreed to a </w:t>
      </w:r>
      <w:r>
        <w:t>timetable</w:t>
      </w:r>
      <w:r w:rsidRPr="00773ED4">
        <w:t xml:space="preserve"> for implementing bans on exporting waste glass, paper, plastics, and tyres not processed into a value-added material. The relevant materials, dates and main export codes are shown in </w:t>
      </w:r>
      <w:r>
        <w:fldChar w:fldCharType="begin"/>
      </w:r>
      <w:r>
        <w:instrText xml:space="preserve"> REF _Ref25932917 \h </w:instrText>
      </w:r>
      <w:r>
        <w:fldChar w:fldCharType="separate"/>
      </w:r>
      <w:r w:rsidR="00557024" w:rsidRPr="0062039F">
        <w:rPr>
          <w:szCs w:val="20"/>
        </w:rPr>
        <w:t xml:space="preserve">Table </w:t>
      </w:r>
      <w:r w:rsidR="00557024">
        <w:rPr>
          <w:noProof/>
          <w:szCs w:val="20"/>
        </w:rPr>
        <w:t>2</w:t>
      </w:r>
      <w:r>
        <w:fldChar w:fldCharType="end"/>
      </w:r>
      <w:r>
        <w:t xml:space="preserve">. </w:t>
      </w:r>
    </w:p>
    <w:p w14:paraId="15B4333F" w14:textId="1AF0193D" w:rsidR="004E264F" w:rsidRDefault="004E264F" w:rsidP="00567869">
      <w:pPr>
        <w:spacing w:after="120"/>
      </w:pPr>
      <w:bookmarkStart w:id="16" w:name="_Hlk74244875"/>
      <w:r>
        <w:t>The ban on unprocessed glass came into effect in January, at which time new codes were introduced for processed glass waste that was suitable for export.</w:t>
      </w:r>
      <w:r w:rsidR="0062039F">
        <w:t xml:space="preserve"> </w:t>
      </w:r>
      <w:r w:rsidR="00FA1E4D">
        <w:t>Since then, only s</w:t>
      </w:r>
      <w:r w:rsidR="0062039F">
        <w:t>mall amounts</w:t>
      </w:r>
      <w:r w:rsidR="00FA1E4D">
        <w:t xml:space="preserve"> of this approved glass</w:t>
      </w:r>
      <w:r w:rsidR="0062039F">
        <w:t xml:space="preserve"> have been exported.</w:t>
      </w:r>
      <w:r>
        <w:t xml:space="preserve"> </w:t>
      </w:r>
    </w:p>
    <w:p w14:paraId="3963D1BD" w14:textId="4E2D4163" w:rsidR="00567869" w:rsidRPr="0062039F" w:rsidRDefault="00567869" w:rsidP="00817035">
      <w:pPr>
        <w:pStyle w:val="Notes"/>
        <w:rPr>
          <w:sz w:val="22"/>
          <w:szCs w:val="20"/>
        </w:rPr>
      </w:pPr>
      <w:bookmarkStart w:id="17" w:name="_Ref25932917"/>
      <w:bookmarkEnd w:id="16"/>
      <w:r w:rsidRPr="0062039F">
        <w:rPr>
          <w:sz w:val="22"/>
          <w:szCs w:val="20"/>
        </w:rPr>
        <w:t xml:space="preserve">Table </w:t>
      </w:r>
      <w:r w:rsidR="002610FB" w:rsidRPr="0062039F">
        <w:rPr>
          <w:sz w:val="22"/>
          <w:szCs w:val="20"/>
        </w:rPr>
        <w:fldChar w:fldCharType="begin"/>
      </w:r>
      <w:r w:rsidR="002610FB" w:rsidRPr="0062039F">
        <w:rPr>
          <w:sz w:val="22"/>
          <w:szCs w:val="20"/>
        </w:rPr>
        <w:instrText xml:space="preserve"> SEQ Table \* ARABIC </w:instrText>
      </w:r>
      <w:r w:rsidR="002610FB" w:rsidRPr="0062039F">
        <w:rPr>
          <w:sz w:val="22"/>
          <w:szCs w:val="20"/>
        </w:rPr>
        <w:fldChar w:fldCharType="separate"/>
      </w:r>
      <w:r w:rsidR="00557024">
        <w:rPr>
          <w:noProof/>
          <w:sz w:val="22"/>
          <w:szCs w:val="20"/>
        </w:rPr>
        <w:t>2</w:t>
      </w:r>
      <w:r w:rsidR="002610FB" w:rsidRPr="0062039F">
        <w:rPr>
          <w:noProof/>
          <w:sz w:val="22"/>
          <w:szCs w:val="20"/>
        </w:rPr>
        <w:fldChar w:fldCharType="end"/>
      </w:r>
      <w:bookmarkEnd w:id="17"/>
      <w:r w:rsidRPr="0062039F">
        <w:rPr>
          <w:sz w:val="22"/>
          <w:szCs w:val="20"/>
        </w:rPr>
        <w:tab/>
        <w:t>Material types facing export bans</w:t>
      </w:r>
    </w:p>
    <w:tbl>
      <w:tblPr>
        <w:tblStyle w:val="BE-table1"/>
        <w:tblW w:w="9741" w:type="dxa"/>
        <w:tblCellMar>
          <w:top w:w="17" w:type="dxa"/>
          <w:bottom w:w="17" w:type="dxa"/>
        </w:tblCellMar>
        <w:tblLook w:val="04A0" w:firstRow="1" w:lastRow="0" w:firstColumn="1" w:lastColumn="0" w:noHBand="0" w:noVBand="1"/>
      </w:tblPr>
      <w:tblGrid>
        <w:gridCol w:w="1271"/>
        <w:gridCol w:w="815"/>
        <w:gridCol w:w="1057"/>
        <w:gridCol w:w="3620"/>
        <w:gridCol w:w="970"/>
        <w:gridCol w:w="773"/>
        <w:gridCol w:w="1235"/>
      </w:tblGrid>
      <w:tr w:rsidR="00567869" w14:paraId="18BAEC1C" w14:textId="77777777" w:rsidTr="004E264F">
        <w:trPr>
          <w:cnfStyle w:val="100000000000" w:firstRow="1" w:lastRow="0" w:firstColumn="0" w:lastColumn="0" w:oddVBand="0" w:evenVBand="0" w:oddHBand="0" w:evenHBand="0" w:firstRowFirstColumn="0" w:firstRowLastColumn="0" w:lastRowFirstColumn="0" w:lastRowLastColumn="0"/>
          <w:tblHeader/>
        </w:trPr>
        <w:tc>
          <w:tcPr>
            <w:tcW w:w="1271" w:type="dxa"/>
            <w:tcBorders>
              <w:right w:val="nil"/>
            </w:tcBorders>
            <w:shd w:val="clear" w:color="auto" w:fill="9494D4" w:themeFill="accent1" w:themeFillTint="99"/>
            <w:tcMar>
              <w:left w:w="57" w:type="dxa"/>
              <w:right w:w="57" w:type="dxa"/>
            </w:tcMar>
          </w:tcPr>
          <w:p w14:paraId="45720D10" w14:textId="77777777" w:rsidR="00567869" w:rsidRDefault="00567869" w:rsidP="0062039F">
            <w:pPr>
              <w:pStyle w:val="BodyText"/>
              <w:spacing w:after="0"/>
            </w:pPr>
            <w:r>
              <w:t>Material</w:t>
            </w:r>
          </w:p>
        </w:tc>
        <w:tc>
          <w:tcPr>
            <w:tcW w:w="815" w:type="dxa"/>
            <w:tcBorders>
              <w:left w:val="nil"/>
              <w:right w:val="nil"/>
            </w:tcBorders>
            <w:shd w:val="clear" w:color="auto" w:fill="9494D4" w:themeFill="accent1" w:themeFillTint="99"/>
            <w:tcMar>
              <w:left w:w="57" w:type="dxa"/>
              <w:right w:w="57" w:type="dxa"/>
            </w:tcMar>
          </w:tcPr>
          <w:p w14:paraId="436BEAA4" w14:textId="77777777" w:rsidR="00567869" w:rsidRDefault="00567869" w:rsidP="0062039F">
            <w:pPr>
              <w:pStyle w:val="BodyText"/>
              <w:spacing w:after="0"/>
            </w:pPr>
            <w:r>
              <w:t>Ban date</w:t>
            </w:r>
          </w:p>
        </w:tc>
        <w:tc>
          <w:tcPr>
            <w:tcW w:w="1057" w:type="dxa"/>
            <w:tcBorders>
              <w:left w:val="nil"/>
              <w:right w:val="nil"/>
            </w:tcBorders>
            <w:shd w:val="clear" w:color="auto" w:fill="9494D4" w:themeFill="accent1" w:themeFillTint="99"/>
            <w:tcMar>
              <w:left w:w="57" w:type="dxa"/>
              <w:right w:w="57" w:type="dxa"/>
            </w:tcMar>
          </w:tcPr>
          <w:p w14:paraId="1E156887" w14:textId="77777777" w:rsidR="00567869" w:rsidRDefault="00567869" w:rsidP="0062039F">
            <w:pPr>
              <w:pStyle w:val="BodyText"/>
              <w:spacing w:after="0"/>
            </w:pPr>
            <w:r>
              <w:t>AHECC</w:t>
            </w:r>
            <w:r>
              <w:rPr>
                <w:rStyle w:val="FootnoteReference"/>
              </w:rPr>
              <w:footnoteReference w:id="11"/>
            </w:r>
            <w:r>
              <w:t xml:space="preserve"> code</w:t>
            </w:r>
          </w:p>
        </w:tc>
        <w:tc>
          <w:tcPr>
            <w:tcW w:w="3620" w:type="dxa"/>
            <w:tcBorders>
              <w:left w:val="nil"/>
              <w:right w:val="nil"/>
            </w:tcBorders>
            <w:shd w:val="clear" w:color="auto" w:fill="9494D4" w:themeFill="accent1" w:themeFillTint="99"/>
            <w:tcMar>
              <w:left w:w="57" w:type="dxa"/>
              <w:right w:w="57" w:type="dxa"/>
            </w:tcMar>
          </w:tcPr>
          <w:p w14:paraId="3657B971" w14:textId="77777777" w:rsidR="00567869" w:rsidRDefault="00567869" w:rsidP="0062039F">
            <w:pPr>
              <w:pStyle w:val="BodyText"/>
              <w:spacing w:after="0"/>
            </w:pPr>
            <w:r>
              <w:t>AHECC description</w:t>
            </w:r>
          </w:p>
        </w:tc>
        <w:tc>
          <w:tcPr>
            <w:tcW w:w="1743" w:type="dxa"/>
            <w:gridSpan w:val="2"/>
            <w:tcBorders>
              <w:left w:val="nil"/>
              <w:right w:val="nil"/>
            </w:tcBorders>
            <w:shd w:val="clear" w:color="auto" w:fill="9494D4" w:themeFill="accent1" w:themeFillTint="99"/>
            <w:tcMar>
              <w:left w:w="57" w:type="dxa"/>
              <w:right w:w="57" w:type="dxa"/>
            </w:tcMar>
            <w:vAlign w:val="center"/>
          </w:tcPr>
          <w:p w14:paraId="5E71F8F1" w14:textId="5F395950" w:rsidR="00567869" w:rsidRDefault="00123B82" w:rsidP="0062039F">
            <w:pPr>
              <w:pStyle w:val="BodyText"/>
              <w:spacing w:after="0"/>
            </w:pPr>
            <w:r>
              <w:t>2020-</w:t>
            </w:r>
            <w:r w:rsidR="00567869">
              <w:t xml:space="preserve"> 21 exports in this code (rounded tonnes)</w:t>
            </w:r>
          </w:p>
        </w:tc>
        <w:tc>
          <w:tcPr>
            <w:tcW w:w="1235" w:type="dxa"/>
            <w:tcBorders>
              <w:left w:val="nil"/>
            </w:tcBorders>
            <w:shd w:val="clear" w:color="auto" w:fill="9494D4" w:themeFill="accent1" w:themeFillTint="99"/>
            <w:tcMar>
              <w:left w:w="57" w:type="dxa"/>
              <w:right w:w="57" w:type="dxa"/>
            </w:tcMar>
          </w:tcPr>
          <w:p w14:paraId="55682E09" w14:textId="77777777" w:rsidR="00567869" w:rsidRDefault="00567869" w:rsidP="0062039F">
            <w:pPr>
              <w:pStyle w:val="BodyText"/>
              <w:spacing w:after="0"/>
            </w:pPr>
            <w:r>
              <w:t>Estimated % of tonnes to be banned</w:t>
            </w:r>
            <w:r>
              <w:rPr>
                <w:rStyle w:val="FootnoteReference"/>
              </w:rPr>
              <w:footnoteReference w:id="12"/>
            </w:r>
          </w:p>
        </w:tc>
      </w:tr>
      <w:tr w:rsidR="0062039F" w14:paraId="6B8F9D50" w14:textId="77777777" w:rsidTr="0062039F">
        <w:trPr>
          <w:trHeight w:val="445"/>
        </w:trPr>
        <w:tc>
          <w:tcPr>
            <w:tcW w:w="1271" w:type="dxa"/>
            <w:vMerge w:val="restart"/>
            <w:tcBorders>
              <w:right w:val="single" w:sz="4" w:space="0" w:color="B7B7E2" w:themeColor="accent1" w:themeTint="66"/>
            </w:tcBorders>
            <w:tcMar>
              <w:left w:w="57" w:type="dxa"/>
              <w:right w:w="57" w:type="dxa"/>
            </w:tcMar>
            <w:vAlign w:val="center"/>
          </w:tcPr>
          <w:p w14:paraId="1A405AFC" w14:textId="34E7DAB5" w:rsidR="0062039F" w:rsidRDefault="0062039F" w:rsidP="0062039F">
            <w:pPr>
              <w:pStyle w:val="BodyText"/>
              <w:spacing w:after="0"/>
            </w:pPr>
            <w:r>
              <w:t xml:space="preserve">Glass (unprocessed) </w:t>
            </w:r>
          </w:p>
        </w:tc>
        <w:tc>
          <w:tcPr>
            <w:tcW w:w="815" w:type="dxa"/>
            <w:vMerge w:val="restart"/>
            <w:tcBorders>
              <w:left w:val="single" w:sz="4" w:space="0" w:color="B7B7E2" w:themeColor="accent1" w:themeTint="66"/>
            </w:tcBorders>
            <w:tcMar>
              <w:left w:w="57" w:type="dxa"/>
              <w:right w:w="57" w:type="dxa"/>
            </w:tcMar>
            <w:vAlign w:val="center"/>
          </w:tcPr>
          <w:p w14:paraId="31EF2AD2" w14:textId="2DF49E66" w:rsidR="0062039F" w:rsidRDefault="0062039F" w:rsidP="0062039F">
            <w:pPr>
              <w:pStyle w:val="BodyText"/>
              <w:spacing w:after="0"/>
            </w:pPr>
            <w:r>
              <w:t>Jan 2021</w:t>
            </w:r>
          </w:p>
        </w:tc>
        <w:tc>
          <w:tcPr>
            <w:tcW w:w="1057" w:type="dxa"/>
            <w:tcBorders>
              <w:bottom w:val="nil"/>
            </w:tcBorders>
            <w:tcMar>
              <w:left w:w="57" w:type="dxa"/>
              <w:right w:w="57" w:type="dxa"/>
            </w:tcMar>
            <w:vAlign w:val="center"/>
          </w:tcPr>
          <w:p w14:paraId="3F4A99C0" w14:textId="2A0FD27C" w:rsidR="0062039F" w:rsidRDefault="0062039F" w:rsidP="0062039F">
            <w:pPr>
              <w:pStyle w:val="BodyText"/>
              <w:spacing w:after="0"/>
            </w:pPr>
            <w:r>
              <w:t>70010000 (pre ban)</w:t>
            </w:r>
          </w:p>
        </w:tc>
        <w:tc>
          <w:tcPr>
            <w:tcW w:w="4590" w:type="dxa"/>
            <w:gridSpan w:val="2"/>
            <w:tcBorders>
              <w:bottom w:val="nil"/>
            </w:tcBorders>
            <w:tcMar>
              <w:left w:w="57" w:type="dxa"/>
              <w:right w:w="57" w:type="dxa"/>
            </w:tcMar>
            <w:vAlign w:val="center"/>
          </w:tcPr>
          <w:p w14:paraId="2BF91DF6" w14:textId="7EA6AD52" w:rsidR="0062039F" w:rsidRDefault="0062039F" w:rsidP="0062039F">
            <w:pPr>
              <w:pStyle w:val="BodyText"/>
              <w:spacing w:after="0"/>
            </w:pPr>
            <w:r>
              <w:t>Cullet and other waste and scrap of glass; glass in the mass</w:t>
            </w:r>
          </w:p>
        </w:tc>
        <w:tc>
          <w:tcPr>
            <w:tcW w:w="773" w:type="dxa"/>
            <w:vMerge w:val="restart"/>
            <w:shd w:val="clear" w:color="auto" w:fill="auto"/>
            <w:tcMar>
              <w:left w:w="57" w:type="dxa"/>
              <w:right w:w="57" w:type="dxa"/>
            </w:tcMar>
            <w:vAlign w:val="center"/>
          </w:tcPr>
          <w:p w14:paraId="0EFF3D96" w14:textId="3753B48E" w:rsidR="0062039F" w:rsidRDefault="0062039F" w:rsidP="0062039F">
            <w:pPr>
              <w:pStyle w:val="BodyText"/>
              <w:spacing w:after="0"/>
              <w:jc w:val="right"/>
            </w:pPr>
            <w:r>
              <w:t>300</w:t>
            </w:r>
          </w:p>
        </w:tc>
        <w:tc>
          <w:tcPr>
            <w:tcW w:w="1235" w:type="dxa"/>
            <w:vMerge w:val="restart"/>
            <w:tcMar>
              <w:left w:w="57" w:type="dxa"/>
              <w:right w:w="57" w:type="dxa"/>
            </w:tcMar>
            <w:vAlign w:val="center"/>
          </w:tcPr>
          <w:p w14:paraId="70EA6773" w14:textId="4560B24E" w:rsidR="0062039F" w:rsidRDefault="0062039F" w:rsidP="0062039F">
            <w:pPr>
              <w:pStyle w:val="BodyText"/>
              <w:spacing w:after="0"/>
              <w:jc w:val="center"/>
            </w:pPr>
            <w:r>
              <w:t>Ban in effect</w:t>
            </w:r>
          </w:p>
        </w:tc>
      </w:tr>
      <w:tr w:rsidR="0062039F" w14:paraId="53A7F5A0" w14:textId="77777777" w:rsidTr="0062039F">
        <w:trPr>
          <w:trHeight w:val="445"/>
        </w:trPr>
        <w:tc>
          <w:tcPr>
            <w:tcW w:w="1271" w:type="dxa"/>
            <w:vMerge/>
            <w:tcBorders>
              <w:right w:val="single" w:sz="4" w:space="0" w:color="B7B7E2" w:themeColor="accent1" w:themeTint="66"/>
            </w:tcBorders>
            <w:tcMar>
              <w:left w:w="57" w:type="dxa"/>
              <w:right w:w="57" w:type="dxa"/>
            </w:tcMar>
            <w:vAlign w:val="center"/>
          </w:tcPr>
          <w:p w14:paraId="5600A3AB" w14:textId="684B8986" w:rsidR="0062039F" w:rsidRDefault="0062039F" w:rsidP="0062039F">
            <w:pPr>
              <w:pStyle w:val="BodyText"/>
              <w:spacing w:after="0"/>
            </w:pPr>
          </w:p>
        </w:tc>
        <w:tc>
          <w:tcPr>
            <w:tcW w:w="815" w:type="dxa"/>
            <w:vMerge/>
            <w:tcBorders>
              <w:left w:val="single" w:sz="4" w:space="0" w:color="B7B7E2" w:themeColor="accent1" w:themeTint="66"/>
            </w:tcBorders>
            <w:tcMar>
              <w:left w:w="57" w:type="dxa"/>
              <w:right w:w="57" w:type="dxa"/>
            </w:tcMar>
            <w:vAlign w:val="center"/>
          </w:tcPr>
          <w:p w14:paraId="7193CB7B" w14:textId="4E40FB46" w:rsidR="0062039F" w:rsidRPr="00740C3B" w:rsidRDefault="0062039F" w:rsidP="0062039F">
            <w:pPr>
              <w:pStyle w:val="BodyText"/>
              <w:spacing w:after="0"/>
            </w:pPr>
          </w:p>
        </w:tc>
        <w:tc>
          <w:tcPr>
            <w:tcW w:w="1057" w:type="dxa"/>
            <w:tcBorders>
              <w:top w:val="nil"/>
            </w:tcBorders>
            <w:tcMar>
              <w:left w:w="57" w:type="dxa"/>
              <w:right w:w="57" w:type="dxa"/>
            </w:tcMar>
            <w:vAlign w:val="center"/>
          </w:tcPr>
          <w:p w14:paraId="4DF23142" w14:textId="700E08FD" w:rsidR="0062039F" w:rsidRDefault="0062039F" w:rsidP="0062039F">
            <w:pPr>
              <w:pStyle w:val="BodyText"/>
              <w:spacing w:after="0"/>
            </w:pPr>
            <w:r>
              <w:t xml:space="preserve">70010091 </w:t>
            </w:r>
          </w:p>
        </w:tc>
        <w:tc>
          <w:tcPr>
            <w:tcW w:w="4590" w:type="dxa"/>
            <w:gridSpan w:val="2"/>
            <w:tcBorders>
              <w:top w:val="nil"/>
            </w:tcBorders>
            <w:tcMar>
              <w:left w:w="57" w:type="dxa"/>
              <w:right w:w="57" w:type="dxa"/>
            </w:tcMar>
            <w:vAlign w:val="center"/>
          </w:tcPr>
          <w:p w14:paraId="5F588951" w14:textId="77777777" w:rsidR="0062039F" w:rsidRDefault="0062039F" w:rsidP="0062039F">
            <w:pPr>
              <w:pStyle w:val="BodyText"/>
              <w:spacing w:after="0"/>
            </w:pPr>
            <w:r>
              <w:t>Glass in the mass, cullet and other waste and scrap of glass, not elsewhere specified</w:t>
            </w:r>
          </w:p>
        </w:tc>
        <w:tc>
          <w:tcPr>
            <w:tcW w:w="773" w:type="dxa"/>
            <w:vMerge/>
            <w:shd w:val="clear" w:color="auto" w:fill="auto"/>
            <w:tcMar>
              <w:left w:w="57" w:type="dxa"/>
              <w:right w:w="57" w:type="dxa"/>
            </w:tcMar>
            <w:vAlign w:val="center"/>
          </w:tcPr>
          <w:p w14:paraId="6298C82F" w14:textId="2E46E9AF" w:rsidR="0062039F" w:rsidRPr="002F026E" w:rsidRDefault="0062039F" w:rsidP="0062039F">
            <w:pPr>
              <w:pStyle w:val="BodyText"/>
              <w:spacing w:after="0"/>
              <w:jc w:val="right"/>
            </w:pPr>
          </w:p>
        </w:tc>
        <w:tc>
          <w:tcPr>
            <w:tcW w:w="1235" w:type="dxa"/>
            <w:vMerge/>
            <w:tcMar>
              <w:left w:w="57" w:type="dxa"/>
              <w:right w:w="57" w:type="dxa"/>
            </w:tcMar>
            <w:vAlign w:val="center"/>
          </w:tcPr>
          <w:p w14:paraId="1A449229" w14:textId="2B8F8078" w:rsidR="0062039F" w:rsidRPr="00C81A8B" w:rsidRDefault="0062039F" w:rsidP="0062039F">
            <w:pPr>
              <w:pStyle w:val="BodyText"/>
              <w:spacing w:after="0"/>
              <w:jc w:val="center"/>
            </w:pPr>
          </w:p>
        </w:tc>
      </w:tr>
      <w:tr w:rsidR="00567869" w14:paraId="45A21245" w14:textId="77777777" w:rsidTr="004E264F">
        <w:tc>
          <w:tcPr>
            <w:tcW w:w="1271" w:type="dxa"/>
            <w:vMerge w:val="restart"/>
            <w:tcMar>
              <w:left w:w="57" w:type="dxa"/>
              <w:right w:w="57" w:type="dxa"/>
            </w:tcMar>
            <w:vAlign w:val="center"/>
          </w:tcPr>
          <w:p w14:paraId="6D86E6F2" w14:textId="77777777" w:rsidR="00567869" w:rsidRDefault="00567869" w:rsidP="0062039F">
            <w:pPr>
              <w:pStyle w:val="BodyText"/>
              <w:spacing w:after="0"/>
            </w:pPr>
            <w:r w:rsidRPr="00740C3B">
              <w:t xml:space="preserve">Paper </w:t>
            </w:r>
            <w:r>
              <w:t>and</w:t>
            </w:r>
            <w:r w:rsidRPr="00740C3B">
              <w:t xml:space="preserve"> cardboard</w:t>
            </w:r>
          </w:p>
        </w:tc>
        <w:tc>
          <w:tcPr>
            <w:tcW w:w="815" w:type="dxa"/>
            <w:vMerge w:val="restart"/>
            <w:tcMar>
              <w:left w:w="57" w:type="dxa"/>
              <w:right w:w="57" w:type="dxa"/>
            </w:tcMar>
            <w:vAlign w:val="center"/>
          </w:tcPr>
          <w:p w14:paraId="6B56BA5D" w14:textId="77777777" w:rsidR="00567869" w:rsidRPr="00740C3B" w:rsidRDefault="00567869" w:rsidP="0062039F">
            <w:pPr>
              <w:pStyle w:val="BodyText"/>
              <w:spacing w:after="0"/>
            </w:pPr>
            <w:r>
              <w:t>Jul 2024</w:t>
            </w:r>
          </w:p>
        </w:tc>
        <w:tc>
          <w:tcPr>
            <w:tcW w:w="1057" w:type="dxa"/>
            <w:tcMar>
              <w:left w:w="57" w:type="dxa"/>
              <w:right w:w="57" w:type="dxa"/>
            </w:tcMar>
            <w:vAlign w:val="center"/>
          </w:tcPr>
          <w:p w14:paraId="793863B7" w14:textId="77777777" w:rsidR="00567869" w:rsidRDefault="00567869" w:rsidP="0062039F">
            <w:pPr>
              <w:pStyle w:val="BodyText"/>
              <w:spacing w:after="0"/>
            </w:pPr>
            <w:r w:rsidRPr="00740C3B">
              <w:t>47071000</w:t>
            </w:r>
          </w:p>
        </w:tc>
        <w:tc>
          <w:tcPr>
            <w:tcW w:w="4590" w:type="dxa"/>
            <w:gridSpan w:val="2"/>
            <w:tcMar>
              <w:left w:w="57" w:type="dxa"/>
              <w:right w:w="57" w:type="dxa"/>
            </w:tcMar>
            <w:vAlign w:val="center"/>
          </w:tcPr>
          <w:p w14:paraId="03564CE9" w14:textId="77777777" w:rsidR="00567869" w:rsidRDefault="00567869" w:rsidP="0062039F">
            <w:pPr>
              <w:pStyle w:val="BodyText"/>
              <w:spacing w:after="0"/>
            </w:pPr>
            <w:r w:rsidRPr="00740C3B">
              <w:t>Recovered (waste and scrap), unbleached, kraft paper or paperboard or corrugated paper or paperboard</w:t>
            </w:r>
          </w:p>
        </w:tc>
        <w:tc>
          <w:tcPr>
            <w:tcW w:w="773" w:type="dxa"/>
            <w:tcMar>
              <w:left w:w="57" w:type="dxa"/>
              <w:right w:w="57" w:type="dxa"/>
            </w:tcMar>
            <w:vAlign w:val="center"/>
          </w:tcPr>
          <w:p w14:paraId="20D129A3" w14:textId="69316990" w:rsidR="00567869" w:rsidRPr="002F026E" w:rsidRDefault="004E264F" w:rsidP="0062039F">
            <w:pPr>
              <w:pStyle w:val="BodyText"/>
              <w:spacing w:after="0"/>
              <w:jc w:val="right"/>
            </w:pPr>
            <w:r>
              <w:t>590</w:t>
            </w:r>
            <w:r w:rsidR="00567869" w:rsidRPr="002F026E">
              <w:t>,000</w:t>
            </w:r>
          </w:p>
        </w:tc>
        <w:tc>
          <w:tcPr>
            <w:tcW w:w="1235" w:type="dxa"/>
            <w:vMerge w:val="restart"/>
            <w:tcMar>
              <w:left w:w="57" w:type="dxa"/>
              <w:right w:w="57" w:type="dxa"/>
            </w:tcMar>
            <w:vAlign w:val="center"/>
          </w:tcPr>
          <w:p w14:paraId="13372563" w14:textId="77777777" w:rsidR="00567869" w:rsidRDefault="00567869" w:rsidP="0062039F">
            <w:pPr>
              <w:pStyle w:val="BodyText"/>
              <w:spacing w:after="0"/>
              <w:jc w:val="center"/>
            </w:pPr>
            <w:r>
              <w:t xml:space="preserve">47% </w:t>
            </w:r>
            <w:r>
              <w:rPr>
                <w:rStyle w:val="FootnoteReference"/>
              </w:rPr>
              <w:footnoteReference w:id="13"/>
            </w:r>
          </w:p>
        </w:tc>
      </w:tr>
      <w:tr w:rsidR="00567869" w14:paraId="221F1C77" w14:textId="77777777" w:rsidTr="004E264F">
        <w:tc>
          <w:tcPr>
            <w:tcW w:w="1271" w:type="dxa"/>
            <w:vMerge/>
            <w:tcMar>
              <w:left w:w="57" w:type="dxa"/>
              <w:right w:w="57" w:type="dxa"/>
            </w:tcMar>
            <w:vAlign w:val="center"/>
          </w:tcPr>
          <w:p w14:paraId="75A3A998" w14:textId="77777777" w:rsidR="00567869" w:rsidRPr="00740C3B" w:rsidRDefault="00567869" w:rsidP="0062039F">
            <w:pPr>
              <w:pStyle w:val="BodyText"/>
              <w:spacing w:after="0"/>
            </w:pPr>
          </w:p>
        </w:tc>
        <w:tc>
          <w:tcPr>
            <w:tcW w:w="815" w:type="dxa"/>
            <w:vMerge/>
            <w:tcMar>
              <w:left w:w="57" w:type="dxa"/>
              <w:right w:w="57" w:type="dxa"/>
            </w:tcMar>
            <w:vAlign w:val="center"/>
          </w:tcPr>
          <w:p w14:paraId="22AE25D4" w14:textId="77777777" w:rsidR="00567869" w:rsidRDefault="00567869" w:rsidP="0062039F">
            <w:pPr>
              <w:pStyle w:val="BodyText"/>
              <w:spacing w:after="0"/>
            </w:pPr>
          </w:p>
        </w:tc>
        <w:tc>
          <w:tcPr>
            <w:tcW w:w="1057" w:type="dxa"/>
            <w:tcMar>
              <w:left w:w="57" w:type="dxa"/>
              <w:right w:w="57" w:type="dxa"/>
            </w:tcMar>
            <w:vAlign w:val="center"/>
          </w:tcPr>
          <w:p w14:paraId="0DEE085D" w14:textId="77777777" w:rsidR="00567869" w:rsidRPr="00740C3B" w:rsidRDefault="00567869" w:rsidP="0062039F">
            <w:pPr>
              <w:pStyle w:val="BodyText"/>
              <w:spacing w:after="0"/>
            </w:pPr>
            <w:r w:rsidRPr="00740C3B">
              <w:t>47072000</w:t>
            </w:r>
          </w:p>
        </w:tc>
        <w:tc>
          <w:tcPr>
            <w:tcW w:w="4590" w:type="dxa"/>
            <w:gridSpan w:val="2"/>
            <w:tcMar>
              <w:left w:w="57" w:type="dxa"/>
              <w:right w:w="57" w:type="dxa"/>
            </w:tcMar>
            <w:vAlign w:val="center"/>
          </w:tcPr>
          <w:p w14:paraId="7FC3A329" w14:textId="77777777" w:rsidR="00567869" w:rsidRPr="00740C3B" w:rsidRDefault="00567869" w:rsidP="0062039F">
            <w:pPr>
              <w:pStyle w:val="BodyText"/>
              <w:spacing w:after="0"/>
            </w:pPr>
            <w:r w:rsidRPr="00740C3B">
              <w:t>Recovered (waste and scrap) paper or paperboard, made mainly of bleached chemical pulp, not coloured in the mass</w:t>
            </w:r>
          </w:p>
        </w:tc>
        <w:tc>
          <w:tcPr>
            <w:tcW w:w="773" w:type="dxa"/>
            <w:tcMar>
              <w:left w:w="57" w:type="dxa"/>
              <w:right w:w="57" w:type="dxa"/>
            </w:tcMar>
            <w:vAlign w:val="center"/>
          </w:tcPr>
          <w:p w14:paraId="0F5751C3" w14:textId="32C3CECC" w:rsidR="00567869" w:rsidRPr="002F026E" w:rsidRDefault="004E264F" w:rsidP="0062039F">
            <w:pPr>
              <w:pStyle w:val="BodyText"/>
              <w:spacing w:after="0"/>
              <w:jc w:val="right"/>
            </w:pPr>
            <w:r>
              <w:t>1,10</w:t>
            </w:r>
            <w:r w:rsidR="00567869">
              <w:t>0</w:t>
            </w:r>
          </w:p>
        </w:tc>
        <w:tc>
          <w:tcPr>
            <w:tcW w:w="1235" w:type="dxa"/>
            <w:vMerge/>
            <w:tcMar>
              <w:left w:w="57" w:type="dxa"/>
              <w:right w:w="57" w:type="dxa"/>
            </w:tcMar>
            <w:vAlign w:val="center"/>
          </w:tcPr>
          <w:p w14:paraId="23E84EAE" w14:textId="77777777" w:rsidR="00567869" w:rsidRPr="00740C3B" w:rsidRDefault="00567869" w:rsidP="0062039F">
            <w:pPr>
              <w:pStyle w:val="BodyText"/>
              <w:spacing w:after="0"/>
              <w:jc w:val="center"/>
            </w:pPr>
          </w:p>
        </w:tc>
      </w:tr>
      <w:tr w:rsidR="00567869" w14:paraId="6728D112" w14:textId="77777777" w:rsidTr="004E264F">
        <w:tc>
          <w:tcPr>
            <w:tcW w:w="1271" w:type="dxa"/>
            <w:vMerge/>
            <w:tcMar>
              <w:left w:w="57" w:type="dxa"/>
              <w:right w:w="57" w:type="dxa"/>
            </w:tcMar>
            <w:vAlign w:val="center"/>
          </w:tcPr>
          <w:p w14:paraId="1E93BE00" w14:textId="77777777" w:rsidR="00567869" w:rsidRDefault="00567869" w:rsidP="0062039F">
            <w:pPr>
              <w:pStyle w:val="BodyText"/>
              <w:spacing w:after="0"/>
            </w:pPr>
          </w:p>
        </w:tc>
        <w:tc>
          <w:tcPr>
            <w:tcW w:w="815" w:type="dxa"/>
            <w:vMerge/>
            <w:tcMar>
              <w:left w:w="57" w:type="dxa"/>
              <w:right w:w="57" w:type="dxa"/>
            </w:tcMar>
            <w:vAlign w:val="center"/>
          </w:tcPr>
          <w:p w14:paraId="24ECC564" w14:textId="77777777" w:rsidR="00567869" w:rsidRPr="00740C3B" w:rsidRDefault="00567869" w:rsidP="0062039F">
            <w:pPr>
              <w:pStyle w:val="BodyText"/>
              <w:spacing w:after="0"/>
            </w:pPr>
          </w:p>
        </w:tc>
        <w:tc>
          <w:tcPr>
            <w:tcW w:w="1057" w:type="dxa"/>
            <w:tcMar>
              <w:left w:w="57" w:type="dxa"/>
              <w:right w:w="57" w:type="dxa"/>
            </w:tcMar>
            <w:vAlign w:val="center"/>
          </w:tcPr>
          <w:p w14:paraId="2A5D5A6E" w14:textId="77777777" w:rsidR="00567869" w:rsidRDefault="00567869" w:rsidP="0062039F">
            <w:pPr>
              <w:pStyle w:val="BodyText"/>
              <w:spacing w:after="0"/>
            </w:pPr>
            <w:r w:rsidRPr="00740C3B">
              <w:t>47073000</w:t>
            </w:r>
          </w:p>
        </w:tc>
        <w:tc>
          <w:tcPr>
            <w:tcW w:w="4590" w:type="dxa"/>
            <w:gridSpan w:val="2"/>
            <w:tcMar>
              <w:left w:w="57" w:type="dxa"/>
              <w:right w:w="57" w:type="dxa"/>
            </w:tcMar>
            <w:vAlign w:val="center"/>
          </w:tcPr>
          <w:p w14:paraId="5A630447" w14:textId="77777777" w:rsidR="00567869" w:rsidRDefault="00567869" w:rsidP="0062039F">
            <w:pPr>
              <w:pStyle w:val="BodyText"/>
              <w:spacing w:after="0"/>
            </w:pPr>
            <w:r w:rsidRPr="00740C3B">
              <w:t>Recovered (waste and scrap) paper or paperboard, made mainly of mechanical pulp (</w:t>
            </w:r>
            <w:r>
              <w:t>e.g.</w:t>
            </w:r>
            <w:r w:rsidRPr="00740C3B">
              <w:t xml:space="preserve"> newspapers, journals</w:t>
            </w:r>
            <w:r>
              <w:t>)</w:t>
            </w:r>
          </w:p>
        </w:tc>
        <w:tc>
          <w:tcPr>
            <w:tcW w:w="773" w:type="dxa"/>
            <w:tcMar>
              <w:left w:w="57" w:type="dxa"/>
              <w:right w:w="57" w:type="dxa"/>
            </w:tcMar>
            <w:vAlign w:val="center"/>
          </w:tcPr>
          <w:p w14:paraId="23A7FB3A" w14:textId="25C96B24" w:rsidR="00567869" w:rsidRPr="002F026E" w:rsidRDefault="004E264F" w:rsidP="0062039F">
            <w:pPr>
              <w:pStyle w:val="BodyText"/>
              <w:spacing w:after="0"/>
              <w:jc w:val="right"/>
            </w:pPr>
            <w:r>
              <w:t>11,0</w:t>
            </w:r>
            <w:r w:rsidR="00567869">
              <w:t>00</w:t>
            </w:r>
          </w:p>
        </w:tc>
        <w:tc>
          <w:tcPr>
            <w:tcW w:w="1235" w:type="dxa"/>
            <w:vMerge/>
            <w:tcMar>
              <w:left w:w="57" w:type="dxa"/>
              <w:right w:w="57" w:type="dxa"/>
            </w:tcMar>
            <w:vAlign w:val="center"/>
          </w:tcPr>
          <w:p w14:paraId="7E5D94F7" w14:textId="77777777" w:rsidR="00567869" w:rsidRDefault="00567869" w:rsidP="0062039F">
            <w:pPr>
              <w:pStyle w:val="BodyText"/>
              <w:spacing w:after="0"/>
              <w:jc w:val="center"/>
            </w:pPr>
          </w:p>
        </w:tc>
      </w:tr>
      <w:tr w:rsidR="00567869" w14:paraId="65087DC8" w14:textId="77777777" w:rsidTr="004E264F">
        <w:tc>
          <w:tcPr>
            <w:tcW w:w="1271" w:type="dxa"/>
            <w:vMerge/>
            <w:tcMar>
              <w:left w:w="57" w:type="dxa"/>
              <w:right w:w="57" w:type="dxa"/>
            </w:tcMar>
            <w:vAlign w:val="center"/>
          </w:tcPr>
          <w:p w14:paraId="23E99DCC" w14:textId="77777777" w:rsidR="00567869" w:rsidRDefault="00567869" w:rsidP="0062039F">
            <w:pPr>
              <w:pStyle w:val="BodyText"/>
              <w:spacing w:after="0"/>
            </w:pPr>
          </w:p>
        </w:tc>
        <w:tc>
          <w:tcPr>
            <w:tcW w:w="815" w:type="dxa"/>
            <w:vMerge/>
            <w:tcMar>
              <w:left w:w="57" w:type="dxa"/>
              <w:right w:w="57" w:type="dxa"/>
            </w:tcMar>
            <w:vAlign w:val="center"/>
          </w:tcPr>
          <w:p w14:paraId="5457510F" w14:textId="77777777" w:rsidR="00567869" w:rsidRPr="00740C3B" w:rsidRDefault="00567869" w:rsidP="0062039F">
            <w:pPr>
              <w:pStyle w:val="BodyText"/>
              <w:spacing w:after="0"/>
            </w:pPr>
          </w:p>
        </w:tc>
        <w:tc>
          <w:tcPr>
            <w:tcW w:w="1057" w:type="dxa"/>
            <w:tcMar>
              <w:left w:w="57" w:type="dxa"/>
              <w:right w:w="57" w:type="dxa"/>
            </w:tcMar>
            <w:vAlign w:val="center"/>
          </w:tcPr>
          <w:p w14:paraId="34CD7DE6" w14:textId="77777777" w:rsidR="00567869" w:rsidRDefault="00567869" w:rsidP="0062039F">
            <w:pPr>
              <w:pStyle w:val="BodyText"/>
              <w:spacing w:after="0"/>
            </w:pPr>
            <w:r w:rsidRPr="00740C3B">
              <w:t>47079000</w:t>
            </w:r>
          </w:p>
        </w:tc>
        <w:tc>
          <w:tcPr>
            <w:tcW w:w="4590" w:type="dxa"/>
            <w:gridSpan w:val="2"/>
            <w:tcMar>
              <w:left w:w="57" w:type="dxa"/>
              <w:right w:w="57" w:type="dxa"/>
            </w:tcMar>
            <w:vAlign w:val="center"/>
          </w:tcPr>
          <w:p w14:paraId="4A63A50A" w14:textId="77777777" w:rsidR="00567869" w:rsidRDefault="00567869" w:rsidP="0062039F">
            <w:pPr>
              <w:pStyle w:val="BodyText"/>
              <w:spacing w:after="0"/>
            </w:pPr>
            <w:r w:rsidRPr="00740C3B">
              <w:t>Waste and scrap paper or paperboard (incl. unsorted waste &amp; scrap)</w:t>
            </w:r>
          </w:p>
        </w:tc>
        <w:tc>
          <w:tcPr>
            <w:tcW w:w="773" w:type="dxa"/>
            <w:tcMar>
              <w:left w:w="57" w:type="dxa"/>
              <w:right w:w="57" w:type="dxa"/>
            </w:tcMar>
            <w:vAlign w:val="center"/>
          </w:tcPr>
          <w:p w14:paraId="6BBF4B38" w14:textId="0567552B" w:rsidR="00567869" w:rsidRPr="002F026E" w:rsidRDefault="004E264F" w:rsidP="0062039F">
            <w:pPr>
              <w:pStyle w:val="BodyText"/>
              <w:spacing w:after="0"/>
              <w:jc w:val="right"/>
            </w:pPr>
            <w:r>
              <w:t>444</w:t>
            </w:r>
            <w:r w:rsidR="00567869">
              <w:t>,000</w:t>
            </w:r>
          </w:p>
        </w:tc>
        <w:tc>
          <w:tcPr>
            <w:tcW w:w="1235" w:type="dxa"/>
            <w:vMerge/>
            <w:tcMar>
              <w:left w:w="57" w:type="dxa"/>
              <w:right w:w="57" w:type="dxa"/>
            </w:tcMar>
            <w:vAlign w:val="center"/>
          </w:tcPr>
          <w:p w14:paraId="24B59456" w14:textId="77777777" w:rsidR="00567869" w:rsidRDefault="00567869" w:rsidP="0062039F">
            <w:pPr>
              <w:pStyle w:val="BodyText"/>
              <w:spacing w:after="0"/>
              <w:jc w:val="center"/>
            </w:pPr>
          </w:p>
        </w:tc>
      </w:tr>
      <w:tr w:rsidR="00567869" w14:paraId="44468683" w14:textId="77777777" w:rsidTr="004E264F">
        <w:tc>
          <w:tcPr>
            <w:tcW w:w="1271" w:type="dxa"/>
            <w:vMerge w:val="restart"/>
            <w:tcMar>
              <w:left w:w="57" w:type="dxa"/>
              <w:right w:w="57" w:type="dxa"/>
            </w:tcMar>
            <w:vAlign w:val="center"/>
          </w:tcPr>
          <w:p w14:paraId="11CE59FF" w14:textId="77777777" w:rsidR="00567869" w:rsidRDefault="00567869" w:rsidP="0062039F">
            <w:pPr>
              <w:pStyle w:val="BodyText"/>
              <w:spacing w:after="0"/>
            </w:pPr>
            <w:r>
              <w:t>Plastics</w:t>
            </w:r>
          </w:p>
        </w:tc>
        <w:tc>
          <w:tcPr>
            <w:tcW w:w="815" w:type="dxa"/>
            <w:vMerge w:val="restart"/>
            <w:tcMar>
              <w:left w:w="57" w:type="dxa"/>
              <w:right w:w="57" w:type="dxa"/>
            </w:tcMar>
            <w:vAlign w:val="center"/>
          </w:tcPr>
          <w:p w14:paraId="345F342D" w14:textId="77777777" w:rsidR="00567869" w:rsidRPr="00740C3B" w:rsidRDefault="00567869" w:rsidP="0062039F">
            <w:pPr>
              <w:pStyle w:val="BodyText"/>
              <w:spacing w:after="0"/>
            </w:pPr>
            <w:r>
              <w:t>Jul 2022</w:t>
            </w:r>
          </w:p>
        </w:tc>
        <w:tc>
          <w:tcPr>
            <w:tcW w:w="1057" w:type="dxa"/>
            <w:tcMar>
              <w:left w:w="57" w:type="dxa"/>
              <w:right w:w="57" w:type="dxa"/>
            </w:tcMar>
            <w:vAlign w:val="center"/>
          </w:tcPr>
          <w:p w14:paraId="43616017" w14:textId="77777777" w:rsidR="00567869" w:rsidRDefault="00567869" w:rsidP="0062039F">
            <w:pPr>
              <w:pStyle w:val="BodyText"/>
              <w:spacing w:after="0"/>
            </w:pPr>
            <w:r w:rsidRPr="00740C3B">
              <w:t>39151000</w:t>
            </w:r>
          </w:p>
        </w:tc>
        <w:tc>
          <w:tcPr>
            <w:tcW w:w="4590" w:type="dxa"/>
            <w:gridSpan w:val="2"/>
            <w:tcMar>
              <w:left w:w="57" w:type="dxa"/>
              <w:right w:w="57" w:type="dxa"/>
            </w:tcMar>
            <w:vAlign w:val="center"/>
          </w:tcPr>
          <w:p w14:paraId="09B01F9C" w14:textId="77777777" w:rsidR="00567869" w:rsidRDefault="00567869" w:rsidP="0062039F">
            <w:pPr>
              <w:pStyle w:val="BodyText"/>
              <w:spacing w:after="0"/>
            </w:pPr>
            <w:r w:rsidRPr="00740C3B">
              <w:t>Waste, parings and scrap, of polymers of ethylene</w:t>
            </w:r>
          </w:p>
        </w:tc>
        <w:tc>
          <w:tcPr>
            <w:tcW w:w="773" w:type="dxa"/>
            <w:tcMar>
              <w:left w:w="57" w:type="dxa"/>
              <w:right w:w="57" w:type="dxa"/>
            </w:tcMar>
            <w:vAlign w:val="center"/>
          </w:tcPr>
          <w:p w14:paraId="44B96190" w14:textId="2BC8DA2A" w:rsidR="00567869" w:rsidRPr="002F026E" w:rsidRDefault="004E264F" w:rsidP="0062039F">
            <w:pPr>
              <w:pStyle w:val="BodyText"/>
              <w:spacing w:after="0"/>
              <w:jc w:val="right"/>
            </w:pPr>
            <w:r>
              <w:t>49,00</w:t>
            </w:r>
            <w:r w:rsidR="00567869">
              <w:t>0</w:t>
            </w:r>
          </w:p>
        </w:tc>
        <w:tc>
          <w:tcPr>
            <w:tcW w:w="1235" w:type="dxa"/>
            <w:vMerge w:val="restart"/>
            <w:tcMar>
              <w:left w:w="57" w:type="dxa"/>
              <w:right w:w="57" w:type="dxa"/>
            </w:tcMar>
            <w:vAlign w:val="center"/>
          </w:tcPr>
          <w:p w14:paraId="16E0AC81" w14:textId="77777777" w:rsidR="00567869" w:rsidRDefault="00567869" w:rsidP="0062039F">
            <w:pPr>
              <w:pStyle w:val="BodyText"/>
              <w:spacing w:after="0"/>
              <w:jc w:val="center"/>
            </w:pPr>
            <w:r>
              <w:t xml:space="preserve">100% </w:t>
            </w:r>
            <w:r>
              <w:rPr>
                <w:rStyle w:val="FootnoteReference"/>
              </w:rPr>
              <w:footnoteReference w:id="14"/>
            </w:r>
          </w:p>
        </w:tc>
      </w:tr>
      <w:tr w:rsidR="00567869" w14:paraId="5522C884" w14:textId="77777777" w:rsidTr="004E264F">
        <w:tc>
          <w:tcPr>
            <w:tcW w:w="1271" w:type="dxa"/>
            <w:vMerge/>
            <w:tcMar>
              <w:left w:w="57" w:type="dxa"/>
              <w:right w:w="57" w:type="dxa"/>
            </w:tcMar>
            <w:vAlign w:val="center"/>
          </w:tcPr>
          <w:p w14:paraId="60A32B86" w14:textId="77777777" w:rsidR="00567869" w:rsidRDefault="00567869" w:rsidP="0062039F">
            <w:pPr>
              <w:pStyle w:val="BodyText"/>
              <w:spacing w:after="0"/>
            </w:pPr>
          </w:p>
        </w:tc>
        <w:tc>
          <w:tcPr>
            <w:tcW w:w="815" w:type="dxa"/>
            <w:vMerge/>
            <w:tcMar>
              <w:left w:w="57" w:type="dxa"/>
              <w:right w:w="57" w:type="dxa"/>
            </w:tcMar>
            <w:vAlign w:val="center"/>
          </w:tcPr>
          <w:p w14:paraId="6EC9AF02" w14:textId="77777777" w:rsidR="00567869" w:rsidRPr="00740C3B" w:rsidRDefault="00567869" w:rsidP="0062039F">
            <w:pPr>
              <w:pStyle w:val="BodyText"/>
              <w:spacing w:after="0"/>
            </w:pPr>
          </w:p>
        </w:tc>
        <w:tc>
          <w:tcPr>
            <w:tcW w:w="1057" w:type="dxa"/>
            <w:tcMar>
              <w:left w:w="57" w:type="dxa"/>
              <w:right w:w="57" w:type="dxa"/>
            </w:tcMar>
            <w:vAlign w:val="center"/>
          </w:tcPr>
          <w:p w14:paraId="4A4BDF2E" w14:textId="77777777" w:rsidR="00567869" w:rsidRDefault="00567869" w:rsidP="0062039F">
            <w:pPr>
              <w:pStyle w:val="BodyText"/>
              <w:spacing w:after="0"/>
            </w:pPr>
            <w:r w:rsidRPr="00740C3B">
              <w:t>39152000</w:t>
            </w:r>
          </w:p>
        </w:tc>
        <w:tc>
          <w:tcPr>
            <w:tcW w:w="4590" w:type="dxa"/>
            <w:gridSpan w:val="2"/>
            <w:tcMar>
              <w:left w:w="57" w:type="dxa"/>
              <w:right w:w="57" w:type="dxa"/>
            </w:tcMar>
            <w:vAlign w:val="center"/>
          </w:tcPr>
          <w:p w14:paraId="5BBDC080" w14:textId="77777777" w:rsidR="00567869" w:rsidRDefault="00567869" w:rsidP="0062039F">
            <w:pPr>
              <w:pStyle w:val="BodyText"/>
              <w:spacing w:after="0"/>
            </w:pPr>
            <w:r w:rsidRPr="00740C3B">
              <w:t>Waste, parings and scrap, of polymers of styrene</w:t>
            </w:r>
          </w:p>
        </w:tc>
        <w:tc>
          <w:tcPr>
            <w:tcW w:w="773" w:type="dxa"/>
            <w:tcMar>
              <w:left w:w="57" w:type="dxa"/>
              <w:right w:w="57" w:type="dxa"/>
            </w:tcMar>
            <w:vAlign w:val="center"/>
          </w:tcPr>
          <w:p w14:paraId="198ED1B5" w14:textId="5E833025" w:rsidR="00567869" w:rsidRPr="002F026E" w:rsidRDefault="004E264F" w:rsidP="0062039F">
            <w:pPr>
              <w:pStyle w:val="BodyText"/>
              <w:spacing w:after="0"/>
              <w:jc w:val="right"/>
            </w:pPr>
            <w:r>
              <w:t>440</w:t>
            </w:r>
          </w:p>
        </w:tc>
        <w:tc>
          <w:tcPr>
            <w:tcW w:w="1235" w:type="dxa"/>
            <w:vMerge/>
            <w:tcMar>
              <w:left w:w="57" w:type="dxa"/>
              <w:right w:w="57" w:type="dxa"/>
            </w:tcMar>
            <w:vAlign w:val="center"/>
          </w:tcPr>
          <w:p w14:paraId="170FD31D" w14:textId="77777777" w:rsidR="00567869" w:rsidRDefault="00567869" w:rsidP="0062039F">
            <w:pPr>
              <w:pStyle w:val="BodyText"/>
              <w:spacing w:after="0"/>
            </w:pPr>
          </w:p>
        </w:tc>
      </w:tr>
      <w:tr w:rsidR="00567869" w14:paraId="0AA67A5E" w14:textId="77777777" w:rsidTr="004E264F">
        <w:tc>
          <w:tcPr>
            <w:tcW w:w="1271" w:type="dxa"/>
            <w:vMerge/>
            <w:tcMar>
              <w:left w:w="57" w:type="dxa"/>
              <w:right w:w="57" w:type="dxa"/>
            </w:tcMar>
            <w:vAlign w:val="center"/>
          </w:tcPr>
          <w:p w14:paraId="327346A5" w14:textId="77777777" w:rsidR="00567869" w:rsidRDefault="00567869" w:rsidP="0062039F">
            <w:pPr>
              <w:pStyle w:val="BodyText"/>
              <w:spacing w:after="0"/>
            </w:pPr>
          </w:p>
        </w:tc>
        <w:tc>
          <w:tcPr>
            <w:tcW w:w="815" w:type="dxa"/>
            <w:vMerge/>
            <w:tcMar>
              <w:left w:w="57" w:type="dxa"/>
              <w:right w:w="57" w:type="dxa"/>
            </w:tcMar>
            <w:vAlign w:val="center"/>
          </w:tcPr>
          <w:p w14:paraId="0B6A07DA" w14:textId="77777777" w:rsidR="00567869" w:rsidRPr="00740C3B" w:rsidRDefault="00567869" w:rsidP="0062039F">
            <w:pPr>
              <w:pStyle w:val="BodyText"/>
              <w:spacing w:after="0"/>
            </w:pPr>
          </w:p>
        </w:tc>
        <w:tc>
          <w:tcPr>
            <w:tcW w:w="1057" w:type="dxa"/>
            <w:tcMar>
              <w:left w:w="57" w:type="dxa"/>
              <w:right w:w="57" w:type="dxa"/>
            </w:tcMar>
            <w:vAlign w:val="center"/>
          </w:tcPr>
          <w:p w14:paraId="7DBBFCD9" w14:textId="77777777" w:rsidR="00567869" w:rsidRDefault="00567869" w:rsidP="0062039F">
            <w:pPr>
              <w:pStyle w:val="BodyText"/>
              <w:spacing w:after="0"/>
            </w:pPr>
            <w:r w:rsidRPr="00740C3B">
              <w:t>39153000</w:t>
            </w:r>
          </w:p>
        </w:tc>
        <w:tc>
          <w:tcPr>
            <w:tcW w:w="4590" w:type="dxa"/>
            <w:gridSpan w:val="2"/>
            <w:tcMar>
              <w:left w:w="57" w:type="dxa"/>
              <w:right w:w="57" w:type="dxa"/>
            </w:tcMar>
            <w:vAlign w:val="center"/>
          </w:tcPr>
          <w:p w14:paraId="2FE01C0D" w14:textId="77777777" w:rsidR="00567869" w:rsidRDefault="00567869" w:rsidP="0062039F">
            <w:pPr>
              <w:pStyle w:val="BodyText"/>
              <w:spacing w:after="0"/>
            </w:pPr>
            <w:r w:rsidRPr="00740C3B">
              <w:t>Waste, parings and scrap, of polymers of vinyl chloride</w:t>
            </w:r>
          </w:p>
        </w:tc>
        <w:tc>
          <w:tcPr>
            <w:tcW w:w="773" w:type="dxa"/>
            <w:tcMar>
              <w:left w:w="57" w:type="dxa"/>
              <w:right w:w="57" w:type="dxa"/>
            </w:tcMar>
            <w:vAlign w:val="center"/>
          </w:tcPr>
          <w:p w14:paraId="43A0E515" w14:textId="5D3587A0" w:rsidR="00567869" w:rsidRPr="002F026E" w:rsidRDefault="004E264F" w:rsidP="0062039F">
            <w:pPr>
              <w:pStyle w:val="BodyText"/>
              <w:spacing w:after="0"/>
              <w:jc w:val="right"/>
            </w:pPr>
            <w:r>
              <w:t>350</w:t>
            </w:r>
          </w:p>
        </w:tc>
        <w:tc>
          <w:tcPr>
            <w:tcW w:w="1235" w:type="dxa"/>
            <w:vMerge/>
            <w:tcMar>
              <w:left w:w="57" w:type="dxa"/>
              <w:right w:w="57" w:type="dxa"/>
            </w:tcMar>
            <w:vAlign w:val="center"/>
          </w:tcPr>
          <w:p w14:paraId="0E811F9D" w14:textId="77777777" w:rsidR="00567869" w:rsidRDefault="00567869" w:rsidP="0062039F">
            <w:pPr>
              <w:pStyle w:val="BodyText"/>
              <w:spacing w:after="0"/>
            </w:pPr>
          </w:p>
        </w:tc>
      </w:tr>
      <w:tr w:rsidR="00567869" w14:paraId="06418763" w14:textId="77777777" w:rsidTr="004E264F">
        <w:tc>
          <w:tcPr>
            <w:tcW w:w="1271" w:type="dxa"/>
            <w:vMerge/>
            <w:tcMar>
              <w:left w:w="57" w:type="dxa"/>
              <w:right w:w="57" w:type="dxa"/>
            </w:tcMar>
            <w:vAlign w:val="center"/>
          </w:tcPr>
          <w:p w14:paraId="2FB121B2" w14:textId="77777777" w:rsidR="00567869" w:rsidRDefault="00567869" w:rsidP="0062039F">
            <w:pPr>
              <w:pStyle w:val="BodyText"/>
              <w:spacing w:after="0"/>
            </w:pPr>
          </w:p>
        </w:tc>
        <w:tc>
          <w:tcPr>
            <w:tcW w:w="815" w:type="dxa"/>
            <w:tcMar>
              <w:left w:w="57" w:type="dxa"/>
              <w:right w:w="57" w:type="dxa"/>
            </w:tcMar>
            <w:vAlign w:val="center"/>
          </w:tcPr>
          <w:p w14:paraId="39667052" w14:textId="77777777" w:rsidR="00567869" w:rsidRPr="00740C3B" w:rsidRDefault="00567869" w:rsidP="0062039F">
            <w:pPr>
              <w:pStyle w:val="BodyText"/>
              <w:spacing w:after="0"/>
            </w:pPr>
            <w:r>
              <w:t>Jul 2021</w:t>
            </w:r>
          </w:p>
        </w:tc>
        <w:tc>
          <w:tcPr>
            <w:tcW w:w="1057" w:type="dxa"/>
            <w:tcMar>
              <w:left w:w="57" w:type="dxa"/>
              <w:right w:w="57" w:type="dxa"/>
            </w:tcMar>
            <w:vAlign w:val="center"/>
          </w:tcPr>
          <w:p w14:paraId="29EFDEA5" w14:textId="77777777" w:rsidR="00567869" w:rsidRDefault="00567869" w:rsidP="0062039F">
            <w:pPr>
              <w:pStyle w:val="BodyText"/>
              <w:spacing w:after="0"/>
            </w:pPr>
            <w:r w:rsidRPr="00740C3B">
              <w:t>39159092</w:t>
            </w:r>
          </w:p>
        </w:tc>
        <w:tc>
          <w:tcPr>
            <w:tcW w:w="4590" w:type="dxa"/>
            <w:gridSpan w:val="2"/>
            <w:tcMar>
              <w:left w:w="57" w:type="dxa"/>
              <w:right w:w="57" w:type="dxa"/>
            </w:tcMar>
            <w:vAlign w:val="center"/>
          </w:tcPr>
          <w:p w14:paraId="723D2625" w14:textId="77777777" w:rsidR="00567869" w:rsidRDefault="00567869" w:rsidP="0062039F">
            <w:pPr>
              <w:pStyle w:val="BodyText"/>
              <w:spacing w:after="0"/>
            </w:pPr>
            <w:r w:rsidRPr="00740C3B">
              <w:t>Waste, parings and scrap, of plastics (excl. those of polymers of ethylene, styrene or vinyl chloride)</w:t>
            </w:r>
          </w:p>
        </w:tc>
        <w:tc>
          <w:tcPr>
            <w:tcW w:w="773" w:type="dxa"/>
            <w:tcMar>
              <w:left w:w="57" w:type="dxa"/>
              <w:right w:w="57" w:type="dxa"/>
            </w:tcMar>
            <w:vAlign w:val="center"/>
          </w:tcPr>
          <w:p w14:paraId="2EED6136" w14:textId="79BF0578" w:rsidR="00567869" w:rsidRPr="002F026E" w:rsidRDefault="004E264F" w:rsidP="0062039F">
            <w:pPr>
              <w:pStyle w:val="BodyText"/>
              <w:spacing w:after="0"/>
              <w:jc w:val="right"/>
            </w:pPr>
            <w:r>
              <w:t>74,0</w:t>
            </w:r>
            <w:r w:rsidR="00567869">
              <w:t>00</w:t>
            </w:r>
          </w:p>
        </w:tc>
        <w:tc>
          <w:tcPr>
            <w:tcW w:w="1235" w:type="dxa"/>
            <w:tcMar>
              <w:left w:w="57" w:type="dxa"/>
              <w:right w:w="57" w:type="dxa"/>
            </w:tcMar>
            <w:vAlign w:val="center"/>
          </w:tcPr>
          <w:p w14:paraId="63B7338D" w14:textId="77777777" w:rsidR="00567869" w:rsidRDefault="00567869" w:rsidP="0062039F">
            <w:pPr>
              <w:pStyle w:val="BodyText"/>
              <w:spacing w:after="0"/>
              <w:jc w:val="center"/>
            </w:pPr>
            <w:r>
              <w:t xml:space="preserve">83% </w:t>
            </w:r>
            <w:r>
              <w:rPr>
                <w:rStyle w:val="FootnoteReference"/>
              </w:rPr>
              <w:footnoteReference w:id="15"/>
            </w:r>
          </w:p>
        </w:tc>
      </w:tr>
      <w:tr w:rsidR="00567869" w14:paraId="7F838A78" w14:textId="77777777" w:rsidTr="004E264F">
        <w:tc>
          <w:tcPr>
            <w:tcW w:w="1271" w:type="dxa"/>
            <w:vMerge w:val="restart"/>
            <w:tcMar>
              <w:left w:w="57" w:type="dxa"/>
              <w:right w:w="57" w:type="dxa"/>
            </w:tcMar>
            <w:vAlign w:val="center"/>
          </w:tcPr>
          <w:p w14:paraId="1AF3884E" w14:textId="77777777" w:rsidR="00567869" w:rsidRDefault="00567869" w:rsidP="0062039F">
            <w:pPr>
              <w:pStyle w:val="BodyText"/>
              <w:spacing w:after="0"/>
            </w:pPr>
            <w:r w:rsidRPr="00740C3B">
              <w:t>Whole tyres</w:t>
            </w:r>
            <w:r>
              <w:t xml:space="preserve"> </w:t>
            </w:r>
          </w:p>
        </w:tc>
        <w:tc>
          <w:tcPr>
            <w:tcW w:w="815" w:type="dxa"/>
            <w:vMerge w:val="restart"/>
            <w:tcMar>
              <w:left w:w="57" w:type="dxa"/>
              <w:right w:w="57" w:type="dxa"/>
            </w:tcMar>
            <w:vAlign w:val="center"/>
          </w:tcPr>
          <w:p w14:paraId="0BC0D9AD" w14:textId="77777777" w:rsidR="00567869" w:rsidRPr="00740C3B" w:rsidRDefault="00567869" w:rsidP="0062039F">
            <w:pPr>
              <w:pStyle w:val="BodyText"/>
              <w:spacing w:after="0"/>
            </w:pPr>
            <w:r>
              <w:t>Dec 2021</w:t>
            </w:r>
          </w:p>
        </w:tc>
        <w:tc>
          <w:tcPr>
            <w:tcW w:w="1057" w:type="dxa"/>
            <w:tcMar>
              <w:left w:w="57" w:type="dxa"/>
              <w:right w:w="57" w:type="dxa"/>
            </w:tcMar>
            <w:vAlign w:val="center"/>
          </w:tcPr>
          <w:p w14:paraId="006B8450" w14:textId="77777777" w:rsidR="00567869" w:rsidRDefault="00567869" w:rsidP="0062039F">
            <w:pPr>
              <w:pStyle w:val="BodyText"/>
              <w:spacing w:after="0"/>
            </w:pPr>
            <w:r w:rsidRPr="00740C3B">
              <w:t>40040000</w:t>
            </w:r>
          </w:p>
        </w:tc>
        <w:tc>
          <w:tcPr>
            <w:tcW w:w="4590" w:type="dxa"/>
            <w:gridSpan w:val="2"/>
            <w:tcMar>
              <w:left w:w="57" w:type="dxa"/>
              <w:right w:w="57" w:type="dxa"/>
            </w:tcMar>
            <w:vAlign w:val="center"/>
          </w:tcPr>
          <w:p w14:paraId="37BFA8F6" w14:textId="77777777" w:rsidR="00567869" w:rsidRDefault="00567869" w:rsidP="0062039F">
            <w:pPr>
              <w:pStyle w:val="BodyText"/>
              <w:spacing w:after="0"/>
            </w:pPr>
            <w:r w:rsidRPr="00740C3B">
              <w:t>Waste, parings and scrap of rubber (excl. of hard rubber) and powders and granules obtained therefrom</w:t>
            </w:r>
          </w:p>
        </w:tc>
        <w:tc>
          <w:tcPr>
            <w:tcW w:w="773" w:type="dxa"/>
            <w:tcMar>
              <w:left w:w="57" w:type="dxa"/>
              <w:right w:w="57" w:type="dxa"/>
            </w:tcMar>
            <w:vAlign w:val="center"/>
          </w:tcPr>
          <w:p w14:paraId="4EC1AC2D" w14:textId="3EB20536" w:rsidR="00567869" w:rsidRPr="002F026E" w:rsidRDefault="004E264F" w:rsidP="0062039F">
            <w:pPr>
              <w:pStyle w:val="BodyText"/>
              <w:spacing w:after="0"/>
              <w:jc w:val="right"/>
              <w:rPr>
                <w:highlight w:val="yellow"/>
              </w:rPr>
            </w:pPr>
            <w:r>
              <w:t>70</w:t>
            </w:r>
            <w:r w:rsidR="00567869">
              <w:t>,0</w:t>
            </w:r>
            <w:r w:rsidR="00567869" w:rsidRPr="002F026E">
              <w:t>00</w:t>
            </w:r>
          </w:p>
        </w:tc>
        <w:tc>
          <w:tcPr>
            <w:tcW w:w="1235" w:type="dxa"/>
            <w:tcMar>
              <w:left w:w="57" w:type="dxa"/>
              <w:right w:w="57" w:type="dxa"/>
            </w:tcMar>
            <w:vAlign w:val="center"/>
          </w:tcPr>
          <w:p w14:paraId="76F7123C" w14:textId="1EEDBAB3" w:rsidR="00567869" w:rsidRPr="00EF1770" w:rsidRDefault="00567869" w:rsidP="0062039F">
            <w:pPr>
              <w:pStyle w:val="BodyText"/>
              <w:spacing w:after="0"/>
              <w:jc w:val="center"/>
            </w:pPr>
            <w:r w:rsidRPr="00EF1770">
              <w:t xml:space="preserve">44% </w:t>
            </w:r>
            <w:r w:rsidR="00374864" w:rsidRPr="00374864">
              <w:rPr>
                <w:vertAlign w:val="superscript"/>
              </w:rPr>
              <w:fldChar w:fldCharType="begin"/>
            </w:r>
            <w:r w:rsidR="00374864" w:rsidRPr="00374864">
              <w:rPr>
                <w:vertAlign w:val="superscript"/>
              </w:rPr>
              <w:instrText xml:space="preserve"> NOTEREF _Ref80547895 \h </w:instrText>
            </w:r>
            <w:r w:rsidR="00374864">
              <w:rPr>
                <w:vertAlign w:val="superscript"/>
              </w:rPr>
              <w:instrText xml:space="preserve"> \* MERGEFORMAT </w:instrText>
            </w:r>
            <w:r w:rsidR="00374864" w:rsidRPr="00374864">
              <w:rPr>
                <w:vertAlign w:val="superscript"/>
              </w:rPr>
            </w:r>
            <w:r w:rsidR="00374864" w:rsidRPr="00374864">
              <w:rPr>
                <w:vertAlign w:val="superscript"/>
              </w:rPr>
              <w:fldChar w:fldCharType="separate"/>
            </w:r>
            <w:r w:rsidR="00557024">
              <w:rPr>
                <w:vertAlign w:val="superscript"/>
              </w:rPr>
              <w:t>9</w:t>
            </w:r>
            <w:r w:rsidR="00374864" w:rsidRPr="00374864">
              <w:rPr>
                <w:vertAlign w:val="superscript"/>
              </w:rPr>
              <w:fldChar w:fldCharType="end"/>
            </w:r>
          </w:p>
        </w:tc>
      </w:tr>
      <w:tr w:rsidR="00567869" w14:paraId="62C19A03" w14:textId="77777777" w:rsidTr="004E264F">
        <w:tc>
          <w:tcPr>
            <w:tcW w:w="1271" w:type="dxa"/>
            <w:vMerge/>
            <w:tcMar>
              <w:left w:w="57" w:type="dxa"/>
              <w:right w:w="57" w:type="dxa"/>
            </w:tcMar>
            <w:vAlign w:val="center"/>
          </w:tcPr>
          <w:p w14:paraId="74641567" w14:textId="77777777" w:rsidR="00567869" w:rsidRDefault="00567869" w:rsidP="0062039F">
            <w:pPr>
              <w:pStyle w:val="BodyText"/>
              <w:spacing w:after="0"/>
            </w:pPr>
          </w:p>
        </w:tc>
        <w:tc>
          <w:tcPr>
            <w:tcW w:w="815" w:type="dxa"/>
            <w:vMerge/>
            <w:tcMar>
              <w:left w:w="57" w:type="dxa"/>
              <w:right w:w="57" w:type="dxa"/>
            </w:tcMar>
            <w:vAlign w:val="center"/>
          </w:tcPr>
          <w:p w14:paraId="3E95FB57" w14:textId="77777777" w:rsidR="00567869" w:rsidRPr="00740C3B" w:rsidRDefault="00567869" w:rsidP="0062039F">
            <w:pPr>
              <w:pStyle w:val="BodyText"/>
              <w:spacing w:after="0"/>
            </w:pPr>
          </w:p>
        </w:tc>
        <w:tc>
          <w:tcPr>
            <w:tcW w:w="1057" w:type="dxa"/>
            <w:tcMar>
              <w:left w:w="57" w:type="dxa"/>
              <w:right w:w="57" w:type="dxa"/>
            </w:tcMar>
            <w:vAlign w:val="center"/>
          </w:tcPr>
          <w:p w14:paraId="1AD81A3D" w14:textId="77777777" w:rsidR="00567869" w:rsidRDefault="00567869" w:rsidP="0062039F">
            <w:pPr>
              <w:pStyle w:val="BodyText"/>
              <w:spacing w:after="0"/>
            </w:pPr>
            <w:r w:rsidRPr="00740C3B">
              <w:t>40122000</w:t>
            </w:r>
          </w:p>
        </w:tc>
        <w:tc>
          <w:tcPr>
            <w:tcW w:w="4590" w:type="dxa"/>
            <w:gridSpan w:val="2"/>
            <w:tcMar>
              <w:left w:w="57" w:type="dxa"/>
              <w:right w:w="57" w:type="dxa"/>
            </w:tcMar>
            <w:vAlign w:val="center"/>
          </w:tcPr>
          <w:p w14:paraId="6F7363A2" w14:textId="77777777" w:rsidR="00567869" w:rsidRDefault="00567869" w:rsidP="0062039F">
            <w:pPr>
              <w:pStyle w:val="BodyText"/>
              <w:spacing w:after="0"/>
            </w:pPr>
            <w:r w:rsidRPr="00740C3B">
              <w:t>Used pneumatic rubber tyres, whether or not subject to recutting or regrooving</w:t>
            </w:r>
          </w:p>
        </w:tc>
        <w:tc>
          <w:tcPr>
            <w:tcW w:w="773" w:type="dxa"/>
            <w:tcMar>
              <w:left w:w="57" w:type="dxa"/>
              <w:right w:w="57" w:type="dxa"/>
            </w:tcMar>
            <w:vAlign w:val="center"/>
          </w:tcPr>
          <w:p w14:paraId="38C23703" w14:textId="17964E14" w:rsidR="00567869" w:rsidRPr="002F026E" w:rsidRDefault="004E264F" w:rsidP="0062039F">
            <w:pPr>
              <w:pStyle w:val="BodyText"/>
              <w:spacing w:after="0"/>
              <w:jc w:val="right"/>
              <w:rPr>
                <w:highlight w:val="yellow"/>
              </w:rPr>
            </w:pPr>
            <w:r>
              <w:t>20,0</w:t>
            </w:r>
            <w:r w:rsidR="00567869">
              <w:t>00</w:t>
            </w:r>
          </w:p>
        </w:tc>
        <w:tc>
          <w:tcPr>
            <w:tcW w:w="1235" w:type="dxa"/>
            <w:tcMar>
              <w:left w:w="57" w:type="dxa"/>
              <w:right w:w="57" w:type="dxa"/>
            </w:tcMar>
            <w:vAlign w:val="center"/>
          </w:tcPr>
          <w:p w14:paraId="0DC53CFE" w14:textId="6C18C7D4" w:rsidR="00567869" w:rsidRPr="00EF1770" w:rsidRDefault="00567869" w:rsidP="0062039F">
            <w:pPr>
              <w:pStyle w:val="BodyText"/>
              <w:spacing w:after="0"/>
              <w:jc w:val="center"/>
            </w:pPr>
            <w:r w:rsidRPr="00EF1770">
              <w:t xml:space="preserve">100% </w:t>
            </w:r>
            <w:r w:rsidR="00374864" w:rsidRPr="00374864">
              <w:rPr>
                <w:vertAlign w:val="superscript"/>
              </w:rPr>
              <w:fldChar w:fldCharType="begin"/>
            </w:r>
            <w:r w:rsidR="00374864" w:rsidRPr="00374864">
              <w:rPr>
                <w:vertAlign w:val="superscript"/>
              </w:rPr>
              <w:instrText xml:space="preserve"> NOTEREF _Ref80547895 \h </w:instrText>
            </w:r>
            <w:r w:rsidR="00374864">
              <w:rPr>
                <w:vertAlign w:val="superscript"/>
              </w:rPr>
              <w:instrText xml:space="preserve"> \* MERGEFORMAT </w:instrText>
            </w:r>
            <w:r w:rsidR="00374864" w:rsidRPr="00374864">
              <w:rPr>
                <w:vertAlign w:val="superscript"/>
              </w:rPr>
            </w:r>
            <w:r w:rsidR="00374864" w:rsidRPr="00374864">
              <w:rPr>
                <w:vertAlign w:val="superscript"/>
              </w:rPr>
              <w:fldChar w:fldCharType="separate"/>
            </w:r>
            <w:r w:rsidR="00557024">
              <w:rPr>
                <w:vertAlign w:val="superscript"/>
              </w:rPr>
              <w:t>9</w:t>
            </w:r>
            <w:r w:rsidR="00374864" w:rsidRPr="00374864">
              <w:rPr>
                <w:vertAlign w:val="superscript"/>
              </w:rPr>
              <w:fldChar w:fldCharType="end"/>
            </w:r>
          </w:p>
        </w:tc>
      </w:tr>
      <w:tr w:rsidR="00567869" w14:paraId="7A90C29E" w14:textId="77777777" w:rsidTr="004E264F">
        <w:tc>
          <w:tcPr>
            <w:tcW w:w="1271" w:type="dxa"/>
            <w:vMerge/>
            <w:tcBorders>
              <w:bottom w:val="single" w:sz="4" w:space="0" w:color="B7B7E2" w:themeColor="accent1" w:themeTint="66"/>
            </w:tcBorders>
            <w:tcMar>
              <w:left w:w="57" w:type="dxa"/>
              <w:right w:w="57" w:type="dxa"/>
            </w:tcMar>
            <w:vAlign w:val="center"/>
          </w:tcPr>
          <w:p w14:paraId="383E58B4" w14:textId="77777777" w:rsidR="00567869" w:rsidRDefault="00567869" w:rsidP="0062039F">
            <w:pPr>
              <w:pStyle w:val="BodyText"/>
              <w:spacing w:after="0"/>
            </w:pPr>
          </w:p>
        </w:tc>
        <w:tc>
          <w:tcPr>
            <w:tcW w:w="815" w:type="dxa"/>
            <w:vMerge/>
            <w:tcBorders>
              <w:bottom w:val="single" w:sz="4" w:space="0" w:color="B7B7E2" w:themeColor="accent1" w:themeTint="66"/>
            </w:tcBorders>
            <w:tcMar>
              <w:left w:w="57" w:type="dxa"/>
              <w:right w:w="57" w:type="dxa"/>
            </w:tcMar>
            <w:vAlign w:val="center"/>
          </w:tcPr>
          <w:p w14:paraId="4ADDD5A5" w14:textId="77777777" w:rsidR="00567869" w:rsidRPr="00740C3B" w:rsidRDefault="00567869" w:rsidP="0062039F">
            <w:pPr>
              <w:pStyle w:val="BodyText"/>
              <w:spacing w:after="0"/>
            </w:pPr>
          </w:p>
        </w:tc>
        <w:tc>
          <w:tcPr>
            <w:tcW w:w="1057" w:type="dxa"/>
            <w:tcBorders>
              <w:bottom w:val="single" w:sz="4" w:space="0" w:color="B7B7E2" w:themeColor="accent1" w:themeTint="66"/>
            </w:tcBorders>
            <w:tcMar>
              <w:left w:w="57" w:type="dxa"/>
              <w:right w:w="57" w:type="dxa"/>
            </w:tcMar>
            <w:vAlign w:val="center"/>
          </w:tcPr>
          <w:p w14:paraId="3B59F621" w14:textId="77777777" w:rsidR="00567869" w:rsidRDefault="00567869" w:rsidP="0062039F">
            <w:pPr>
              <w:pStyle w:val="BodyText"/>
              <w:spacing w:after="0"/>
            </w:pPr>
            <w:r w:rsidRPr="00740C3B">
              <w:t>40129000</w:t>
            </w:r>
          </w:p>
        </w:tc>
        <w:tc>
          <w:tcPr>
            <w:tcW w:w="4590" w:type="dxa"/>
            <w:gridSpan w:val="2"/>
            <w:tcBorders>
              <w:bottom w:val="single" w:sz="4" w:space="0" w:color="B7B7E2" w:themeColor="accent1" w:themeTint="66"/>
            </w:tcBorders>
            <w:tcMar>
              <w:left w:w="57" w:type="dxa"/>
              <w:right w:w="57" w:type="dxa"/>
            </w:tcMar>
            <w:vAlign w:val="center"/>
          </w:tcPr>
          <w:p w14:paraId="05442C01" w14:textId="77777777" w:rsidR="00567869" w:rsidRDefault="00567869" w:rsidP="0062039F">
            <w:pPr>
              <w:pStyle w:val="BodyText"/>
              <w:spacing w:after="0"/>
            </w:pPr>
            <w:r w:rsidRPr="00740C3B">
              <w:t xml:space="preserve">Solid or cushion rubber tyres, rubber tyre treads (incl. </w:t>
            </w:r>
            <w:r>
              <w:t>i</w:t>
            </w:r>
            <w:r w:rsidRPr="00740C3B">
              <w:t>nterchangeable tyre treads) and rubber tyre flaps</w:t>
            </w:r>
          </w:p>
        </w:tc>
        <w:tc>
          <w:tcPr>
            <w:tcW w:w="773" w:type="dxa"/>
            <w:tcBorders>
              <w:bottom w:val="single" w:sz="4" w:space="0" w:color="B7B7E2" w:themeColor="accent1" w:themeTint="66"/>
            </w:tcBorders>
            <w:shd w:val="clear" w:color="auto" w:fill="auto"/>
            <w:tcMar>
              <w:left w:w="57" w:type="dxa"/>
              <w:right w:w="57" w:type="dxa"/>
            </w:tcMar>
            <w:vAlign w:val="center"/>
          </w:tcPr>
          <w:p w14:paraId="2358D7F0" w14:textId="727A5D7D" w:rsidR="00567869" w:rsidRPr="002F026E" w:rsidRDefault="00567869" w:rsidP="0062039F">
            <w:pPr>
              <w:pStyle w:val="BodyText"/>
              <w:spacing w:after="0"/>
              <w:jc w:val="right"/>
              <w:rPr>
                <w:highlight w:val="yellow"/>
              </w:rPr>
            </w:pPr>
            <w:r>
              <w:t>1</w:t>
            </w:r>
            <w:r w:rsidR="004E264F">
              <w:t>0</w:t>
            </w:r>
            <w:r>
              <w:t>,</w:t>
            </w:r>
            <w:r w:rsidR="004E264F">
              <w:t>0</w:t>
            </w:r>
            <w:r>
              <w:t>00</w:t>
            </w:r>
          </w:p>
        </w:tc>
        <w:tc>
          <w:tcPr>
            <w:tcW w:w="1235" w:type="dxa"/>
            <w:tcBorders>
              <w:bottom w:val="single" w:sz="4" w:space="0" w:color="B7B7E2" w:themeColor="accent1" w:themeTint="66"/>
            </w:tcBorders>
            <w:tcMar>
              <w:left w:w="57" w:type="dxa"/>
              <w:right w:w="57" w:type="dxa"/>
            </w:tcMar>
            <w:vAlign w:val="center"/>
          </w:tcPr>
          <w:p w14:paraId="2260E729" w14:textId="405E03E4" w:rsidR="00567869" w:rsidRPr="00EF1770" w:rsidRDefault="00567869" w:rsidP="0062039F">
            <w:pPr>
              <w:pStyle w:val="BodyText"/>
              <w:spacing w:after="0"/>
              <w:jc w:val="center"/>
            </w:pPr>
            <w:r w:rsidRPr="00EF1770">
              <w:t xml:space="preserve">6% </w:t>
            </w:r>
            <w:r w:rsidR="009A20C4" w:rsidRPr="009A20C4">
              <w:rPr>
                <w:vertAlign w:val="superscript"/>
              </w:rPr>
              <w:fldChar w:fldCharType="begin"/>
            </w:r>
            <w:r w:rsidR="009A20C4" w:rsidRPr="009A20C4">
              <w:rPr>
                <w:vertAlign w:val="superscript"/>
              </w:rPr>
              <w:instrText xml:space="preserve"> NOTEREF _Ref80547895 \h </w:instrText>
            </w:r>
            <w:r w:rsidR="009A20C4">
              <w:rPr>
                <w:vertAlign w:val="superscript"/>
              </w:rPr>
              <w:instrText xml:space="preserve"> \* MERGEFORMAT </w:instrText>
            </w:r>
            <w:r w:rsidR="009A20C4" w:rsidRPr="009A20C4">
              <w:rPr>
                <w:vertAlign w:val="superscript"/>
              </w:rPr>
            </w:r>
            <w:r w:rsidR="009A20C4" w:rsidRPr="009A20C4">
              <w:rPr>
                <w:vertAlign w:val="superscript"/>
              </w:rPr>
              <w:fldChar w:fldCharType="separate"/>
            </w:r>
            <w:r w:rsidR="00557024">
              <w:rPr>
                <w:vertAlign w:val="superscript"/>
              </w:rPr>
              <w:t>9</w:t>
            </w:r>
            <w:r w:rsidR="009A20C4" w:rsidRPr="009A20C4">
              <w:rPr>
                <w:vertAlign w:val="superscript"/>
              </w:rPr>
              <w:fldChar w:fldCharType="end"/>
            </w:r>
          </w:p>
        </w:tc>
      </w:tr>
    </w:tbl>
    <w:p w14:paraId="7BF418F2" w14:textId="01AC2BA9" w:rsidR="000B71E9" w:rsidRPr="000F70AB" w:rsidRDefault="000B71E9" w:rsidP="000F70AB">
      <w:pPr>
        <w:pStyle w:val="Heading2nonumber"/>
        <w:spacing w:before="240" w:after="120"/>
        <w:rPr>
          <w:sz w:val="26"/>
        </w:rPr>
      </w:pPr>
      <w:r w:rsidRPr="000F70AB">
        <w:rPr>
          <w:sz w:val="26"/>
        </w:rPr>
        <w:lastRenderedPageBreak/>
        <w:t>Analysis and comment</w:t>
      </w:r>
    </w:p>
    <w:p w14:paraId="4513AA84" w14:textId="2423211E" w:rsidR="000B71E9" w:rsidRDefault="0089498C" w:rsidP="00F46CB5">
      <w:pPr>
        <w:pStyle w:val="BodyText"/>
      </w:pPr>
      <w:r>
        <w:t xml:space="preserve">Scrap plastics are subject to many restrictions, including import regulations </w:t>
      </w:r>
      <w:r w:rsidR="00374864">
        <w:t>applied by</w:t>
      </w:r>
      <w:r>
        <w:t xml:space="preserve"> most of our key waste trade </w:t>
      </w:r>
      <w:r w:rsidR="00374864">
        <w:t>partners</w:t>
      </w:r>
      <w:r>
        <w:t xml:space="preserve">, as well as the Basel Convention amendment on scrap plastic trade. </w:t>
      </w:r>
      <w:r w:rsidR="00374864">
        <w:t xml:space="preserve">Nevertheless, </w:t>
      </w:r>
      <w:r>
        <w:t xml:space="preserve">exports increased slightly in 2020-21 compared </w:t>
      </w:r>
      <w:r w:rsidR="008D39C7">
        <w:t xml:space="preserve">to </w:t>
      </w:r>
      <w:r>
        <w:t>2019-20. The share of mixed scrap plastic</w:t>
      </w:r>
      <w:r w:rsidR="00374864">
        <w:t xml:space="preserve"> fell from 80% in 2018-19, to 66% in 2019-20 and then to </w:t>
      </w:r>
      <w:r>
        <w:t xml:space="preserve">60% </w:t>
      </w:r>
      <w:r w:rsidR="00374864">
        <w:t xml:space="preserve">in 2020-21. This suggests </w:t>
      </w:r>
      <w:r w:rsidR="00B677AA">
        <w:t xml:space="preserve">exporters </w:t>
      </w:r>
      <w:r w:rsidR="00374864">
        <w:t xml:space="preserve">have been able to </w:t>
      </w:r>
      <w:r w:rsidR="00B677AA">
        <w:t>improv</w:t>
      </w:r>
      <w:r w:rsidR="00374864">
        <w:t>e</w:t>
      </w:r>
      <w:r w:rsidR="00B677AA">
        <w:t xml:space="preserve"> the quality of</w:t>
      </w:r>
      <w:r w:rsidR="00374864">
        <w:t xml:space="preserve"> their sorting </w:t>
      </w:r>
      <w:r w:rsidR="00B677AA">
        <w:t xml:space="preserve">to comply with the new </w:t>
      </w:r>
      <w:r w:rsidR="00374864">
        <w:t>restrictions</w:t>
      </w:r>
      <w:r w:rsidR="00B677AA">
        <w:t>. The EU introduced new restrictions on scrap plastic exports which may</w:t>
      </w:r>
      <w:r w:rsidR="00C60583">
        <w:t xml:space="preserve"> also</w:t>
      </w:r>
      <w:r w:rsidR="00B677AA">
        <w:t xml:space="preserve"> have opened up new markets for Australia</w:t>
      </w:r>
      <w:r>
        <w:t xml:space="preserve">. </w:t>
      </w:r>
      <w:r w:rsidR="009A20C4">
        <w:t>Clean PET and HDPE is currently trading at the highest prices seen for at least a decade, probably driven by packaging manufacturer and brand</w:t>
      </w:r>
      <w:r w:rsidR="00C373BB">
        <w:t>-</w:t>
      </w:r>
      <w:r w:rsidR="009A20C4">
        <w:t>owner demand for recycled content packaging.</w:t>
      </w:r>
    </w:p>
    <w:p w14:paraId="68AFB675" w14:textId="0804E91E" w:rsidR="00637185" w:rsidRDefault="00374864" w:rsidP="00F46CB5">
      <w:pPr>
        <w:pStyle w:val="BodyText"/>
      </w:pPr>
      <w:r>
        <w:t>Until 2016-17, over 60% of Australia’s exports of s</w:t>
      </w:r>
      <w:r w:rsidR="00166D6E">
        <w:t xml:space="preserve">crap paper and cardboard </w:t>
      </w:r>
      <w:r w:rsidR="004B596A">
        <w:t>went</w:t>
      </w:r>
      <w:r>
        <w:t xml:space="preserve"> </w:t>
      </w:r>
      <w:r w:rsidR="00166D6E">
        <w:t xml:space="preserve">to China. </w:t>
      </w:r>
      <w:r w:rsidR="004B596A">
        <w:t>In 2020-21, the</w:t>
      </w:r>
      <w:r w:rsidR="008D39C7">
        <w:t>se exports</w:t>
      </w:r>
      <w:r w:rsidR="004B596A">
        <w:t xml:space="preserve"> were</w:t>
      </w:r>
      <w:r w:rsidR="00166D6E">
        <w:t xml:space="preserve"> only 13%. </w:t>
      </w:r>
      <w:r w:rsidR="00F578C3">
        <w:t xml:space="preserve">Overall exports of paper and cardboard have also been </w:t>
      </w:r>
      <w:r w:rsidR="003E2ED8">
        <w:t>declining</w:t>
      </w:r>
      <w:r w:rsidR="00F578C3">
        <w:t xml:space="preserve">. </w:t>
      </w:r>
      <w:r w:rsidR="009E5D2C">
        <w:t xml:space="preserve">Australia was still exporting large quantities of scrap paper and cardboard to China in late 2020, causing concern over what would happen when the new ban came into force in January. However, as China’s paper and cardboard imports dropped, Indonesia’s rose indicating alternative markets were found </w:t>
      </w:r>
      <w:r w:rsidR="00FA1E4D">
        <w:t>t</w:t>
      </w:r>
      <w:r w:rsidR="009E5D2C">
        <w:t>here.</w:t>
      </w:r>
      <w:r w:rsidR="00F578C3">
        <w:t xml:space="preserve"> </w:t>
      </w:r>
      <w:r w:rsidR="009E5D2C">
        <w:t>T</w:t>
      </w:r>
      <w:r w:rsidR="00F578C3">
        <w:t xml:space="preserve">he </w:t>
      </w:r>
      <w:r w:rsidR="009E5D2C">
        <w:t xml:space="preserve">overall </w:t>
      </w:r>
      <w:r w:rsidR="003E2ED8">
        <w:t xml:space="preserve">fall </w:t>
      </w:r>
      <w:r w:rsidR="00F578C3">
        <w:t xml:space="preserve">in tonnes was only 1%. Although exports to China </w:t>
      </w:r>
      <w:r w:rsidR="003E2ED8">
        <w:t>stopped in January,</w:t>
      </w:r>
      <w:r w:rsidR="00F578C3">
        <w:t xml:space="preserve"> small quantities </w:t>
      </w:r>
      <w:r w:rsidR="003E2ED8">
        <w:t xml:space="preserve">have been </w:t>
      </w:r>
      <w:r w:rsidR="00F578C3">
        <w:t xml:space="preserve">exported there from February, as </w:t>
      </w:r>
      <w:r w:rsidR="00031BF0">
        <w:t>high-quality</w:t>
      </w:r>
      <w:r w:rsidR="00F578C3">
        <w:t xml:space="preserve"> reprocessed materials are exempt from the ban. </w:t>
      </w:r>
    </w:p>
    <w:p w14:paraId="689BD157" w14:textId="03F817B6" w:rsidR="00684EA7" w:rsidRDefault="00F578C3" w:rsidP="00F46CB5">
      <w:pPr>
        <w:pStyle w:val="BodyText"/>
      </w:pPr>
      <w:r>
        <w:t xml:space="preserve">End-of-life tyre exports rose in 2020-21. It is </w:t>
      </w:r>
      <w:r w:rsidR="003E2ED8">
        <w:t>understood</w:t>
      </w:r>
      <w:r>
        <w:t xml:space="preserve"> that the COVID pandemic restrictions </w:t>
      </w:r>
      <w:r w:rsidR="003E2ED8">
        <w:t xml:space="preserve">in 2019-20 </w:t>
      </w:r>
      <w:r>
        <w:t xml:space="preserve">caused a dip in tyre exports to India, Australia’s key trading partner for this material, </w:t>
      </w:r>
      <w:r w:rsidR="003E2ED8">
        <w:t xml:space="preserve">but </w:t>
      </w:r>
      <w:r>
        <w:t xml:space="preserve">they appear to have resumed in 2020-21. </w:t>
      </w:r>
      <w:r w:rsidR="003E2ED8">
        <w:t>I</w:t>
      </w:r>
      <w:r w:rsidR="00684EA7">
        <w:t>t should be noted that export quantities in the ABS data are generally lower than reported through industry sources</w:t>
      </w:r>
      <w:r w:rsidR="009A20C4">
        <w:t xml:space="preserve"> and calculated via mass balance</w:t>
      </w:r>
      <w:r w:rsidR="00684EA7">
        <w:t xml:space="preserve">, indicating significant miscoding. </w:t>
      </w:r>
    </w:p>
    <w:p w14:paraId="7FA974D5" w14:textId="223524E7" w:rsidR="007831C8" w:rsidRDefault="007831C8" w:rsidP="00F46CB5">
      <w:pPr>
        <w:pStyle w:val="BodyText"/>
      </w:pPr>
      <w:r>
        <w:t>Exports of unprocessed glass waste were banned from January</w:t>
      </w:r>
      <w:r w:rsidR="003E2ED8">
        <w:t xml:space="preserve"> 2021. E</w:t>
      </w:r>
      <w:r>
        <w:t>xporters appeared to have</w:t>
      </w:r>
      <w:r w:rsidR="004B596A">
        <w:t xml:space="preserve"> been</w:t>
      </w:r>
      <w:r>
        <w:t xml:space="preserve"> prepared</w:t>
      </w:r>
      <w:r w:rsidR="004B596A">
        <w:t>,</w:t>
      </w:r>
      <w:r>
        <w:t xml:space="preserve"> as less than 400 tonnes were exported</w:t>
      </w:r>
      <w:r w:rsidR="009E5D2C">
        <w:t xml:space="preserve"> over the year</w:t>
      </w:r>
      <w:r>
        <w:t>, down from 25,000</w:t>
      </w:r>
      <w:r w:rsidR="009E5D2C">
        <w:t> tonnes</w:t>
      </w:r>
      <w:r>
        <w:t xml:space="preserve"> in 2019-20. </w:t>
      </w:r>
    </w:p>
    <w:p w14:paraId="30267D8D" w14:textId="0A75273C" w:rsidR="003E2ED8" w:rsidRDefault="003E2ED8" w:rsidP="00F46CB5">
      <w:pPr>
        <w:pStyle w:val="BodyText"/>
      </w:pPr>
      <w:r>
        <w:t>Although scrap metal export tonnages have been relatively stable on an annual basis for six years, 2020</w:t>
      </w:r>
      <w:r>
        <w:noBreakHyphen/>
        <w:t xml:space="preserve">21 was variable on a monthly basis. A dip in the middle of the year was followed by a boom, with monthly levels reaching their highest over the four-year monthly timeframe. </w:t>
      </w:r>
      <w:r w:rsidRPr="003E2ED8">
        <w:t>This is linked to high or even record prices affecting most types of scrap and non-scrap metals</w:t>
      </w:r>
      <w:r w:rsidRPr="003E2ED8">
        <w:rPr>
          <w:vertAlign w:val="superscript"/>
        </w:rPr>
        <w:footnoteReference w:id="16"/>
      </w:r>
      <w:r w:rsidRPr="003E2ED8">
        <w:t>, variously associated with expanding Chinese production</w:t>
      </w:r>
      <w:r w:rsidRPr="003E2ED8">
        <w:rPr>
          <w:vertAlign w:val="superscript"/>
        </w:rPr>
        <w:footnoteReference w:id="17"/>
      </w:r>
      <w:r w:rsidRPr="003E2ED8">
        <w:t xml:space="preserve"> and the pandemic</w:t>
      </w:r>
      <w:r w:rsidRPr="003E2ED8">
        <w:rPr>
          <w:vertAlign w:val="superscript"/>
        </w:rPr>
        <w:footnoteReference w:id="18"/>
      </w:r>
      <w:r w:rsidRPr="003E2ED8">
        <w:t xml:space="preserve">. Ferrous scrap is currently trading at </w:t>
      </w:r>
      <w:r w:rsidR="009968A3">
        <w:t>its</w:t>
      </w:r>
      <w:r w:rsidRPr="003E2ED8">
        <w:t xml:space="preserve"> highest prices for at least two decades, pulling through more marginal material and drawing down stockpiles.</w:t>
      </w:r>
    </w:p>
    <w:p w14:paraId="1049F6E2" w14:textId="5B1A96A1" w:rsidR="00F578C3" w:rsidRDefault="001929B1" w:rsidP="00F46CB5">
      <w:pPr>
        <w:pStyle w:val="BodyText"/>
      </w:pPr>
      <w:r>
        <w:t xml:space="preserve">Exports </w:t>
      </w:r>
      <w:r w:rsidR="009A20C4">
        <w:t>of</w:t>
      </w:r>
      <w:r>
        <w:t xml:space="preserve"> ‘other’ waste</w:t>
      </w:r>
      <w:r w:rsidR="009A20C4">
        <w:t xml:space="preserve"> – mostly agricultural organics – </w:t>
      </w:r>
      <w:r>
        <w:t xml:space="preserve">reached a new peak in 2020-21 of 387 kt. </w:t>
      </w:r>
    </w:p>
    <w:p w14:paraId="320FED2F" w14:textId="5FB257D0" w:rsidR="003E2ED8" w:rsidRDefault="003E2ED8" w:rsidP="003E2ED8">
      <w:pPr>
        <w:pStyle w:val="BodyText"/>
      </w:pPr>
      <w:r>
        <w:t xml:space="preserve">Exports of hazardous materials have been relatively consistent since 2015-16. </w:t>
      </w:r>
    </w:p>
    <w:p w14:paraId="57DFB754" w14:textId="6B12E5D0" w:rsidR="009A20C4" w:rsidRDefault="009A20C4" w:rsidP="003E2ED8">
      <w:pPr>
        <w:pStyle w:val="BodyText"/>
      </w:pPr>
      <w:r>
        <w:t>Over the last two to three months, international trade in goods, including waste materials, has been curtailed due to a confluence of problems, across global shipping availability, container availability, land-side transport availability, and port throughput constraints. This is driven by a multitude of factors, principally ongoing COVID-19 impacts.</w:t>
      </w:r>
    </w:p>
    <w:p w14:paraId="7FD8A218" w14:textId="42C2C03E" w:rsidR="00ED3EAD" w:rsidRPr="000F70AB" w:rsidRDefault="00ED3EAD" w:rsidP="000F70AB">
      <w:pPr>
        <w:pStyle w:val="Heading2nonumber"/>
        <w:spacing w:before="240" w:after="120"/>
        <w:rPr>
          <w:sz w:val="26"/>
        </w:rPr>
      </w:pPr>
      <w:bookmarkStart w:id="18" w:name="_Ref524954387"/>
      <w:r w:rsidRPr="000F70AB">
        <w:rPr>
          <w:sz w:val="26"/>
        </w:rPr>
        <w:t>Restrictions on waste imports</w:t>
      </w:r>
      <w:r w:rsidR="002E2C9A">
        <w:rPr>
          <w:sz w:val="26"/>
        </w:rPr>
        <w:t xml:space="preserve"> in export destinations</w:t>
      </w:r>
      <w:r w:rsidRPr="000F70AB">
        <w:rPr>
          <w:sz w:val="26"/>
        </w:rPr>
        <w:t xml:space="preserve"> </w:t>
      </w:r>
      <w:r w:rsidR="002E2C9A">
        <w:rPr>
          <w:sz w:val="26"/>
        </w:rPr>
        <w:t xml:space="preserve">– </w:t>
      </w:r>
      <w:r w:rsidR="00BE0F0E" w:rsidRPr="000F70AB">
        <w:rPr>
          <w:sz w:val="26"/>
        </w:rPr>
        <w:t>2020-21 highlights</w:t>
      </w:r>
    </w:p>
    <w:p w14:paraId="7443C00F" w14:textId="42163EFE" w:rsidR="002E2C9A" w:rsidRDefault="002E48F4" w:rsidP="00F46CB5">
      <w:pPr>
        <w:pStyle w:val="BodyText"/>
      </w:pPr>
      <w:r>
        <w:t xml:space="preserve">On 1 January 2021, </w:t>
      </w:r>
      <w:r w:rsidR="002E2C9A">
        <w:t xml:space="preserve">an </w:t>
      </w:r>
      <w:r>
        <w:t xml:space="preserve">amendment to the Basel </w:t>
      </w:r>
      <w:r w:rsidR="00FA1E4D">
        <w:t>C</w:t>
      </w:r>
      <w:r>
        <w:t xml:space="preserve">onvention </w:t>
      </w:r>
      <w:r w:rsidR="002E2C9A">
        <w:t>came into force</w:t>
      </w:r>
      <w:r w:rsidR="002E2C9A">
        <w:rPr>
          <w:rStyle w:val="FootnoteReference"/>
        </w:rPr>
        <w:footnoteReference w:id="19"/>
      </w:r>
      <w:r w:rsidR="002E2C9A">
        <w:t xml:space="preserve">, enhancing </w:t>
      </w:r>
      <w:r>
        <w:t>control of transboundary movements of plastic waste. The new rules stipulate that mixed plastic waste must be ‘almost free from’ contamination. This has been interpreted to mean anywhere between 0.5% and 5%</w:t>
      </w:r>
      <w:r>
        <w:rPr>
          <w:rStyle w:val="FootnoteReference"/>
        </w:rPr>
        <w:footnoteReference w:id="20"/>
      </w:r>
      <w:r>
        <w:t xml:space="preserve">.  </w:t>
      </w:r>
    </w:p>
    <w:p w14:paraId="2C1A685E" w14:textId="1153EFAF" w:rsidR="00031BF0" w:rsidRDefault="002E2C9A" w:rsidP="00F46CB5">
      <w:pPr>
        <w:pStyle w:val="BodyText"/>
      </w:pPr>
      <w:r>
        <w:t>On 22 December 2020</w:t>
      </w:r>
      <w:r>
        <w:rPr>
          <w:rStyle w:val="FootnoteReference"/>
        </w:rPr>
        <w:footnoteReference w:id="21"/>
      </w:r>
      <w:r>
        <w:t>, t</w:t>
      </w:r>
      <w:r w:rsidR="002E48F4">
        <w:t xml:space="preserve">he EU banned the export of plastic waste to non-OECD countries </w:t>
      </w:r>
      <w:r>
        <w:t xml:space="preserve">except </w:t>
      </w:r>
      <w:r w:rsidR="004B596A">
        <w:t>when</w:t>
      </w:r>
      <w:r w:rsidR="002E48F4">
        <w:t xml:space="preserve"> clean and </w:t>
      </w:r>
      <w:r w:rsidR="004B596A">
        <w:t xml:space="preserve">ready </w:t>
      </w:r>
      <w:r w:rsidR="002E48F4">
        <w:t xml:space="preserve">for recycling. Further restrictions on global plastic waste trade could be coming as the fifth session of the United Nations Environment Assembly (UNEA), held earlier this year proposed a global </w:t>
      </w:r>
    </w:p>
    <w:p w14:paraId="5BE535C7" w14:textId="6153681C" w:rsidR="00C21E3E" w:rsidRPr="00ED3EAD" w:rsidRDefault="00C21E3E" w:rsidP="00F46CB5">
      <w:pPr>
        <w:pStyle w:val="BodyText"/>
        <w:sectPr w:rsidR="00C21E3E" w:rsidRPr="00ED3EAD" w:rsidSect="00E4133D">
          <w:headerReference w:type="default" r:id="rId24"/>
          <w:footerReference w:type="default" r:id="rId25"/>
          <w:pgSz w:w="11906" w:h="16838" w:code="9"/>
          <w:pgMar w:top="1247" w:right="1134" w:bottom="907" w:left="1247" w:header="709" w:footer="0" w:gutter="0"/>
          <w:cols w:space="708"/>
          <w:docGrid w:linePitch="360"/>
        </w:sectPr>
      </w:pPr>
    </w:p>
    <w:p w14:paraId="3B0E987D" w14:textId="23B7EDDB" w:rsidR="004B596A" w:rsidRDefault="009A20C4" w:rsidP="004B596A">
      <w:pPr>
        <w:pStyle w:val="BodyText"/>
      </w:pPr>
      <w:bookmarkStart w:id="19" w:name="_Ref35786358"/>
      <w:bookmarkStart w:id="20" w:name="_Hlk34407122"/>
      <w:bookmarkEnd w:id="18"/>
      <w:r>
        <w:lastRenderedPageBreak/>
        <w:t>treaty on plastic waste, with 120 countries already indicating support</w:t>
      </w:r>
      <w:r>
        <w:rPr>
          <w:rStyle w:val="FootnoteReference"/>
        </w:rPr>
        <w:footnoteReference w:id="22"/>
      </w:r>
      <w:r>
        <w:t>. Due to the COVID pandemic the UNEA was unable to finalise an agreement but has put it on the agenda for next year’s meeting, when in-person sessions are expected to resume. Thailand’s ban on plastic waste imports</w:t>
      </w:r>
      <w:bookmarkStart w:id="21" w:name="_Ref76396887"/>
      <w:r>
        <w:t xml:space="preserve"> was also due to come</w:t>
      </w:r>
      <w:bookmarkEnd w:id="21"/>
      <w:r>
        <w:t xml:space="preserve"> into force in 2020-21, but the government instead decided on a gradual phase out, reducing quotas by 20% per year until 2026</w:t>
      </w:r>
      <w:r w:rsidRPr="00A15547">
        <w:rPr>
          <w:vertAlign w:val="superscript"/>
        </w:rPr>
        <w:fldChar w:fldCharType="begin"/>
      </w:r>
      <w:r w:rsidRPr="00A15547">
        <w:rPr>
          <w:vertAlign w:val="superscript"/>
        </w:rPr>
        <w:instrText xml:space="preserve"> NOTEREF _Ref80204472 \h </w:instrText>
      </w:r>
      <w:r>
        <w:rPr>
          <w:vertAlign w:val="superscript"/>
        </w:rPr>
        <w:instrText xml:space="preserve"> \* MERGEFORMAT </w:instrText>
      </w:r>
      <w:r w:rsidRPr="00A15547">
        <w:rPr>
          <w:vertAlign w:val="superscript"/>
        </w:rPr>
      </w:r>
      <w:r w:rsidRPr="00A15547">
        <w:rPr>
          <w:vertAlign w:val="superscript"/>
        </w:rPr>
        <w:fldChar w:fldCharType="separate"/>
      </w:r>
      <w:r w:rsidR="00557024">
        <w:rPr>
          <w:vertAlign w:val="superscript"/>
        </w:rPr>
        <w:t>41</w:t>
      </w:r>
      <w:r w:rsidRPr="00A15547">
        <w:rPr>
          <w:vertAlign w:val="superscript"/>
        </w:rPr>
        <w:fldChar w:fldCharType="end"/>
      </w:r>
      <w:r>
        <w:t xml:space="preserve">. </w:t>
      </w:r>
      <w:r w:rsidR="004B596A">
        <w:t>January 2021 was also the start of China’s total ban on solid waste imports. New definitions of certain reprocessed or scrap materials have been settled</w:t>
      </w:r>
      <w:r w:rsidR="004B596A">
        <w:rPr>
          <w:rStyle w:val="FootnoteReference"/>
        </w:rPr>
        <w:footnoteReference w:id="23"/>
      </w:r>
      <w:r w:rsidR="004B596A">
        <w:t xml:space="preserve">, including ferrous and non-ferrous metals and recycled pulp. Imports of high-quality reprocessed materials are noted as important to China’s zero carbon goals. </w:t>
      </w:r>
    </w:p>
    <w:p w14:paraId="39FCCA54" w14:textId="33E1E633" w:rsidR="004B596A" w:rsidRDefault="004B596A" w:rsidP="004B596A">
      <w:pPr>
        <w:pStyle w:val="BodyText"/>
      </w:pPr>
      <w:r>
        <w:t>Malaysia announced plans to introduce restrictions on scrap metal imports. Negotiations between the metal industry and government are continuing. The metals industry argues that its strong reliance on recycled scrap</w:t>
      </w:r>
      <w:r>
        <w:rPr>
          <w:rStyle w:val="FootnoteReference"/>
        </w:rPr>
        <w:footnoteReference w:id="24"/>
      </w:r>
      <w:r>
        <w:t xml:space="preserve"> needs to increase further to comply with emissions reduction commitments, and import restrictions could jeopardise this transition</w:t>
      </w:r>
      <w:bookmarkStart w:id="22" w:name="_Ref74218815"/>
      <w:r>
        <w:rPr>
          <w:rStyle w:val="FootnoteReference"/>
        </w:rPr>
        <w:footnoteReference w:id="25"/>
      </w:r>
      <w:bookmarkEnd w:id="22"/>
      <w:r>
        <w:t>.</w:t>
      </w:r>
      <w:r w:rsidRPr="00923462">
        <w:t xml:space="preserve"> </w:t>
      </w:r>
      <w:r>
        <w:t xml:space="preserve">The draft restrictions cover minimum metal content, contamination limits, as well as pre- and post-shipment inspections. An industry representative claimed these exceed the Basel Convention requirements on hazardous waste. Exporters are concerned that the restrictions could set a precedent leading to global restrictions on </w:t>
      </w:r>
      <w:r w:rsidR="00094C11">
        <w:t xml:space="preserve">the </w:t>
      </w:r>
      <w:r>
        <w:t xml:space="preserve">scrap metal trade. </w:t>
      </w:r>
    </w:p>
    <w:p w14:paraId="7E0861D8" w14:textId="03E5B917" w:rsidR="004B596A" w:rsidRDefault="004B596A" w:rsidP="004B596A">
      <w:pPr>
        <w:pStyle w:val="BodyText"/>
      </w:pPr>
      <w:r>
        <w:t>In 2020 Indonesia announced the formation of a task force to look at reducing the countr</w:t>
      </w:r>
      <w:r w:rsidR="00094C11">
        <w:t>y’</w:t>
      </w:r>
      <w:r>
        <w:t>s dependence on imports of scrap. However, more recently Indonesia’s head of the Centre for Green Industry, Standardization and Industrial Service Policy announced steps to be taken to boost recycling and move towards a circular economy</w:t>
      </w:r>
      <w:bookmarkStart w:id="23" w:name="_Ref76395966"/>
      <w:r>
        <w:rPr>
          <w:rStyle w:val="FootnoteReference"/>
        </w:rPr>
        <w:footnoteReference w:id="26"/>
      </w:r>
      <w:bookmarkEnd w:id="23"/>
      <w:r>
        <w:t>. The announcement noted the significance of the recycling industry to Indonesia’s economy and that imports would remain necessary to provide sufficient feedstocks. Plans to impose increased restrictions on contamination in exports of scraps have settled on a 2% rate, which came as good news to Australian exporters who rely heavily on Indonesia</w:t>
      </w:r>
      <w:r>
        <w:rPr>
          <w:rStyle w:val="FootnoteReference"/>
        </w:rPr>
        <w:footnoteReference w:id="27"/>
      </w:r>
      <w:r>
        <w:t>.</w:t>
      </w:r>
    </w:p>
    <w:p w14:paraId="3B935543" w14:textId="306DC417" w:rsidR="0073263E" w:rsidRDefault="0073263E" w:rsidP="0073263E">
      <w:pPr>
        <w:pStyle w:val="Heading3-nonumber"/>
      </w:pPr>
      <w:r>
        <w:t>Restrictions on waste import – overview</w:t>
      </w:r>
    </w:p>
    <w:p w14:paraId="1E3ABB97" w14:textId="22B92B78" w:rsidR="00A5584C" w:rsidRDefault="0073263E" w:rsidP="00CE47D6">
      <w:pPr>
        <w:spacing w:after="120"/>
      </w:pPr>
      <w:r>
        <w:t xml:space="preserve">The current status of import restrictions </w:t>
      </w:r>
      <w:r w:rsidR="00FA1E4D">
        <w:t>for</w:t>
      </w:r>
      <w:r>
        <w:t xml:space="preserve"> Australia’s top 10 waste and recovered materials destinations is summarised in </w:t>
      </w:r>
      <w:r>
        <w:fldChar w:fldCharType="begin"/>
      </w:r>
      <w:r>
        <w:instrText xml:space="preserve"> REF _Ref61865621 \h </w:instrText>
      </w:r>
      <w:r>
        <w:fldChar w:fldCharType="separate"/>
      </w:r>
      <w:r w:rsidR="00557024">
        <w:t xml:space="preserve">Table </w:t>
      </w:r>
      <w:r w:rsidR="00557024">
        <w:rPr>
          <w:noProof/>
        </w:rPr>
        <w:t>3</w:t>
      </w:r>
      <w:r>
        <w:fldChar w:fldCharType="end"/>
      </w:r>
      <w:r>
        <w:t xml:space="preserve">, while </w:t>
      </w:r>
      <w:r w:rsidR="009B55CF">
        <w:fldChar w:fldCharType="begin"/>
      </w:r>
      <w:r w:rsidR="009B55CF">
        <w:instrText xml:space="preserve"> REF _Ref66627684 \h </w:instrText>
      </w:r>
      <w:r w:rsidR="009B55CF">
        <w:fldChar w:fldCharType="separate"/>
      </w:r>
      <w:r w:rsidR="00557024">
        <w:t xml:space="preserve">Table </w:t>
      </w:r>
      <w:r w:rsidR="00557024">
        <w:rPr>
          <w:noProof/>
        </w:rPr>
        <w:t>4</w:t>
      </w:r>
      <w:r w:rsidR="009B55CF">
        <w:fldChar w:fldCharType="end"/>
      </w:r>
      <w:r w:rsidR="009B55CF">
        <w:t xml:space="preserve"> </w:t>
      </w:r>
      <w:r>
        <w:t>provides details of the import restriction policies, their dates and amount of waste potentially impacted by the bans.</w:t>
      </w:r>
    </w:p>
    <w:p w14:paraId="1A8FADB3" w14:textId="77777777" w:rsidR="00A5584C" w:rsidRDefault="00A5584C">
      <w:r>
        <w:br w:type="page"/>
      </w:r>
    </w:p>
    <w:p w14:paraId="4E3B57F0" w14:textId="541D10F7" w:rsidR="0073263E" w:rsidRDefault="0073263E" w:rsidP="0073263E">
      <w:pPr>
        <w:pStyle w:val="Caption"/>
        <w:keepNext/>
      </w:pPr>
      <w:bookmarkStart w:id="24" w:name="_Ref61865621"/>
      <w:r>
        <w:lastRenderedPageBreak/>
        <w:t xml:space="preserve">Table </w:t>
      </w:r>
      <w:r>
        <w:fldChar w:fldCharType="begin"/>
      </w:r>
      <w:r>
        <w:instrText>SEQ Table \* ARABIC</w:instrText>
      </w:r>
      <w:r>
        <w:fldChar w:fldCharType="separate"/>
      </w:r>
      <w:r w:rsidR="00557024">
        <w:rPr>
          <w:noProof/>
        </w:rPr>
        <w:t>3</w:t>
      </w:r>
      <w:r>
        <w:fldChar w:fldCharType="end"/>
      </w:r>
      <w:bookmarkEnd w:id="24"/>
      <w:r>
        <w:tab/>
        <w:t xml:space="preserve">Summary of import restrictions by material and top 10 </w:t>
      </w:r>
      <w:r w:rsidR="00AB1228">
        <w:t>destinations</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96673F" w:rsidRPr="00C918A7" w14:paraId="47412639" w14:textId="77777777" w:rsidTr="006E12AB">
        <w:trPr>
          <w:trHeight w:val="535"/>
        </w:trPr>
        <w:tc>
          <w:tcPr>
            <w:tcW w:w="1587" w:type="dxa"/>
            <w:tcBorders>
              <w:right w:val="nil"/>
            </w:tcBorders>
            <w:shd w:val="clear" w:color="auto" w:fill="9494D4" w:themeFill="accent1" w:themeFillTint="99"/>
          </w:tcPr>
          <w:p w14:paraId="55B9729B" w14:textId="77777777" w:rsidR="0096673F" w:rsidRPr="00C918A7" w:rsidRDefault="0096673F" w:rsidP="006E12AB">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466E95AD"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1B70E0DF"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546F8861"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55CFC203"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1E52BF97"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678CB6CE"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1C4DEA75"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74285A60" w14:textId="77777777" w:rsidR="0096673F" w:rsidRPr="00C918A7" w:rsidRDefault="0096673F" w:rsidP="006E12AB">
            <w:pPr>
              <w:rPr>
                <w:b/>
                <w:bCs/>
                <w:color w:val="FFFFFF" w:themeColor="background1"/>
                <w:sz w:val="20"/>
                <w:szCs w:val="20"/>
              </w:rPr>
            </w:pPr>
          </w:p>
        </w:tc>
        <w:tc>
          <w:tcPr>
            <w:tcW w:w="1075" w:type="dxa"/>
            <w:tcBorders>
              <w:top w:val="nil"/>
              <w:left w:val="nil"/>
              <w:bottom w:val="nil"/>
              <w:right w:val="nil"/>
            </w:tcBorders>
            <w:shd w:val="clear" w:color="auto" w:fill="auto"/>
          </w:tcPr>
          <w:p w14:paraId="4B2006D7" w14:textId="77777777" w:rsidR="0096673F" w:rsidRPr="00C918A7" w:rsidRDefault="0096673F" w:rsidP="006E12AB">
            <w:pPr>
              <w:rPr>
                <w:b/>
                <w:bCs/>
                <w:color w:val="FFFFFF" w:themeColor="background1"/>
                <w:sz w:val="20"/>
                <w:szCs w:val="20"/>
              </w:rPr>
            </w:pPr>
          </w:p>
        </w:tc>
        <w:tc>
          <w:tcPr>
            <w:tcW w:w="4394" w:type="dxa"/>
            <w:tcBorders>
              <w:top w:val="nil"/>
              <w:left w:val="nil"/>
              <w:bottom w:val="nil"/>
              <w:right w:val="nil"/>
            </w:tcBorders>
            <w:shd w:val="clear" w:color="auto" w:fill="auto"/>
          </w:tcPr>
          <w:p w14:paraId="26B34A96" w14:textId="77777777" w:rsidR="0096673F" w:rsidRPr="0009205F" w:rsidRDefault="0096673F" w:rsidP="006E12AB">
            <w:pPr>
              <w:rPr>
                <w:color w:val="000000" w:themeColor="text1"/>
                <w:sz w:val="20"/>
                <w:szCs w:val="20"/>
              </w:rPr>
            </w:pPr>
          </w:p>
        </w:tc>
      </w:tr>
      <w:tr w:rsidR="0096673F" w:rsidRPr="00C918A7" w14:paraId="79AC7E92" w14:textId="77777777" w:rsidTr="009A20C4">
        <w:tc>
          <w:tcPr>
            <w:tcW w:w="1587" w:type="dxa"/>
          </w:tcPr>
          <w:p w14:paraId="2964285C" w14:textId="77777777" w:rsidR="0096673F" w:rsidRPr="00C918A7" w:rsidRDefault="0096673F" w:rsidP="006E12AB">
            <w:pPr>
              <w:rPr>
                <w:sz w:val="20"/>
                <w:szCs w:val="20"/>
              </w:rPr>
            </w:pPr>
            <w:r w:rsidRPr="00C918A7">
              <w:rPr>
                <w:sz w:val="20"/>
                <w:szCs w:val="20"/>
              </w:rPr>
              <w:t>Indonesia</w:t>
            </w:r>
          </w:p>
        </w:tc>
        <w:tc>
          <w:tcPr>
            <w:tcW w:w="1077" w:type="dxa"/>
            <w:shd w:val="clear" w:color="auto" w:fill="FF0000"/>
          </w:tcPr>
          <w:p w14:paraId="026D0820" w14:textId="77777777" w:rsidR="0096673F" w:rsidRPr="00096777" w:rsidRDefault="0096673F" w:rsidP="006E12AB">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2BDD57A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578FCC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D8593D0"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8847DA3"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4DD49F6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70F4B777"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772F4A23" w14:textId="77777777" w:rsidR="0096673F" w:rsidRPr="00C918A7" w:rsidRDefault="0096673F" w:rsidP="006E12AB">
            <w:pPr>
              <w:rPr>
                <w:sz w:val="20"/>
                <w:szCs w:val="20"/>
              </w:rPr>
            </w:pPr>
          </w:p>
        </w:tc>
        <w:tc>
          <w:tcPr>
            <w:tcW w:w="1075" w:type="dxa"/>
            <w:tcBorders>
              <w:top w:val="nil"/>
              <w:left w:val="nil"/>
              <w:bottom w:val="nil"/>
              <w:right w:val="nil"/>
            </w:tcBorders>
          </w:tcPr>
          <w:p w14:paraId="6C3C0EEF" w14:textId="77777777" w:rsidR="0096673F" w:rsidRPr="00C918A7" w:rsidRDefault="0096673F" w:rsidP="006E12AB">
            <w:pPr>
              <w:rPr>
                <w:b/>
                <w:bCs/>
                <w:sz w:val="20"/>
                <w:szCs w:val="20"/>
              </w:rPr>
            </w:pPr>
            <w:r>
              <w:rPr>
                <w:b/>
                <w:bCs/>
                <w:sz w:val="20"/>
                <w:szCs w:val="20"/>
              </w:rPr>
              <w:t>Key</w:t>
            </w:r>
          </w:p>
        </w:tc>
        <w:tc>
          <w:tcPr>
            <w:tcW w:w="4394" w:type="dxa"/>
            <w:tcBorders>
              <w:top w:val="nil"/>
              <w:left w:val="nil"/>
              <w:bottom w:val="nil"/>
              <w:right w:val="nil"/>
            </w:tcBorders>
            <w:shd w:val="clear" w:color="auto" w:fill="auto"/>
          </w:tcPr>
          <w:p w14:paraId="5715C828" w14:textId="77777777" w:rsidR="0096673F" w:rsidRPr="0009205F" w:rsidRDefault="0096673F" w:rsidP="006E12AB">
            <w:pPr>
              <w:rPr>
                <w:color w:val="000000" w:themeColor="text1"/>
                <w:sz w:val="20"/>
                <w:szCs w:val="20"/>
              </w:rPr>
            </w:pPr>
          </w:p>
        </w:tc>
      </w:tr>
      <w:tr w:rsidR="0096673F" w:rsidRPr="00C918A7" w14:paraId="149C66C5" w14:textId="77777777" w:rsidTr="009A20C4">
        <w:tc>
          <w:tcPr>
            <w:tcW w:w="1587" w:type="dxa"/>
          </w:tcPr>
          <w:p w14:paraId="69809149" w14:textId="77777777" w:rsidR="0096673F" w:rsidRPr="00C918A7" w:rsidRDefault="0096673F" w:rsidP="006E12AB">
            <w:pPr>
              <w:rPr>
                <w:sz w:val="20"/>
                <w:szCs w:val="20"/>
              </w:rPr>
            </w:pPr>
            <w:r w:rsidRPr="00C918A7">
              <w:rPr>
                <w:sz w:val="20"/>
                <w:szCs w:val="20"/>
              </w:rPr>
              <w:t>India</w:t>
            </w:r>
          </w:p>
        </w:tc>
        <w:tc>
          <w:tcPr>
            <w:tcW w:w="1077" w:type="dxa"/>
          </w:tcPr>
          <w:p w14:paraId="04528D3E" w14:textId="77777777" w:rsidR="0096673F" w:rsidRPr="00C918A7" w:rsidRDefault="0096673F" w:rsidP="006E12AB">
            <w:pPr>
              <w:jc w:val="center"/>
              <w:rPr>
                <w:sz w:val="20"/>
                <w:szCs w:val="20"/>
              </w:rPr>
            </w:pPr>
          </w:p>
        </w:tc>
        <w:tc>
          <w:tcPr>
            <w:tcW w:w="1077" w:type="dxa"/>
          </w:tcPr>
          <w:p w14:paraId="6E013054" w14:textId="77777777" w:rsidR="0096673F" w:rsidRPr="00C918A7" w:rsidRDefault="0096673F" w:rsidP="006E12AB">
            <w:pPr>
              <w:jc w:val="center"/>
              <w:rPr>
                <w:sz w:val="20"/>
                <w:szCs w:val="20"/>
              </w:rPr>
            </w:pPr>
          </w:p>
        </w:tc>
        <w:tc>
          <w:tcPr>
            <w:tcW w:w="1077" w:type="dxa"/>
            <w:shd w:val="clear" w:color="auto" w:fill="FFFF00"/>
          </w:tcPr>
          <w:p w14:paraId="3EA7F82F" w14:textId="5477F71D" w:rsidR="0096673F" w:rsidRPr="00C918A7" w:rsidRDefault="00940BD6" w:rsidP="006E12AB">
            <w:pPr>
              <w:jc w:val="center"/>
              <w:rPr>
                <w:sz w:val="20"/>
                <w:szCs w:val="20"/>
              </w:rPr>
            </w:pPr>
            <w:r w:rsidRPr="00940BD6">
              <w:rPr>
                <w:color w:val="000000" w:themeColor="text1"/>
                <w:sz w:val="20"/>
                <w:szCs w:val="20"/>
                <w:highlight w:val="yellow"/>
              </w:rPr>
              <w:t>Considering</w:t>
            </w:r>
          </w:p>
        </w:tc>
        <w:tc>
          <w:tcPr>
            <w:tcW w:w="1077" w:type="dxa"/>
          </w:tcPr>
          <w:p w14:paraId="4CE8EBAE" w14:textId="77777777" w:rsidR="0096673F" w:rsidRPr="00C918A7" w:rsidRDefault="0096673F" w:rsidP="006E12AB">
            <w:pPr>
              <w:jc w:val="center"/>
              <w:rPr>
                <w:sz w:val="20"/>
                <w:szCs w:val="20"/>
              </w:rPr>
            </w:pPr>
          </w:p>
        </w:tc>
        <w:tc>
          <w:tcPr>
            <w:tcW w:w="1077" w:type="dxa"/>
            <w:shd w:val="clear" w:color="auto" w:fill="FF0000"/>
          </w:tcPr>
          <w:p w14:paraId="1EA64C6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FF00"/>
          </w:tcPr>
          <w:p w14:paraId="6CCEBFBF" w14:textId="77777777" w:rsidR="0096673F" w:rsidRPr="00C918A7" w:rsidRDefault="0096673F" w:rsidP="006E12AB">
            <w:pPr>
              <w:jc w:val="center"/>
              <w:rPr>
                <w:sz w:val="20"/>
                <w:szCs w:val="20"/>
              </w:rPr>
            </w:pPr>
            <w:r>
              <w:rPr>
                <w:sz w:val="20"/>
                <w:szCs w:val="20"/>
              </w:rPr>
              <w:t>Considering</w:t>
            </w:r>
          </w:p>
        </w:tc>
        <w:tc>
          <w:tcPr>
            <w:tcW w:w="1077" w:type="dxa"/>
          </w:tcPr>
          <w:p w14:paraId="529EED89"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60B7105" w14:textId="77777777" w:rsidR="0096673F" w:rsidRPr="00C918A7" w:rsidRDefault="0096673F" w:rsidP="006E12AB">
            <w:pPr>
              <w:rPr>
                <w:sz w:val="20"/>
                <w:szCs w:val="20"/>
              </w:rPr>
            </w:pPr>
          </w:p>
        </w:tc>
        <w:tc>
          <w:tcPr>
            <w:tcW w:w="1075" w:type="dxa"/>
            <w:tcBorders>
              <w:top w:val="nil"/>
              <w:left w:val="nil"/>
              <w:bottom w:val="nil"/>
              <w:right w:val="nil"/>
            </w:tcBorders>
            <w:shd w:val="clear" w:color="auto" w:fill="FF0000"/>
          </w:tcPr>
          <w:p w14:paraId="6FFB94E5" w14:textId="77777777" w:rsidR="0096673F" w:rsidRPr="0009205F" w:rsidRDefault="0096673F" w:rsidP="006E12AB">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tcBorders>
              <w:top w:val="nil"/>
              <w:left w:val="nil"/>
              <w:bottom w:val="nil"/>
              <w:right w:val="nil"/>
            </w:tcBorders>
            <w:shd w:val="clear" w:color="auto" w:fill="auto"/>
          </w:tcPr>
          <w:p w14:paraId="218C0B5B" w14:textId="77777777" w:rsidR="0096673F" w:rsidRPr="0009205F" w:rsidRDefault="0096673F" w:rsidP="006E12AB">
            <w:pPr>
              <w:rPr>
                <w:color w:val="000000" w:themeColor="text1"/>
                <w:sz w:val="20"/>
                <w:szCs w:val="20"/>
              </w:rPr>
            </w:pPr>
            <w:r w:rsidRPr="0009205F">
              <w:rPr>
                <w:color w:val="000000" w:themeColor="text1"/>
                <w:sz w:val="20"/>
                <w:szCs w:val="20"/>
              </w:rPr>
              <w:t>Restrictions are in place</w:t>
            </w:r>
          </w:p>
        </w:tc>
      </w:tr>
      <w:tr w:rsidR="0096673F" w:rsidRPr="00C918A7" w14:paraId="354108C2" w14:textId="77777777" w:rsidTr="009A20C4">
        <w:tc>
          <w:tcPr>
            <w:tcW w:w="1587" w:type="dxa"/>
          </w:tcPr>
          <w:p w14:paraId="4F1F5CB2" w14:textId="77777777" w:rsidR="0096673F" w:rsidRPr="00C918A7" w:rsidRDefault="0096673F" w:rsidP="006E12AB">
            <w:pPr>
              <w:rPr>
                <w:sz w:val="20"/>
                <w:szCs w:val="20"/>
              </w:rPr>
            </w:pPr>
            <w:r w:rsidRPr="00C918A7">
              <w:rPr>
                <w:sz w:val="20"/>
                <w:szCs w:val="20"/>
              </w:rPr>
              <w:t>Bangladesh</w:t>
            </w:r>
          </w:p>
        </w:tc>
        <w:tc>
          <w:tcPr>
            <w:tcW w:w="1077" w:type="dxa"/>
          </w:tcPr>
          <w:p w14:paraId="0133FD4C" w14:textId="77777777" w:rsidR="0096673F" w:rsidRPr="00C918A7" w:rsidRDefault="0096673F" w:rsidP="006E12AB">
            <w:pPr>
              <w:jc w:val="center"/>
              <w:rPr>
                <w:sz w:val="20"/>
                <w:szCs w:val="20"/>
              </w:rPr>
            </w:pPr>
          </w:p>
        </w:tc>
        <w:tc>
          <w:tcPr>
            <w:tcW w:w="1077" w:type="dxa"/>
          </w:tcPr>
          <w:p w14:paraId="4288FDEA" w14:textId="77777777" w:rsidR="0096673F" w:rsidRPr="00C918A7" w:rsidRDefault="0096673F" w:rsidP="006E12AB">
            <w:pPr>
              <w:jc w:val="center"/>
              <w:rPr>
                <w:sz w:val="20"/>
                <w:szCs w:val="20"/>
              </w:rPr>
            </w:pPr>
          </w:p>
        </w:tc>
        <w:tc>
          <w:tcPr>
            <w:tcW w:w="1077" w:type="dxa"/>
          </w:tcPr>
          <w:p w14:paraId="1C81C16B" w14:textId="77777777" w:rsidR="0096673F" w:rsidRPr="00C918A7" w:rsidRDefault="0096673F" w:rsidP="006E12AB">
            <w:pPr>
              <w:jc w:val="center"/>
              <w:rPr>
                <w:sz w:val="20"/>
                <w:szCs w:val="20"/>
              </w:rPr>
            </w:pPr>
          </w:p>
        </w:tc>
        <w:tc>
          <w:tcPr>
            <w:tcW w:w="1077" w:type="dxa"/>
          </w:tcPr>
          <w:p w14:paraId="38E5E8C8" w14:textId="77777777" w:rsidR="0096673F" w:rsidRPr="00C918A7" w:rsidRDefault="0096673F" w:rsidP="006E12AB">
            <w:pPr>
              <w:jc w:val="center"/>
              <w:rPr>
                <w:sz w:val="20"/>
                <w:szCs w:val="20"/>
              </w:rPr>
            </w:pPr>
          </w:p>
        </w:tc>
        <w:tc>
          <w:tcPr>
            <w:tcW w:w="1077" w:type="dxa"/>
            <w:shd w:val="clear" w:color="auto" w:fill="FF0000"/>
          </w:tcPr>
          <w:p w14:paraId="6720225C" w14:textId="61987A56" w:rsidR="0096673F" w:rsidRPr="00C918A7" w:rsidRDefault="00CB52C2" w:rsidP="006E12AB">
            <w:pPr>
              <w:jc w:val="center"/>
              <w:rPr>
                <w:sz w:val="20"/>
                <w:szCs w:val="20"/>
              </w:rPr>
            </w:pPr>
            <w:r w:rsidRPr="00096777">
              <w:rPr>
                <w:b/>
                <w:bCs/>
                <w:color w:val="FFFFFF" w:themeColor="background1"/>
                <w:sz w:val="20"/>
                <w:szCs w:val="20"/>
              </w:rPr>
              <w:t>Restricted</w:t>
            </w:r>
          </w:p>
        </w:tc>
        <w:tc>
          <w:tcPr>
            <w:tcW w:w="1077" w:type="dxa"/>
          </w:tcPr>
          <w:p w14:paraId="56D31E3A" w14:textId="77777777" w:rsidR="0096673F" w:rsidRPr="00C918A7" w:rsidRDefault="0096673F" w:rsidP="006E12AB">
            <w:pPr>
              <w:jc w:val="center"/>
              <w:rPr>
                <w:sz w:val="20"/>
                <w:szCs w:val="20"/>
              </w:rPr>
            </w:pPr>
          </w:p>
        </w:tc>
        <w:tc>
          <w:tcPr>
            <w:tcW w:w="1077" w:type="dxa"/>
          </w:tcPr>
          <w:p w14:paraId="7C3B8C1B"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137ADD60" w14:textId="77777777" w:rsidR="0096673F" w:rsidRPr="00C918A7" w:rsidRDefault="0096673F" w:rsidP="006E12AB">
            <w:pPr>
              <w:rPr>
                <w:sz w:val="20"/>
                <w:szCs w:val="20"/>
              </w:rPr>
            </w:pPr>
          </w:p>
        </w:tc>
        <w:tc>
          <w:tcPr>
            <w:tcW w:w="1075" w:type="dxa"/>
            <w:tcBorders>
              <w:top w:val="nil"/>
              <w:left w:val="nil"/>
              <w:bottom w:val="nil"/>
              <w:right w:val="nil"/>
            </w:tcBorders>
            <w:shd w:val="clear" w:color="auto" w:fill="FFEBCA" w:themeFill="accent4" w:themeFillTint="33"/>
          </w:tcPr>
          <w:p w14:paraId="6B8B5F33" w14:textId="77777777" w:rsidR="0096673F" w:rsidRPr="00C918A7" w:rsidRDefault="0096673F" w:rsidP="006E12AB">
            <w:pPr>
              <w:rPr>
                <w:sz w:val="20"/>
                <w:szCs w:val="20"/>
              </w:rPr>
            </w:pPr>
            <w:r>
              <w:rPr>
                <w:sz w:val="20"/>
                <w:szCs w:val="20"/>
              </w:rPr>
              <w:t>A</w:t>
            </w:r>
            <w:r w:rsidRPr="00C918A7">
              <w:rPr>
                <w:sz w:val="20"/>
                <w:szCs w:val="20"/>
              </w:rPr>
              <w:t>nnounced</w:t>
            </w:r>
          </w:p>
        </w:tc>
        <w:tc>
          <w:tcPr>
            <w:tcW w:w="4394" w:type="dxa"/>
            <w:tcBorders>
              <w:top w:val="nil"/>
              <w:left w:val="nil"/>
              <w:bottom w:val="nil"/>
              <w:right w:val="nil"/>
            </w:tcBorders>
            <w:shd w:val="clear" w:color="auto" w:fill="auto"/>
          </w:tcPr>
          <w:p w14:paraId="5CD011A0" w14:textId="77777777" w:rsidR="0096673F" w:rsidRPr="0009205F" w:rsidRDefault="0096673F" w:rsidP="006E12AB">
            <w:pPr>
              <w:rPr>
                <w:color w:val="000000" w:themeColor="text1"/>
                <w:sz w:val="20"/>
                <w:szCs w:val="20"/>
              </w:rPr>
            </w:pPr>
            <w:r w:rsidRPr="0009205F">
              <w:rPr>
                <w:color w:val="000000" w:themeColor="text1"/>
                <w:sz w:val="20"/>
                <w:szCs w:val="20"/>
              </w:rPr>
              <w:t>Restrictions announced but not yet implemented</w:t>
            </w:r>
          </w:p>
        </w:tc>
      </w:tr>
      <w:tr w:rsidR="0096673F" w:rsidRPr="00C918A7" w14:paraId="5E96CCB5" w14:textId="77777777" w:rsidTr="009A20C4">
        <w:tc>
          <w:tcPr>
            <w:tcW w:w="1587" w:type="dxa"/>
          </w:tcPr>
          <w:p w14:paraId="1AF9C7F4" w14:textId="77777777" w:rsidR="0096673F" w:rsidRPr="00C918A7" w:rsidRDefault="0096673F" w:rsidP="006E12AB">
            <w:pPr>
              <w:rPr>
                <w:sz w:val="20"/>
                <w:szCs w:val="20"/>
              </w:rPr>
            </w:pPr>
            <w:r w:rsidRPr="00C918A7">
              <w:rPr>
                <w:sz w:val="20"/>
                <w:szCs w:val="20"/>
              </w:rPr>
              <w:t>Vietnam</w:t>
            </w:r>
          </w:p>
        </w:tc>
        <w:tc>
          <w:tcPr>
            <w:tcW w:w="1077" w:type="dxa"/>
          </w:tcPr>
          <w:p w14:paraId="7B78AE6F" w14:textId="77777777" w:rsidR="0096673F" w:rsidRPr="00C918A7" w:rsidRDefault="0096673F" w:rsidP="006E12AB">
            <w:pPr>
              <w:jc w:val="center"/>
              <w:rPr>
                <w:sz w:val="20"/>
                <w:szCs w:val="20"/>
              </w:rPr>
            </w:pPr>
          </w:p>
        </w:tc>
        <w:tc>
          <w:tcPr>
            <w:tcW w:w="1077" w:type="dxa"/>
          </w:tcPr>
          <w:p w14:paraId="5FC8CD83" w14:textId="77777777" w:rsidR="0096673F" w:rsidRPr="00C918A7" w:rsidRDefault="0096673F" w:rsidP="006E12AB">
            <w:pPr>
              <w:jc w:val="center"/>
              <w:rPr>
                <w:sz w:val="20"/>
                <w:szCs w:val="20"/>
              </w:rPr>
            </w:pPr>
          </w:p>
        </w:tc>
        <w:tc>
          <w:tcPr>
            <w:tcW w:w="1077" w:type="dxa"/>
            <w:shd w:val="clear" w:color="auto" w:fill="FF0000"/>
          </w:tcPr>
          <w:p w14:paraId="3580F7B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2FAC6BF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04B5E06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06FBAAB" w14:textId="77777777" w:rsidR="0096673F" w:rsidRPr="00C918A7" w:rsidRDefault="0096673F" w:rsidP="006E12AB">
            <w:pPr>
              <w:jc w:val="center"/>
              <w:rPr>
                <w:sz w:val="20"/>
                <w:szCs w:val="20"/>
              </w:rPr>
            </w:pPr>
          </w:p>
        </w:tc>
        <w:tc>
          <w:tcPr>
            <w:tcW w:w="1077" w:type="dxa"/>
          </w:tcPr>
          <w:p w14:paraId="695922BC"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1B9686BA" w14:textId="77777777" w:rsidR="0096673F" w:rsidRPr="00C918A7" w:rsidRDefault="0096673F" w:rsidP="006E12AB">
            <w:pPr>
              <w:rPr>
                <w:sz w:val="20"/>
                <w:szCs w:val="20"/>
              </w:rPr>
            </w:pPr>
          </w:p>
        </w:tc>
        <w:tc>
          <w:tcPr>
            <w:tcW w:w="1075" w:type="dxa"/>
            <w:tcBorders>
              <w:top w:val="nil"/>
              <w:left w:val="nil"/>
              <w:bottom w:val="nil"/>
              <w:right w:val="nil"/>
            </w:tcBorders>
            <w:shd w:val="clear" w:color="auto" w:fill="FFFF00"/>
          </w:tcPr>
          <w:p w14:paraId="78BB4DC8" w14:textId="77777777" w:rsidR="0096673F" w:rsidRPr="0009205F" w:rsidRDefault="0096673F" w:rsidP="006E12AB">
            <w:pPr>
              <w:rPr>
                <w:color w:val="000000" w:themeColor="text1"/>
                <w:sz w:val="20"/>
                <w:szCs w:val="20"/>
              </w:rPr>
            </w:pPr>
            <w:r w:rsidRPr="0009205F">
              <w:rPr>
                <w:color w:val="000000" w:themeColor="text1"/>
                <w:sz w:val="20"/>
                <w:szCs w:val="20"/>
              </w:rPr>
              <w:t>Considering</w:t>
            </w:r>
          </w:p>
        </w:tc>
        <w:tc>
          <w:tcPr>
            <w:tcW w:w="4394" w:type="dxa"/>
            <w:tcBorders>
              <w:top w:val="nil"/>
              <w:left w:val="nil"/>
              <w:bottom w:val="nil"/>
              <w:right w:val="nil"/>
            </w:tcBorders>
            <w:shd w:val="clear" w:color="auto" w:fill="auto"/>
          </w:tcPr>
          <w:p w14:paraId="44A3E50C" w14:textId="77777777" w:rsidR="0096673F" w:rsidRPr="0009205F" w:rsidRDefault="0096673F" w:rsidP="006E12AB">
            <w:pPr>
              <w:rPr>
                <w:color w:val="000000" w:themeColor="text1"/>
                <w:sz w:val="20"/>
                <w:szCs w:val="20"/>
              </w:rPr>
            </w:pPr>
            <w:r w:rsidRPr="0009205F">
              <w:rPr>
                <w:color w:val="000000" w:themeColor="text1"/>
                <w:sz w:val="20"/>
                <w:szCs w:val="20"/>
              </w:rPr>
              <w:t>Restrictions are under consideration</w:t>
            </w:r>
          </w:p>
        </w:tc>
      </w:tr>
      <w:tr w:rsidR="0096673F" w:rsidRPr="00C918A7" w14:paraId="72F9484D" w14:textId="77777777" w:rsidTr="009A20C4">
        <w:tc>
          <w:tcPr>
            <w:tcW w:w="1587" w:type="dxa"/>
          </w:tcPr>
          <w:p w14:paraId="5A38234E" w14:textId="77777777" w:rsidR="0096673F" w:rsidRPr="00C918A7" w:rsidRDefault="0096673F" w:rsidP="006E12AB">
            <w:pPr>
              <w:rPr>
                <w:sz w:val="20"/>
                <w:szCs w:val="20"/>
              </w:rPr>
            </w:pPr>
            <w:r w:rsidRPr="00C918A7">
              <w:rPr>
                <w:sz w:val="20"/>
                <w:szCs w:val="20"/>
              </w:rPr>
              <w:t>China</w:t>
            </w:r>
          </w:p>
        </w:tc>
        <w:tc>
          <w:tcPr>
            <w:tcW w:w="1077" w:type="dxa"/>
          </w:tcPr>
          <w:p w14:paraId="36AF423A" w14:textId="77777777" w:rsidR="0096673F" w:rsidRPr="00C918A7" w:rsidRDefault="0096673F" w:rsidP="006E12AB">
            <w:pPr>
              <w:jc w:val="center"/>
              <w:rPr>
                <w:sz w:val="20"/>
                <w:szCs w:val="20"/>
              </w:rPr>
            </w:pPr>
          </w:p>
        </w:tc>
        <w:tc>
          <w:tcPr>
            <w:tcW w:w="1077" w:type="dxa"/>
          </w:tcPr>
          <w:p w14:paraId="7C8C6B35" w14:textId="77777777" w:rsidR="0096673F" w:rsidRPr="00C918A7" w:rsidRDefault="0096673F" w:rsidP="006E12AB">
            <w:pPr>
              <w:jc w:val="center"/>
              <w:rPr>
                <w:sz w:val="20"/>
                <w:szCs w:val="20"/>
              </w:rPr>
            </w:pPr>
          </w:p>
        </w:tc>
        <w:tc>
          <w:tcPr>
            <w:tcW w:w="1077" w:type="dxa"/>
            <w:shd w:val="clear" w:color="auto" w:fill="FF0000"/>
          </w:tcPr>
          <w:p w14:paraId="31F9BC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54C80C64"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990467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4EEC6A3F" w14:textId="77777777" w:rsidR="0096673F" w:rsidRPr="00C918A7" w:rsidRDefault="0096673F" w:rsidP="006E12AB">
            <w:pPr>
              <w:jc w:val="center"/>
              <w:rPr>
                <w:sz w:val="20"/>
                <w:szCs w:val="20"/>
              </w:rPr>
            </w:pPr>
          </w:p>
        </w:tc>
        <w:tc>
          <w:tcPr>
            <w:tcW w:w="1077" w:type="dxa"/>
          </w:tcPr>
          <w:p w14:paraId="5EB4C801"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5869B563" w14:textId="77777777" w:rsidR="0096673F" w:rsidRPr="00C918A7" w:rsidRDefault="0096673F" w:rsidP="006E12AB">
            <w:pPr>
              <w:rPr>
                <w:sz w:val="20"/>
                <w:szCs w:val="20"/>
              </w:rPr>
            </w:pPr>
          </w:p>
        </w:tc>
        <w:tc>
          <w:tcPr>
            <w:tcW w:w="1075" w:type="dxa"/>
            <w:tcBorders>
              <w:top w:val="nil"/>
              <w:left w:val="nil"/>
              <w:bottom w:val="nil"/>
              <w:right w:val="nil"/>
            </w:tcBorders>
          </w:tcPr>
          <w:p w14:paraId="6A608DCD"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152CCE76" w14:textId="77777777" w:rsidR="0096673F" w:rsidRPr="0009205F" w:rsidRDefault="0096673F" w:rsidP="006E12AB">
            <w:pPr>
              <w:rPr>
                <w:color w:val="000000" w:themeColor="text1"/>
                <w:sz w:val="20"/>
                <w:szCs w:val="20"/>
              </w:rPr>
            </w:pPr>
          </w:p>
        </w:tc>
      </w:tr>
      <w:tr w:rsidR="0096673F" w:rsidRPr="00C918A7" w14:paraId="3739CB21" w14:textId="77777777" w:rsidTr="006E12AB">
        <w:tc>
          <w:tcPr>
            <w:tcW w:w="1587" w:type="dxa"/>
          </w:tcPr>
          <w:p w14:paraId="60579E18" w14:textId="77777777" w:rsidR="0096673F" w:rsidRPr="00C918A7" w:rsidRDefault="0096673F" w:rsidP="006E12AB">
            <w:pPr>
              <w:rPr>
                <w:sz w:val="20"/>
                <w:szCs w:val="20"/>
              </w:rPr>
            </w:pPr>
            <w:r w:rsidRPr="00C918A7">
              <w:rPr>
                <w:sz w:val="20"/>
                <w:szCs w:val="20"/>
              </w:rPr>
              <w:t>Malaysia</w:t>
            </w:r>
          </w:p>
        </w:tc>
        <w:tc>
          <w:tcPr>
            <w:tcW w:w="1077" w:type="dxa"/>
          </w:tcPr>
          <w:p w14:paraId="1C58DCC2" w14:textId="77777777" w:rsidR="0096673F" w:rsidRPr="00C918A7" w:rsidRDefault="0096673F" w:rsidP="006E12AB">
            <w:pPr>
              <w:jc w:val="center"/>
              <w:rPr>
                <w:sz w:val="20"/>
                <w:szCs w:val="20"/>
              </w:rPr>
            </w:pPr>
          </w:p>
        </w:tc>
        <w:tc>
          <w:tcPr>
            <w:tcW w:w="1077" w:type="dxa"/>
          </w:tcPr>
          <w:p w14:paraId="1819B062" w14:textId="77777777" w:rsidR="0096673F" w:rsidRPr="00C918A7" w:rsidRDefault="0096673F" w:rsidP="006E12AB">
            <w:pPr>
              <w:jc w:val="center"/>
              <w:rPr>
                <w:sz w:val="20"/>
                <w:szCs w:val="20"/>
              </w:rPr>
            </w:pPr>
          </w:p>
        </w:tc>
        <w:tc>
          <w:tcPr>
            <w:tcW w:w="1077" w:type="dxa"/>
          </w:tcPr>
          <w:p w14:paraId="2C905208" w14:textId="0F1AF6E6" w:rsidR="0096673F" w:rsidRPr="00C918A7" w:rsidRDefault="001E68E7" w:rsidP="006E12AB">
            <w:pPr>
              <w:jc w:val="center"/>
              <w:rPr>
                <w:sz w:val="20"/>
                <w:szCs w:val="20"/>
              </w:rPr>
            </w:pPr>
            <w:r w:rsidRPr="00940BD6">
              <w:rPr>
                <w:color w:val="000000" w:themeColor="text1"/>
                <w:sz w:val="20"/>
                <w:szCs w:val="20"/>
                <w:highlight w:val="yellow"/>
              </w:rPr>
              <w:t>Considering</w:t>
            </w:r>
          </w:p>
        </w:tc>
        <w:tc>
          <w:tcPr>
            <w:tcW w:w="1077" w:type="dxa"/>
          </w:tcPr>
          <w:p w14:paraId="37A7B9C0" w14:textId="77777777" w:rsidR="0096673F" w:rsidRPr="00C918A7" w:rsidRDefault="0096673F" w:rsidP="006E12AB">
            <w:pPr>
              <w:jc w:val="center"/>
              <w:rPr>
                <w:sz w:val="20"/>
                <w:szCs w:val="20"/>
              </w:rPr>
            </w:pPr>
          </w:p>
        </w:tc>
        <w:tc>
          <w:tcPr>
            <w:tcW w:w="1077" w:type="dxa"/>
            <w:shd w:val="clear" w:color="auto" w:fill="FF0000"/>
          </w:tcPr>
          <w:p w14:paraId="388DC11C"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1361827" w14:textId="77777777" w:rsidR="0096673F" w:rsidRPr="00C918A7" w:rsidRDefault="0096673F" w:rsidP="006E12AB">
            <w:pPr>
              <w:jc w:val="center"/>
              <w:rPr>
                <w:sz w:val="20"/>
                <w:szCs w:val="20"/>
              </w:rPr>
            </w:pPr>
          </w:p>
        </w:tc>
        <w:tc>
          <w:tcPr>
            <w:tcW w:w="1077" w:type="dxa"/>
          </w:tcPr>
          <w:p w14:paraId="034966DD"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1FBE5D5" w14:textId="77777777" w:rsidR="0096673F" w:rsidRPr="00C918A7" w:rsidRDefault="0096673F" w:rsidP="006E12AB">
            <w:pPr>
              <w:rPr>
                <w:sz w:val="20"/>
                <w:szCs w:val="20"/>
              </w:rPr>
            </w:pPr>
          </w:p>
        </w:tc>
        <w:tc>
          <w:tcPr>
            <w:tcW w:w="1075" w:type="dxa"/>
            <w:tcBorders>
              <w:top w:val="nil"/>
              <w:left w:val="nil"/>
              <w:bottom w:val="nil"/>
              <w:right w:val="nil"/>
            </w:tcBorders>
          </w:tcPr>
          <w:p w14:paraId="27ACE30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2E8ECC21" w14:textId="77777777" w:rsidR="0096673F" w:rsidRPr="0009205F" w:rsidRDefault="0096673F" w:rsidP="006E12AB">
            <w:pPr>
              <w:rPr>
                <w:color w:val="000000" w:themeColor="text1"/>
                <w:sz w:val="20"/>
                <w:szCs w:val="20"/>
              </w:rPr>
            </w:pPr>
          </w:p>
        </w:tc>
      </w:tr>
      <w:tr w:rsidR="0096673F" w:rsidRPr="00C918A7" w14:paraId="59C0F386" w14:textId="77777777" w:rsidTr="006E12AB">
        <w:tc>
          <w:tcPr>
            <w:tcW w:w="1587" w:type="dxa"/>
          </w:tcPr>
          <w:p w14:paraId="3F329338" w14:textId="77777777" w:rsidR="0096673F" w:rsidRPr="00C918A7" w:rsidRDefault="0096673F" w:rsidP="006E12AB">
            <w:pPr>
              <w:rPr>
                <w:sz w:val="20"/>
                <w:szCs w:val="20"/>
              </w:rPr>
            </w:pPr>
            <w:r w:rsidRPr="00C918A7">
              <w:rPr>
                <w:sz w:val="20"/>
                <w:szCs w:val="20"/>
              </w:rPr>
              <w:t>Thailand</w:t>
            </w:r>
          </w:p>
        </w:tc>
        <w:tc>
          <w:tcPr>
            <w:tcW w:w="1077" w:type="dxa"/>
          </w:tcPr>
          <w:p w14:paraId="1246AA35" w14:textId="77777777" w:rsidR="0096673F" w:rsidRPr="00C918A7" w:rsidRDefault="0096673F" w:rsidP="006E12AB">
            <w:pPr>
              <w:jc w:val="center"/>
              <w:rPr>
                <w:sz w:val="20"/>
                <w:szCs w:val="20"/>
              </w:rPr>
            </w:pPr>
          </w:p>
        </w:tc>
        <w:tc>
          <w:tcPr>
            <w:tcW w:w="1077" w:type="dxa"/>
          </w:tcPr>
          <w:p w14:paraId="3BFC6515" w14:textId="77777777" w:rsidR="0096673F" w:rsidRPr="00C918A7" w:rsidRDefault="0096673F" w:rsidP="006E12AB">
            <w:pPr>
              <w:jc w:val="center"/>
              <w:rPr>
                <w:sz w:val="20"/>
                <w:szCs w:val="20"/>
              </w:rPr>
            </w:pPr>
          </w:p>
        </w:tc>
        <w:tc>
          <w:tcPr>
            <w:tcW w:w="1077" w:type="dxa"/>
          </w:tcPr>
          <w:p w14:paraId="5CBEA873" w14:textId="77777777" w:rsidR="0096673F" w:rsidRPr="00C918A7" w:rsidRDefault="0096673F" w:rsidP="006E12AB">
            <w:pPr>
              <w:jc w:val="center"/>
              <w:rPr>
                <w:sz w:val="20"/>
                <w:szCs w:val="20"/>
              </w:rPr>
            </w:pPr>
          </w:p>
        </w:tc>
        <w:tc>
          <w:tcPr>
            <w:tcW w:w="1077" w:type="dxa"/>
          </w:tcPr>
          <w:p w14:paraId="19512B1B" w14:textId="77777777" w:rsidR="0096673F" w:rsidRPr="00C918A7" w:rsidRDefault="0096673F" w:rsidP="006E12AB">
            <w:pPr>
              <w:jc w:val="center"/>
              <w:rPr>
                <w:sz w:val="20"/>
                <w:szCs w:val="20"/>
              </w:rPr>
            </w:pPr>
          </w:p>
        </w:tc>
        <w:tc>
          <w:tcPr>
            <w:tcW w:w="1077" w:type="dxa"/>
            <w:shd w:val="clear" w:color="auto" w:fill="FF0000"/>
          </w:tcPr>
          <w:p w14:paraId="59EF70C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1C6E83F" w14:textId="77777777" w:rsidR="0096673F" w:rsidRPr="00C918A7" w:rsidRDefault="0096673F" w:rsidP="006E12AB">
            <w:pPr>
              <w:jc w:val="center"/>
              <w:rPr>
                <w:sz w:val="20"/>
                <w:szCs w:val="20"/>
              </w:rPr>
            </w:pPr>
          </w:p>
        </w:tc>
        <w:tc>
          <w:tcPr>
            <w:tcW w:w="1077" w:type="dxa"/>
          </w:tcPr>
          <w:p w14:paraId="56C8A42F"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A4F7D1B" w14:textId="77777777" w:rsidR="0096673F" w:rsidRPr="00C918A7" w:rsidRDefault="0096673F" w:rsidP="006E12AB">
            <w:pPr>
              <w:rPr>
                <w:sz w:val="20"/>
                <w:szCs w:val="20"/>
              </w:rPr>
            </w:pPr>
          </w:p>
        </w:tc>
        <w:tc>
          <w:tcPr>
            <w:tcW w:w="1075" w:type="dxa"/>
            <w:tcBorders>
              <w:top w:val="nil"/>
              <w:left w:val="nil"/>
              <w:bottom w:val="nil"/>
              <w:right w:val="nil"/>
            </w:tcBorders>
          </w:tcPr>
          <w:p w14:paraId="067F737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627C687A" w14:textId="77777777" w:rsidR="0096673F" w:rsidRPr="0009205F" w:rsidRDefault="0096673F" w:rsidP="006E12AB">
            <w:pPr>
              <w:rPr>
                <w:color w:val="000000" w:themeColor="text1"/>
                <w:sz w:val="20"/>
                <w:szCs w:val="20"/>
              </w:rPr>
            </w:pPr>
          </w:p>
        </w:tc>
      </w:tr>
      <w:tr w:rsidR="0096673F" w:rsidRPr="00C918A7" w14:paraId="07A3EAAF" w14:textId="77777777" w:rsidTr="006E12AB">
        <w:tc>
          <w:tcPr>
            <w:tcW w:w="1587" w:type="dxa"/>
          </w:tcPr>
          <w:p w14:paraId="5A4B4866" w14:textId="77777777" w:rsidR="0096673F" w:rsidRPr="00C918A7" w:rsidRDefault="0096673F" w:rsidP="006E12AB">
            <w:pPr>
              <w:rPr>
                <w:sz w:val="20"/>
                <w:szCs w:val="20"/>
              </w:rPr>
            </w:pPr>
            <w:r w:rsidRPr="00C918A7">
              <w:rPr>
                <w:sz w:val="20"/>
                <w:szCs w:val="20"/>
              </w:rPr>
              <w:t>Taiwan</w:t>
            </w:r>
          </w:p>
        </w:tc>
        <w:tc>
          <w:tcPr>
            <w:tcW w:w="1077" w:type="dxa"/>
          </w:tcPr>
          <w:p w14:paraId="15256067" w14:textId="77777777" w:rsidR="0096673F" w:rsidRPr="00C918A7" w:rsidRDefault="0096673F" w:rsidP="006E12AB">
            <w:pPr>
              <w:jc w:val="center"/>
              <w:rPr>
                <w:sz w:val="20"/>
                <w:szCs w:val="20"/>
              </w:rPr>
            </w:pPr>
          </w:p>
        </w:tc>
        <w:tc>
          <w:tcPr>
            <w:tcW w:w="1077" w:type="dxa"/>
          </w:tcPr>
          <w:p w14:paraId="55EFFFBF" w14:textId="77777777" w:rsidR="0096673F" w:rsidRPr="00C918A7" w:rsidRDefault="0096673F" w:rsidP="006E12AB">
            <w:pPr>
              <w:jc w:val="center"/>
              <w:rPr>
                <w:sz w:val="20"/>
                <w:szCs w:val="20"/>
              </w:rPr>
            </w:pPr>
          </w:p>
        </w:tc>
        <w:tc>
          <w:tcPr>
            <w:tcW w:w="1077" w:type="dxa"/>
          </w:tcPr>
          <w:p w14:paraId="7333224B" w14:textId="77777777" w:rsidR="0096673F" w:rsidRPr="00C918A7" w:rsidRDefault="0096673F" w:rsidP="006E12AB">
            <w:pPr>
              <w:jc w:val="center"/>
              <w:rPr>
                <w:sz w:val="20"/>
                <w:szCs w:val="20"/>
              </w:rPr>
            </w:pPr>
          </w:p>
        </w:tc>
        <w:tc>
          <w:tcPr>
            <w:tcW w:w="1077" w:type="dxa"/>
            <w:shd w:val="clear" w:color="auto" w:fill="FF0000"/>
          </w:tcPr>
          <w:p w14:paraId="0BB78445"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A5A09A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0B305908" w14:textId="77777777" w:rsidR="0096673F" w:rsidRPr="00C918A7" w:rsidRDefault="0096673F" w:rsidP="006E12AB">
            <w:pPr>
              <w:jc w:val="center"/>
              <w:rPr>
                <w:sz w:val="20"/>
                <w:szCs w:val="20"/>
              </w:rPr>
            </w:pPr>
          </w:p>
        </w:tc>
        <w:tc>
          <w:tcPr>
            <w:tcW w:w="1077" w:type="dxa"/>
          </w:tcPr>
          <w:p w14:paraId="58D43ED4"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17B2A53" w14:textId="77777777" w:rsidR="0096673F" w:rsidRPr="00C918A7" w:rsidRDefault="0096673F" w:rsidP="006E12AB">
            <w:pPr>
              <w:rPr>
                <w:sz w:val="20"/>
                <w:szCs w:val="20"/>
              </w:rPr>
            </w:pPr>
          </w:p>
        </w:tc>
        <w:tc>
          <w:tcPr>
            <w:tcW w:w="1075" w:type="dxa"/>
            <w:tcBorders>
              <w:top w:val="nil"/>
              <w:left w:val="nil"/>
              <w:bottom w:val="nil"/>
              <w:right w:val="nil"/>
            </w:tcBorders>
          </w:tcPr>
          <w:p w14:paraId="4D138DC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02335DD8" w14:textId="77777777" w:rsidR="0096673F" w:rsidRPr="0009205F" w:rsidRDefault="0096673F" w:rsidP="006E12AB">
            <w:pPr>
              <w:rPr>
                <w:color w:val="000000" w:themeColor="text1"/>
                <w:sz w:val="20"/>
                <w:szCs w:val="20"/>
              </w:rPr>
            </w:pPr>
          </w:p>
        </w:tc>
      </w:tr>
      <w:tr w:rsidR="0096673F" w:rsidRPr="00C918A7" w14:paraId="585F4E5C" w14:textId="77777777" w:rsidTr="006E12AB">
        <w:tc>
          <w:tcPr>
            <w:tcW w:w="1587" w:type="dxa"/>
          </w:tcPr>
          <w:p w14:paraId="366EEC6E" w14:textId="732F4D13" w:rsidR="0096673F" w:rsidRPr="00C918A7" w:rsidRDefault="00492F23" w:rsidP="006E12AB">
            <w:pPr>
              <w:rPr>
                <w:sz w:val="20"/>
                <w:szCs w:val="20"/>
              </w:rPr>
            </w:pPr>
            <w:r>
              <w:rPr>
                <w:sz w:val="20"/>
                <w:szCs w:val="20"/>
              </w:rPr>
              <w:t xml:space="preserve">South </w:t>
            </w:r>
            <w:r w:rsidR="0096673F" w:rsidRPr="00C918A7">
              <w:rPr>
                <w:sz w:val="20"/>
                <w:szCs w:val="20"/>
              </w:rPr>
              <w:t>Korea</w:t>
            </w:r>
          </w:p>
        </w:tc>
        <w:tc>
          <w:tcPr>
            <w:tcW w:w="1077" w:type="dxa"/>
          </w:tcPr>
          <w:p w14:paraId="587112EA" w14:textId="77777777" w:rsidR="0096673F" w:rsidRPr="00C918A7" w:rsidRDefault="0096673F" w:rsidP="006E12AB">
            <w:pPr>
              <w:jc w:val="center"/>
              <w:rPr>
                <w:sz w:val="20"/>
                <w:szCs w:val="20"/>
              </w:rPr>
            </w:pPr>
          </w:p>
        </w:tc>
        <w:tc>
          <w:tcPr>
            <w:tcW w:w="1077" w:type="dxa"/>
          </w:tcPr>
          <w:p w14:paraId="04EF7932" w14:textId="77777777" w:rsidR="0096673F" w:rsidRPr="00C918A7" w:rsidRDefault="0096673F" w:rsidP="006E12AB">
            <w:pPr>
              <w:jc w:val="center"/>
              <w:rPr>
                <w:sz w:val="20"/>
                <w:szCs w:val="20"/>
              </w:rPr>
            </w:pPr>
          </w:p>
        </w:tc>
        <w:tc>
          <w:tcPr>
            <w:tcW w:w="1077" w:type="dxa"/>
          </w:tcPr>
          <w:p w14:paraId="72093300" w14:textId="77777777" w:rsidR="0096673F" w:rsidRPr="00C918A7" w:rsidRDefault="0096673F" w:rsidP="006E12AB">
            <w:pPr>
              <w:jc w:val="center"/>
              <w:rPr>
                <w:sz w:val="20"/>
                <w:szCs w:val="20"/>
              </w:rPr>
            </w:pPr>
          </w:p>
        </w:tc>
        <w:tc>
          <w:tcPr>
            <w:tcW w:w="1077" w:type="dxa"/>
            <w:shd w:val="clear" w:color="auto" w:fill="FF0000"/>
          </w:tcPr>
          <w:p w14:paraId="65F67DE9"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C4937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5FE9AE21" w14:textId="77777777" w:rsidR="0096673F" w:rsidRPr="00C918A7" w:rsidRDefault="0096673F" w:rsidP="006E12AB">
            <w:pPr>
              <w:jc w:val="center"/>
              <w:rPr>
                <w:sz w:val="20"/>
                <w:szCs w:val="20"/>
              </w:rPr>
            </w:pPr>
            <w:r>
              <w:rPr>
                <w:sz w:val="20"/>
                <w:szCs w:val="20"/>
              </w:rPr>
              <w:t>Announced</w:t>
            </w:r>
          </w:p>
        </w:tc>
        <w:tc>
          <w:tcPr>
            <w:tcW w:w="1077" w:type="dxa"/>
          </w:tcPr>
          <w:p w14:paraId="22CA105E"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CE29A99" w14:textId="77777777" w:rsidR="0096673F" w:rsidRPr="00C918A7" w:rsidRDefault="0096673F" w:rsidP="006E12AB">
            <w:pPr>
              <w:rPr>
                <w:sz w:val="20"/>
                <w:szCs w:val="20"/>
              </w:rPr>
            </w:pPr>
          </w:p>
        </w:tc>
        <w:tc>
          <w:tcPr>
            <w:tcW w:w="1075" w:type="dxa"/>
            <w:tcBorders>
              <w:top w:val="nil"/>
              <w:left w:val="nil"/>
              <w:bottom w:val="nil"/>
              <w:right w:val="nil"/>
            </w:tcBorders>
          </w:tcPr>
          <w:p w14:paraId="5C51BF1D"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471DAC14" w14:textId="77777777" w:rsidR="0096673F" w:rsidRPr="0009205F" w:rsidRDefault="0096673F" w:rsidP="006E12AB">
            <w:pPr>
              <w:rPr>
                <w:color w:val="000000" w:themeColor="text1"/>
                <w:sz w:val="20"/>
                <w:szCs w:val="20"/>
              </w:rPr>
            </w:pPr>
          </w:p>
        </w:tc>
      </w:tr>
      <w:tr w:rsidR="0096673F" w:rsidRPr="00C918A7" w14:paraId="43D59AC3" w14:textId="77777777" w:rsidTr="006E12AB">
        <w:tc>
          <w:tcPr>
            <w:tcW w:w="1587" w:type="dxa"/>
          </w:tcPr>
          <w:p w14:paraId="5B4E0A1E" w14:textId="77777777" w:rsidR="0096673F" w:rsidRPr="00C918A7" w:rsidRDefault="0096673F" w:rsidP="006E12AB">
            <w:pPr>
              <w:rPr>
                <w:sz w:val="20"/>
                <w:szCs w:val="20"/>
              </w:rPr>
            </w:pPr>
            <w:r w:rsidRPr="00C918A7">
              <w:rPr>
                <w:sz w:val="20"/>
                <w:szCs w:val="20"/>
              </w:rPr>
              <w:t>Pakistan</w:t>
            </w:r>
          </w:p>
        </w:tc>
        <w:tc>
          <w:tcPr>
            <w:tcW w:w="1077" w:type="dxa"/>
          </w:tcPr>
          <w:p w14:paraId="5BE713E9" w14:textId="77777777" w:rsidR="0096673F" w:rsidRPr="00C918A7" w:rsidRDefault="0096673F" w:rsidP="006E12AB">
            <w:pPr>
              <w:jc w:val="center"/>
              <w:rPr>
                <w:sz w:val="20"/>
                <w:szCs w:val="20"/>
              </w:rPr>
            </w:pPr>
          </w:p>
        </w:tc>
        <w:tc>
          <w:tcPr>
            <w:tcW w:w="1077" w:type="dxa"/>
          </w:tcPr>
          <w:p w14:paraId="4AF3CAE1" w14:textId="77777777" w:rsidR="0096673F" w:rsidRPr="00C918A7" w:rsidRDefault="0096673F" w:rsidP="006E12AB">
            <w:pPr>
              <w:jc w:val="center"/>
              <w:rPr>
                <w:sz w:val="20"/>
                <w:szCs w:val="20"/>
              </w:rPr>
            </w:pPr>
          </w:p>
        </w:tc>
        <w:tc>
          <w:tcPr>
            <w:tcW w:w="1077" w:type="dxa"/>
          </w:tcPr>
          <w:p w14:paraId="05BAEF89" w14:textId="77777777" w:rsidR="0096673F" w:rsidRPr="00C918A7" w:rsidRDefault="0096673F" w:rsidP="006E12AB">
            <w:pPr>
              <w:jc w:val="center"/>
              <w:rPr>
                <w:sz w:val="20"/>
                <w:szCs w:val="20"/>
              </w:rPr>
            </w:pPr>
          </w:p>
        </w:tc>
        <w:tc>
          <w:tcPr>
            <w:tcW w:w="1077" w:type="dxa"/>
          </w:tcPr>
          <w:p w14:paraId="6F840D6B" w14:textId="77777777" w:rsidR="0096673F" w:rsidRPr="00C918A7" w:rsidRDefault="0096673F" w:rsidP="006E12AB">
            <w:pPr>
              <w:jc w:val="center"/>
              <w:rPr>
                <w:sz w:val="20"/>
                <w:szCs w:val="20"/>
              </w:rPr>
            </w:pPr>
          </w:p>
        </w:tc>
        <w:tc>
          <w:tcPr>
            <w:tcW w:w="1077" w:type="dxa"/>
          </w:tcPr>
          <w:p w14:paraId="3803B9FB" w14:textId="1C34C333" w:rsidR="0096673F" w:rsidRPr="00C918A7" w:rsidRDefault="00282831" w:rsidP="006E12AB">
            <w:pPr>
              <w:jc w:val="center"/>
              <w:rPr>
                <w:sz w:val="20"/>
                <w:szCs w:val="20"/>
              </w:rPr>
            </w:pPr>
            <w:r w:rsidRPr="00940BD6">
              <w:rPr>
                <w:color w:val="000000" w:themeColor="text1"/>
                <w:sz w:val="20"/>
                <w:szCs w:val="20"/>
                <w:highlight w:val="yellow"/>
              </w:rPr>
              <w:t>Considering</w:t>
            </w:r>
          </w:p>
        </w:tc>
        <w:tc>
          <w:tcPr>
            <w:tcW w:w="1077" w:type="dxa"/>
            <w:shd w:val="clear" w:color="auto" w:fill="FF0000"/>
          </w:tcPr>
          <w:p w14:paraId="0202B29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C8B2879"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419C71F7" w14:textId="77777777" w:rsidR="0096673F" w:rsidRPr="00C918A7" w:rsidRDefault="0096673F" w:rsidP="006E12AB">
            <w:pPr>
              <w:rPr>
                <w:sz w:val="20"/>
                <w:szCs w:val="20"/>
              </w:rPr>
            </w:pPr>
          </w:p>
        </w:tc>
        <w:tc>
          <w:tcPr>
            <w:tcW w:w="1075" w:type="dxa"/>
            <w:tcBorders>
              <w:top w:val="nil"/>
              <w:left w:val="nil"/>
              <w:bottom w:val="nil"/>
              <w:right w:val="nil"/>
            </w:tcBorders>
          </w:tcPr>
          <w:p w14:paraId="29CCF09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3635AA5E" w14:textId="77777777" w:rsidR="0096673F" w:rsidRPr="0009205F" w:rsidRDefault="0096673F" w:rsidP="006E12AB">
            <w:pPr>
              <w:rPr>
                <w:color w:val="000000" w:themeColor="text1"/>
                <w:sz w:val="20"/>
                <w:szCs w:val="20"/>
              </w:rPr>
            </w:pPr>
          </w:p>
        </w:tc>
      </w:tr>
    </w:tbl>
    <w:p w14:paraId="5D253B1E" w14:textId="72CAD1B9" w:rsidR="003A3BCA" w:rsidRPr="003A3BCA" w:rsidRDefault="001D0670" w:rsidP="001D0670">
      <w:pPr>
        <w:pStyle w:val="Caption"/>
        <w:rPr>
          <w:i w:val="0"/>
          <w:iCs w:val="0"/>
        </w:rPr>
      </w:pPr>
      <w:bookmarkStart w:id="25" w:name="_Ref66627684"/>
      <w:bookmarkStart w:id="26" w:name="_Ref80540292"/>
      <w:r>
        <w:t xml:space="preserve">Table </w:t>
      </w:r>
      <w:r>
        <w:fldChar w:fldCharType="begin"/>
      </w:r>
      <w:r>
        <w:instrText>SEQ Table \* ARABIC</w:instrText>
      </w:r>
      <w:r>
        <w:fldChar w:fldCharType="separate"/>
      </w:r>
      <w:r w:rsidR="00557024">
        <w:rPr>
          <w:noProof/>
        </w:rPr>
        <w:t>4</w:t>
      </w:r>
      <w:r>
        <w:fldChar w:fldCharType="end"/>
      </w:r>
      <w:bookmarkEnd w:id="19"/>
      <w:bookmarkEnd w:id="25"/>
      <w:bookmarkEnd w:id="26"/>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FA1E4D">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Borders>
              <w:bottom w:val="nil"/>
              <w:right w:val="nil"/>
            </w:tcBorders>
            <w:shd w:val="clear" w:color="auto" w:fill="9494D4" w:themeFill="accent1" w:themeFillTint="99"/>
            <w:tcMar>
              <w:left w:w="57" w:type="dxa"/>
              <w:right w:w="57" w:type="dxa"/>
            </w:tcMar>
            <w:vAlign w:val="bottom"/>
          </w:tcPr>
          <w:p w14:paraId="7859C6D6" w14:textId="7D084725" w:rsidR="003A3BCA" w:rsidRPr="00AE34EA" w:rsidRDefault="00AB1228" w:rsidP="003A3BCA">
            <w:pPr>
              <w:spacing w:beforeLines="0" w:before="0" w:afterLines="0" w:after="0"/>
              <w:rPr>
                <w:sz w:val="18"/>
                <w:szCs w:val="18"/>
              </w:rPr>
            </w:pPr>
            <w:r>
              <w:rPr>
                <w:sz w:val="18"/>
                <w:szCs w:val="18"/>
              </w:rPr>
              <w:t>Destination</w:t>
            </w:r>
          </w:p>
        </w:tc>
        <w:tc>
          <w:tcPr>
            <w:tcW w:w="7087" w:type="dxa"/>
            <w:vMerge w:val="restart"/>
            <w:tcBorders>
              <w:left w:val="nil"/>
              <w:bottom w:val="nil"/>
              <w:right w:val="nil"/>
            </w:tcBorders>
            <w:shd w:val="clear" w:color="auto" w:fill="9494D4" w:themeFill="accent1" w:themeFillTint="99"/>
            <w:tcMar>
              <w:left w:w="57" w:type="dxa"/>
              <w:right w:w="57" w:type="dxa"/>
            </w:tcMar>
            <w:vAlign w:val="bottom"/>
          </w:tcPr>
          <w:p w14:paraId="272DF0E3" w14:textId="77777777" w:rsidR="003A3BCA" w:rsidRPr="00A22E44"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A22E44">
              <w:t>Scope of restrictions</w:t>
            </w:r>
          </w:p>
        </w:tc>
        <w:tc>
          <w:tcPr>
            <w:tcW w:w="1418" w:type="dxa"/>
            <w:vMerge w:val="restart"/>
            <w:tcBorders>
              <w:left w:val="nil"/>
              <w:bottom w:val="nil"/>
              <w:right w:val="single" w:sz="4" w:space="0" w:color="B7B7E2" w:themeColor="accent1" w:themeTint="66"/>
            </w:tcBorders>
            <w:shd w:val="clear" w:color="auto" w:fill="9494D4" w:themeFill="accent1" w:themeFillTint="99"/>
            <w:tcMar>
              <w:left w:w="57" w:type="dxa"/>
              <w:right w:w="57" w:type="dxa"/>
            </w:tcMar>
            <w:vAlign w:val="bottom"/>
          </w:tcPr>
          <w:p w14:paraId="287EF2B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Borders>
              <w:left w:val="single" w:sz="4" w:space="0" w:color="B7B7E2" w:themeColor="accent1" w:themeTint="66"/>
              <w:bottom w:val="nil"/>
              <w:right w:val="single" w:sz="4" w:space="0" w:color="B7B7E2" w:themeColor="accent1" w:themeTint="66"/>
            </w:tcBorders>
            <w:shd w:val="clear" w:color="auto" w:fill="9494D4" w:themeFill="accent1" w:themeFillTint="99"/>
            <w:tcMar>
              <w:left w:w="57" w:type="dxa"/>
              <w:right w:w="57" w:type="dxa"/>
            </w:tcMar>
            <w:vAlign w:val="bottom"/>
          </w:tcPr>
          <w:p w14:paraId="2932C79A" w14:textId="755EBA06" w:rsidR="003A3BCA" w:rsidRPr="00AE34EA" w:rsidRDefault="003A3BCA" w:rsidP="00FA1E4D">
            <w:pPr>
              <w:spacing w:beforeLines="0" w:before="0" w:afterLines="0"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w:t>
            </w:r>
          </w:p>
        </w:tc>
        <w:tc>
          <w:tcPr>
            <w:tcW w:w="2409" w:type="dxa"/>
            <w:vMerge w:val="restart"/>
            <w:tcBorders>
              <w:left w:val="single" w:sz="4" w:space="0" w:color="B7B7E2" w:themeColor="accent1" w:themeTint="66"/>
              <w:bottom w:val="nil"/>
            </w:tcBorders>
            <w:shd w:val="clear" w:color="auto" w:fill="9494D4" w:themeFill="accent1" w:themeFillTint="99"/>
            <w:tcMar>
              <w:left w:w="57" w:type="dxa"/>
              <w:right w:w="57" w:type="dxa"/>
            </w:tcMar>
            <w:vAlign w:val="bottom"/>
          </w:tcPr>
          <w:p w14:paraId="1C20265B" w14:textId="77777777" w:rsidR="003A3BCA" w:rsidRPr="00AE34EA" w:rsidRDefault="003A3BCA" w:rsidP="00FA1E4D">
            <w:pPr>
              <w:spacing w:beforeLines="0" w:before="0" w:afterLines="0"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3A3BCA" w:rsidRPr="003A3BCA" w14:paraId="5EC3A99C" w14:textId="77777777" w:rsidTr="00FA1E4D">
        <w:tc>
          <w:tcPr>
            <w:cnfStyle w:val="001000000000" w:firstRow="0" w:lastRow="0" w:firstColumn="1" w:lastColumn="0" w:oddVBand="0" w:evenVBand="0" w:oddHBand="0" w:evenHBand="0" w:firstRowFirstColumn="0" w:firstRowLastColumn="0" w:lastRowFirstColumn="0" w:lastRowLastColumn="0"/>
            <w:tcW w:w="993" w:type="dxa"/>
            <w:vMerge/>
            <w:tcBorders>
              <w:top w:val="nil"/>
              <w:right w:val="nil"/>
            </w:tcBorders>
            <w:shd w:val="clear" w:color="auto" w:fill="9494D4" w:themeFill="accent1" w:themeFillTint="99"/>
            <w:tcMar>
              <w:left w:w="57" w:type="dxa"/>
              <w:right w:w="57" w:type="dxa"/>
            </w:tcMar>
          </w:tcPr>
          <w:p w14:paraId="085AC697" w14:textId="77777777" w:rsidR="003A3BCA" w:rsidRPr="00AE34EA" w:rsidRDefault="003A3BCA" w:rsidP="003A3BCA">
            <w:pPr>
              <w:spacing w:before="0" w:after="0"/>
              <w:rPr>
                <w:b/>
                <w:color w:val="FFFFFF" w:themeColor="background1"/>
                <w:sz w:val="18"/>
                <w:szCs w:val="18"/>
              </w:rPr>
            </w:pPr>
          </w:p>
        </w:tc>
        <w:tc>
          <w:tcPr>
            <w:tcW w:w="7087" w:type="dxa"/>
            <w:vMerge/>
            <w:tcBorders>
              <w:top w:val="nil"/>
              <w:left w:val="nil"/>
              <w:right w:val="nil"/>
            </w:tcBorders>
            <w:shd w:val="clear" w:color="auto" w:fill="9494D4" w:themeFill="accent1" w:themeFillTint="99"/>
            <w:tcMar>
              <w:left w:w="57" w:type="dxa"/>
              <w:right w:w="57" w:type="dxa"/>
            </w:tcMar>
          </w:tcPr>
          <w:p w14:paraId="1D814DA6" w14:textId="77777777" w:rsidR="003A3BCA" w:rsidRPr="00A22E44"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tcBorders>
              <w:top w:val="nil"/>
              <w:left w:val="nil"/>
              <w:right w:val="single" w:sz="4" w:space="0" w:color="B7B7E2" w:themeColor="accent1" w:themeTint="66"/>
            </w:tcBorders>
            <w:shd w:val="clear" w:color="auto" w:fill="9494D4" w:themeFill="accent1" w:themeFillTint="99"/>
            <w:tcMar>
              <w:left w:w="57" w:type="dxa"/>
              <w:right w:w="57" w:type="dxa"/>
            </w:tcMar>
          </w:tcPr>
          <w:p w14:paraId="048C950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tcBorders>
              <w:top w:val="nil"/>
              <w:left w:val="single" w:sz="4" w:space="0" w:color="B7B7E2" w:themeColor="accent1" w:themeTint="66"/>
              <w:right w:val="nil"/>
            </w:tcBorders>
            <w:shd w:val="clear" w:color="auto" w:fill="9494D4" w:themeFill="accent1" w:themeFillTint="99"/>
            <w:tcMar>
              <w:left w:w="57" w:type="dxa"/>
              <w:right w:w="57" w:type="dxa"/>
            </w:tcMar>
            <w:vAlign w:val="bottom"/>
          </w:tcPr>
          <w:p w14:paraId="203DD81B"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tcBorders>
              <w:top w:val="nil"/>
              <w:left w:val="nil"/>
              <w:right w:val="nil"/>
            </w:tcBorders>
            <w:shd w:val="clear" w:color="auto" w:fill="9494D4" w:themeFill="accent1" w:themeFillTint="99"/>
            <w:tcMar>
              <w:left w:w="57" w:type="dxa"/>
              <w:right w:w="57" w:type="dxa"/>
            </w:tcMar>
            <w:vAlign w:val="bottom"/>
          </w:tcPr>
          <w:p w14:paraId="7F983DE0" w14:textId="00CB44A2"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w:t>
            </w:r>
            <w:r w:rsidR="00ED0ADD">
              <w:rPr>
                <w:b/>
                <w:color w:val="FFFFFF" w:themeColor="background1"/>
                <w:sz w:val="18"/>
                <w:szCs w:val="18"/>
              </w:rPr>
              <w:t>9</w:t>
            </w:r>
            <w:r w:rsidRPr="00AE34EA">
              <w:rPr>
                <w:b/>
                <w:color w:val="FFFFFF" w:themeColor="background1"/>
                <w:sz w:val="18"/>
                <w:szCs w:val="18"/>
              </w:rPr>
              <w:t>-</w:t>
            </w:r>
            <w:r w:rsidR="00ED0ADD">
              <w:rPr>
                <w:b/>
                <w:color w:val="FFFFFF" w:themeColor="background1"/>
                <w:sz w:val="18"/>
                <w:szCs w:val="18"/>
              </w:rPr>
              <w:t>20</w:t>
            </w:r>
            <w:r w:rsidR="00FA1E4D">
              <w:rPr>
                <w:b/>
                <w:color w:val="FFFFFF" w:themeColor="background1"/>
                <w:sz w:val="18"/>
                <w:szCs w:val="18"/>
              </w:rPr>
              <w:t xml:space="preserve"> tonnes</w:t>
            </w:r>
          </w:p>
        </w:tc>
        <w:tc>
          <w:tcPr>
            <w:tcW w:w="709" w:type="dxa"/>
            <w:tcBorders>
              <w:top w:val="nil"/>
              <w:left w:val="nil"/>
              <w:right w:val="single" w:sz="4" w:space="0" w:color="B7B7E2" w:themeColor="accent1" w:themeTint="66"/>
            </w:tcBorders>
            <w:shd w:val="clear" w:color="auto" w:fill="9494D4" w:themeFill="accent1" w:themeFillTint="99"/>
            <w:tcMar>
              <w:left w:w="57" w:type="dxa"/>
              <w:right w:w="57" w:type="dxa"/>
            </w:tcMar>
          </w:tcPr>
          <w:p w14:paraId="0E8AB1D0" w14:textId="069CDF3A" w:rsidR="003A3BCA" w:rsidRPr="00AE34EA" w:rsidRDefault="000B71E9"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Pr>
                <w:b/>
                <w:color w:val="FFFFFF" w:themeColor="background1"/>
                <w:sz w:val="18"/>
                <w:szCs w:val="18"/>
              </w:rPr>
              <w:t>20-</w:t>
            </w:r>
            <w:r w:rsidR="00CD188D">
              <w:rPr>
                <w:b/>
                <w:color w:val="FFFFFF" w:themeColor="background1"/>
                <w:sz w:val="18"/>
                <w:szCs w:val="18"/>
              </w:rPr>
              <w:t>21</w:t>
            </w:r>
            <w:r w:rsidR="00C57C9E">
              <w:rPr>
                <w:b/>
                <w:color w:val="FFFFFF" w:themeColor="background1"/>
                <w:sz w:val="18"/>
                <w:szCs w:val="18"/>
              </w:rPr>
              <w:t xml:space="preserve"> tonnes/month</w:t>
            </w:r>
          </w:p>
        </w:tc>
        <w:tc>
          <w:tcPr>
            <w:tcW w:w="2409" w:type="dxa"/>
            <w:vMerge/>
            <w:tcBorders>
              <w:top w:val="nil"/>
              <w:left w:val="single" w:sz="4" w:space="0" w:color="B7B7E2" w:themeColor="accent1" w:themeTint="66"/>
            </w:tcBorders>
            <w:shd w:val="clear" w:color="auto" w:fill="9494D4" w:themeFill="accent1" w:themeFillTint="99"/>
            <w:tcMar>
              <w:left w:w="57" w:type="dxa"/>
              <w:right w:w="57" w:type="dxa"/>
            </w:tcMar>
          </w:tcPr>
          <w:p w14:paraId="79D440B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D77C8D" w:rsidRPr="003A3BCA" w14:paraId="168BE163"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0913CBFE" w14:textId="28E76379" w:rsidR="00D77C8D" w:rsidRPr="00AE34EA" w:rsidRDefault="00D77C8D" w:rsidP="003A3BCA">
            <w:pPr>
              <w:spacing w:before="40" w:after="40"/>
              <w:rPr>
                <w:sz w:val="18"/>
                <w:szCs w:val="18"/>
              </w:rPr>
            </w:pPr>
            <w:r w:rsidRPr="00AE34EA">
              <w:rPr>
                <w:sz w:val="18"/>
                <w:szCs w:val="18"/>
              </w:rPr>
              <w:t>Indonesia</w:t>
            </w:r>
          </w:p>
        </w:tc>
        <w:tc>
          <w:tcPr>
            <w:tcW w:w="7087" w:type="dxa"/>
            <w:tcMar>
              <w:left w:w="57" w:type="dxa"/>
              <w:right w:w="57" w:type="dxa"/>
            </w:tcMar>
          </w:tcPr>
          <w:p w14:paraId="57858CA3" w14:textId="1558A047" w:rsidR="00D77C8D" w:rsidRPr="00A22E44" w:rsidRDefault="0096673F" w:rsidP="00773955">
            <w:pPr>
              <w:cnfStyle w:val="000000000000" w:firstRow="0" w:lastRow="0" w:firstColumn="0" w:lastColumn="0" w:oddVBand="0" w:evenVBand="0" w:oddHBand="0" w:evenHBand="0" w:firstRowFirstColumn="0" w:firstRowLastColumn="0" w:lastRowFirstColumn="0" w:lastRowLastColumn="0"/>
            </w:pPr>
            <w:r w:rsidRPr="00A22E44">
              <w:t>On 27 May 2020 the Indonesian Government published a decree on the implementation of import of non-hazardous and toxic material waste</w:t>
            </w:r>
            <w:r w:rsidRPr="00A22E44">
              <w:rPr>
                <w:vertAlign w:val="superscript"/>
              </w:rPr>
              <w:footnoteReference w:id="28"/>
            </w:r>
            <w:r w:rsidRPr="00A22E44">
              <w:t>.</w:t>
            </w:r>
            <w:r w:rsidR="004E5B2E">
              <w:t xml:space="preserve"> </w:t>
            </w:r>
            <w:r w:rsidRPr="00A22E44">
              <w:t xml:space="preserve">This limits contamination of imported scrap </w:t>
            </w:r>
            <w:r w:rsidR="00736AA3">
              <w:t>plastics</w:t>
            </w:r>
            <w:r w:rsidR="00736AA3" w:rsidRPr="00A22E44">
              <w:t xml:space="preserve"> and</w:t>
            </w:r>
            <w:r w:rsidRPr="00A22E44">
              <w:t xml:space="preserve"> paper to 2%</w:t>
            </w:r>
            <w:r w:rsidR="0021661E">
              <w:t>.</w:t>
            </w:r>
            <w:r w:rsidRPr="00A22E44">
              <w:t xml:space="preserve"> </w:t>
            </w:r>
            <w:r w:rsidR="0021661E">
              <w:t xml:space="preserve">The decree </w:t>
            </w:r>
            <w:r w:rsidRPr="00A22E44">
              <w:t>announce</w:t>
            </w:r>
            <w:r w:rsidR="0021661E">
              <w:t>d</w:t>
            </w:r>
            <w:r w:rsidRPr="00A22E44">
              <w:t xml:space="preserve"> the formation of a task force to develop a road map accelerating the availability of domestic raw materials. </w:t>
            </w:r>
            <w:r w:rsidR="0021661E">
              <w:t xml:space="preserve">However, recently the head of the Centre for Green Industry, Standardization and </w:t>
            </w:r>
            <w:r w:rsidR="00923462">
              <w:t>Industrial Service Policy noted the importance of the recycling industry to Indonesia’s economy and the necessity for imports to provide sufficient feedstocks</w:t>
            </w:r>
            <w:r w:rsidR="00923462" w:rsidRPr="00923462">
              <w:rPr>
                <w:vertAlign w:val="superscript"/>
              </w:rPr>
              <w:fldChar w:fldCharType="begin"/>
            </w:r>
            <w:r w:rsidR="00923462" w:rsidRPr="00923462">
              <w:rPr>
                <w:vertAlign w:val="superscript"/>
              </w:rPr>
              <w:instrText xml:space="preserve"> NOTEREF _Ref76395966 \h </w:instrText>
            </w:r>
            <w:r w:rsidR="00923462">
              <w:rPr>
                <w:vertAlign w:val="superscript"/>
              </w:rPr>
              <w:instrText xml:space="preserve"> \* MERGEFORMAT </w:instrText>
            </w:r>
            <w:r w:rsidR="00923462" w:rsidRPr="00923462">
              <w:rPr>
                <w:vertAlign w:val="superscript"/>
              </w:rPr>
            </w:r>
            <w:r w:rsidR="00923462" w:rsidRPr="00923462">
              <w:rPr>
                <w:vertAlign w:val="superscript"/>
              </w:rPr>
              <w:fldChar w:fldCharType="separate"/>
            </w:r>
            <w:r w:rsidR="00557024">
              <w:rPr>
                <w:vertAlign w:val="superscript"/>
              </w:rPr>
              <w:t>26</w:t>
            </w:r>
            <w:r w:rsidR="00923462" w:rsidRPr="00923462">
              <w:rPr>
                <w:vertAlign w:val="superscript"/>
              </w:rPr>
              <w:fldChar w:fldCharType="end"/>
            </w:r>
            <w:r w:rsidR="00923462">
              <w:t xml:space="preserve">. </w:t>
            </w:r>
          </w:p>
        </w:tc>
        <w:tc>
          <w:tcPr>
            <w:tcW w:w="1418" w:type="dxa"/>
            <w:tcMar>
              <w:left w:w="57" w:type="dxa"/>
              <w:right w:w="57" w:type="dxa"/>
            </w:tcMar>
          </w:tcPr>
          <w:p w14:paraId="0794239A"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3971405A" w14:textId="5926859D"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48BE8F31" w14:textId="35E0BA7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Paper and cardboard, metals, glass, hazardous waste, tyres, other. </w:t>
            </w:r>
          </w:p>
        </w:tc>
        <w:tc>
          <w:tcPr>
            <w:tcW w:w="1134" w:type="dxa"/>
            <w:tcMar>
              <w:left w:w="57" w:type="dxa"/>
              <w:right w:w="57" w:type="dxa"/>
            </w:tcMar>
          </w:tcPr>
          <w:p w14:paraId="5868A780" w14:textId="6B3A8D2D"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w:t>
            </w:r>
            <w:r w:rsidR="00050CA2">
              <w:rPr>
                <w:sz w:val="18"/>
                <w:szCs w:val="18"/>
              </w:rPr>
              <w:t>7</w:t>
            </w:r>
            <w:r w:rsidR="00D77C8D" w:rsidRPr="00AE34EA">
              <w:rPr>
                <w:sz w:val="18"/>
                <w:szCs w:val="18"/>
              </w:rPr>
              <w:t>,</w:t>
            </w:r>
            <w:r w:rsidR="009E20F2">
              <w:rPr>
                <w:sz w:val="18"/>
                <w:szCs w:val="18"/>
              </w:rPr>
              <w:t>0</w:t>
            </w:r>
            <w:r w:rsidR="00D77C8D" w:rsidRPr="00AE34EA">
              <w:rPr>
                <w:sz w:val="18"/>
                <w:szCs w:val="18"/>
              </w:rPr>
              <w:t>00</w:t>
            </w:r>
          </w:p>
          <w:p w14:paraId="656381B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95F412E" w14:textId="3BE440E7" w:rsidR="00D77C8D" w:rsidRPr="00AE34EA"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52</w:t>
            </w:r>
            <w:r w:rsidRPr="00AE34EA">
              <w:rPr>
                <w:sz w:val="18"/>
                <w:szCs w:val="18"/>
              </w:rPr>
              <w:t>,</w:t>
            </w:r>
            <w:r w:rsidR="009E20F2">
              <w:rPr>
                <w:sz w:val="18"/>
                <w:szCs w:val="18"/>
              </w:rPr>
              <w:t>0</w:t>
            </w:r>
            <w:r w:rsidRPr="00AE34EA">
              <w:rPr>
                <w:sz w:val="18"/>
                <w:szCs w:val="18"/>
              </w:rPr>
              <w:t>00</w:t>
            </w:r>
            <w:r w:rsidR="00A10C8B">
              <w:rPr>
                <w:sz w:val="18"/>
                <w:szCs w:val="18"/>
              </w:rPr>
              <w:t xml:space="preserve"> per</w:t>
            </w:r>
          </w:p>
          <w:p w14:paraId="5188241D" w14:textId="2654272D"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EDE5A27" w14:textId="6A177D25" w:rsidR="00D77C8D" w:rsidRPr="00AE34EA" w:rsidRDefault="00C57C9E"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76</w:t>
            </w:r>
            <w:r w:rsidR="00D77C8D" w:rsidRPr="00AE34EA">
              <w:rPr>
                <w:sz w:val="18"/>
                <w:szCs w:val="18"/>
              </w:rPr>
              <w:t>,000</w:t>
            </w:r>
          </w:p>
        </w:tc>
        <w:tc>
          <w:tcPr>
            <w:tcW w:w="2409" w:type="dxa"/>
            <w:tcMar>
              <w:left w:w="57" w:type="dxa"/>
              <w:right w:w="57" w:type="dxa"/>
            </w:tcMar>
          </w:tcPr>
          <w:p w14:paraId="63358067" w14:textId="2943E7BA" w:rsidR="00D77C8D" w:rsidRPr="00AE34EA" w:rsidRDefault="00713C60"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13C60">
              <w:rPr>
                <w:sz w:val="18"/>
                <w:szCs w:val="18"/>
              </w:rPr>
              <w:t xml:space="preserve">Imports reduced from 61,000 </w:t>
            </w:r>
            <w:r w:rsidR="00094C11">
              <w:rPr>
                <w:sz w:val="18"/>
                <w:szCs w:val="18"/>
              </w:rPr>
              <w:t xml:space="preserve">tonnes </w:t>
            </w:r>
            <w:r w:rsidRPr="00713C60">
              <w:rPr>
                <w:sz w:val="18"/>
                <w:szCs w:val="18"/>
              </w:rPr>
              <w:t>per month in 2018-19 to 52,000 in 2019-20</w:t>
            </w:r>
            <w:r w:rsidR="00D77C8D" w:rsidRPr="00AE34EA">
              <w:rPr>
                <w:sz w:val="18"/>
                <w:szCs w:val="18"/>
              </w:rPr>
              <w:t xml:space="preserve">. </w:t>
            </w:r>
            <w:r w:rsidR="00C57C9E">
              <w:rPr>
                <w:sz w:val="18"/>
                <w:szCs w:val="18"/>
              </w:rPr>
              <w:t>However, in 2020-21 the monthly average was back up to over 60,000</w:t>
            </w:r>
            <w:r w:rsidR="00094C11">
              <w:rPr>
                <w:sz w:val="18"/>
                <w:szCs w:val="18"/>
              </w:rPr>
              <w:t xml:space="preserve"> tonnes</w:t>
            </w:r>
            <w:r w:rsidR="00C57C9E">
              <w:rPr>
                <w:sz w:val="18"/>
                <w:szCs w:val="18"/>
              </w:rPr>
              <w:t xml:space="preserve"> per month in the first half of the year, then climbed as paper and cardboard </w:t>
            </w:r>
            <w:r w:rsidR="00E22A9B">
              <w:rPr>
                <w:sz w:val="18"/>
                <w:szCs w:val="18"/>
              </w:rPr>
              <w:t>appeared to be</w:t>
            </w:r>
            <w:r w:rsidR="00C57C9E">
              <w:rPr>
                <w:sz w:val="18"/>
                <w:szCs w:val="18"/>
              </w:rPr>
              <w:t xml:space="preserve"> diverted here from China, making the overall monthly average 76,000 tonnes. </w:t>
            </w:r>
          </w:p>
        </w:tc>
      </w:tr>
      <w:tr w:rsidR="00D77C8D" w:rsidRPr="003A3BCA" w14:paraId="2FDEC4D2"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2ED5E22" w14:textId="2D745B51" w:rsidR="00D77C8D" w:rsidRPr="00AE34EA" w:rsidRDefault="00D77C8D" w:rsidP="003A3BCA">
            <w:pPr>
              <w:spacing w:before="40" w:after="40"/>
              <w:rPr>
                <w:sz w:val="18"/>
                <w:szCs w:val="18"/>
              </w:rPr>
            </w:pPr>
            <w:r w:rsidRPr="00AE34EA">
              <w:rPr>
                <w:sz w:val="18"/>
                <w:szCs w:val="18"/>
              </w:rPr>
              <w:t>India</w:t>
            </w:r>
          </w:p>
        </w:tc>
        <w:tc>
          <w:tcPr>
            <w:tcW w:w="7087" w:type="dxa"/>
            <w:tcMar>
              <w:left w:w="57" w:type="dxa"/>
              <w:right w:w="57" w:type="dxa"/>
            </w:tcMar>
          </w:tcPr>
          <w:p w14:paraId="27410B88" w14:textId="0C43F5D9" w:rsidR="00D77C8D" w:rsidRPr="00A22E44" w:rsidRDefault="00A1506D" w:rsidP="005A68A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 2016 India banned the import of scrap plastics with an exemption for special economic zones (SEZ) and export-oriented units (EOU). In A</w:t>
            </w:r>
            <w:r w:rsidR="00D77C8D" w:rsidRPr="00A22E44">
              <w:rPr>
                <w:color w:val="000000" w:themeColor="text1"/>
              </w:rPr>
              <w:t>ugust 2019</w:t>
            </w:r>
            <w:r w:rsidR="00D77C8D" w:rsidRPr="00A22E44">
              <w:rPr>
                <w:color w:val="000000" w:themeColor="text1"/>
                <w:vertAlign w:val="superscript"/>
              </w:rPr>
              <w:footnoteReference w:id="29"/>
            </w:r>
            <w:r w:rsidR="00D77C8D" w:rsidRPr="00A22E44">
              <w:rPr>
                <w:color w:val="000000" w:themeColor="text1"/>
              </w:rPr>
              <w:t xml:space="preserve"> </w:t>
            </w:r>
            <w:r>
              <w:rPr>
                <w:color w:val="000000" w:themeColor="text1"/>
              </w:rPr>
              <w:t xml:space="preserve">the ban was expanded to cover these zones, </w:t>
            </w:r>
            <w:r w:rsidR="0026379A">
              <w:rPr>
                <w:color w:val="000000" w:themeColor="text1"/>
              </w:rPr>
              <w:t>but</w:t>
            </w:r>
            <w:r>
              <w:rPr>
                <w:color w:val="000000" w:themeColor="text1"/>
              </w:rPr>
              <w:t xml:space="preserve"> on 27 January 2021 this expansion was revoked meaning waste plastics can again be imported to these areas</w:t>
            </w:r>
            <w:r w:rsidR="00D77C8D" w:rsidRPr="00A22E44">
              <w:rPr>
                <w:color w:val="000000" w:themeColor="text1"/>
              </w:rPr>
              <w:t xml:space="preserve">. </w:t>
            </w:r>
            <w:r w:rsidR="009B2435" w:rsidRPr="00A22E44">
              <w:rPr>
                <w:color w:val="000000" w:themeColor="text1"/>
              </w:rPr>
              <w:t>The ban e</w:t>
            </w:r>
            <w:r w:rsidR="00D77C8D" w:rsidRPr="00A22E44">
              <w:rPr>
                <w:color w:val="000000" w:themeColor="text1"/>
              </w:rPr>
              <w:t xml:space="preserve">xcludes electrical/electronic assemblies or components that are defective which can be imported within a year of export. </w:t>
            </w:r>
            <w:r w:rsidR="00B91CBA" w:rsidRPr="00B91CBA">
              <w:rPr>
                <w:color w:val="000000" w:themeColor="text1"/>
              </w:rPr>
              <w:t xml:space="preserve">India also has a contamination limit of 1% for </w:t>
            </w:r>
            <w:r w:rsidR="00B91CBA" w:rsidRPr="00B91CBA">
              <w:rPr>
                <w:color w:val="000000" w:themeColor="text1"/>
              </w:rPr>
              <w:lastRenderedPageBreak/>
              <w:t xml:space="preserve">recovered paper, which it enforces by randomly inspecting </w:t>
            </w:r>
            <w:r w:rsidR="00B91CBA">
              <w:rPr>
                <w:color w:val="000000" w:themeColor="text1"/>
              </w:rPr>
              <w:t>five</w:t>
            </w:r>
            <w:r w:rsidR="00B91CBA" w:rsidRPr="00B91CBA">
              <w:rPr>
                <w:color w:val="000000" w:themeColor="text1"/>
              </w:rPr>
              <w:t xml:space="preserve"> mixed paper bales per container</w:t>
            </w:r>
            <w:r w:rsidR="00B91CBA" w:rsidRPr="00B91CBA">
              <w:rPr>
                <w:color w:val="000000" w:themeColor="text1"/>
                <w:vertAlign w:val="superscript"/>
              </w:rPr>
              <w:t xml:space="preserve"> </w:t>
            </w:r>
            <w:r w:rsidR="00D77C8D" w:rsidRPr="00A22E44">
              <w:rPr>
                <w:color w:val="000000" w:themeColor="text1"/>
                <w:vertAlign w:val="superscript"/>
              </w:rPr>
              <w:footnoteReference w:id="30"/>
            </w:r>
            <w:r w:rsidR="00D77C8D" w:rsidRPr="00A22E44">
              <w:rPr>
                <w:color w:val="000000" w:themeColor="text1"/>
              </w:rPr>
              <w:t>.</w:t>
            </w:r>
            <w:r w:rsidR="009A2E01">
              <w:rPr>
                <w:color w:val="000000" w:themeColor="text1"/>
              </w:rPr>
              <w:t xml:space="preserve"> India has proposed a new policy </w:t>
            </w:r>
            <w:r w:rsidR="00940BD6">
              <w:rPr>
                <w:color w:val="000000" w:themeColor="text1"/>
              </w:rPr>
              <w:t>seeking to increase local scrap metal processing and reducing reliance on imports</w:t>
            </w:r>
            <w:r w:rsidR="00940BD6">
              <w:rPr>
                <w:rStyle w:val="FootnoteReference"/>
                <w:color w:val="000000" w:themeColor="text1"/>
              </w:rPr>
              <w:footnoteReference w:id="31"/>
            </w:r>
            <w:r w:rsidR="009A2E01">
              <w:rPr>
                <w:color w:val="000000" w:themeColor="text1"/>
              </w:rPr>
              <w:t xml:space="preserve">. </w:t>
            </w:r>
          </w:p>
        </w:tc>
        <w:tc>
          <w:tcPr>
            <w:tcW w:w="1418" w:type="dxa"/>
            <w:tcMar>
              <w:left w:w="57" w:type="dxa"/>
              <w:right w:w="57" w:type="dxa"/>
            </w:tcMar>
          </w:tcPr>
          <w:p w14:paraId="35615229"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Ann.: Mar-19</w:t>
            </w:r>
          </w:p>
          <w:p w14:paraId="60D28A2E"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w:t>
            </w:r>
            <w:r w:rsidR="00561557">
              <w:rPr>
                <w:sz w:val="18"/>
                <w:szCs w:val="18"/>
              </w:rPr>
              <w:t xml:space="preserve"> </w:t>
            </w:r>
            <w:r w:rsidR="00050CA2">
              <w:rPr>
                <w:sz w:val="18"/>
                <w:szCs w:val="18"/>
              </w:rPr>
              <w:t>Mar-19 to Aug-19</w:t>
            </w:r>
          </w:p>
          <w:p w14:paraId="05641755" w14:textId="6984D545" w:rsidR="00A1506D" w:rsidRPr="00AE34EA" w:rsidRDefault="00A1506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Lifted: Jan-21</w:t>
            </w:r>
          </w:p>
        </w:tc>
        <w:tc>
          <w:tcPr>
            <w:tcW w:w="992" w:type="dxa"/>
            <w:tcMar>
              <w:left w:w="57" w:type="dxa"/>
              <w:right w:w="57" w:type="dxa"/>
            </w:tcMar>
          </w:tcPr>
          <w:p w14:paraId="6BDFD0D2" w14:textId="67A8FF34"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A10C8B">
              <w:rPr>
                <w:sz w:val="18"/>
                <w:szCs w:val="18"/>
              </w:rPr>
              <w:t>s</w:t>
            </w:r>
          </w:p>
        </w:tc>
        <w:tc>
          <w:tcPr>
            <w:tcW w:w="1134" w:type="dxa"/>
            <w:tcMar>
              <w:left w:w="57" w:type="dxa"/>
              <w:right w:w="57" w:type="dxa"/>
            </w:tcMar>
          </w:tcPr>
          <w:p w14:paraId="16BDBAFE" w14:textId="2232EF9F" w:rsidR="00A10C8B" w:rsidRDefault="003F5305"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r w:rsidR="00D77C8D" w:rsidRPr="00AE34EA">
              <w:rPr>
                <w:sz w:val="18"/>
                <w:szCs w:val="18"/>
              </w:rPr>
              <w:t xml:space="preserve"> </w:t>
            </w:r>
          </w:p>
          <w:p w14:paraId="396B7C5F"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45B0A4B" w14:textId="4CA1BB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w:t>
            </w:r>
            <w:r w:rsidR="00A10C8B">
              <w:rPr>
                <w:sz w:val="18"/>
                <w:szCs w:val="18"/>
              </w:rPr>
              <w:t xml:space="preserve"> per </w:t>
            </w:r>
            <w:r w:rsidRPr="00AE34EA">
              <w:rPr>
                <w:sz w:val="18"/>
                <w:szCs w:val="18"/>
              </w:rPr>
              <w:t>month)</w:t>
            </w:r>
          </w:p>
        </w:tc>
        <w:tc>
          <w:tcPr>
            <w:tcW w:w="709" w:type="dxa"/>
            <w:tcMar>
              <w:left w:w="57" w:type="dxa"/>
              <w:right w:w="57" w:type="dxa"/>
            </w:tcMar>
          </w:tcPr>
          <w:p w14:paraId="33A6986B" w14:textId="19F20A38" w:rsidR="00D77C8D" w:rsidRPr="00AE34EA" w:rsidRDefault="00C57C9E"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w:t>
            </w:r>
          </w:p>
        </w:tc>
        <w:tc>
          <w:tcPr>
            <w:tcW w:w="2409" w:type="dxa"/>
            <w:tcMar>
              <w:left w:w="57" w:type="dxa"/>
              <w:right w:w="57" w:type="dxa"/>
            </w:tcMar>
          </w:tcPr>
          <w:p w14:paraId="19320B0E" w14:textId="715DD6E5"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60 to 5 tonnes per month from 2018-19 to 2019-20</w:t>
            </w:r>
            <w:r w:rsidR="00C57C9E">
              <w:rPr>
                <w:sz w:val="18"/>
                <w:szCs w:val="18"/>
              </w:rPr>
              <w:t>, then increased to 30</w:t>
            </w:r>
            <w:r w:rsidR="009F3DCC">
              <w:rPr>
                <w:sz w:val="18"/>
                <w:szCs w:val="18"/>
              </w:rPr>
              <w:t xml:space="preserve"> t</w:t>
            </w:r>
            <w:r w:rsidR="00FA1E4D">
              <w:rPr>
                <w:sz w:val="18"/>
                <w:szCs w:val="18"/>
              </w:rPr>
              <w:t>/</w:t>
            </w:r>
            <w:r w:rsidR="009F3DCC">
              <w:rPr>
                <w:sz w:val="18"/>
                <w:szCs w:val="18"/>
              </w:rPr>
              <w:t>month</w:t>
            </w:r>
            <w:r w:rsidR="00C57C9E">
              <w:rPr>
                <w:sz w:val="18"/>
                <w:szCs w:val="18"/>
              </w:rPr>
              <w:t xml:space="preserve"> in 2020-21 as restrictions were eased from January.</w:t>
            </w:r>
          </w:p>
        </w:tc>
      </w:tr>
      <w:tr w:rsidR="00B91CBA" w:rsidRPr="003A3BCA" w14:paraId="38AB1366"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A3FF68D" w14:textId="77777777" w:rsidR="00B91CBA" w:rsidRPr="00AE34EA" w:rsidRDefault="00B91CBA" w:rsidP="00B91CBA">
            <w:pPr>
              <w:spacing w:before="40" w:after="40"/>
              <w:rPr>
                <w:sz w:val="18"/>
                <w:szCs w:val="18"/>
              </w:rPr>
            </w:pPr>
            <w:r>
              <w:rPr>
                <w:sz w:val="18"/>
                <w:szCs w:val="18"/>
              </w:rPr>
              <w:t>Bangladesh</w:t>
            </w:r>
          </w:p>
        </w:tc>
        <w:tc>
          <w:tcPr>
            <w:tcW w:w="7087" w:type="dxa"/>
            <w:tcMar>
              <w:left w:w="57" w:type="dxa"/>
              <w:right w:w="57" w:type="dxa"/>
            </w:tcMar>
          </w:tcPr>
          <w:p w14:paraId="72E251CA" w14:textId="6B1EB7D0" w:rsidR="00B91CBA" w:rsidRPr="00A22E44" w:rsidRDefault="00B91CBA" w:rsidP="00B91CBA">
            <w:pPr>
              <w:cnfStyle w:val="000000000000" w:firstRow="0" w:lastRow="0" w:firstColumn="0" w:lastColumn="0" w:oddVBand="0" w:evenVBand="0" w:oddHBand="0" w:evenHBand="0" w:firstRowFirstColumn="0" w:firstRowLastColumn="0" w:lastRowFirstColumn="0" w:lastRowLastColumn="0"/>
              <w:rPr>
                <w:color w:val="000000" w:themeColor="text1"/>
              </w:rPr>
            </w:pPr>
            <w:r w:rsidRPr="00B57979">
              <w:rPr>
                <w:color w:val="000000" w:themeColor="text1"/>
              </w:rPr>
              <w:t>The Bangladesh Ministry of Commerce Import Policy Order 2015-2018 includes details of waste import regulations</w:t>
            </w:r>
            <w:r w:rsidRPr="00B57979">
              <w:rPr>
                <w:rStyle w:val="FootnoteReference"/>
                <w:color w:val="000000" w:themeColor="text1"/>
              </w:rPr>
              <w:footnoteReference w:id="32"/>
            </w:r>
            <w:r w:rsidRPr="00B57979">
              <w:rPr>
                <w:color w:val="000000" w:themeColor="text1"/>
              </w:rPr>
              <w:t>. Metals and glass are allowed for bona fide industrial units, paper and cardboard is unrestricted and textiles are allowed with some restrictions. The regulations also mention exemptions for other waste types that would fall under the waste groups hazardous and ‘other’.</w:t>
            </w:r>
          </w:p>
        </w:tc>
        <w:tc>
          <w:tcPr>
            <w:tcW w:w="1418" w:type="dxa"/>
            <w:tcMar>
              <w:left w:w="57" w:type="dxa"/>
              <w:right w:w="57" w:type="dxa"/>
            </w:tcMar>
          </w:tcPr>
          <w:p w14:paraId="6F68B907" w14:textId="29B2D0C9"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 Feb-16</w:t>
            </w:r>
          </w:p>
        </w:tc>
        <w:tc>
          <w:tcPr>
            <w:tcW w:w="992" w:type="dxa"/>
            <w:tcMar>
              <w:left w:w="57" w:type="dxa"/>
              <w:right w:w="57" w:type="dxa"/>
            </w:tcMar>
          </w:tcPr>
          <w:p w14:paraId="1F8F2B1F" w14:textId="632C37CE"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p>
        </w:tc>
        <w:tc>
          <w:tcPr>
            <w:tcW w:w="1134" w:type="dxa"/>
            <w:tcMar>
              <w:left w:w="57" w:type="dxa"/>
              <w:right w:w="57" w:type="dxa"/>
            </w:tcMar>
          </w:tcPr>
          <w:p w14:paraId="5275F530" w14:textId="77777777"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124C23BB" w14:textId="77777777" w:rsidR="00B91CBA" w:rsidRPr="00AE34EA" w:rsidDel="00825E99"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Mar>
              <w:left w:w="57" w:type="dxa"/>
              <w:right w:w="57" w:type="dxa"/>
            </w:tcMar>
          </w:tcPr>
          <w:p w14:paraId="0E0388FD" w14:textId="2FDBE79C"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w:t>
            </w:r>
            <w:r w:rsidR="00BA0B57">
              <w:rPr>
                <w:sz w:val="18"/>
                <w:szCs w:val="18"/>
              </w:rPr>
              <w:t>.</w:t>
            </w:r>
          </w:p>
        </w:tc>
      </w:tr>
      <w:tr w:rsidR="00D77C8D" w:rsidRPr="003A3BCA" w14:paraId="72F67345"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69B9482" w14:textId="22C0C2E6" w:rsidR="00D77C8D" w:rsidRPr="00AE34EA" w:rsidRDefault="00D77C8D" w:rsidP="003A3BCA">
            <w:pPr>
              <w:spacing w:before="40" w:after="40"/>
              <w:rPr>
                <w:sz w:val="18"/>
                <w:szCs w:val="18"/>
              </w:rPr>
            </w:pPr>
            <w:r w:rsidRPr="00AE34EA">
              <w:rPr>
                <w:sz w:val="18"/>
                <w:szCs w:val="18"/>
              </w:rPr>
              <w:t>Vietnam</w:t>
            </w:r>
          </w:p>
        </w:tc>
        <w:tc>
          <w:tcPr>
            <w:tcW w:w="7087" w:type="dxa"/>
            <w:tcMar>
              <w:left w:w="57" w:type="dxa"/>
              <w:right w:w="57" w:type="dxa"/>
            </w:tcMar>
          </w:tcPr>
          <w:p w14:paraId="399D0D9A" w14:textId="0848FF54" w:rsidR="00D77C8D" w:rsidRPr="00A22E44" w:rsidRDefault="00050CA2">
            <w:pPr>
              <w:cnfStyle w:val="000000000000" w:firstRow="0" w:lastRow="0" w:firstColumn="0" w:lastColumn="0" w:oddVBand="0" w:evenVBand="0" w:oddHBand="0" w:evenHBand="0" w:firstRowFirstColumn="0" w:firstRowLastColumn="0" w:lastRowFirstColumn="0" w:lastRowLastColumn="0"/>
            </w:pPr>
            <w:r w:rsidRPr="00050CA2">
              <w:t>On 24 September 2020 Vietnam published</w:t>
            </w:r>
            <w:r w:rsidRPr="00050CA2">
              <w:rPr>
                <w:vertAlign w:val="superscript"/>
              </w:rPr>
              <w:footnoteReference w:id="33"/>
            </w:r>
            <w:r w:rsidRPr="00050CA2">
              <w:t xml:space="preserve"> ‘</w:t>
            </w:r>
            <w:r w:rsidRPr="00F93B6D">
              <w:rPr>
                <w:i/>
                <w:iCs/>
              </w:rPr>
              <w:t>Promulgation of the list of waste permitted for import as production materials</w:t>
            </w:r>
            <w:r w:rsidRPr="00050CA2">
              <w:t xml:space="preserve">’, overriding previous regulations. Unsorted scrap paper imports and granulated slag from iron </w:t>
            </w:r>
            <w:r w:rsidR="00793C89">
              <w:t>and</w:t>
            </w:r>
            <w:r w:rsidRPr="00050CA2">
              <w:t xml:space="preserve"> steel </w:t>
            </w:r>
            <w:r w:rsidR="00793C89" w:rsidRPr="00050CA2">
              <w:t xml:space="preserve">manufacture </w:t>
            </w:r>
            <w:r w:rsidRPr="00050CA2">
              <w:t xml:space="preserve">are to be banned by the end of 2021. </w:t>
            </w:r>
            <w:r w:rsidR="00615A7C" w:rsidRPr="00615A7C">
              <w:t xml:space="preserve">This builds on a range of </w:t>
            </w:r>
            <w:r w:rsidR="00793C89">
              <w:t xml:space="preserve">2018 </w:t>
            </w:r>
            <w:r w:rsidR="00615A7C" w:rsidRPr="00615A7C">
              <w:t xml:space="preserve">restrictions that allow waste imports only if shipments meet environmental standards and </w:t>
            </w:r>
            <w:r w:rsidR="00793C89">
              <w:t xml:space="preserve">processing </w:t>
            </w:r>
            <w:r w:rsidR="00615A7C" w:rsidRPr="00615A7C">
              <w:t xml:space="preserve">capacity </w:t>
            </w:r>
            <w:r w:rsidR="00793C89">
              <w:t>is demonstrated</w:t>
            </w:r>
            <w:r w:rsidR="00615A7C" w:rsidRPr="00615A7C">
              <w:t>. The</w:t>
            </w:r>
            <w:r w:rsidR="009B0191">
              <w:t xml:space="preserve"> earlier restrictions</w:t>
            </w:r>
            <w:r w:rsidR="00615A7C" w:rsidRPr="00615A7C">
              <w:t xml:space="preserve"> covered scrap </w:t>
            </w:r>
            <w:r w:rsidR="00793C89">
              <w:t>metals</w:t>
            </w:r>
            <w:r w:rsidR="00615A7C" w:rsidRPr="00615A7C">
              <w:t>, plastic, paper, glass, and blast furnace slag dust</w:t>
            </w:r>
            <w:bookmarkStart w:id="27" w:name="_Hlk71287294"/>
            <w:r w:rsidR="00615A7C" w:rsidRPr="00615A7C">
              <w:rPr>
                <w:vertAlign w:val="superscript"/>
              </w:rPr>
              <w:footnoteReference w:id="34"/>
            </w:r>
            <w:r w:rsidR="00615A7C" w:rsidRPr="00615A7C">
              <w:t xml:space="preserve">. </w:t>
            </w:r>
            <w:bookmarkEnd w:id="27"/>
            <w:r w:rsidR="00615A7C" w:rsidRPr="00615A7C">
              <w:t>Under new national standard QCVN 32: 2019/BTNMT, import of e-waste plastics (</w:t>
            </w:r>
            <w:r w:rsidR="00736AA3" w:rsidRPr="00615A7C">
              <w:t>e.g.</w:t>
            </w:r>
            <w:r w:rsidR="00703AD0">
              <w:t xml:space="preserve"> </w:t>
            </w:r>
            <w:r w:rsidR="00615A7C" w:rsidRPr="00615A7C">
              <w:t>TVs and computers) would be forbidden</w:t>
            </w:r>
            <w:r w:rsidR="00615A7C" w:rsidRPr="00615A7C">
              <w:rPr>
                <w:vertAlign w:val="superscript"/>
              </w:rPr>
              <w:footnoteReference w:id="35"/>
            </w:r>
            <w:r w:rsidR="00615A7C" w:rsidRPr="00615A7C">
              <w:t>. Scrap metal waste needs to be 99% metal to be allowed in</w:t>
            </w:r>
            <w:bookmarkStart w:id="28" w:name="_Ref80258093"/>
            <w:r w:rsidR="00615A7C" w:rsidRPr="00615A7C">
              <w:rPr>
                <w:vertAlign w:val="superscript"/>
              </w:rPr>
              <w:footnoteReference w:id="36"/>
            </w:r>
            <w:bookmarkEnd w:id="28"/>
            <w:r w:rsidR="00615A7C" w:rsidRPr="00615A7C">
              <w:t>.</w:t>
            </w:r>
          </w:p>
        </w:tc>
        <w:tc>
          <w:tcPr>
            <w:tcW w:w="1418" w:type="dxa"/>
            <w:tcMar>
              <w:left w:w="57" w:type="dxa"/>
              <w:right w:w="57" w:type="dxa"/>
            </w:tcMar>
          </w:tcPr>
          <w:p w14:paraId="5360B724" w14:textId="77777777" w:rsidR="00050CA2" w:rsidRPr="00050CA2"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Ann. in Sep-20.</w:t>
            </w:r>
          </w:p>
          <w:p w14:paraId="591FA6A2" w14:textId="4A494B75" w:rsidR="00D77C8D" w:rsidRPr="00AE34EA"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Mixed metal waste restricted from Oct</w:t>
            </w:r>
            <w:r w:rsidR="00C373BB">
              <w:rPr>
                <w:sz w:val="18"/>
                <w:szCs w:val="18"/>
              </w:rPr>
              <w:t>-</w:t>
            </w:r>
            <w:r w:rsidRPr="00050CA2">
              <w:rPr>
                <w:sz w:val="18"/>
                <w:szCs w:val="18"/>
              </w:rPr>
              <w:t>18</w:t>
            </w:r>
            <w:r w:rsidR="00D77C8D" w:rsidRPr="00AE34EA">
              <w:rPr>
                <w:sz w:val="18"/>
                <w:szCs w:val="18"/>
              </w:rPr>
              <w:t>.</w:t>
            </w:r>
          </w:p>
        </w:tc>
        <w:tc>
          <w:tcPr>
            <w:tcW w:w="992" w:type="dxa"/>
            <w:tcMar>
              <w:left w:w="57" w:type="dxa"/>
              <w:right w:w="57" w:type="dxa"/>
            </w:tcMar>
          </w:tcPr>
          <w:p w14:paraId="2E487EF4" w14:textId="035AE04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 metals</w:t>
            </w:r>
          </w:p>
        </w:tc>
        <w:tc>
          <w:tcPr>
            <w:tcW w:w="1134" w:type="dxa"/>
            <w:tcMar>
              <w:left w:w="57" w:type="dxa"/>
              <w:right w:w="57" w:type="dxa"/>
            </w:tcMar>
          </w:tcPr>
          <w:p w14:paraId="7923175A" w14:textId="0CE63479" w:rsidR="00A10C8B" w:rsidRDefault="003F5305"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420</w:t>
            </w:r>
            <w:r w:rsidR="00D77C8D" w:rsidRPr="00AE34EA">
              <w:rPr>
                <w:sz w:val="18"/>
                <w:szCs w:val="18"/>
              </w:rPr>
              <w:t>,</w:t>
            </w:r>
            <w:r w:rsidR="00A053D4">
              <w:rPr>
                <w:sz w:val="18"/>
                <w:szCs w:val="18"/>
              </w:rPr>
              <w:t>0</w:t>
            </w:r>
            <w:r w:rsidR="00D77C8D" w:rsidRPr="00AE34EA">
              <w:rPr>
                <w:sz w:val="18"/>
                <w:szCs w:val="18"/>
              </w:rPr>
              <w:t xml:space="preserve">00 </w:t>
            </w:r>
          </w:p>
          <w:p w14:paraId="51987E33"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3B11E9" w14:textId="26575A69" w:rsidR="00D77C8D" w:rsidRPr="00AE34EA"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35</w:t>
            </w:r>
            <w:r w:rsidRPr="00AE34EA">
              <w:rPr>
                <w:sz w:val="18"/>
                <w:szCs w:val="18"/>
              </w:rPr>
              <w:t>,</w:t>
            </w:r>
            <w:r w:rsidR="003F5305">
              <w:rPr>
                <w:sz w:val="18"/>
                <w:szCs w:val="18"/>
              </w:rPr>
              <w:t>0</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2AE51F" w14:textId="38283BD6" w:rsidR="00D77C8D" w:rsidRPr="00AE34EA" w:rsidRDefault="007D6AF8"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AC447D">
              <w:rPr>
                <w:sz w:val="18"/>
                <w:szCs w:val="18"/>
              </w:rPr>
              <w:t>5</w:t>
            </w:r>
            <w:r w:rsidR="00D77C8D" w:rsidRPr="00AE34EA">
              <w:rPr>
                <w:sz w:val="18"/>
                <w:szCs w:val="18"/>
              </w:rPr>
              <w:t>,000</w:t>
            </w:r>
          </w:p>
        </w:tc>
        <w:tc>
          <w:tcPr>
            <w:tcW w:w="2409" w:type="dxa"/>
            <w:tcMar>
              <w:left w:w="57" w:type="dxa"/>
              <w:right w:w="57" w:type="dxa"/>
            </w:tcMar>
          </w:tcPr>
          <w:p w14:paraId="27A4A90F" w14:textId="3A0F85FE"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Imports reduced from 61,000 to 35,000 tonnes per month between 2018-19 and 2019-20</w:t>
            </w:r>
            <w:r w:rsidR="00AC447D">
              <w:rPr>
                <w:sz w:val="18"/>
                <w:szCs w:val="18"/>
              </w:rPr>
              <w:t>, then increased to 45,000</w:t>
            </w:r>
            <w:r w:rsidR="009F3DCC">
              <w:rPr>
                <w:sz w:val="18"/>
                <w:szCs w:val="18"/>
              </w:rPr>
              <w:t xml:space="preserve"> tonnes per month</w:t>
            </w:r>
            <w:r w:rsidR="00AC447D">
              <w:rPr>
                <w:sz w:val="18"/>
                <w:szCs w:val="18"/>
              </w:rPr>
              <w:t xml:space="preserve"> in 2020-21</w:t>
            </w:r>
            <w:r w:rsidR="00D77C8D" w:rsidRPr="00AE34EA">
              <w:rPr>
                <w:sz w:val="18"/>
                <w:szCs w:val="18"/>
              </w:rPr>
              <w:t>.</w:t>
            </w:r>
            <w:r w:rsidR="00AC447D">
              <w:rPr>
                <w:sz w:val="18"/>
                <w:szCs w:val="18"/>
              </w:rPr>
              <w:t xml:space="preserve"> More waste was received from January, indicating </w:t>
            </w:r>
            <w:r w:rsidR="00E22A9B">
              <w:rPr>
                <w:sz w:val="18"/>
                <w:szCs w:val="18"/>
              </w:rPr>
              <w:t xml:space="preserve">possible </w:t>
            </w:r>
            <w:r w:rsidR="00AC447D">
              <w:rPr>
                <w:sz w:val="18"/>
                <w:szCs w:val="18"/>
              </w:rPr>
              <w:t xml:space="preserve">diversion here from China after </w:t>
            </w:r>
            <w:r w:rsidR="00FA1E4D">
              <w:rPr>
                <w:sz w:val="18"/>
                <w:szCs w:val="18"/>
              </w:rPr>
              <w:t>its strengthened</w:t>
            </w:r>
            <w:r w:rsidR="00AC447D">
              <w:rPr>
                <w:sz w:val="18"/>
                <w:szCs w:val="18"/>
              </w:rPr>
              <w:t xml:space="preserve"> ban. </w:t>
            </w:r>
          </w:p>
        </w:tc>
      </w:tr>
      <w:tr w:rsidR="00D77C8D" w:rsidRPr="003A3BCA" w14:paraId="670435BE"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023ACF9" w14:textId="2B330130" w:rsidR="00D77C8D" w:rsidRPr="00AE34EA" w:rsidDel="00D77C8D" w:rsidRDefault="00D77C8D" w:rsidP="003A3BCA">
            <w:pPr>
              <w:spacing w:before="40" w:after="40"/>
              <w:rPr>
                <w:sz w:val="18"/>
                <w:szCs w:val="18"/>
              </w:rPr>
            </w:pPr>
            <w:bookmarkStart w:id="29" w:name="_Hlk33267643"/>
            <w:r w:rsidRPr="00AE34EA">
              <w:rPr>
                <w:sz w:val="18"/>
                <w:szCs w:val="18"/>
              </w:rPr>
              <w:t>Malaysia</w:t>
            </w:r>
          </w:p>
        </w:tc>
        <w:tc>
          <w:tcPr>
            <w:tcW w:w="7087" w:type="dxa"/>
            <w:tcMar>
              <w:left w:w="57" w:type="dxa"/>
              <w:right w:w="57" w:type="dxa"/>
            </w:tcMar>
          </w:tcPr>
          <w:p w14:paraId="33AF96B6" w14:textId="79682CCA" w:rsidR="001E68E7" w:rsidRPr="001E68E7" w:rsidDel="00D77C8D" w:rsidRDefault="00B54026" w:rsidP="003A3BCA">
            <w:pPr>
              <w:cnfStyle w:val="000000000000" w:firstRow="0" w:lastRow="0" w:firstColumn="0" w:lastColumn="0" w:oddVBand="0" w:evenVBand="0" w:oddHBand="0" w:evenHBand="0" w:firstRowFirstColumn="0" w:firstRowLastColumn="0" w:lastRowFirstColumn="0" w:lastRowLastColumn="0"/>
              <w:rPr>
                <w:color w:val="000000" w:themeColor="text1"/>
              </w:rPr>
            </w:pPr>
            <w:r w:rsidRPr="00B54026">
              <w:rPr>
                <w:color w:val="000000" w:themeColor="text1"/>
              </w:rPr>
              <w:t xml:space="preserve">Malaysia </w:t>
            </w:r>
            <w:r w:rsidR="00A5584C">
              <w:rPr>
                <w:color w:val="000000" w:themeColor="text1"/>
              </w:rPr>
              <w:t>cracked</w:t>
            </w:r>
            <w:r w:rsidR="00DB1A33">
              <w:rPr>
                <w:color w:val="000000" w:themeColor="text1"/>
              </w:rPr>
              <w:t xml:space="preserve"> down</w:t>
            </w:r>
            <w:r w:rsidRPr="00B54026">
              <w:rPr>
                <w:color w:val="000000" w:themeColor="text1"/>
              </w:rPr>
              <w:t xml:space="preserve"> on </w:t>
            </w:r>
            <w:r w:rsidR="00267D5A">
              <w:rPr>
                <w:color w:val="000000" w:themeColor="text1"/>
              </w:rPr>
              <w:t xml:space="preserve">plastic </w:t>
            </w:r>
            <w:r w:rsidRPr="00B54026">
              <w:rPr>
                <w:color w:val="000000" w:themeColor="text1"/>
              </w:rPr>
              <w:t>waste imports</w:t>
            </w:r>
            <w:r w:rsidR="00DB1A33">
              <w:rPr>
                <w:color w:val="000000" w:themeColor="text1"/>
              </w:rPr>
              <w:t xml:space="preserve"> this year</w:t>
            </w:r>
            <w:r w:rsidR="00A5584C">
              <w:rPr>
                <w:color w:val="000000" w:themeColor="text1"/>
              </w:rPr>
              <w:t>, supported by</w:t>
            </w:r>
            <w:r w:rsidRPr="00B54026">
              <w:rPr>
                <w:color w:val="000000" w:themeColor="text1"/>
              </w:rPr>
              <w:t xml:space="preserve"> the Basel Convention amendment on plastic</w:t>
            </w:r>
            <w:r w:rsidR="00267D5A">
              <w:rPr>
                <w:color w:val="000000" w:themeColor="text1"/>
              </w:rPr>
              <w:t>s</w:t>
            </w:r>
            <w:r w:rsidRPr="00B54026">
              <w:rPr>
                <w:color w:val="000000" w:themeColor="text1"/>
              </w:rPr>
              <w:t xml:space="preserve"> waste, which came into force in January 2021.</w:t>
            </w:r>
            <w:r w:rsidR="008E3D42">
              <w:rPr>
                <w:rStyle w:val="FootnoteReference"/>
                <w:color w:val="000000" w:themeColor="text1"/>
              </w:rPr>
              <w:footnoteReference w:id="37"/>
            </w:r>
            <w:r w:rsidRPr="00B54026">
              <w:rPr>
                <w:color w:val="000000" w:themeColor="text1"/>
              </w:rPr>
              <w:t xml:space="preserve">. The Basel Action Network encouraged the Malaysian </w:t>
            </w:r>
            <w:r w:rsidR="009F3DCC">
              <w:rPr>
                <w:color w:val="000000" w:themeColor="text1"/>
              </w:rPr>
              <w:t>G</w:t>
            </w:r>
            <w:r w:rsidRPr="00B54026">
              <w:rPr>
                <w:color w:val="000000" w:themeColor="text1"/>
              </w:rPr>
              <w:t xml:space="preserve">overnment to similarly inspect all shipments of </w:t>
            </w:r>
            <w:r w:rsidR="00110011">
              <w:rPr>
                <w:color w:val="000000" w:themeColor="text1"/>
              </w:rPr>
              <w:t xml:space="preserve">waste </w:t>
            </w:r>
            <w:r w:rsidRPr="00B54026">
              <w:rPr>
                <w:color w:val="000000" w:themeColor="text1"/>
              </w:rPr>
              <w:t xml:space="preserve">plastics </w:t>
            </w:r>
            <w:r w:rsidR="00110011">
              <w:rPr>
                <w:color w:val="000000" w:themeColor="text1"/>
              </w:rPr>
              <w:t xml:space="preserve">entering </w:t>
            </w:r>
            <w:r w:rsidRPr="00B54026">
              <w:rPr>
                <w:color w:val="000000" w:themeColor="text1"/>
              </w:rPr>
              <w:t>the country to ensure continued compliance</w:t>
            </w:r>
            <w:r w:rsidRPr="00B54026">
              <w:rPr>
                <w:color w:val="000000" w:themeColor="text1"/>
                <w:vertAlign w:val="superscript"/>
              </w:rPr>
              <w:footnoteReference w:id="38"/>
            </w:r>
            <w:r w:rsidRPr="00B54026">
              <w:rPr>
                <w:color w:val="000000" w:themeColor="text1"/>
              </w:rPr>
              <w:t>.</w:t>
            </w:r>
            <w:r w:rsidR="001E68E7">
              <w:rPr>
                <w:color w:val="000000" w:themeColor="text1"/>
              </w:rPr>
              <w:t xml:space="preserve"> Proposed import restrictions on metals are still under negotiation</w:t>
            </w:r>
            <w:r w:rsidR="00E22A9B" w:rsidRPr="00E22A9B">
              <w:rPr>
                <w:color w:val="000000" w:themeColor="text1"/>
                <w:vertAlign w:val="superscript"/>
              </w:rPr>
              <w:fldChar w:fldCharType="begin"/>
            </w:r>
            <w:r w:rsidR="00E22A9B" w:rsidRPr="00E22A9B">
              <w:rPr>
                <w:color w:val="000000" w:themeColor="text1"/>
                <w:vertAlign w:val="superscript"/>
              </w:rPr>
              <w:instrText xml:space="preserve"> NOTEREF _Ref80258093 \h </w:instrText>
            </w:r>
            <w:r w:rsidR="00E22A9B">
              <w:rPr>
                <w:color w:val="000000" w:themeColor="text1"/>
                <w:vertAlign w:val="superscript"/>
              </w:rPr>
              <w:instrText xml:space="preserve"> \* MERGEFORMAT </w:instrText>
            </w:r>
            <w:r w:rsidR="00E22A9B" w:rsidRPr="00E22A9B">
              <w:rPr>
                <w:color w:val="000000" w:themeColor="text1"/>
                <w:vertAlign w:val="superscript"/>
              </w:rPr>
            </w:r>
            <w:r w:rsidR="00E22A9B" w:rsidRPr="00E22A9B">
              <w:rPr>
                <w:color w:val="000000" w:themeColor="text1"/>
                <w:vertAlign w:val="superscript"/>
              </w:rPr>
              <w:fldChar w:fldCharType="separate"/>
            </w:r>
            <w:r w:rsidR="00557024">
              <w:rPr>
                <w:color w:val="000000" w:themeColor="text1"/>
                <w:vertAlign w:val="superscript"/>
              </w:rPr>
              <w:t>36</w:t>
            </w:r>
            <w:r w:rsidR="00E22A9B" w:rsidRPr="00E22A9B">
              <w:rPr>
                <w:color w:val="000000" w:themeColor="text1"/>
                <w:vertAlign w:val="superscript"/>
              </w:rPr>
              <w:fldChar w:fldCharType="end"/>
            </w:r>
            <w:r w:rsidR="001E68E7">
              <w:rPr>
                <w:color w:val="000000" w:themeColor="text1"/>
              </w:rPr>
              <w:t>.</w:t>
            </w:r>
          </w:p>
        </w:tc>
        <w:tc>
          <w:tcPr>
            <w:tcW w:w="1418" w:type="dxa"/>
            <w:tcMar>
              <w:left w:w="57" w:type="dxa"/>
              <w:right w:w="57" w:type="dxa"/>
            </w:tcMar>
          </w:tcPr>
          <w:p w14:paraId="31F8A6B0"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Jul-18.</w:t>
            </w:r>
          </w:p>
          <w:p w14:paraId="2B1F7F16"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2EA4808F" w:rsidR="00D77C8D" w:rsidRPr="00AE34EA" w:rsidDel="00D77C8D"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050CA2">
              <w:rPr>
                <w:sz w:val="18"/>
                <w:szCs w:val="18"/>
              </w:rPr>
              <w:t>, metals</w:t>
            </w:r>
          </w:p>
        </w:tc>
        <w:tc>
          <w:tcPr>
            <w:tcW w:w="1134" w:type="dxa"/>
            <w:tcMar>
              <w:left w:w="57" w:type="dxa"/>
              <w:right w:w="57" w:type="dxa"/>
            </w:tcMar>
          </w:tcPr>
          <w:p w14:paraId="4233199B" w14:textId="6645E2B7" w:rsidR="00A10C8B" w:rsidRDefault="003F5305"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9E20F2">
              <w:rPr>
                <w:sz w:val="18"/>
                <w:szCs w:val="18"/>
              </w:rPr>
              <w:t>9</w:t>
            </w:r>
            <w:r>
              <w:rPr>
                <w:sz w:val="18"/>
                <w:szCs w:val="18"/>
              </w:rPr>
              <w:t>,</w:t>
            </w:r>
            <w:r w:rsidR="009E20F2">
              <w:rPr>
                <w:sz w:val="18"/>
                <w:szCs w:val="18"/>
              </w:rPr>
              <w:t>0</w:t>
            </w:r>
            <w:r w:rsidR="00D77C8D" w:rsidRPr="00AE34EA">
              <w:rPr>
                <w:sz w:val="18"/>
                <w:szCs w:val="18"/>
              </w:rPr>
              <w:t xml:space="preserve">00 </w:t>
            </w:r>
          </w:p>
          <w:p w14:paraId="7D1C977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529B0FD" w14:textId="541A5473" w:rsidR="00D77C8D" w:rsidRPr="00AE34EA"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w:t>
            </w:r>
            <w:r w:rsidR="003F5305">
              <w:rPr>
                <w:sz w:val="18"/>
                <w:szCs w:val="18"/>
              </w:rPr>
              <w:t>1</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7789DE" w14:textId="5A9621E4" w:rsidR="00D77C8D" w:rsidRPr="00AE34EA" w:rsidDel="0076337D" w:rsidRDefault="00AC447D"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w:t>
            </w:r>
            <w:r w:rsidR="00D77C8D" w:rsidRPr="00AE34EA">
              <w:rPr>
                <w:sz w:val="18"/>
                <w:szCs w:val="18"/>
              </w:rPr>
              <w:t>00</w:t>
            </w:r>
          </w:p>
        </w:tc>
        <w:tc>
          <w:tcPr>
            <w:tcW w:w="2409" w:type="dxa"/>
            <w:tcMar>
              <w:left w:w="57" w:type="dxa"/>
              <w:right w:w="57" w:type="dxa"/>
            </w:tcMar>
          </w:tcPr>
          <w:p w14:paraId="23F0C6B8" w14:textId="655A05B8" w:rsidR="00D77C8D" w:rsidRPr="00AE34EA" w:rsidDel="00D77C8D" w:rsidRDefault="00A86BC6"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Malaysian imports were similar between 2019-20 and 2020-21 (4,100 and 4,200 tonnes per month respectively). There is no apparent</w:t>
            </w:r>
            <w:r w:rsidR="009F3DCC">
              <w:rPr>
                <w:sz w:val="18"/>
                <w:szCs w:val="18"/>
              </w:rPr>
              <w:t xml:space="preserve"> impact</w:t>
            </w:r>
            <w:r>
              <w:rPr>
                <w:sz w:val="18"/>
                <w:szCs w:val="18"/>
              </w:rPr>
              <w:t xml:space="preserve">. </w:t>
            </w:r>
          </w:p>
        </w:tc>
      </w:tr>
      <w:tr w:rsidR="000C31BB" w:rsidRPr="003A3BCA" w14:paraId="3D062F39"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41D1EBE" w14:textId="77777777" w:rsidR="000C31BB" w:rsidRPr="00AE34EA" w:rsidRDefault="000C31BB" w:rsidP="0070040B">
            <w:pPr>
              <w:spacing w:before="40" w:after="40"/>
              <w:rPr>
                <w:sz w:val="18"/>
                <w:szCs w:val="18"/>
              </w:rPr>
            </w:pPr>
            <w:r w:rsidRPr="00AE34EA">
              <w:rPr>
                <w:sz w:val="18"/>
                <w:szCs w:val="18"/>
              </w:rPr>
              <w:lastRenderedPageBreak/>
              <w:t>China</w:t>
            </w:r>
          </w:p>
        </w:tc>
        <w:tc>
          <w:tcPr>
            <w:tcW w:w="7087" w:type="dxa"/>
            <w:tcMar>
              <w:left w:w="57" w:type="dxa"/>
              <w:right w:w="57" w:type="dxa"/>
            </w:tcMar>
          </w:tcPr>
          <w:p w14:paraId="77FA80F8" w14:textId="6B198CCC" w:rsidR="000C31BB" w:rsidRPr="00A22E44" w:rsidRDefault="00592AE2" w:rsidP="0070040B">
            <w:pPr>
              <w:cnfStyle w:val="000000000000" w:firstRow="0" w:lastRow="0" w:firstColumn="0" w:lastColumn="0" w:oddVBand="0" w:evenVBand="0" w:oddHBand="0" w:evenHBand="0" w:firstRowFirstColumn="0" w:firstRowLastColumn="0" w:lastRowFirstColumn="0" w:lastRowLastColumn="0"/>
            </w:pPr>
            <w:r>
              <w:t>China ban</w:t>
            </w:r>
            <w:r w:rsidR="0026379A">
              <w:t>ned</w:t>
            </w:r>
            <w:r>
              <w:t xml:space="preserve"> the import of all solid waste</w:t>
            </w:r>
            <w:r w:rsidR="0026379A">
              <w:t xml:space="preserve"> from January 2021</w:t>
            </w:r>
            <w:r w:rsidR="000C31BB" w:rsidRPr="00A22E44">
              <w:rPr>
                <w:rStyle w:val="FootnoteReference"/>
              </w:rPr>
              <w:footnoteReference w:id="39"/>
            </w:r>
            <w:r w:rsidR="000C31BB" w:rsidRPr="00A22E44">
              <w:t>.</w:t>
            </w:r>
            <w:r w:rsidR="0026379A">
              <w:t xml:space="preserve"> C</w:t>
            </w:r>
            <w:r>
              <w:t>ertain</w:t>
            </w:r>
            <w:r w:rsidR="009C2954">
              <w:t xml:space="preserve"> high quality reprocessed materials are not considered waste under the legislation</w:t>
            </w:r>
            <w:r w:rsidR="00431C64">
              <w:t>’</w:t>
            </w:r>
            <w:r w:rsidR="009C2954">
              <w:t>s definitions including</w:t>
            </w:r>
            <w:r>
              <w:t xml:space="preserve"> scrap metals</w:t>
            </w:r>
            <w:r w:rsidR="009C2954">
              <w:t xml:space="preserve"> and paper</w:t>
            </w:r>
            <w:r w:rsidR="009F3DCC">
              <w:t>-</w:t>
            </w:r>
            <w:r w:rsidR="009C2954">
              <w:t>grade recycled pulp</w:t>
            </w:r>
            <w:r w:rsidR="0026379A">
              <w:t xml:space="preserve">. </w:t>
            </w:r>
          </w:p>
        </w:tc>
        <w:tc>
          <w:tcPr>
            <w:tcW w:w="1418" w:type="dxa"/>
            <w:tcMar>
              <w:left w:w="57" w:type="dxa"/>
              <w:right w:w="57" w:type="dxa"/>
            </w:tcMar>
          </w:tcPr>
          <w:p w14:paraId="6032B17D" w14:textId="61B39486"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 </w:t>
            </w:r>
            <w:r w:rsidR="00592AE2">
              <w:rPr>
                <w:sz w:val="18"/>
                <w:szCs w:val="18"/>
              </w:rPr>
              <w:t>Apr-20</w:t>
            </w:r>
          </w:p>
          <w:p w14:paraId="13CFEAF2"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A74F3EC" w14:textId="08BC9468"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 </w:t>
            </w:r>
            <w:r>
              <w:rPr>
                <w:sz w:val="18"/>
                <w:szCs w:val="18"/>
              </w:rPr>
              <w:t>Jan</w:t>
            </w:r>
            <w:r w:rsidR="00C373BB">
              <w:rPr>
                <w:sz w:val="18"/>
                <w:szCs w:val="18"/>
              </w:rPr>
              <w:t>-</w:t>
            </w:r>
            <w:r>
              <w:rPr>
                <w:sz w:val="18"/>
                <w:szCs w:val="18"/>
              </w:rPr>
              <w:t>21</w:t>
            </w:r>
          </w:p>
        </w:tc>
        <w:tc>
          <w:tcPr>
            <w:tcW w:w="992" w:type="dxa"/>
            <w:tcMar>
              <w:left w:w="57" w:type="dxa"/>
              <w:right w:w="57" w:type="dxa"/>
            </w:tcMar>
          </w:tcPr>
          <w:p w14:paraId="63BE6C70"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All solid wastes</w:t>
            </w:r>
          </w:p>
        </w:tc>
        <w:tc>
          <w:tcPr>
            <w:tcW w:w="1134" w:type="dxa"/>
            <w:tcMar>
              <w:left w:w="57" w:type="dxa"/>
              <w:right w:w="57" w:type="dxa"/>
            </w:tcMar>
          </w:tcPr>
          <w:p w14:paraId="1B52FE60" w14:textId="07ED4ABE" w:rsidR="000C31BB"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r w:rsidR="00050CA2">
              <w:rPr>
                <w:sz w:val="18"/>
                <w:szCs w:val="18"/>
              </w:rPr>
              <w:t>8</w:t>
            </w:r>
            <w:r w:rsidRPr="00AE34EA">
              <w:rPr>
                <w:sz w:val="18"/>
                <w:szCs w:val="18"/>
              </w:rPr>
              <w:t>,</w:t>
            </w:r>
            <w:r>
              <w:rPr>
                <w:sz w:val="18"/>
                <w:szCs w:val="18"/>
              </w:rPr>
              <w:t>0</w:t>
            </w:r>
            <w:r w:rsidRPr="00AE34EA">
              <w:rPr>
                <w:sz w:val="18"/>
                <w:szCs w:val="18"/>
              </w:rPr>
              <w:t xml:space="preserve">00 </w:t>
            </w:r>
          </w:p>
          <w:p w14:paraId="4C8A9230"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34CDBB67" w14:textId="77777777" w:rsidR="000C31BB" w:rsidRPr="00AE34E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Pr>
                <w:sz w:val="18"/>
                <w:szCs w:val="18"/>
              </w:rPr>
              <w:t>27</w:t>
            </w:r>
            <w:r w:rsidRPr="00AE34EA">
              <w:rPr>
                <w:sz w:val="18"/>
                <w:szCs w:val="18"/>
              </w:rPr>
              <w:t>,</w:t>
            </w:r>
            <w:r>
              <w:rPr>
                <w:sz w:val="18"/>
                <w:szCs w:val="18"/>
              </w:rPr>
              <w:t>0</w:t>
            </w:r>
            <w:r w:rsidRPr="00AE34EA">
              <w:rPr>
                <w:sz w:val="18"/>
                <w:szCs w:val="18"/>
              </w:rPr>
              <w:t>00</w:t>
            </w:r>
            <w:r>
              <w:rPr>
                <w:sz w:val="18"/>
                <w:szCs w:val="18"/>
              </w:rPr>
              <w:t xml:space="preserve"> per month</w:t>
            </w:r>
            <w:r w:rsidRPr="00AE34EA">
              <w:rPr>
                <w:sz w:val="18"/>
                <w:szCs w:val="18"/>
              </w:rPr>
              <w:t>)</w:t>
            </w:r>
          </w:p>
        </w:tc>
        <w:tc>
          <w:tcPr>
            <w:tcW w:w="709" w:type="dxa"/>
            <w:tcMar>
              <w:left w:w="57" w:type="dxa"/>
              <w:right w:w="57" w:type="dxa"/>
            </w:tcMar>
          </w:tcPr>
          <w:p w14:paraId="539B3269" w14:textId="37A38087" w:rsidR="000C31BB" w:rsidRPr="00AE34EA" w:rsidRDefault="00E4766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A86BC6">
              <w:rPr>
                <w:sz w:val="18"/>
                <w:szCs w:val="18"/>
              </w:rPr>
              <w:t>8</w:t>
            </w:r>
            <w:r>
              <w:rPr>
                <w:sz w:val="18"/>
                <w:szCs w:val="18"/>
              </w:rPr>
              <w:t>,0</w:t>
            </w:r>
            <w:r w:rsidR="000C31BB">
              <w:rPr>
                <w:sz w:val="18"/>
                <w:szCs w:val="18"/>
              </w:rPr>
              <w:t>00</w:t>
            </w:r>
          </w:p>
        </w:tc>
        <w:tc>
          <w:tcPr>
            <w:tcW w:w="2409" w:type="dxa"/>
            <w:tcMar>
              <w:left w:w="57" w:type="dxa"/>
              <w:right w:w="57" w:type="dxa"/>
            </w:tcMar>
          </w:tcPr>
          <w:p w14:paraId="03E9D7BD" w14:textId="72906E38" w:rsidR="000C31BB" w:rsidRPr="00AE34EA" w:rsidRDefault="00050CA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 xml:space="preserve">Imports </w:t>
            </w:r>
            <w:r w:rsidR="009B0191">
              <w:rPr>
                <w:sz w:val="18"/>
                <w:szCs w:val="18"/>
              </w:rPr>
              <w:t>fell</w:t>
            </w:r>
            <w:r w:rsidRPr="00050CA2">
              <w:rPr>
                <w:sz w:val="18"/>
                <w:szCs w:val="18"/>
              </w:rPr>
              <w:t xml:space="preserve"> from over 100,000 </w:t>
            </w:r>
            <w:r w:rsidR="00A5584C">
              <w:rPr>
                <w:sz w:val="18"/>
                <w:szCs w:val="18"/>
              </w:rPr>
              <w:t>t/mth</w:t>
            </w:r>
            <w:r w:rsidRPr="00050CA2">
              <w:rPr>
                <w:sz w:val="18"/>
                <w:szCs w:val="18"/>
              </w:rPr>
              <w:t xml:space="preserve"> in 2016-17 to 27,000 in 201</w:t>
            </w:r>
            <w:r w:rsidR="009B0191">
              <w:rPr>
                <w:sz w:val="18"/>
                <w:szCs w:val="18"/>
              </w:rPr>
              <w:t>9</w:t>
            </w:r>
            <w:r w:rsidRPr="00050CA2">
              <w:rPr>
                <w:sz w:val="18"/>
                <w:szCs w:val="18"/>
              </w:rPr>
              <w:t>-</w:t>
            </w:r>
            <w:r w:rsidR="009B0191">
              <w:rPr>
                <w:sz w:val="18"/>
                <w:szCs w:val="18"/>
              </w:rPr>
              <w:t>20</w:t>
            </w:r>
            <w:r w:rsidR="00A86BC6">
              <w:rPr>
                <w:sz w:val="18"/>
                <w:szCs w:val="18"/>
              </w:rPr>
              <w:t xml:space="preserve"> and again to 18,000</w:t>
            </w:r>
            <w:r w:rsidR="009F3DCC">
              <w:rPr>
                <w:sz w:val="18"/>
                <w:szCs w:val="18"/>
              </w:rPr>
              <w:t xml:space="preserve"> </w:t>
            </w:r>
            <w:r w:rsidR="00A5584C">
              <w:rPr>
                <w:sz w:val="18"/>
                <w:szCs w:val="18"/>
              </w:rPr>
              <w:t xml:space="preserve">t/mth </w:t>
            </w:r>
            <w:r w:rsidR="00A86BC6">
              <w:rPr>
                <w:sz w:val="18"/>
                <w:szCs w:val="18"/>
              </w:rPr>
              <w:t>in 2020-21 as restrictions increase</w:t>
            </w:r>
            <w:r w:rsidR="00A5584C">
              <w:rPr>
                <w:sz w:val="18"/>
                <w:szCs w:val="18"/>
              </w:rPr>
              <w:t>d</w:t>
            </w:r>
            <w:r>
              <w:rPr>
                <w:sz w:val="18"/>
                <w:szCs w:val="18"/>
              </w:rPr>
              <w:t>.</w:t>
            </w:r>
          </w:p>
        </w:tc>
      </w:tr>
      <w:tr w:rsidR="00D77C8D" w:rsidRPr="003A3BCA" w14:paraId="7C6ABF99"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40531E0" w14:textId="55042D98" w:rsidR="00D77C8D" w:rsidRPr="00AE34EA" w:rsidRDefault="00D77C8D" w:rsidP="003A3BCA">
            <w:pPr>
              <w:spacing w:before="40" w:after="40"/>
              <w:rPr>
                <w:sz w:val="18"/>
                <w:szCs w:val="18"/>
              </w:rPr>
            </w:pPr>
            <w:r w:rsidRPr="00AE34EA">
              <w:rPr>
                <w:sz w:val="18"/>
                <w:szCs w:val="18"/>
              </w:rPr>
              <w:t>Thailand</w:t>
            </w:r>
          </w:p>
        </w:tc>
        <w:tc>
          <w:tcPr>
            <w:tcW w:w="7087" w:type="dxa"/>
            <w:tcMar>
              <w:left w:w="57" w:type="dxa"/>
              <w:right w:w="57" w:type="dxa"/>
            </w:tcMar>
          </w:tcPr>
          <w:p w14:paraId="06575C1C" w14:textId="0950000F" w:rsidR="00D77C8D" w:rsidRPr="00A22E44" w:rsidRDefault="00050CA2" w:rsidP="003A3BCA">
            <w:pPr>
              <w:cnfStyle w:val="000000000000" w:firstRow="0" w:lastRow="0" w:firstColumn="0" w:lastColumn="0" w:oddVBand="0" w:evenVBand="0" w:oddHBand="0" w:evenHBand="0" w:firstRowFirstColumn="0" w:firstRowLastColumn="0" w:lastRowFirstColumn="0" w:lastRowLastColumn="0"/>
            </w:pPr>
            <w:r w:rsidRPr="00050CA2">
              <w:t>Thailand</w:t>
            </w:r>
            <w:r w:rsidR="00D72BA2">
              <w:t xml:space="preserve"> </w:t>
            </w:r>
            <w:r w:rsidR="009B0191">
              <w:t>ha</w:t>
            </w:r>
            <w:r w:rsidR="009C2954">
              <w:t>d</w:t>
            </w:r>
            <w:r w:rsidR="009B0191">
              <w:t xml:space="preserve"> </w:t>
            </w:r>
            <w:r w:rsidRPr="00050CA2">
              <w:t xml:space="preserve">announced </w:t>
            </w:r>
            <w:r w:rsidR="00720113">
              <w:t>that i</w:t>
            </w:r>
            <w:r w:rsidR="00C373BB">
              <w:t>t</w:t>
            </w:r>
            <w:r w:rsidR="00720113">
              <w:t xml:space="preserve"> would</w:t>
            </w:r>
            <w:r w:rsidRPr="00050CA2">
              <w:t xml:space="preserve"> ban the import of all </w:t>
            </w:r>
            <w:r w:rsidR="00110011">
              <w:t xml:space="preserve">waste </w:t>
            </w:r>
            <w:r w:rsidR="00267D5A">
              <w:t>plastics</w:t>
            </w:r>
            <w:r w:rsidRPr="00050CA2">
              <w:t xml:space="preserve"> by 2022</w:t>
            </w:r>
            <w:r w:rsidRPr="00050CA2">
              <w:rPr>
                <w:vertAlign w:val="superscript"/>
              </w:rPr>
              <w:footnoteReference w:id="40"/>
            </w:r>
            <w:r w:rsidRPr="00050CA2">
              <w:t xml:space="preserve">. </w:t>
            </w:r>
            <w:r w:rsidR="008F1659" w:rsidRPr="008F1659">
              <w:t>However</w:t>
            </w:r>
            <w:r w:rsidR="009C2954">
              <w:t>,</w:t>
            </w:r>
            <w:r w:rsidR="008F1659" w:rsidRPr="008F1659">
              <w:t xml:space="preserve"> </w:t>
            </w:r>
            <w:r w:rsidR="00D72BA2">
              <w:t xml:space="preserve">it decided instead </w:t>
            </w:r>
            <w:r w:rsidR="00720113">
              <w:t xml:space="preserve">to </w:t>
            </w:r>
            <w:r w:rsidR="00D72BA2">
              <w:t>gradual</w:t>
            </w:r>
            <w:r w:rsidR="00720113">
              <w:t>ly reduce</w:t>
            </w:r>
            <w:r w:rsidR="00D72BA2">
              <w:t xml:space="preserve"> by 20% per year, leading to a total ban in 2026</w:t>
            </w:r>
            <w:bookmarkStart w:id="30" w:name="_Ref80204472"/>
            <w:r w:rsidR="00D72BA2">
              <w:rPr>
                <w:rStyle w:val="FootnoteReference"/>
              </w:rPr>
              <w:footnoteReference w:id="41"/>
            </w:r>
            <w:bookmarkEnd w:id="30"/>
            <w:r w:rsidRPr="00050CA2">
              <w:t>. A ban on 428 types of electronic waste has been announced</w:t>
            </w:r>
            <w:r w:rsidRPr="00050CA2">
              <w:rPr>
                <w:vertAlign w:val="superscript"/>
              </w:rPr>
              <w:footnoteReference w:id="42"/>
            </w:r>
            <w:r w:rsidRPr="00050CA2">
              <w:t>.</w:t>
            </w:r>
          </w:p>
        </w:tc>
        <w:tc>
          <w:tcPr>
            <w:tcW w:w="1418" w:type="dxa"/>
            <w:tcMar>
              <w:left w:w="57" w:type="dxa"/>
              <w:right w:w="57" w:type="dxa"/>
            </w:tcMar>
          </w:tcPr>
          <w:p w14:paraId="607549B4" w14:textId="236080D1" w:rsidR="00870575"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 Aug-18, </w:t>
            </w:r>
            <w:r w:rsidR="00267D5A">
              <w:rPr>
                <w:sz w:val="18"/>
                <w:szCs w:val="18"/>
              </w:rPr>
              <w:t>plastics</w:t>
            </w:r>
            <w:r w:rsidRPr="00AE34EA">
              <w:rPr>
                <w:sz w:val="18"/>
                <w:szCs w:val="18"/>
              </w:rPr>
              <w:t xml:space="preserve"> imp. Aug-18, e-waste &lt;2 yrs.</w:t>
            </w:r>
          </w:p>
        </w:tc>
        <w:tc>
          <w:tcPr>
            <w:tcW w:w="992" w:type="dxa"/>
            <w:tcMar>
              <w:left w:w="57" w:type="dxa"/>
              <w:right w:w="57" w:type="dxa"/>
            </w:tcMar>
          </w:tcPr>
          <w:p w14:paraId="0E996CB0" w14:textId="0A7DF6AD" w:rsidR="00D77C8D" w:rsidRPr="00AE34EA"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p>
        </w:tc>
        <w:tc>
          <w:tcPr>
            <w:tcW w:w="1134" w:type="dxa"/>
            <w:tcMar>
              <w:left w:w="57" w:type="dxa"/>
              <w:right w:w="57" w:type="dxa"/>
            </w:tcMar>
          </w:tcPr>
          <w:p w14:paraId="215DC97E" w14:textId="3B9EFA59"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r w:rsidR="00D77C8D" w:rsidRPr="00AE34EA">
              <w:rPr>
                <w:sz w:val="18"/>
                <w:szCs w:val="18"/>
              </w:rPr>
              <w:t>,</w:t>
            </w:r>
            <w:r>
              <w:rPr>
                <w:sz w:val="18"/>
                <w:szCs w:val="18"/>
              </w:rPr>
              <w:t>5</w:t>
            </w:r>
            <w:r w:rsidR="00D77C8D" w:rsidRPr="00AE34EA">
              <w:rPr>
                <w:sz w:val="18"/>
                <w:szCs w:val="18"/>
              </w:rPr>
              <w:t xml:space="preserve">00 </w:t>
            </w:r>
          </w:p>
          <w:p w14:paraId="74277DED"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EB5DCD" w14:textId="083585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8</w:t>
            </w:r>
            <w:r w:rsidRPr="00AE34EA">
              <w:rPr>
                <w:sz w:val="18"/>
                <w:szCs w:val="18"/>
              </w:rPr>
              <w:t>00</w:t>
            </w:r>
            <w:r w:rsidR="00A10C8B">
              <w:rPr>
                <w:sz w:val="18"/>
                <w:szCs w:val="18"/>
              </w:rPr>
              <w:t xml:space="preserve"> per </w:t>
            </w:r>
            <w:r w:rsidRPr="00AE34EA">
              <w:rPr>
                <w:sz w:val="18"/>
                <w:szCs w:val="18"/>
              </w:rPr>
              <w:t>m</w:t>
            </w:r>
            <w:r w:rsidR="00A10C8B">
              <w:rPr>
                <w:sz w:val="18"/>
                <w:szCs w:val="18"/>
              </w:rPr>
              <w:t>on</w:t>
            </w:r>
            <w:r w:rsidRPr="00AE34EA">
              <w:rPr>
                <w:sz w:val="18"/>
                <w:szCs w:val="18"/>
              </w:rPr>
              <w:t>th)</w:t>
            </w:r>
          </w:p>
        </w:tc>
        <w:tc>
          <w:tcPr>
            <w:tcW w:w="709" w:type="dxa"/>
            <w:tcMar>
              <w:left w:w="57" w:type="dxa"/>
              <w:right w:w="57" w:type="dxa"/>
            </w:tcMar>
          </w:tcPr>
          <w:p w14:paraId="167A4E5A" w14:textId="3C1E8347" w:rsidR="00D77C8D" w:rsidRDefault="00A86BC6"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330</w:t>
            </w:r>
          </w:p>
        </w:tc>
        <w:tc>
          <w:tcPr>
            <w:tcW w:w="2409" w:type="dxa"/>
            <w:tcMar>
              <w:left w:w="57" w:type="dxa"/>
              <w:right w:w="57" w:type="dxa"/>
            </w:tcMar>
          </w:tcPr>
          <w:p w14:paraId="6D1C941B" w14:textId="612E1E55"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900 to 800 </w:t>
            </w:r>
            <w:r w:rsidR="00A5584C">
              <w:rPr>
                <w:sz w:val="18"/>
                <w:szCs w:val="18"/>
              </w:rPr>
              <w:t>t/mth</w:t>
            </w:r>
            <w:r w:rsidRPr="00050CA2">
              <w:rPr>
                <w:sz w:val="18"/>
                <w:szCs w:val="18"/>
              </w:rPr>
              <w:t xml:space="preserve"> between 2018-19 and 2019-20</w:t>
            </w:r>
            <w:r w:rsidR="00A86BC6">
              <w:rPr>
                <w:sz w:val="18"/>
                <w:szCs w:val="18"/>
              </w:rPr>
              <w:t xml:space="preserve"> then to 330 </w:t>
            </w:r>
            <w:r w:rsidR="00A5584C">
              <w:rPr>
                <w:sz w:val="18"/>
                <w:szCs w:val="18"/>
              </w:rPr>
              <w:t xml:space="preserve">t/mth </w:t>
            </w:r>
            <w:r w:rsidR="00A86BC6">
              <w:rPr>
                <w:sz w:val="18"/>
                <w:szCs w:val="18"/>
              </w:rPr>
              <w:t>in 2020-21</w:t>
            </w:r>
            <w:r>
              <w:rPr>
                <w:sz w:val="18"/>
                <w:szCs w:val="18"/>
              </w:rPr>
              <w:t>.</w:t>
            </w:r>
          </w:p>
        </w:tc>
      </w:tr>
      <w:tr w:rsidR="000C31BB" w:rsidRPr="003A3BCA" w14:paraId="3981D665"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62B35C39" w14:textId="77777777" w:rsidR="000C31BB" w:rsidRPr="00AE34EA" w:rsidRDefault="000C31BB" w:rsidP="0070040B">
            <w:pPr>
              <w:spacing w:before="40" w:after="40"/>
              <w:rPr>
                <w:sz w:val="18"/>
                <w:szCs w:val="18"/>
              </w:rPr>
            </w:pPr>
            <w:r w:rsidRPr="00AE34EA">
              <w:rPr>
                <w:sz w:val="18"/>
                <w:szCs w:val="18"/>
              </w:rPr>
              <w:t>Taiwan</w:t>
            </w:r>
          </w:p>
        </w:tc>
        <w:tc>
          <w:tcPr>
            <w:tcW w:w="7087" w:type="dxa"/>
          </w:tcPr>
          <w:p w14:paraId="15E5E1DB" w14:textId="0FFA4FE5" w:rsidR="000C31BB" w:rsidRPr="00A22E44" w:rsidRDefault="000C31BB" w:rsidP="0070040B">
            <w:pPr>
              <w:cnfStyle w:val="000000000000" w:firstRow="0" w:lastRow="0" w:firstColumn="0" w:lastColumn="0" w:oddVBand="0" w:evenVBand="0" w:oddHBand="0" w:evenHBand="0" w:firstRowFirstColumn="0" w:firstRowLastColumn="0" w:lastRowFirstColumn="0" w:lastRowLastColumn="0"/>
            </w:pPr>
            <w:r w:rsidRPr="00A22E44">
              <w:t xml:space="preserve">Import of </w:t>
            </w:r>
            <w:r w:rsidR="00110011">
              <w:t xml:space="preserve">waste </w:t>
            </w:r>
            <w:r w:rsidR="00267D5A">
              <w:t>plastics</w:t>
            </w:r>
            <w:r w:rsidRPr="00A22E44">
              <w:t xml:space="preserve"> is banned. Exceptions are made to licensed local firms that import </w:t>
            </w:r>
            <w:r w:rsidR="00110011">
              <w:t xml:space="preserve">waste </w:t>
            </w:r>
            <w:r w:rsidR="00267D5A">
              <w:t>plastics</w:t>
            </w:r>
            <w:r w:rsidRPr="00A22E44">
              <w:t xml:space="preserve"> originating from their own overseas production processes or are a single material, but not from original production processes</w:t>
            </w:r>
            <w:r w:rsidRPr="00A22E44">
              <w:rPr>
                <w:vertAlign w:val="superscript"/>
              </w:rPr>
              <w:footnoteReference w:id="43"/>
            </w:r>
            <w:r w:rsidRPr="00A22E44">
              <w:t xml:space="preserve">. Paper imports </w:t>
            </w:r>
            <w:r w:rsidR="008F1659">
              <w:t xml:space="preserve">are </w:t>
            </w:r>
            <w:r w:rsidRPr="00A22E44">
              <w:t xml:space="preserve">restricted to deinked paper, kraft paper, corrugated paper or cardboard that is not bleached. Import of waste newspapers and magazines </w:t>
            </w:r>
            <w:r w:rsidR="009F3DCC">
              <w:t xml:space="preserve">is </w:t>
            </w:r>
            <w:r w:rsidRPr="00A22E44">
              <w:t>banned.</w:t>
            </w:r>
          </w:p>
        </w:tc>
        <w:tc>
          <w:tcPr>
            <w:tcW w:w="1418" w:type="dxa"/>
          </w:tcPr>
          <w:p w14:paraId="2F165EA9"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083A338B"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3BD80D2D" w14:textId="1FA98599" w:rsidR="000C31BB" w:rsidRPr="00AE34EA" w:rsidRDefault="00267D5A"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0C31BB" w:rsidRPr="00AE34EA">
              <w:rPr>
                <w:sz w:val="18"/>
                <w:szCs w:val="18"/>
              </w:rPr>
              <w:t>, paper</w:t>
            </w:r>
          </w:p>
        </w:tc>
        <w:tc>
          <w:tcPr>
            <w:tcW w:w="1134" w:type="dxa"/>
            <w:tcMar>
              <w:left w:w="57" w:type="dxa"/>
              <w:right w:w="57" w:type="dxa"/>
            </w:tcMar>
          </w:tcPr>
          <w:p w14:paraId="6A7E3B3B" w14:textId="342BF956" w:rsidR="000C31BB"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4</w:t>
            </w:r>
            <w:r w:rsidRPr="00AE34EA">
              <w:rPr>
                <w:sz w:val="18"/>
                <w:szCs w:val="18"/>
              </w:rPr>
              <w:t>,</w:t>
            </w:r>
            <w:r w:rsidR="00612AD8">
              <w:rPr>
                <w:sz w:val="18"/>
                <w:szCs w:val="18"/>
              </w:rPr>
              <w:t>2</w:t>
            </w:r>
            <w:r w:rsidRPr="00AE34EA">
              <w:rPr>
                <w:sz w:val="18"/>
                <w:szCs w:val="18"/>
              </w:rPr>
              <w:t>00</w:t>
            </w:r>
          </w:p>
          <w:p w14:paraId="14090878"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12B899A"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2</w:t>
            </w:r>
            <w:r w:rsidRPr="00AE34EA">
              <w:rPr>
                <w:sz w:val="18"/>
                <w:szCs w:val="18"/>
              </w:rPr>
              <w:t>00</w:t>
            </w:r>
            <w:r>
              <w:rPr>
                <w:sz w:val="18"/>
                <w:szCs w:val="18"/>
              </w:rPr>
              <w:t xml:space="preserve"> per month</w:t>
            </w:r>
            <w:r w:rsidRPr="00AE34EA">
              <w:rPr>
                <w:sz w:val="18"/>
                <w:szCs w:val="18"/>
              </w:rPr>
              <w:t>)</w:t>
            </w:r>
          </w:p>
        </w:tc>
        <w:tc>
          <w:tcPr>
            <w:tcW w:w="709" w:type="dxa"/>
          </w:tcPr>
          <w:p w14:paraId="7E4A8620" w14:textId="1ACEC751" w:rsidR="000C31BB" w:rsidRPr="00AE34EA" w:rsidDel="00825E99" w:rsidRDefault="00A86BC6"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490</w:t>
            </w:r>
          </w:p>
        </w:tc>
        <w:tc>
          <w:tcPr>
            <w:tcW w:w="2409" w:type="dxa"/>
          </w:tcPr>
          <w:p w14:paraId="0C0867C6" w14:textId="28C16876" w:rsidR="000C31BB" w:rsidRPr="00AE34EA" w:rsidRDefault="00612AD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12AD8">
              <w:rPr>
                <w:sz w:val="18"/>
                <w:szCs w:val="18"/>
              </w:rPr>
              <w:t xml:space="preserve">Imports reduced from 1,500 to 1,200 </w:t>
            </w:r>
            <w:r w:rsidR="00A5584C">
              <w:rPr>
                <w:sz w:val="18"/>
                <w:szCs w:val="18"/>
              </w:rPr>
              <w:t>t/mth</w:t>
            </w:r>
            <w:r w:rsidRPr="00612AD8">
              <w:rPr>
                <w:sz w:val="18"/>
                <w:szCs w:val="18"/>
              </w:rPr>
              <w:t xml:space="preserve"> between 2018-19 and 2019-20.</w:t>
            </w:r>
            <w:r w:rsidR="00A86BC6">
              <w:rPr>
                <w:sz w:val="18"/>
                <w:szCs w:val="18"/>
              </w:rPr>
              <w:t xml:space="preserve"> In 2020-21 </w:t>
            </w:r>
            <w:r w:rsidR="00A5584C">
              <w:rPr>
                <w:sz w:val="18"/>
                <w:szCs w:val="18"/>
              </w:rPr>
              <w:t>they fell further</w:t>
            </w:r>
            <w:r w:rsidR="00A86BC6">
              <w:rPr>
                <w:sz w:val="18"/>
                <w:szCs w:val="18"/>
              </w:rPr>
              <w:t xml:space="preserve"> </w:t>
            </w:r>
            <w:r w:rsidR="00A5584C">
              <w:rPr>
                <w:sz w:val="18"/>
                <w:szCs w:val="18"/>
              </w:rPr>
              <w:t xml:space="preserve">to </w:t>
            </w:r>
            <w:r w:rsidR="00A86BC6">
              <w:rPr>
                <w:sz w:val="18"/>
                <w:szCs w:val="18"/>
              </w:rPr>
              <w:t xml:space="preserve">490 </w:t>
            </w:r>
            <w:r w:rsidR="00A5584C">
              <w:rPr>
                <w:sz w:val="18"/>
                <w:szCs w:val="18"/>
              </w:rPr>
              <w:t>t/mth</w:t>
            </w:r>
            <w:r w:rsidR="00A86BC6">
              <w:rPr>
                <w:sz w:val="18"/>
                <w:szCs w:val="18"/>
              </w:rPr>
              <w:t>.</w:t>
            </w:r>
          </w:p>
        </w:tc>
      </w:tr>
      <w:tr w:rsidR="00D77C8D" w:rsidRPr="003A3BCA" w14:paraId="63E741DA"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BA12833" w14:textId="14E417AB" w:rsidR="00D77C8D" w:rsidRPr="00AE34EA" w:rsidRDefault="00492F23" w:rsidP="003A3BCA">
            <w:pPr>
              <w:spacing w:before="40" w:after="40"/>
              <w:rPr>
                <w:sz w:val="18"/>
                <w:szCs w:val="18"/>
              </w:rPr>
            </w:pPr>
            <w:r>
              <w:rPr>
                <w:sz w:val="18"/>
                <w:szCs w:val="18"/>
              </w:rPr>
              <w:t xml:space="preserve">South </w:t>
            </w:r>
            <w:r w:rsidR="00D77C8D" w:rsidRPr="00AE34EA">
              <w:rPr>
                <w:sz w:val="18"/>
                <w:szCs w:val="18"/>
              </w:rPr>
              <w:t>Korea</w:t>
            </w:r>
          </w:p>
        </w:tc>
        <w:tc>
          <w:tcPr>
            <w:tcW w:w="7087" w:type="dxa"/>
            <w:tcMar>
              <w:left w:w="57" w:type="dxa"/>
              <w:right w:w="57" w:type="dxa"/>
            </w:tcMar>
          </w:tcPr>
          <w:p w14:paraId="608FF881" w14:textId="683DE94A" w:rsidR="00D77C8D" w:rsidRPr="00A22E44" w:rsidRDefault="00612AD8">
            <w:pPr>
              <w:cnfStyle w:val="000000000000" w:firstRow="0" w:lastRow="0" w:firstColumn="0" w:lastColumn="0" w:oddVBand="0" w:evenVBand="0" w:oddHBand="0" w:evenHBand="0" w:firstRowFirstColumn="0" w:firstRowLastColumn="0" w:lastRowFirstColumn="0" w:lastRowLastColumn="0"/>
            </w:pPr>
            <w:r w:rsidRPr="00612AD8">
              <w:t xml:space="preserve">On 6 January 2021, </w:t>
            </w:r>
            <w:r w:rsidR="00DD3097">
              <w:t xml:space="preserve">the </w:t>
            </w:r>
            <w:r w:rsidRPr="00612AD8">
              <w:t>Ministry of Environment announced bans or restriction</w:t>
            </w:r>
            <w:r w:rsidR="009B0191">
              <w:t>s</w:t>
            </w:r>
            <w:r w:rsidRPr="00612AD8">
              <w:t xml:space="preserve"> on their top 10 waste import materials</w:t>
            </w:r>
            <w:r w:rsidRPr="00612AD8">
              <w:rPr>
                <w:vertAlign w:val="superscript"/>
              </w:rPr>
              <w:footnoteReference w:id="44"/>
            </w:r>
            <w:r w:rsidRPr="00612AD8">
              <w:t xml:space="preserve">. Total imports </w:t>
            </w:r>
            <w:r w:rsidR="009B0191">
              <w:t xml:space="preserve">are </w:t>
            </w:r>
            <w:r w:rsidRPr="00612AD8">
              <w:t>to reduce</w:t>
            </w:r>
            <w:r w:rsidR="009B0191">
              <w:t xml:space="preserve"> by</w:t>
            </w:r>
            <w:r w:rsidRPr="00612AD8">
              <w:t xml:space="preserve"> 35% by 2022 and 65% by 2025. </w:t>
            </w:r>
            <w:r w:rsidR="008F1659" w:rsidRPr="008F1659">
              <w:t>Bans on</w:t>
            </w:r>
            <w:r w:rsidR="008C5381">
              <w:t>:</w:t>
            </w:r>
            <w:r w:rsidR="008F1659" w:rsidRPr="008F1659">
              <w:t xml:space="preserve"> plastics, mixed waste paper and waste fibre commence in 2022</w:t>
            </w:r>
            <w:r w:rsidR="008C5381">
              <w:t xml:space="preserve">; </w:t>
            </w:r>
            <w:r w:rsidR="008F1659" w:rsidRPr="008F1659">
              <w:t>on coal ash and tyres in 2023</w:t>
            </w:r>
            <w:r w:rsidR="008C5381">
              <w:t>; and on c</w:t>
            </w:r>
            <w:r w:rsidRPr="00612AD8">
              <w:t>orrugated cardboard, dust and sludge in 2023</w:t>
            </w:r>
            <w:r w:rsidRPr="00612AD8">
              <w:rPr>
                <w:vertAlign w:val="superscript"/>
              </w:rPr>
              <w:footnoteReference w:id="45"/>
            </w:r>
            <w:r w:rsidRPr="00612AD8">
              <w:t xml:space="preserve">. </w:t>
            </w:r>
            <w:r w:rsidR="008C5381">
              <w:t>I</w:t>
            </w:r>
            <w:r w:rsidRPr="00612AD8">
              <w:t xml:space="preserve">mports of PET, PE, PP and PS </w:t>
            </w:r>
            <w:r w:rsidR="008C5381">
              <w:t xml:space="preserve">were banned from </w:t>
            </w:r>
            <w:r w:rsidR="009B0191">
              <w:t>the end of June 2020</w:t>
            </w:r>
            <w:r w:rsidRPr="00612AD8">
              <w:rPr>
                <w:vertAlign w:val="superscript"/>
              </w:rPr>
              <w:footnoteReference w:id="46"/>
            </w:r>
            <w:r w:rsidR="00B54026">
              <w:t>.</w:t>
            </w:r>
          </w:p>
        </w:tc>
        <w:tc>
          <w:tcPr>
            <w:tcW w:w="1418" w:type="dxa"/>
            <w:tcMar>
              <w:left w:w="57" w:type="dxa"/>
              <w:right w:w="57" w:type="dxa"/>
            </w:tcMar>
          </w:tcPr>
          <w:p w14:paraId="06185CA2"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p w14:paraId="0E3D4DC0" w14:textId="480E9CE1" w:rsidR="00C373BB" w:rsidRPr="00AE34EA" w:rsidRDefault="00C373BB"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 Jun-20</w:t>
            </w:r>
          </w:p>
        </w:tc>
        <w:tc>
          <w:tcPr>
            <w:tcW w:w="992" w:type="dxa"/>
            <w:tcMar>
              <w:left w:w="57" w:type="dxa"/>
              <w:right w:w="57" w:type="dxa"/>
            </w:tcMar>
          </w:tcPr>
          <w:p w14:paraId="3F1B0D5C"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 and cardboard</w:t>
            </w:r>
          </w:p>
          <w:p w14:paraId="60DC6CE7" w14:textId="7EC69FE7" w:rsidR="00B67BC5" w:rsidRPr="00AE34EA"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B67BC5">
              <w:rPr>
                <w:sz w:val="18"/>
                <w:szCs w:val="18"/>
              </w:rPr>
              <w:t xml:space="preserve"> </w:t>
            </w:r>
          </w:p>
        </w:tc>
        <w:tc>
          <w:tcPr>
            <w:tcW w:w="1134" w:type="dxa"/>
            <w:tcMar>
              <w:left w:w="57" w:type="dxa"/>
              <w:right w:w="57" w:type="dxa"/>
            </w:tcMar>
          </w:tcPr>
          <w:p w14:paraId="3106439A" w14:textId="280DD226" w:rsidR="00A10C8B"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13,</w:t>
            </w:r>
            <w:r w:rsidR="003F5305">
              <w:rPr>
                <w:sz w:val="18"/>
                <w:szCs w:val="18"/>
              </w:rPr>
              <w:t>0</w:t>
            </w:r>
            <w:r w:rsidRPr="00AE34EA">
              <w:rPr>
                <w:sz w:val="18"/>
                <w:szCs w:val="18"/>
              </w:rPr>
              <w:t xml:space="preserve">00 </w:t>
            </w:r>
          </w:p>
          <w:p w14:paraId="2FE1607B"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34AD5EE" w14:textId="13B4F5FE"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(1,100</w:t>
            </w:r>
            <w:r w:rsidR="00A10C8B">
              <w:rPr>
                <w:sz w:val="18"/>
                <w:szCs w:val="18"/>
              </w:rPr>
              <w:t xml:space="preserve"> per mon</w:t>
            </w:r>
            <w:r w:rsidRPr="00AE34EA">
              <w:rPr>
                <w:sz w:val="18"/>
                <w:szCs w:val="18"/>
              </w:rPr>
              <w:t>th)</w:t>
            </w:r>
          </w:p>
        </w:tc>
        <w:tc>
          <w:tcPr>
            <w:tcW w:w="709" w:type="dxa"/>
            <w:tcMar>
              <w:left w:w="57" w:type="dxa"/>
              <w:right w:w="57" w:type="dxa"/>
            </w:tcMar>
          </w:tcPr>
          <w:p w14:paraId="68FDB02C" w14:textId="20617072" w:rsidR="00D77C8D" w:rsidRPr="00AE34EA" w:rsidRDefault="00A86BC6"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w:t>
            </w:r>
            <w:r w:rsidR="002B284B">
              <w:rPr>
                <w:sz w:val="18"/>
                <w:szCs w:val="18"/>
              </w:rPr>
              <w:t>00</w:t>
            </w:r>
          </w:p>
        </w:tc>
        <w:tc>
          <w:tcPr>
            <w:tcW w:w="2409" w:type="dxa"/>
            <w:tcMar>
              <w:left w:w="57" w:type="dxa"/>
              <w:right w:w="57" w:type="dxa"/>
            </w:tcMar>
          </w:tcPr>
          <w:p w14:paraId="675C8856" w14:textId="48869357" w:rsidR="00D77C8D" w:rsidRPr="00AE34EA" w:rsidRDefault="00E22A9B"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is apparent as the restrictions have not yet been implemented.</w:t>
            </w:r>
          </w:p>
        </w:tc>
      </w:tr>
      <w:tr w:rsidR="00D77C8D" w:rsidRPr="003A3BCA" w14:paraId="75CF586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2C8F6DF7" w:rsidR="00D77C8D" w:rsidRPr="00AE34EA" w:rsidRDefault="00D77C8D" w:rsidP="003A3BCA">
            <w:pPr>
              <w:spacing w:before="40" w:after="40"/>
              <w:rPr>
                <w:sz w:val="18"/>
                <w:szCs w:val="18"/>
              </w:rPr>
            </w:pPr>
            <w:r>
              <w:rPr>
                <w:sz w:val="18"/>
                <w:szCs w:val="18"/>
              </w:rPr>
              <w:t>Pakistan</w:t>
            </w:r>
          </w:p>
        </w:tc>
        <w:tc>
          <w:tcPr>
            <w:tcW w:w="7087" w:type="dxa"/>
          </w:tcPr>
          <w:p w14:paraId="4A094B54" w14:textId="3A1B9162" w:rsidR="00D77C8D" w:rsidRPr="00A22E44" w:rsidRDefault="00612AD8" w:rsidP="003A3BCA">
            <w:pPr>
              <w:cnfStyle w:val="000000000000" w:firstRow="0" w:lastRow="0" w:firstColumn="0" w:lastColumn="0" w:oddVBand="0" w:evenVBand="0" w:oddHBand="0" w:evenHBand="0" w:firstRowFirstColumn="0" w:firstRowLastColumn="0" w:lastRowFirstColumn="0" w:lastRowLastColumn="0"/>
            </w:pPr>
            <w:r w:rsidRPr="00612AD8">
              <w:t xml:space="preserve">On 25 September 2020 the Pakistan Government Ministry of Commerce </w:t>
            </w:r>
            <w:r w:rsidR="009B0191" w:rsidRPr="00612AD8">
              <w:t>ban</w:t>
            </w:r>
            <w:r w:rsidR="009B0191">
              <w:t>ned</w:t>
            </w:r>
            <w:r w:rsidR="009B0191" w:rsidRPr="00612AD8">
              <w:t xml:space="preserve"> the import of re-treaded tyres and used pneumatic tyres</w:t>
            </w:r>
            <w:r w:rsidRPr="00612AD8">
              <w:rPr>
                <w:vertAlign w:val="superscript"/>
              </w:rPr>
              <w:footnoteReference w:id="47"/>
            </w:r>
            <w:r w:rsidRPr="00612AD8">
              <w:t>.</w:t>
            </w:r>
            <w:r w:rsidR="00370257" w:rsidRPr="00A22E44">
              <w:t xml:space="preserve"> </w:t>
            </w:r>
            <w:r w:rsidR="00282831">
              <w:t xml:space="preserve">On 4 August 2021 the Prime Minister chaired a meeting on waste management where he asked the attending officials to take inspiration from China on scrap plastic imports, indicating restrictions </w:t>
            </w:r>
            <w:r w:rsidR="00E22A9B">
              <w:t>are likely to</w:t>
            </w:r>
            <w:r w:rsidR="00282831">
              <w:t xml:space="preserve"> be announced in the near future</w:t>
            </w:r>
            <w:r w:rsidR="00282831">
              <w:rPr>
                <w:rStyle w:val="FootnoteReference"/>
              </w:rPr>
              <w:footnoteReference w:id="48"/>
            </w:r>
            <w:r w:rsidR="00282831">
              <w:t xml:space="preserve">. </w:t>
            </w:r>
          </w:p>
        </w:tc>
        <w:tc>
          <w:tcPr>
            <w:tcW w:w="1418" w:type="dxa"/>
          </w:tcPr>
          <w:p w14:paraId="619BBA38" w14:textId="2F86D571" w:rsidR="00D77C8D" w:rsidRPr="00AE34EA" w:rsidRDefault="00370257"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Sep-20</w:t>
            </w:r>
          </w:p>
        </w:tc>
        <w:tc>
          <w:tcPr>
            <w:tcW w:w="992" w:type="dxa"/>
          </w:tcPr>
          <w:p w14:paraId="2E43D4FB" w14:textId="73EC3449" w:rsidR="00D77C8D" w:rsidRPr="00AE34EA" w:rsidRDefault="00A221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Tyres</w:t>
            </w:r>
          </w:p>
        </w:tc>
        <w:tc>
          <w:tcPr>
            <w:tcW w:w="1134" w:type="dxa"/>
            <w:tcMar>
              <w:left w:w="57" w:type="dxa"/>
              <w:right w:w="57" w:type="dxa"/>
            </w:tcMar>
          </w:tcPr>
          <w:p w14:paraId="09712DC8" w14:textId="3D551C69"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5F61192" w14:textId="53E153CF" w:rsidR="00D77C8D" w:rsidRPr="00AE34EA" w:rsidRDefault="003F530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Pr>
          <w:p w14:paraId="5C0CE58E" w14:textId="1D2D2EDE" w:rsidR="00D77C8D"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apparent</w:t>
            </w:r>
            <w:r w:rsidR="00BA0B57">
              <w:rPr>
                <w:sz w:val="18"/>
                <w:szCs w:val="18"/>
              </w:rPr>
              <w:t>.</w:t>
            </w:r>
          </w:p>
        </w:tc>
      </w:tr>
      <w:bookmarkEnd w:id="20"/>
      <w:bookmarkEnd w:id="29"/>
    </w:tbl>
    <w:p w14:paraId="4AD269C2" w14:textId="1E6A6381" w:rsidR="003A3BCA" w:rsidRPr="00612AD8" w:rsidRDefault="003A3BCA" w:rsidP="00612AD8">
      <w:pPr>
        <w:rPr>
          <w:sz w:val="2"/>
          <w:szCs w:val="2"/>
        </w:rPr>
      </w:pPr>
    </w:p>
    <w:sectPr w:rsidR="003A3BCA" w:rsidRPr="00612AD8" w:rsidSect="008E3D42">
      <w:pgSz w:w="16838" w:h="11906" w:orient="landscape" w:code="9"/>
      <w:pgMar w:top="1247" w:right="1134" w:bottom="90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6F7D" w14:textId="77777777" w:rsidR="002711EC" w:rsidRDefault="002711EC" w:rsidP="00547C1A">
      <w:r>
        <w:separator/>
      </w:r>
    </w:p>
  </w:endnote>
  <w:endnote w:type="continuationSeparator" w:id="0">
    <w:p w14:paraId="7461E8CA" w14:textId="77777777" w:rsidR="002711EC" w:rsidRDefault="002711EC"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31497" w:rsidRPr="00A71209" w:rsidRDefault="00231497">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231497" w:rsidRPr="00305B22" w:rsidRDefault="00231497"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0D4D" w14:textId="77777777" w:rsidR="002711EC" w:rsidRPr="00477147" w:rsidRDefault="002711EC" w:rsidP="00547C1A">
      <w:pPr>
        <w:rPr>
          <w:color w:val="4D4DB8" w:themeColor="accent1"/>
        </w:rPr>
      </w:pPr>
      <w:bookmarkStart w:id="0" w:name="_Hlk487465832"/>
      <w:bookmarkEnd w:id="0"/>
      <w:r w:rsidRPr="00477147">
        <w:rPr>
          <w:color w:val="4D4DB8" w:themeColor="accent1"/>
        </w:rPr>
        <w:separator/>
      </w:r>
    </w:p>
  </w:footnote>
  <w:footnote w:type="continuationSeparator" w:id="0">
    <w:p w14:paraId="4FE4C745" w14:textId="77777777" w:rsidR="002711EC" w:rsidRDefault="002711EC" w:rsidP="00547C1A">
      <w:r>
        <w:continuationSeparator/>
      </w:r>
    </w:p>
  </w:footnote>
  <w:footnote w:id="1">
    <w:p w14:paraId="6D63997E" w14:textId="24087C59" w:rsidR="00231497" w:rsidRDefault="00231497" w:rsidP="003E3CDB">
      <w:pPr>
        <w:pStyle w:val="FootnoteText"/>
        <w:spacing w:after="2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4A7739D7" w14:textId="77777777" w:rsidR="00084FDB" w:rsidRDefault="00084FDB" w:rsidP="003E3CDB">
      <w:pPr>
        <w:pStyle w:val="FootnoteText"/>
        <w:spacing w:after="2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231497" w:rsidRDefault="00231497" w:rsidP="003E3CDB">
      <w:pPr>
        <w:pStyle w:val="FootnoteText"/>
        <w:spacing w:after="2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3D7568A6" w14:textId="3229B883" w:rsidR="00084FDB" w:rsidRDefault="00084FDB" w:rsidP="003E3CDB">
      <w:pPr>
        <w:pStyle w:val="FootnoteText"/>
        <w:spacing w:after="20"/>
      </w:pPr>
      <w:r>
        <w:rPr>
          <w:rStyle w:val="FootnoteReference"/>
        </w:rPr>
        <w:footnoteRef/>
      </w:r>
      <w:r>
        <w:t xml:space="preserve"> </w:t>
      </w:r>
      <w:r w:rsidRPr="00084FDB">
        <w:t>The data presented is gross weight, including packaging. This value is used for consistency because the quantities of exported materials are presented in varied units, including numbers of items.</w:t>
      </w:r>
    </w:p>
  </w:footnote>
  <w:footnote w:id="5">
    <w:p w14:paraId="7F6ACC5D" w14:textId="6BBDC841" w:rsidR="003E3CDB" w:rsidRPr="003E3CDB" w:rsidRDefault="003E3CDB" w:rsidP="003E3CDB">
      <w:pPr>
        <w:pStyle w:val="FootnoteText"/>
        <w:spacing w:after="20"/>
        <w:rPr>
          <w:lang w:val="en-US"/>
        </w:rPr>
      </w:pPr>
      <w:r>
        <w:rPr>
          <w:rStyle w:val="FootnoteReference"/>
        </w:rPr>
        <w:footnoteRef/>
      </w:r>
      <w:r>
        <w:t xml:space="preserve"> </w:t>
      </w:r>
      <w:r>
        <w:rPr>
          <w:lang w:val="en-US"/>
        </w:rPr>
        <w:t>Methods and mappings to waste are reviewed regularly and may change in future.</w:t>
      </w:r>
    </w:p>
  </w:footnote>
  <w:footnote w:id="6">
    <w:p w14:paraId="43049C4E" w14:textId="504EF785" w:rsidR="00231497" w:rsidRDefault="00231497" w:rsidP="003E3CDB">
      <w:pPr>
        <w:pStyle w:val="FootnoteText"/>
        <w:spacing w:after="20"/>
      </w:pPr>
      <w:r>
        <w:rPr>
          <w:rStyle w:val="FootnoteReference"/>
        </w:rPr>
        <w:footnoteRef/>
      </w:r>
      <w:r>
        <w:t xml:space="preserve"> Some of these recovered materials contain a proportion of contamination (or ‘off-spec’ content) that needs to be extracted before the material can be used. </w:t>
      </w:r>
    </w:p>
  </w:footnote>
  <w:footnote w:id="7">
    <w:p w14:paraId="6E05531B" w14:textId="43B73A26" w:rsidR="00231497" w:rsidRDefault="00231497" w:rsidP="003E3CDB">
      <w:pPr>
        <w:pStyle w:val="FootnoteText"/>
        <w:spacing w:after="20"/>
      </w:pPr>
      <w:r>
        <w:rPr>
          <w:rStyle w:val="FootnoteReference"/>
        </w:rPr>
        <w:footnoteRef/>
      </w:r>
      <w:r>
        <w:t xml:space="preserve"> Dollar values refer to Australian dollars. Historical values are inflated based on the annualised consumer price index.</w:t>
      </w:r>
    </w:p>
  </w:footnote>
  <w:footnote w:id="8">
    <w:p w14:paraId="46CF6C13" w14:textId="78CF104A" w:rsidR="00DB177F" w:rsidRDefault="00DB177F" w:rsidP="00DB177F">
      <w:pPr>
        <w:pStyle w:val="FootnoteText"/>
      </w:pPr>
      <w:r>
        <w:rPr>
          <w:rStyle w:val="FootnoteReference"/>
        </w:rPr>
        <w:footnoteRef/>
      </w:r>
      <w:r>
        <w:t xml:space="preserve"> </w:t>
      </w:r>
      <w:r w:rsidR="00E61B9C">
        <w:t>A significant proportion</w:t>
      </w:r>
      <w:r>
        <w:t xml:space="preserve"> of this value is exports of ‘copper slag and ash’</w:t>
      </w:r>
      <w:r w:rsidR="00E61B9C">
        <w:t xml:space="preserve"> which were</w:t>
      </w:r>
      <w:r>
        <w:t xml:space="preserve"> allocated a value of over $450/kg in 2020-21. The value of pure copper is typically around $10/kg.</w:t>
      </w:r>
      <w:r w:rsidR="00E61B9C">
        <w:t xml:space="preserve"> This waste is likely to contain precious metals.</w:t>
      </w:r>
    </w:p>
  </w:footnote>
  <w:footnote w:id="9">
    <w:p w14:paraId="2B9E1C85" w14:textId="77777777" w:rsidR="006F4B1C" w:rsidRDefault="006F4B1C" w:rsidP="006F4B1C">
      <w:pPr>
        <w:pStyle w:val="FootnoteText"/>
      </w:pPr>
      <w:r>
        <w:rPr>
          <w:rStyle w:val="FootnoteReference"/>
        </w:rPr>
        <w:footnoteRef/>
      </w:r>
      <w:r>
        <w:t xml:space="preserve"> </w:t>
      </w:r>
      <w:r w:rsidRPr="00492F23">
        <w:t>Tyre export quantities in the ABS data are generally lower than reported through industry sources. Significant miscoding is likely.</w:t>
      </w:r>
    </w:p>
  </w:footnote>
  <w:footnote w:id="10">
    <w:p w14:paraId="3C07879C" w14:textId="199F1664" w:rsidR="003D4C6B" w:rsidRDefault="003D4C6B">
      <w:pPr>
        <w:pStyle w:val="FootnoteText"/>
      </w:pPr>
      <w:r>
        <w:rPr>
          <w:rStyle w:val="FootnoteReference"/>
        </w:rPr>
        <w:footnoteRef/>
      </w:r>
      <w:r>
        <w:t xml:space="preserve"> Includes large waste streams such as construction and demolition wastes, organics, ash and contaminated soils.</w:t>
      </w:r>
    </w:p>
  </w:footnote>
  <w:footnote w:id="11">
    <w:p w14:paraId="5929DAE9" w14:textId="77777777" w:rsidR="00567869" w:rsidRDefault="00567869" w:rsidP="00567869">
      <w:pPr>
        <w:pStyle w:val="FootnoteText"/>
        <w:ind w:left="142" w:hanging="142"/>
      </w:pPr>
      <w:r>
        <w:rPr>
          <w:rStyle w:val="FootnoteReference"/>
        </w:rPr>
        <w:footnoteRef/>
      </w:r>
      <w:r>
        <w:t xml:space="preserve"> </w:t>
      </w:r>
      <w:r w:rsidRPr="005E6B20">
        <w:t>Australian Harmonized Export Commodity Classification</w:t>
      </w:r>
      <w:r>
        <w:t>.</w:t>
      </w:r>
    </w:p>
  </w:footnote>
  <w:footnote w:id="12">
    <w:p w14:paraId="35C007DE" w14:textId="77777777" w:rsidR="00567869" w:rsidRDefault="00567869" w:rsidP="00567869">
      <w:pPr>
        <w:pStyle w:val="FootnoteText"/>
        <w:ind w:left="142" w:hanging="142"/>
      </w:pPr>
      <w:r>
        <w:rPr>
          <w:rStyle w:val="FootnoteReference"/>
        </w:rPr>
        <w:footnoteRef/>
      </w:r>
      <w:r>
        <w:t xml:space="preserve"> </w:t>
      </w:r>
      <w:r w:rsidRPr="00CF3DA3">
        <w:t>Based on</w:t>
      </w:r>
      <w:r>
        <w:t xml:space="preserve"> the 2018-19 characteristics of these materials.</w:t>
      </w:r>
    </w:p>
  </w:footnote>
  <w:footnote w:id="13">
    <w:p w14:paraId="50DA9B10" w14:textId="77777777" w:rsidR="00567869" w:rsidRDefault="00567869" w:rsidP="00567869">
      <w:pPr>
        <w:pStyle w:val="FootnoteText"/>
        <w:ind w:left="142" w:hanging="142"/>
      </w:pPr>
      <w:r>
        <w:rPr>
          <w:rStyle w:val="FootnoteReference"/>
        </w:rPr>
        <w:footnoteRef/>
      </w:r>
      <w:r>
        <w:t xml:space="preserve"> Comprises the proportion of material in AHECC code 47079000, but significant miscoding is apparent in the data.</w:t>
      </w:r>
    </w:p>
  </w:footnote>
  <w:footnote w:id="14">
    <w:p w14:paraId="6D7B9B89" w14:textId="77777777" w:rsidR="00567869" w:rsidRDefault="00567869" w:rsidP="00567869">
      <w:pPr>
        <w:pStyle w:val="FootnoteText"/>
        <w:ind w:left="142" w:hanging="142"/>
      </w:pPr>
      <w:r>
        <w:rPr>
          <w:rStyle w:val="FootnoteReference"/>
        </w:rPr>
        <w:footnoteRef/>
      </w:r>
      <w:r>
        <w:t xml:space="preserve"> Assumes no material was sorted and processed to the extent that will be required for future export. </w:t>
      </w:r>
    </w:p>
  </w:footnote>
  <w:footnote w:id="15">
    <w:p w14:paraId="3A0AD819" w14:textId="77777777" w:rsidR="00567869" w:rsidRDefault="00567869" w:rsidP="00567869">
      <w:pPr>
        <w:pStyle w:val="FootnoteText"/>
        <w:ind w:left="142" w:hanging="142"/>
      </w:pPr>
      <w:r>
        <w:rPr>
          <w:rStyle w:val="FootnoteReference"/>
        </w:rPr>
        <w:footnoteRef/>
      </w:r>
      <w:r>
        <w:t xml:space="preserve"> Excludes fuels.</w:t>
      </w:r>
    </w:p>
  </w:footnote>
  <w:footnote w:id="16">
    <w:p w14:paraId="760EF1CB" w14:textId="77777777" w:rsidR="003E2ED8" w:rsidRDefault="003E2ED8" w:rsidP="003E2ED8">
      <w:pPr>
        <w:pStyle w:val="FootnoteText"/>
      </w:pPr>
      <w:r>
        <w:rPr>
          <w:rStyle w:val="FootnoteReference"/>
        </w:rPr>
        <w:footnoteRef/>
      </w:r>
      <w:r>
        <w:t xml:space="preserve"> Australian Bureau of Statistics (2021) </w:t>
      </w:r>
      <w:hyperlink r:id="rId1" w:history="1">
        <w:r w:rsidRPr="006E2ACE">
          <w:rPr>
            <w:rStyle w:val="Hyperlink"/>
            <w:sz w:val="18"/>
          </w:rPr>
          <w:t>International merchandise trade, preliminary, Australia.</w:t>
        </w:r>
      </w:hyperlink>
      <w:r>
        <w:t xml:space="preserve"> </w:t>
      </w:r>
    </w:p>
  </w:footnote>
  <w:footnote w:id="17">
    <w:p w14:paraId="365EE0F9" w14:textId="77777777" w:rsidR="003E2ED8" w:rsidRDefault="003E2ED8" w:rsidP="003E2ED8">
      <w:pPr>
        <w:pStyle w:val="FootnoteText"/>
      </w:pPr>
      <w:r>
        <w:rPr>
          <w:rStyle w:val="FootnoteReference"/>
        </w:rPr>
        <w:footnoteRef/>
      </w:r>
      <w:r>
        <w:t xml:space="preserve"> ABC News (2021) </w:t>
      </w:r>
      <w:hyperlink r:id="rId2" w:history="1">
        <w:r w:rsidRPr="00EB05A4">
          <w:rPr>
            <w:rStyle w:val="Hyperlink"/>
            <w:sz w:val="18"/>
          </w:rPr>
          <w:t>Record iron ore prices boost Australia’s economy, but will the China trade war end the boom?</w:t>
        </w:r>
      </w:hyperlink>
    </w:p>
  </w:footnote>
  <w:footnote w:id="18">
    <w:p w14:paraId="70E97D68" w14:textId="77777777" w:rsidR="003E2ED8" w:rsidRDefault="003E2ED8" w:rsidP="003E2ED8">
      <w:pPr>
        <w:pStyle w:val="FootnoteText"/>
      </w:pPr>
      <w:r>
        <w:rPr>
          <w:rStyle w:val="FootnoteReference"/>
        </w:rPr>
        <w:footnoteRef/>
      </w:r>
      <w:r>
        <w:t xml:space="preserve"> Australian Mining (2021) </w:t>
      </w:r>
      <w:hyperlink r:id="rId3" w:history="1">
        <w:r w:rsidRPr="00C90EED">
          <w:rPr>
            <w:rStyle w:val="Hyperlink"/>
            <w:sz w:val="18"/>
          </w:rPr>
          <w:t>Australian copper production declines in 2020</w:t>
        </w:r>
      </w:hyperlink>
      <w:r>
        <w:rPr>
          <w:rStyle w:val="Hyperlink"/>
          <w:sz w:val="18"/>
        </w:rPr>
        <w:t>.</w:t>
      </w:r>
    </w:p>
  </w:footnote>
  <w:footnote w:id="19">
    <w:p w14:paraId="71E58633" w14:textId="77777777" w:rsidR="002E2C9A" w:rsidRDefault="002E2C9A" w:rsidP="002E2C9A">
      <w:pPr>
        <w:pStyle w:val="FootnoteText"/>
      </w:pPr>
      <w:r>
        <w:rPr>
          <w:rStyle w:val="FootnoteReference"/>
        </w:rPr>
        <w:footnoteRef/>
      </w:r>
      <w:r>
        <w:t xml:space="preserve"> Basel Convention, </w:t>
      </w:r>
      <w:hyperlink r:id="rId4" w:history="1">
        <w:r w:rsidRPr="004E36EC">
          <w:rPr>
            <w:rStyle w:val="Hyperlink"/>
            <w:sz w:val="18"/>
          </w:rPr>
          <w:t>Plastic waste amendments</w:t>
        </w:r>
      </w:hyperlink>
      <w:r>
        <w:rPr>
          <w:rStyle w:val="Hyperlink"/>
          <w:sz w:val="18"/>
        </w:rPr>
        <w:t>.</w:t>
      </w:r>
    </w:p>
  </w:footnote>
  <w:footnote w:id="20">
    <w:p w14:paraId="13200C8F" w14:textId="77777777" w:rsidR="002E48F4" w:rsidRDefault="002E48F4" w:rsidP="002E48F4">
      <w:pPr>
        <w:pStyle w:val="FootnoteText"/>
      </w:pPr>
      <w:r>
        <w:rPr>
          <w:rStyle w:val="FootnoteReference"/>
        </w:rPr>
        <w:footnoteRef/>
      </w:r>
      <w:r>
        <w:t xml:space="preserve"> EScrap News (14 January 2021) </w:t>
      </w:r>
      <w:hyperlink r:id="rId5" w:history="1">
        <w:r w:rsidRPr="00D1730C">
          <w:rPr>
            <w:rStyle w:val="Hyperlink"/>
            <w:sz w:val="18"/>
          </w:rPr>
          <w:t>Basel plastic rules cause immediate e-plastics strife</w:t>
        </w:r>
      </w:hyperlink>
      <w:r>
        <w:rPr>
          <w:rStyle w:val="Hyperlink"/>
          <w:sz w:val="18"/>
        </w:rPr>
        <w:t>.</w:t>
      </w:r>
    </w:p>
  </w:footnote>
  <w:footnote w:id="21">
    <w:p w14:paraId="2C4D5ABA" w14:textId="77777777" w:rsidR="002E2C9A" w:rsidRDefault="002E2C9A" w:rsidP="002E2C9A">
      <w:pPr>
        <w:pStyle w:val="FootnoteText"/>
      </w:pPr>
      <w:r>
        <w:rPr>
          <w:rStyle w:val="FootnoteReference"/>
        </w:rPr>
        <w:footnoteRef/>
      </w:r>
      <w:r>
        <w:t xml:space="preserve"> European Commission (2020) </w:t>
      </w:r>
      <w:hyperlink r:id="rId6" w:history="1">
        <w:r w:rsidRPr="00F520F4">
          <w:rPr>
            <w:rStyle w:val="Hyperlink"/>
            <w:sz w:val="18"/>
          </w:rPr>
          <w:t>Plastic waste shipments: new EU rules on importing and exporting plastic waste</w:t>
        </w:r>
      </w:hyperlink>
      <w:r>
        <w:t>.</w:t>
      </w:r>
    </w:p>
  </w:footnote>
  <w:footnote w:id="22">
    <w:p w14:paraId="22E88254" w14:textId="77777777" w:rsidR="009A20C4" w:rsidRDefault="009A20C4" w:rsidP="009A20C4">
      <w:pPr>
        <w:pStyle w:val="FootnoteText"/>
      </w:pPr>
      <w:r>
        <w:rPr>
          <w:rStyle w:val="FootnoteReference"/>
        </w:rPr>
        <w:footnoteRef/>
      </w:r>
      <w:r>
        <w:t xml:space="preserve"> Langrand M. (March 2021) </w:t>
      </w:r>
      <w:hyperlink r:id="rId7" w:history="1">
        <w:r w:rsidRPr="00F3192F">
          <w:rPr>
            <w:rStyle w:val="Hyperlink"/>
            <w:sz w:val="18"/>
          </w:rPr>
          <w:t>A new global treaty to tackle plastic pollution?</w:t>
        </w:r>
      </w:hyperlink>
    </w:p>
  </w:footnote>
  <w:footnote w:id="23">
    <w:p w14:paraId="16DFD264" w14:textId="77777777" w:rsidR="004B596A" w:rsidRDefault="004B596A" w:rsidP="004B596A">
      <w:pPr>
        <w:pStyle w:val="FootnoteText"/>
      </w:pPr>
      <w:r>
        <w:rPr>
          <w:rStyle w:val="FootnoteReference"/>
        </w:rPr>
        <w:footnoteRef/>
      </w:r>
      <w:r>
        <w:t xml:space="preserve"> Global Recycling (2021) </w:t>
      </w:r>
      <w:hyperlink r:id="rId8" w:history="1">
        <w:r w:rsidRPr="00EA61D6">
          <w:rPr>
            <w:rStyle w:val="Hyperlink"/>
            <w:sz w:val="18"/>
          </w:rPr>
          <w:t>China: on the road to ‘zero-carbon’</w:t>
        </w:r>
      </w:hyperlink>
      <w:r>
        <w:rPr>
          <w:rStyle w:val="Hyperlink"/>
          <w:sz w:val="18"/>
        </w:rPr>
        <w:t>.</w:t>
      </w:r>
    </w:p>
  </w:footnote>
  <w:footnote w:id="24">
    <w:p w14:paraId="239705F2" w14:textId="77777777" w:rsidR="004B596A" w:rsidRDefault="004B596A" w:rsidP="004B596A">
      <w:pPr>
        <w:pStyle w:val="FootnoteText"/>
      </w:pPr>
      <w:r>
        <w:rPr>
          <w:rStyle w:val="FootnoteReference"/>
        </w:rPr>
        <w:footnoteRef/>
      </w:r>
      <w:r>
        <w:t xml:space="preserve"> Recycling International (2021) </w:t>
      </w:r>
      <w:hyperlink r:id="rId9" w:history="1">
        <w:r w:rsidRPr="00252E43">
          <w:rPr>
            <w:rStyle w:val="Hyperlink"/>
            <w:sz w:val="18"/>
          </w:rPr>
          <w:t>Growing fears of global recycling infrastructure ‘collapse’</w:t>
        </w:r>
      </w:hyperlink>
      <w:r>
        <w:rPr>
          <w:rStyle w:val="Hyperlink"/>
          <w:sz w:val="18"/>
        </w:rPr>
        <w:t>.</w:t>
      </w:r>
    </w:p>
  </w:footnote>
  <w:footnote w:id="25">
    <w:p w14:paraId="73CBD08E" w14:textId="5DA08DB5" w:rsidR="004B596A" w:rsidRDefault="004B596A" w:rsidP="004B596A">
      <w:pPr>
        <w:pStyle w:val="FootnoteText"/>
      </w:pPr>
      <w:r>
        <w:rPr>
          <w:rStyle w:val="FootnoteReference"/>
        </w:rPr>
        <w:footnoteRef/>
      </w:r>
      <w:r>
        <w:t xml:space="preserve"> Majumder R. (June 2021) </w:t>
      </w:r>
      <w:hyperlink r:id="rId10" w:history="1">
        <w:r w:rsidRPr="0070698A">
          <w:rPr>
            <w:rStyle w:val="Hyperlink"/>
            <w:sz w:val="18"/>
          </w:rPr>
          <w:t>Malaysia’s import restrictions on metal scrap may lose out recycling investments</w:t>
        </w:r>
      </w:hyperlink>
      <w:r w:rsidR="008A0498">
        <w:rPr>
          <w:rStyle w:val="Hyperlink"/>
          <w:sz w:val="18"/>
        </w:rPr>
        <w:t>.</w:t>
      </w:r>
    </w:p>
  </w:footnote>
  <w:footnote w:id="26">
    <w:p w14:paraId="6D0CC7E7" w14:textId="77777777" w:rsidR="004B596A" w:rsidRDefault="004B596A" w:rsidP="004B596A">
      <w:pPr>
        <w:pStyle w:val="FootnoteText"/>
      </w:pPr>
      <w:r>
        <w:rPr>
          <w:rStyle w:val="FootnoteReference"/>
        </w:rPr>
        <w:footnoteRef/>
      </w:r>
      <w:r>
        <w:t xml:space="preserve"> AntaraNews (2021) </w:t>
      </w:r>
      <w:hyperlink r:id="rId11" w:history="1">
        <w:r w:rsidRPr="001977BA">
          <w:rPr>
            <w:rStyle w:val="Hyperlink"/>
            <w:sz w:val="18"/>
          </w:rPr>
          <w:t>Recycling industry processing just one-third of nation’s waste: govt.</w:t>
        </w:r>
      </w:hyperlink>
      <w:r>
        <w:t xml:space="preserve"> </w:t>
      </w:r>
    </w:p>
  </w:footnote>
  <w:footnote w:id="27">
    <w:p w14:paraId="1E5DCD8D" w14:textId="77777777" w:rsidR="004B596A" w:rsidRDefault="004B596A" w:rsidP="004B596A">
      <w:pPr>
        <w:pStyle w:val="FootnoteText"/>
      </w:pPr>
      <w:r>
        <w:rPr>
          <w:rStyle w:val="FootnoteReference"/>
        </w:rPr>
        <w:footnoteRef/>
      </w:r>
      <w:r>
        <w:t xml:space="preserve"> MRW (2021) </w:t>
      </w:r>
      <w:hyperlink r:id="rId12" w:history="1">
        <w:r w:rsidRPr="00403BB4">
          <w:rPr>
            <w:rStyle w:val="Hyperlink"/>
            <w:sz w:val="18"/>
          </w:rPr>
          <w:t>Indonesia to allow waste imports with 2% contamination limit</w:t>
        </w:r>
      </w:hyperlink>
      <w:r>
        <w:t>.</w:t>
      </w:r>
    </w:p>
  </w:footnote>
  <w:footnote w:id="28">
    <w:p w14:paraId="6D2B3DB7" w14:textId="1700201B" w:rsidR="00231497" w:rsidRDefault="00231497" w:rsidP="0096673F">
      <w:pPr>
        <w:pStyle w:val="FootnoteText"/>
      </w:pPr>
      <w:r>
        <w:rPr>
          <w:rStyle w:val="FootnoteReference"/>
        </w:rPr>
        <w:footnoteRef/>
      </w:r>
      <w:r>
        <w:t xml:space="preserve"> Minister</w:t>
      </w:r>
      <w:r w:rsidR="00A5584C">
        <w:t>s</w:t>
      </w:r>
      <w:r>
        <w:t xml:space="preserve"> of Trade, Environment and Forestry and Head of State Policy, Indonesia (May 2020), </w:t>
      </w:r>
      <w:hyperlink r:id="rId13" w:history="1">
        <w:r w:rsidRPr="00394333">
          <w:rPr>
            <w:rStyle w:val="Hyperlink"/>
            <w:sz w:val="18"/>
          </w:rPr>
          <w:t>Implementation of import of non hazardous and toxic material waste as raw material industry</w:t>
        </w:r>
      </w:hyperlink>
      <w:r>
        <w:rPr>
          <w:rStyle w:val="Hyperlink"/>
          <w:sz w:val="18"/>
        </w:rPr>
        <w:t>.</w:t>
      </w:r>
    </w:p>
  </w:footnote>
  <w:footnote w:id="29">
    <w:p w14:paraId="1AA896A1" w14:textId="527BC19A" w:rsidR="00231497" w:rsidRDefault="00231497" w:rsidP="003A3BCA">
      <w:pPr>
        <w:pStyle w:val="FootnoteText"/>
      </w:pPr>
      <w:r>
        <w:rPr>
          <w:rStyle w:val="FootnoteReference"/>
        </w:rPr>
        <w:footnoteRef/>
      </w:r>
      <w:r>
        <w:t xml:space="preserve"> Business Today, (24 June 2019) </w:t>
      </w:r>
      <w:hyperlink r:id="rId14" w:history="1">
        <w:r w:rsidRPr="000D09E3">
          <w:rPr>
            <w:rStyle w:val="Hyperlink"/>
            <w:sz w:val="18"/>
          </w:rPr>
          <w:t>India bans import of plastic waste from August this year to curb pollution</w:t>
        </w:r>
      </w:hyperlink>
      <w:r>
        <w:rPr>
          <w:rStyle w:val="Hyperlink"/>
          <w:sz w:val="18"/>
        </w:rPr>
        <w:t>.</w:t>
      </w:r>
    </w:p>
  </w:footnote>
  <w:footnote w:id="30">
    <w:p w14:paraId="34FF2B8E" w14:textId="6AFF5ED9" w:rsidR="00231497" w:rsidRDefault="00231497" w:rsidP="003A3BCA">
      <w:pPr>
        <w:pStyle w:val="FootnoteText"/>
      </w:pPr>
      <w:r>
        <w:rPr>
          <w:rStyle w:val="FootnoteReference"/>
        </w:rPr>
        <w:footnoteRef/>
      </w:r>
      <w:r>
        <w:t xml:space="preserve"> Waste Dive, (15 January 2020), </w:t>
      </w:r>
      <w:hyperlink r:id="rId15" w:history="1">
        <w:r w:rsidRPr="00316997">
          <w:rPr>
            <w:rStyle w:val="Hyperlink"/>
            <w:sz w:val="18"/>
          </w:rPr>
          <w:t>India to enforce 1% contamination rate on paper imports, conduct random inspections</w:t>
        </w:r>
      </w:hyperlink>
      <w:r>
        <w:rPr>
          <w:rStyle w:val="Hyperlink"/>
          <w:sz w:val="18"/>
        </w:rPr>
        <w:t>.</w:t>
      </w:r>
    </w:p>
  </w:footnote>
  <w:footnote w:id="31">
    <w:p w14:paraId="176D2A58" w14:textId="6730117F" w:rsidR="00940BD6" w:rsidRDefault="00940BD6">
      <w:pPr>
        <w:pStyle w:val="FootnoteText"/>
      </w:pPr>
      <w:r>
        <w:rPr>
          <w:rStyle w:val="FootnoteReference"/>
        </w:rPr>
        <w:footnoteRef/>
      </w:r>
      <w:r>
        <w:t xml:space="preserve"> Bone C. (2021) </w:t>
      </w:r>
      <w:hyperlink r:id="rId16" w:history="1">
        <w:r w:rsidRPr="00940BD6">
          <w:rPr>
            <w:rStyle w:val="Hyperlink"/>
            <w:sz w:val="18"/>
          </w:rPr>
          <w:t>India mulls over self-sufficient future without imported scrap</w:t>
        </w:r>
      </w:hyperlink>
      <w:r w:rsidR="00403BB4">
        <w:rPr>
          <w:rStyle w:val="Hyperlink"/>
          <w:sz w:val="18"/>
        </w:rPr>
        <w:t>.</w:t>
      </w:r>
    </w:p>
  </w:footnote>
  <w:footnote w:id="32">
    <w:p w14:paraId="147E9143" w14:textId="3A1C315E" w:rsidR="00B91CBA" w:rsidRDefault="00B91CBA" w:rsidP="00B14758">
      <w:pPr>
        <w:pStyle w:val="FootnoteText"/>
      </w:pPr>
      <w:r>
        <w:rPr>
          <w:rStyle w:val="FootnoteReference"/>
        </w:rPr>
        <w:footnoteRef/>
      </w:r>
      <w:r>
        <w:t xml:space="preserve"> Ministry of Commerce, Government of the People’s Republic of Bangladesh (2016) </w:t>
      </w:r>
      <w:hyperlink r:id="rId17" w:history="1">
        <w:r w:rsidRPr="00CC47FF">
          <w:rPr>
            <w:rStyle w:val="Hyperlink"/>
            <w:sz w:val="18"/>
          </w:rPr>
          <w:t>Import Policy Order 2015-2018</w:t>
        </w:r>
      </w:hyperlink>
      <w:r w:rsidR="00403BB4">
        <w:rPr>
          <w:rStyle w:val="Hyperlink"/>
          <w:sz w:val="18"/>
        </w:rPr>
        <w:t>.</w:t>
      </w:r>
    </w:p>
  </w:footnote>
  <w:footnote w:id="33">
    <w:p w14:paraId="10BDDDE7" w14:textId="2341761F" w:rsidR="00231497" w:rsidRDefault="00231497" w:rsidP="00050CA2">
      <w:pPr>
        <w:pStyle w:val="FootnoteText"/>
      </w:pPr>
      <w:r>
        <w:rPr>
          <w:rStyle w:val="FootnoteReference"/>
        </w:rPr>
        <w:footnoteRef/>
      </w:r>
      <w:r>
        <w:t xml:space="preserve"> Prime Minister of Vietnam (24 September 2020) </w:t>
      </w:r>
      <w:hyperlink r:id="rId18" w:history="1">
        <w:r w:rsidRPr="00C0176D">
          <w:rPr>
            <w:rStyle w:val="Hyperlink"/>
            <w:sz w:val="18"/>
          </w:rPr>
          <w:t>Promulgation of the list of waste permitted for import as production materials</w:t>
        </w:r>
      </w:hyperlink>
      <w:r>
        <w:t>.</w:t>
      </w:r>
      <w:r w:rsidR="009F3DCC">
        <w:t xml:space="preserve"> </w:t>
      </w:r>
      <w:r w:rsidRPr="00970F49">
        <w:t>Unofficial translation</w:t>
      </w:r>
      <w:r>
        <w:t>.</w:t>
      </w:r>
    </w:p>
  </w:footnote>
  <w:footnote w:id="34">
    <w:p w14:paraId="66FE2A63" w14:textId="669EC321" w:rsidR="00615A7C" w:rsidRDefault="00615A7C" w:rsidP="00615A7C">
      <w:pPr>
        <w:pStyle w:val="FootnoteText"/>
      </w:pPr>
      <w:r>
        <w:rPr>
          <w:rStyle w:val="FootnoteReference"/>
        </w:rPr>
        <w:footnoteRef/>
      </w:r>
      <w:r>
        <w:t xml:space="preserve"> </w:t>
      </w:r>
      <w:r w:rsidRPr="00F62C67">
        <w:t>Vietnam - National Technical Regulations on Wastes</w:t>
      </w:r>
      <w:r>
        <w:t xml:space="preserve"> (18 November 2019), </w:t>
      </w:r>
      <w:hyperlink r:id="rId19" w:history="1">
        <w:r w:rsidRPr="00B30D6F">
          <w:rPr>
            <w:rStyle w:val="Hyperlink"/>
            <w:sz w:val="18"/>
          </w:rPr>
          <w:t>https://www.cciclondon.com/portal/article/index/cat_id/35/id/286.html</w:t>
        </w:r>
      </w:hyperlink>
      <w:r w:rsidR="00403BB4">
        <w:rPr>
          <w:rStyle w:val="Hyperlink"/>
          <w:sz w:val="18"/>
        </w:rPr>
        <w:t>.</w:t>
      </w:r>
      <w:r>
        <w:t xml:space="preserve"> </w:t>
      </w:r>
    </w:p>
  </w:footnote>
  <w:footnote w:id="35">
    <w:p w14:paraId="3FAD0463" w14:textId="77777777" w:rsidR="00615A7C" w:rsidRDefault="00615A7C" w:rsidP="00615A7C">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0" w:history="1">
        <w:r w:rsidRPr="00105F0F">
          <w:rPr>
            <w:rStyle w:val="Hyperlink"/>
            <w:iCs/>
            <w:sz w:val="18"/>
          </w:rPr>
          <w:t>Vietnam to ban imports of plastic from used electronics</w:t>
        </w:r>
      </w:hyperlink>
      <w:r>
        <w:rPr>
          <w:rStyle w:val="Hyperlink"/>
          <w:iCs/>
          <w:sz w:val="18"/>
        </w:rPr>
        <w:t>.</w:t>
      </w:r>
      <w:r w:rsidRPr="003827FC">
        <w:rPr>
          <w:color w:val="4D4DB8" w:themeColor="accent1"/>
        </w:rPr>
        <w:t xml:space="preserve"> </w:t>
      </w:r>
    </w:p>
  </w:footnote>
  <w:footnote w:id="36">
    <w:p w14:paraId="6B8E1D6F" w14:textId="77777777" w:rsidR="00615A7C" w:rsidRPr="00105F0F" w:rsidRDefault="00615A7C" w:rsidP="00615A7C">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21" w:history="1">
        <w:r w:rsidRPr="00105F0F">
          <w:rPr>
            <w:rStyle w:val="Hyperlink"/>
            <w:iCs/>
            <w:sz w:val="18"/>
          </w:rPr>
          <w:t>Vietnam’s Jan scrap imports plunge amid stricter government rules</w:t>
        </w:r>
      </w:hyperlink>
      <w:r>
        <w:rPr>
          <w:rStyle w:val="Hyperlink"/>
          <w:iCs/>
          <w:sz w:val="18"/>
        </w:rPr>
        <w:t>.</w:t>
      </w:r>
      <w:r w:rsidRPr="00105F0F">
        <w:rPr>
          <w:rStyle w:val="Hyperlink"/>
          <w:i w:val="0"/>
          <w:iCs/>
          <w:color w:val="auto"/>
          <w:sz w:val="18"/>
          <w:u w:val="none"/>
        </w:rPr>
        <w:t xml:space="preserve"> </w:t>
      </w:r>
    </w:p>
  </w:footnote>
  <w:footnote w:id="37">
    <w:p w14:paraId="51E97B98" w14:textId="73B0BCF9" w:rsidR="008E3D42" w:rsidRDefault="008E3D42">
      <w:pPr>
        <w:pStyle w:val="FootnoteText"/>
      </w:pPr>
      <w:r>
        <w:rPr>
          <w:rStyle w:val="FootnoteReference"/>
        </w:rPr>
        <w:footnoteRef/>
      </w:r>
      <w:r>
        <w:t xml:space="preserve"> </w:t>
      </w:r>
      <w:r w:rsidRPr="008E3D42">
        <w:t xml:space="preserve">Reuters (2021) Malaysia permits import of US plastic waste shipment after it passes new UN treaty test </w:t>
      </w:r>
      <w:hyperlink r:id="rId22" w:history="1">
        <w:r w:rsidRPr="008E3D42">
          <w:rPr>
            <w:rStyle w:val="Hyperlink"/>
            <w:sz w:val="18"/>
          </w:rPr>
          <w:t>https://www.reuters.com/article/us-malaysia-environment-plastic-idUSKBN2BG0ZL</w:t>
        </w:r>
      </w:hyperlink>
      <w:r w:rsidR="00403BB4">
        <w:rPr>
          <w:rStyle w:val="Hyperlink"/>
          <w:sz w:val="18"/>
        </w:rPr>
        <w:t>.</w:t>
      </w:r>
    </w:p>
  </w:footnote>
  <w:footnote w:id="38">
    <w:p w14:paraId="2BA5FF42" w14:textId="11BA16D7" w:rsidR="00B54026" w:rsidRDefault="00B54026" w:rsidP="00B54026">
      <w:pPr>
        <w:pStyle w:val="FootnoteText"/>
      </w:pPr>
      <w:r>
        <w:rPr>
          <w:rStyle w:val="FootnoteReference"/>
        </w:rPr>
        <w:footnoteRef/>
      </w:r>
      <w:r>
        <w:t xml:space="preserve"> The Sun Daily (2 February 2021) </w:t>
      </w:r>
      <w:hyperlink r:id="rId23" w:history="1">
        <w:r w:rsidRPr="0051314E">
          <w:rPr>
            <w:rStyle w:val="Hyperlink"/>
            <w:sz w:val="18"/>
          </w:rPr>
          <w:t>Waste not want not: Malaysia moves to become a leader in tackling plastic waste</w:t>
        </w:r>
      </w:hyperlink>
      <w:r>
        <w:rPr>
          <w:rStyle w:val="Hyperlink"/>
          <w:sz w:val="18"/>
        </w:rPr>
        <w:t>.</w:t>
      </w:r>
    </w:p>
  </w:footnote>
  <w:footnote w:id="39">
    <w:p w14:paraId="29EE2BCD" w14:textId="47A909CD" w:rsidR="00231497" w:rsidRDefault="00231497" w:rsidP="000C31BB">
      <w:pPr>
        <w:pStyle w:val="FootnoteText"/>
      </w:pPr>
      <w:r>
        <w:rPr>
          <w:rStyle w:val="FootnoteReference"/>
        </w:rPr>
        <w:footnoteRef/>
      </w:r>
      <w:r>
        <w:t xml:space="preserve"> Ministry of Ecology and Environment, People’s Republic of China (25 November 2020) </w:t>
      </w:r>
      <w:hyperlink r:id="rId24" w:history="1">
        <w:r w:rsidRPr="00040801">
          <w:rPr>
            <w:rStyle w:val="Hyperlink"/>
            <w:sz w:val="18"/>
          </w:rPr>
          <w:t>MEE Announcement No. 53 2020</w:t>
        </w:r>
      </w:hyperlink>
      <w:r>
        <w:t xml:space="preserve"> (unofficial translation by Institute of Scrap Recycling Industries</w:t>
      </w:r>
      <w:r w:rsidR="00403BB4">
        <w:t>)</w:t>
      </w:r>
      <w:r w:rsidR="008C2463">
        <w:t>.</w:t>
      </w:r>
      <w:r>
        <w:t xml:space="preserve"> </w:t>
      </w:r>
    </w:p>
  </w:footnote>
  <w:footnote w:id="40">
    <w:p w14:paraId="6C77EFB2" w14:textId="5FBAC7C0" w:rsidR="00231497" w:rsidRDefault="00231497" w:rsidP="00050CA2">
      <w:pPr>
        <w:pStyle w:val="FootnoteText"/>
      </w:pPr>
      <w:r>
        <w:rPr>
          <w:rStyle w:val="FootnoteReference"/>
        </w:rPr>
        <w:footnoteRef/>
      </w:r>
      <w:r>
        <w:t xml:space="preserve"> REB market intelligence (25 January 2021) </w:t>
      </w:r>
      <w:hyperlink r:id="rId25"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r>
        <w:rPr>
          <w:rStyle w:val="Hyperlink"/>
          <w:sz w:val="18"/>
        </w:rPr>
        <w:t>.</w:t>
      </w:r>
    </w:p>
  </w:footnote>
  <w:footnote w:id="41">
    <w:p w14:paraId="6038C4F5" w14:textId="276F1B91" w:rsidR="00D72BA2" w:rsidRDefault="00D72BA2">
      <w:pPr>
        <w:pStyle w:val="FootnoteText"/>
      </w:pPr>
      <w:r>
        <w:rPr>
          <w:rStyle w:val="FootnoteReference"/>
        </w:rPr>
        <w:footnoteRef/>
      </w:r>
      <w:r>
        <w:t xml:space="preserve"> REB (2021) </w:t>
      </w:r>
      <w:hyperlink r:id="rId26" w:history="1">
        <w:r w:rsidRPr="00D72BA2">
          <w:rPr>
            <w:rStyle w:val="Hyperlink"/>
            <w:sz w:val="18"/>
          </w:rPr>
          <w:t>Thailand’s plastic ban delay took into account balance of need for material and environmental considerations.</w:t>
        </w:r>
      </w:hyperlink>
    </w:p>
  </w:footnote>
  <w:footnote w:id="42">
    <w:p w14:paraId="50337BE5" w14:textId="204D5753" w:rsidR="00231497" w:rsidRDefault="00231497" w:rsidP="00050CA2">
      <w:pPr>
        <w:pStyle w:val="FootnoteText"/>
      </w:pPr>
      <w:r>
        <w:rPr>
          <w:rStyle w:val="FootnoteReference"/>
        </w:rPr>
        <w:footnoteRef/>
      </w:r>
      <w:r>
        <w:t xml:space="preserve"> Saengmanee (2020) </w:t>
      </w:r>
      <w:hyperlink r:id="rId27" w:history="1">
        <w:r w:rsidRPr="00870575">
          <w:rPr>
            <w:rStyle w:val="Hyperlink"/>
            <w:sz w:val="18"/>
          </w:rPr>
          <w:t>The year nature bounced back</w:t>
        </w:r>
      </w:hyperlink>
      <w:r>
        <w:rPr>
          <w:rStyle w:val="Hyperlink"/>
          <w:sz w:val="18"/>
        </w:rPr>
        <w:t>.</w:t>
      </w:r>
    </w:p>
  </w:footnote>
  <w:footnote w:id="43">
    <w:p w14:paraId="450AB4C3" w14:textId="521BBD47" w:rsidR="00231497" w:rsidRPr="00105F0F" w:rsidRDefault="00231497" w:rsidP="000C31BB">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28" w:history="1">
        <w:r w:rsidRPr="0020021B">
          <w:rPr>
            <w:rStyle w:val="Hyperlink"/>
            <w:sz w:val="18"/>
          </w:rPr>
          <w:t>New waste plastic, paper import rules to take effect</w:t>
        </w:r>
      </w:hyperlink>
      <w:r>
        <w:rPr>
          <w:rStyle w:val="Hyperlink"/>
          <w:sz w:val="18"/>
        </w:rPr>
        <w:t>.</w:t>
      </w:r>
    </w:p>
  </w:footnote>
  <w:footnote w:id="44">
    <w:p w14:paraId="1BD3D432" w14:textId="33781A76" w:rsidR="00231497" w:rsidRDefault="00231497" w:rsidP="00612AD8">
      <w:pPr>
        <w:pStyle w:val="FootnoteText"/>
      </w:pPr>
      <w:r>
        <w:rPr>
          <w:rStyle w:val="FootnoteReference"/>
        </w:rPr>
        <w:footnoteRef/>
      </w:r>
      <w:r>
        <w:t xml:space="preserve"> Business Korea (7 January 2021) </w:t>
      </w:r>
      <w:hyperlink r:id="rId29" w:history="1">
        <w:r w:rsidRPr="004E7516">
          <w:rPr>
            <w:rStyle w:val="Hyperlink"/>
            <w:sz w:val="18"/>
          </w:rPr>
          <w:t>Waste import ban roadmaps to come out soon</w:t>
        </w:r>
      </w:hyperlink>
      <w:r>
        <w:rPr>
          <w:rStyle w:val="Hyperlink"/>
          <w:sz w:val="18"/>
        </w:rPr>
        <w:t>.</w:t>
      </w:r>
    </w:p>
  </w:footnote>
  <w:footnote w:id="45">
    <w:p w14:paraId="28804A52" w14:textId="76867397" w:rsidR="00231497" w:rsidRDefault="00231497" w:rsidP="00612AD8">
      <w:pPr>
        <w:pStyle w:val="FootnoteText"/>
      </w:pPr>
      <w:r>
        <w:rPr>
          <w:rStyle w:val="FootnoteReference"/>
        </w:rPr>
        <w:footnoteRef/>
      </w:r>
      <w:r>
        <w:t xml:space="preserve"> Inquirer.net (10 January 2021) </w:t>
      </w:r>
      <w:hyperlink r:id="rId30" w:history="1">
        <w:r w:rsidRPr="001C566D">
          <w:rPr>
            <w:rStyle w:val="Hyperlink"/>
            <w:sz w:val="18"/>
          </w:rPr>
          <w:t>S. Korea to phase out industrial waste imports</w:t>
        </w:r>
      </w:hyperlink>
      <w:r>
        <w:rPr>
          <w:rStyle w:val="Hyperlink"/>
          <w:sz w:val="18"/>
        </w:rPr>
        <w:t>.</w:t>
      </w:r>
    </w:p>
  </w:footnote>
  <w:footnote w:id="46">
    <w:p w14:paraId="5CB0028E" w14:textId="0CFB1919" w:rsidR="00231497" w:rsidRDefault="00231497" w:rsidP="00612AD8">
      <w:pPr>
        <w:pStyle w:val="FootnoteText"/>
      </w:pPr>
      <w:r>
        <w:rPr>
          <w:rStyle w:val="FootnoteReference"/>
        </w:rPr>
        <w:footnoteRef/>
      </w:r>
      <w:r>
        <w:t xml:space="preserve"> The Korea Times (2020) </w:t>
      </w:r>
      <w:hyperlink r:id="rId31" w:history="1">
        <w:r w:rsidRPr="00496C7A">
          <w:rPr>
            <w:rStyle w:val="Hyperlink"/>
            <w:sz w:val="18"/>
          </w:rPr>
          <w:t>Plastic waste imports banned in Korea amid mounting local trash</w:t>
        </w:r>
      </w:hyperlink>
      <w:r>
        <w:rPr>
          <w:rStyle w:val="Hyperlink"/>
          <w:sz w:val="18"/>
        </w:rPr>
        <w:t>.</w:t>
      </w:r>
    </w:p>
  </w:footnote>
  <w:footnote w:id="47">
    <w:p w14:paraId="67D0364F" w14:textId="17FE9280" w:rsidR="00231497" w:rsidRDefault="00231497" w:rsidP="00612AD8">
      <w:pPr>
        <w:pStyle w:val="FootnoteText"/>
      </w:pPr>
      <w:r>
        <w:rPr>
          <w:rStyle w:val="FootnoteReference"/>
        </w:rPr>
        <w:footnoteRef/>
      </w:r>
      <w:r>
        <w:t xml:space="preserve"> Pakistan Government Ministry of Commerce (2020) </w:t>
      </w:r>
      <w:hyperlink r:id="rId32" w:history="1">
        <w:r w:rsidRPr="00370257">
          <w:rPr>
            <w:rStyle w:val="Hyperlink"/>
            <w:sz w:val="18"/>
          </w:rPr>
          <w:t>Import Policy Order 2020</w:t>
        </w:r>
      </w:hyperlink>
      <w:r>
        <w:rPr>
          <w:rStyle w:val="Hyperlink"/>
          <w:sz w:val="18"/>
        </w:rPr>
        <w:t>.</w:t>
      </w:r>
    </w:p>
  </w:footnote>
  <w:footnote w:id="48">
    <w:p w14:paraId="51259AE1" w14:textId="278B3460" w:rsidR="00282831" w:rsidRDefault="00282831">
      <w:pPr>
        <w:pStyle w:val="FootnoteText"/>
      </w:pPr>
      <w:r>
        <w:rPr>
          <w:rStyle w:val="FootnoteReference"/>
        </w:rPr>
        <w:footnoteRef/>
      </w:r>
      <w:r>
        <w:t xml:space="preserve"> Pakistan Today (2021) </w:t>
      </w:r>
      <w:hyperlink r:id="rId33" w:history="1">
        <w:r w:rsidRPr="00282831">
          <w:rPr>
            <w:rStyle w:val="Hyperlink"/>
            <w:sz w:val="18"/>
          </w:rPr>
          <w:t>PM directs to take inspiration from China for waste ban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231497" w:rsidRDefault="00231497" w:rsidP="00F255F5">
    <w:pPr>
      <w:pStyle w:val="Header"/>
      <w:jc w:val="right"/>
    </w:pPr>
    <w:r>
      <w:rPr>
        <w:noProof/>
        <w:lang w:eastAsia="en-AU"/>
      </w:rPr>
      <w:drawing>
        <wp:inline distT="0" distB="0" distL="0" distR="0" wp14:anchorId="501D369F" wp14:editId="0BC5527F">
          <wp:extent cx="1692000" cy="291600"/>
          <wp:effectExtent l="0" t="0" r="3810" b="0"/>
          <wp:docPr id="19" name="Picture 19"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036B"/>
    <w:rsid w:val="00001E44"/>
    <w:rsid w:val="000023DB"/>
    <w:rsid w:val="00006858"/>
    <w:rsid w:val="00007F34"/>
    <w:rsid w:val="000107D9"/>
    <w:rsid w:val="00011850"/>
    <w:rsid w:val="00013771"/>
    <w:rsid w:val="00014326"/>
    <w:rsid w:val="00014661"/>
    <w:rsid w:val="00014D20"/>
    <w:rsid w:val="00015680"/>
    <w:rsid w:val="000157E9"/>
    <w:rsid w:val="0001690F"/>
    <w:rsid w:val="00016958"/>
    <w:rsid w:val="00017CE2"/>
    <w:rsid w:val="00017EA4"/>
    <w:rsid w:val="000200AA"/>
    <w:rsid w:val="0002458A"/>
    <w:rsid w:val="00024F63"/>
    <w:rsid w:val="000277E7"/>
    <w:rsid w:val="00027BF6"/>
    <w:rsid w:val="00030646"/>
    <w:rsid w:val="000314C2"/>
    <w:rsid w:val="00031BF0"/>
    <w:rsid w:val="00031E18"/>
    <w:rsid w:val="00031E46"/>
    <w:rsid w:val="00032289"/>
    <w:rsid w:val="000333E3"/>
    <w:rsid w:val="00033750"/>
    <w:rsid w:val="00034E04"/>
    <w:rsid w:val="00034E49"/>
    <w:rsid w:val="0004034D"/>
    <w:rsid w:val="00040801"/>
    <w:rsid w:val="00040D3F"/>
    <w:rsid w:val="00042878"/>
    <w:rsid w:val="00042C79"/>
    <w:rsid w:val="00043469"/>
    <w:rsid w:val="00043891"/>
    <w:rsid w:val="00043904"/>
    <w:rsid w:val="00047756"/>
    <w:rsid w:val="00050375"/>
    <w:rsid w:val="00050CA2"/>
    <w:rsid w:val="00050D40"/>
    <w:rsid w:val="00050E29"/>
    <w:rsid w:val="00051040"/>
    <w:rsid w:val="00051315"/>
    <w:rsid w:val="000519A7"/>
    <w:rsid w:val="00051B6E"/>
    <w:rsid w:val="000522BD"/>
    <w:rsid w:val="000525E3"/>
    <w:rsid w:val="00054513"/>
    <w:rsid w:val="000548F7"/>
    <w:rsid w:val="00055860"/>
    <w:rsid w:val="00055F20"/>
    <w:rsid w:val="00057461"/>
    <w:rsid w:val="000606D8"/>
    <w:rsid w:val="0006188C"/>
    <w:rsid w:val="00061FD4"/>
    <w:rsid w:val="0006434E"/>
    <w:rsid w:val="0006462D"/>
    <w:rsid w:val="000649A6"/>
    <w:rsid w:val="000652A8"/>
    <w:rsid w:val="00065F58"/>
    <w:rsid w:val="00066339"/>
    <w:rsid w:val="00070B32"/>
    <w:rsid w:val="00072030"/>
    <w:rsid w:val="000741BE"/>
    <w:rsid w:val="000774B8"/>
    <w:rsid w:val="000776D1"/>
    <w:rsid w:val="00077859"/>
    <w:rsid w:val="0008116C"/>
    <w:rsid w:val="000811E5"/>
    <w:rsid w:val="00081A6E"/>
    <w:rsid w:val="000839C7"/>
    <w:rsid w:val="00084A37"/>
    <w:rsid w:val="00084A66"/>
    <w:rsid w:val="00084FDB"/>
    <w:rsid w:val="00085DEB"/>
    <w:rsid w:val="000861EA"/>
    <w:rsid w:val="00087207"/>
    <w:rsid w:val="00087A1E"/>
    <w:rsid w:val="00091AC7"/>
    <w:rsid w:val="000934A9"/>
    <w:rsid w:val="000946CC"/>
    <w:rsid w:val="00094C11"/>
    <w:rsid w:val="0009521E"/>
    <w:rsid w:val="00095DB4"/>
    <w:rsid w:val="00096145"/>
    <w:rsid w:val="0009631E"/>
    <w:rsid w:val="000977B0"/>
    <w:rsid w:val="00097C23"/>
    <w:rsid w:val="000A1226"/>
    <w:rsid w:val="000A2ACE"/>
    <w:rsid w:val="000A4807"/>
    <w:rsid w:val="000A4F09"/>
    <w:rsid w:val="000A699D"/>
    <w:rsid w:val="000A6DC0"/>
    <w:rsid w:val="000A7042"/>
    <w:rsid w:val="000A7BB4"/>
    <w:rsid w:val="000B081B"/>
    <w:rsid w:val="000B08A0"/>
    <w:rsid w:val="000B1B45"/>
    <w:rsid w:val="000B279D"/>
    <w:rsid w:val="000B2A07"/>
    <w:rsid w:val="000B4AF3"/>
    <w:rsid w:val="000B6877"/>
    <w:rsid w:val="000B70E6"/>
    <w:rsid w:val="000B71E9"/>
    <w:rsid w:val="000C10AF"/>
    <w:rsid w:val="000C13BE"/>
    <w:rsid w:val="000C150C"/>
    <w:rsid w:val="000C2908"/>
    <w:rsid w:val="000C2E15"/>
    <w:rsid w:val="000C31BB"/>
    <w:rsid w:val="000C3A11"/>
    <w:rsid w:val="000C3D48"/>
    <w:rsid w:val="000D09E3"/>
    <w:rsid w:val="000D1DD0"/>
    <w:rsid w:val="000D318A"/>
    <w:rsid w:val="000D59D5"/>
    <w:rsid w:val="000D5C62"/>
    <w:rsid w:val="000D7BAE"/>
    <w:rsid w:val="000E05A0"/>
    <w:rsid w:val="000E0DCE"/>
    <w:rsid w:val="000E12DA"/>
    <w:rsid w:val="000E1928"/>
    <w:rsid w:val="000E25E2"/>
    <w:rsid w:val="000E33C6"/>
    <w:rsid w:val="000E3D6F"/>
    <w:rsid w:val="000E3E5E"/>
    <w:rsid w:val="000E3ECE"/>
    <w:rsid w:val="000E3FDC"/>
    <w:rsid w:val="000E4807"/>
    <w:rsid w:val="000E4832"/>
    <w:rsid w:val="000E56F0"/>
    <w:rsid w:val="000E58CE"/>
    <w:rsid w:val="000E66E1"/>
    <w:rsid w:val="000E701C"/>
    <w:rsid w:val="000E73E5"/>
    <w:rsid w:val="000E7A91"/>
    <w:rsid w:val="000F0866"/>
    <w:rsid w:val="000F08A6"/>
    <w:rsid w:val="000F0D44"/>
    <w:rsid w:val="000F0E2A"/>
    <w:rsid w:val="000F2EF2"/>
    <w:rsid w:val="000F315D"/>
    <w:rsid w:val="000F3C58"/>
    <w:rsid w:val="000F41D1"/>
    <w:rsid w:val="000F5668"/>
    <w:rsid w:val="000F5E99"/>
    <w:rsid w:val="000F70AB"/>
    <w:rsid w:val="000F730D"/>
    <w:rsid w:val="000F7B61"/>
    <w:rsid w:val="001002B9"/>
    <w:rsid w:val="00103FF1"/>
    <w:rsid w:val="00104E96"/>
    <w:rsid w:val="0010581B"/>
    <w:rsid w:val="00105927"/>
    <w:rsid w:val="00105F0F"/>
    <w:rsid w:val="00106FFD"/>
    <w:rsid w:val="00110011"/>
    <w:rsid w:val="00110651"/>
    <w:rsid w:val="001136A4"/>
    <w:rsid w:val="00114FE4"/>
    <w:rsid w:val="00115E81"/>
    <w:rsid w:val="00116168"/>
    <w:rsid w:val="00116EF5"/>
    <w:rsid w:val="00117663"/>
    <w:rsid w:val="0011783B"/>
    <w:rsid w:val="00117FDB"/>
    <w:rsid w:val="001210EF"/>
    <w:rsid w:val="00121B6C"/>
    <w:rsid w:val="00122A4F"/>
    <w:rsid w:val="00122C59"/>
    <w:rsid w:val="00122F97"/>
    <w:rsid w:val="001231DB"/>
    <w:rsid w:val="00123654"/>
    <w:rsid w:val="00123B82"/>
    <w:rsid w:val="001245CB"/>
    <w:rsid w:val="00124CE1"/>
    <w:rsid w:val="00131654"/>
    <w:rsid w:val="00132EE2"/>
    <w:rsid w:val="00133D29"/>
    <w:rsid w:val="001366C5"/>
    <w:rsid w:val="00136829"/>
    <w:rsid w:val="00136CCB"/>
    <w:rsid w:val="001375D7"/>
    <w:rsid w:val="00137604"/>
    <w:rsid w:val="00140160"/>
    <w:rsid w:val="001431F2"/>
    <w:rsid w:val="00143570"/>
    <w:rsid w:val="00143698"/>
    <w:rsid w:val="00143A4E"/>
    <w:rsid w:val="00144EAA"/>
    <w:rsid w:val="001469F7"/>
    <w:rsid w:val="00147692"/>
    <w:rsid w:val="001535C3"/>
    <w:rsid w:val="00153630"/>
    <w:rsid w:val="00153E95"/>
    <w:rsid w:val="0015519B"/>
    <w:rsid w:val="001553AE"/>
    <w:rsid w:val="00157C85"/>
    <w:rsid w:val="00160076"/>
    <w:rsid w:val="0016119B"/>
    <w:rsid w:val="00161A63"/>
    <w:rsid w:val="0016311C"/>
    <w:rsid w:val="00163D4C"/>
    <w:rsid w:val="00165144"/>
    <w:rsid w:val="001655EB"/>
    <w:rsid w:val="001656C3"/>
    <w:rsid w:val="00166D6E"/>
    <w:rsid w:val="00166F3F"/>
    <w:rsid w:val="00170211"/>
    <w:rsid w:val="00172B6E"/>
    <w:rsid w:val="00175583"/>
    <w:rsid w:val="0017623C"/>
    <w:rsid w:val="00176834"/>
    <w:rsid w:val="00176D89"/>
    <w:rsid w:val="00177B4E"/>
    <w:rsid w:val="001804C0"/>
    <w:rsid w:val="00180DCB"/>
    <w:rsid w:val="00180FF6"/>
    <w:rsid w:val="0018220D"/>
    <w:rsid w:val="0018307B"/>
    <w:rsid w:val="0018755D"/>
    <w:rsid w:val="00187D8E"/>
    <w:rsid w:val="00190012"/>
    <w:rsid w:val="00190EC0"/>
    <w:rsid w:val="0019139B"/>
    <w:rsid w:val="001918C8"/>
    <w:rsid w:val="00191D6A"/>
    <w:rsid w:val="00192537"/>
    <w:rsid w:val="001929B1"/>
    <w:rsid w:val="00192A5F"/>
    <w:rsid w:val="00192FBE"/>
    <w:rsid w:val="001942C6"/>
    <w:rsid w:val="00194C0F"/>
    <w:rsid w:val="0019506F"/>
    <w:rsid w:val="0019594A"/>
    <w:rsid w:val="00195DA1"/>
    <w:rsid w:val="001963F3"/>
    <w:rsid w:val="001970F8"/>
    <w:rsid w:val="001971DA"/>
    <w:rsid w:val="00197629"/>
    <w:rsid w:val="001977BA"/>
    <w:rsid w:val="001A1A84"/>
    <w:rsid w:val="001A1AAA"/>
    <w:rsid w:val="001A2FCD"/>
    <w:rsid w:val="001A38D7"/>
    <w:rsid w:val="001A3DBD"/>
    <w:rsid w:val="001A4A54"/>
    <w:rsid w:val="001A4FA1"/>
    <w:rsid w:val="001A5071"/>
    <w:rsid w:val="001A57A1"/>
    <w:rsid w:val="001A58FE"/>
    <w:rsid w:val="001A5ED4"/>
    <w:rsid w:val="001A6A49"/>
    <w:rsid w:val="001A7B61"/>
    <w:rsid w:val="001B0612"/>
    <w:rsid w:val="001B208E"/>
    <w:rsid w:val="001B3558"/>
    <w:rsid w:val="001B3845"/>
    <w:rsid w:val="001B389F"/>
    <w:rsid w:val="001B40C7"/>
    <w:rsid w:val="001B4275"/>
    <w:rsid w:val="001B5592"/>
    <w:rsid w:val="001B7EA7"/>
    <w:rsid w:val="001C0F90"/>
    <w:rsid w:val="001C1171"/>
    <w:rsid w:val="001C2471"/>
    <w:rsid w:val="001C36FC"/>
    <w:rsid w:val="001C3828"/>
    <w:rsid w:val="001C39D1"/>
    <w:rsid w:val="001C4FE6"/>
    <w:rsid w:val="001C6127"/>
    <w:rsid w:val="001C683F"/>
    <w:rsid w:val="001C6967"/>
    <w:rsid w:val="001D0455"/>
    <w:rsid w:val="001D0670"/>
    <w:rsid w:val="001D33DB"/>
    <w:rsid w:val="001D40D7"/>
    <w:rsid w:val="001D4217"/>
    <w:rsid w:val="001D6436"/>
    <w:rsid w:val="001D799A"/>
    <w:rsid w:val="001E0118"/>
    <w:rsid w:val="001E0B3F"/>
    <w:rsid w:val="001E2C16"/>
    <w:rsid w:val="001E3405"/>
    <w:rsid w:val="001E554E"/>
    <w:rsid w:val="001E5EF1"/>
    <w:rsid w:val="001E68E7"/>
    <w:rsid w:val="001E6B7B"/>
    <w:rsid w:val="001F036C"/>
    <w:rsid w:val="001F0D42"/>
    <w:rsid w:val="001F137E"/>
    <w:rsid w:val="001F17C8"/>
    <w:rsid w:val="001F1F2C"/>
    <w:rsid w:val="001F270C"/>
    <w:rsid w:val="001F4E6D"/>
    <w:rsid w:val="001F6713"/>
    <w:rsid w:val="001F7B08"/>
    <w:rsid w:val="00200153"/>
    <w:rsid w:val="0020021B"/>
    <w:rsid w:val="0020189E"/>
    <w:rsid w:val="002018D5"/>
    <w:rsid w:val="00201F87"/>
    <w:rsid w:val="00202222"/>
    <w:rsid w:val="002045AC"/>
    <w:rsid w:val="00205789"/>
    <w:rsid w:val="00207543"/>
    <w:rsid w:val="0021020D"/>
    <w:rsid w:val="00211194"/>
    <w:rsid w:val="00213BD8"/>
    <w:rsid w:val="00215268"/>
    <w:rsid w:val="00215B3A"/>
    <w:rsid w:val="0021661E"/>
    <w:rsid w:val="0021783B"/>
    <w:rsid w:val="00217DFA"/>
    <w:rsid w:val="00220666"/>
    <w:rsid w:val="002216DF"/>
    <w:rsid w:val="00222291"/>
    <w:rsid w:val="002225CD"/>
    <w:rsid w:val="0022408C"/>
    <w:rsid w:val="0022523F"/>
    <w:rsid w:val="00225C83"/>
    <w:rsid w:val="002264E8"/>
    <w:rsid w:val="00231497"/>
    <w:rsid w:val="00231550"/>
    <w:rsid w:val="0023197E"/>
    <w:rsid w:val="00231FF3"/>
    <w:rsid w:val="0023312D"/>
    <w:rsid w:val="00236E59"/>
    <w:rsid w:val="00237787"/>
    <w:rsid w:val="00240BAE"/>
    <w:rsid w:val="00242C91"/>
    <w:rsid w:val="002434AE"/>
    <w:rsid w:val="00244349"/>
    <w:rsid w:val="002449B8"/>
    <w:rsid w:val="00244D2C"/>
    <w:rsid w:val="00246162"/>
    <w:rsid w:val="002466FB"/>
    <w:rsid w:val="00246FFF"/>
    <w:rsid w:val="00247DB2"/>
    <w:rsid w:val="0025002B"/>
    <w:rsid w:val="00250458"/>
    <w:rsid w:val="00250D19"/>
    <w:rsid w:val="00251931"/>
    <w:rsid w:val="00252E43"/>
    <w:rsid w:val="00253E7C"/>
    <w:rsid w:val="00254A4D"/>
    <w:rsid w:val="00255077"/>
    <w:rsid w:val="00255205"/>
    <w:rsid w:val="00255BA6"/>
    <w:rsid w:val="002563F5"/>
    <w:rsid w:val="00256665"/>
    <w:rsid w:val="00257838"/>
    <w:rsid w:val="002610FB"/>
    <w:rsid w:val="002611E3"/>
    <w:rsid w:val="002615D4"/>
    <w:rsid w:val="00261FD6"/>
    <w:rsid w:val="00262898"/>
    <w:rsid w:val="00262C2C"/>
    <w:rsid w:val="0026379A"/>
    <w:rsid w:val="002640DC"/>
    <w:rsid w:val="00264815"/>
    <w:rsid w:val="00264EAA"/>
    <w:rsid w:val="00265249"/>
    <w:rsid w:val="00265675"/>
    <w:rsid w:val="00266224"/>
    <w:rsid w:val="00266398"/>
    <w:rsid w:val="0026664B"/>
    <w:rsid w:val="0026691B"/>
    <w:rsid w:val="00266D4C"/>
    <w:rsid w:val="002671B4"/>
    <w:rsid w:val="00267775"/>
    <w:rsid w:val="00267D5A"/>
    <w:rsid w:val="002711EC"/>
    <w:rsid w:val="0027261E"/>
    <w:rsid w:val="00272D8A"/>
    <w:rsid w:val="00273BFA"/>
    <w:rsid w:val="0027528C"/>
    <w:rsid w:val="00276674"/>
    <w:rsid w:val="00276C0F"/>
    <w:rsid w:val="00277E9A"/>
    <w:rsid w:val="0028017F"/>
    <w:rsid w:val="002808F6"/>
    <w:rsid w:val="00282831"/>
    <w:rsid w:val="0028283A"/>
    <w:rsid w:val="0028399E"/>
    <w:rsid w:val="00283CD1"/>
    <w:rsid w:val="00284DFB"/>
    <w:rsid w:val="0028779D"/>
    <w:rsid w:val="00287F93"/>
    <w:rsid w:val="00290209"/>
    <w:rsid w:val="00291EB8"/>
    <w:rsid w:val="0029322D"/>
    <w:rsid w:val="00293321"/>
    <w:rsid w:val="00294368"/>
    <w:rsid w:val="002956B7"/>
    <w:rsid w:val="00296B46"/>
    <w:rsid w:val="00297755"/>
    <w:rsid w:val="002A04C7"/>
    <w:rsid w:val="002A091D"/>
    <w:rsid w:val="002A1FC6"/>
    <w:rsid w:val="002A3EEE"/>
    <w:rsid w:val="002A4789"/>
    <w:rsid w:val="002A4B1D"/>
    <w:rsid w:val="002A6BD6"/>
    <w:rsid w:val="002A7D62"/>
    <w:rsid w:val="002A7FC6"/>
    <w:rsid w:val="002B07E7"/>
    <w:rsid w:val="002B0A12"/>
    <w:rsid w:val="002B0A1C"/>
    <w:rsid w:val="002B0A4D"/>
    <w:rsid w:val="002B0B3E"/>
    <w:rsid w:val="002B1919"/>
    <w:rsid w:val="002B1C11"/>
    <w:rsid w:val="002B284B"/>
    <w:rsid w:val="002B3841"/>
    <w:rsid w:val="002B4FA7"/>
    <w:rsid w:val="002B5D38"/>
    <w:rsid w:val="002B6855"/>
    <w:rsid w:val="002B7738"/>
    <w:rsid w:val="002C0342"/>
    <w:rsid w:val="002C0B7A"/>
    <w:rsid w:val="002C1FCE"/>
    <w:rsid w:val="002C38B8"/>
    <w:rsid w:val="002C6513"/>
    <w:rsid w:val="002C74EA"/>
    <w:rsid w:val="002C7FCC"/>
    <w:rsid w:val="002D0BFE"/>
    <w:rsid w:val="002D2B02"/>
    <w:rsid w:val="002D3048"/>
    <w:rsid w:val="002D506D"/>
    <w:rsid w:val="002D5CF7"/>
    <w:rsid w:val="002D5EC9"/>
    <w:rsid w:val="002D7EAE"/>
    <w:rsid w:val="002E0503"/>
    <w:rsid w:val="002E0839"/>
    <w:rsid w:val="002E0A12"/>
    <w:rsid w:val="002E19D0"/>
    <w:rsid w:val="002E2C9A"/>
    <w:rsid w:val="002E3BAB"/>
    <w:rsid w:val="002E413D"/>
    <w:rsid w:val="002E44F5"/>
    <w:rsid w:val="002E48F4"/>
    <w:rsid w:val="002E4B31"/>
    <w:rsid w:val="002E5092"/>
    <w:rsid w:val="002E50A2"/>
    <w:rsid w:val="002E646C"/>
    <w:rsid w:val="002E73CE"/>
    <w:rsid w:val="002E7933"/>
    <w:rsid w:val="002F026E"/>
    <w:rsid w:val="002F0A4E"/>
    <w:rsid w:val="002F21C0"/>
    <w:rsid w:val="002F2F10"/>
    <w:rsid w:val="002F63DB"/>
    <w:rsid w:val="002F64AC"/>
    <w:rsid w:val="002F6591"/>
    <w:rsid w:val="002F673E"/>
    <w:rsid w:val="002F6881"/>
    <w:rsid w:val="00301125"/>
    <w:rsid w:val="00301ECE"/>
    <w:rsid w:val="00301FEE"/>
    <w:rsid w:val="0030202E"/>
    <w:rsid w:val="003020CC"/>
    <w:rsid w:val="00303411"/>
    <w:rsid w:val="00304448"/>
    <w:rsid w:val="00304F93"/>
    <w:rsid w:val="00305B22"/>
    <w:rsid w:val="00306728"/>
    <w:rsid w:val="00310533"/>
    <w:rsid w:val="003109EB"/>
    <w:rsid w:val="00311B2F"/>
    <w:rsid w:val="00311C73"/>
    <w:rsid w:val="0031383E"/>
    <w:rsid w:val="00313D56"/>
    <w:rsid w:val="00314373"/>
    <w:rsid w:val="00315A6B"/>
    <w:rsid w:val="00320095"/>
    <w:rsid w:val="00320907"/>
    <w:rsid w:val="00323432"/>
    <w:rsid w:val="0032436E"/>
    <w:rsid w:val="00325D1D"/>
    <w:rsid w:val="00325EE8"/>
    <w:rsid w:val="0033039B"/>
    <w:rsid w:val="003318A6"/>
    <w:rsid w:val="0033301F"/>
    <w:rsid w:val="003332A9"/>
    <w:rsid w:val="0033455F"/>
    <w:rsid w:val="00334DD5"/>
    <w:rsid w:val="003354D5"/>
    <w:rsid w:val="0033615A"/>
    <w:rsid w:val="003364B1"/>
    <w:rsid w:val="00336883"/>
    <w:rsid w:val="00336889"/>
    <w:rsid w:val="00341996"/>
    <w:rsid w:val="00343E73"/>
    <w:rsid w:val="00344366"/>
    <w:rsid w:val="00346522"/>
    <w:rsid w:val="003505D5"/>
    <w:rsid w:val="003512A8"/>
    <w:rsid w:val="003522E8"/>
    <w:rsid w:val="00354F01"/>
    <w:rsid w:val="0035502C"/>
    <w:rsid w:val="003555F8"/>
    <w:rsid w:val="0035674A"/>
    <w:rsid w:val="00357D72"/>
    <w:rsid w:val="003603AB"/>
    <w:rsid w:val="003609B9"/>
    <w:rsid w:val="00360F1C"/>
    <w:rsid w:val="00360F6D"/>
    <w:rsid w:val="00361CA1"/>
    <w:rsid w:val="00362BB3"/>
    <w:rsid w:val="00365DA2"/>
    <w:rsid w:val="00365E7E"/>
    <w:rsid w:val="00366627"/>
    <w:rsid w:val="00366EF8"/>
    <w:rsid w:val="00367049"/>
    <w:rsid w:val="00367D5D"/>
    <w:rsid w:val="00370257"/>
    <w:rsid w:val="003705B5"/>
    <w:rsid w:val="003707D8"/>
    <w:rsid w:val="00370946"/>
    <w:rsid w:val="00370989"/>
    <w:rsid w:val="0037134E"/>
    <w:rsid w:val="003719CE"/>
    <w:rsid w:val="003723CE"/>
    <w:rsid w:val="00373F48"/>
    <w:rsid w:val="00374864"/>
    <w:rsid w:val="003756C7"/>
    <w:rsid w:val="003766C8"/>
    <w:rsid w:val="00380EF7"/>
    <w:rsid w:val="00381D9A"/>
    <w:rsid w:val="00381EE0"/>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B8C"/>
    <w:rsid w:val="00396E64"/>
    <w:rsid w:val="00397378"/>
    <w:rsid w:val="00397677"/>
    <w:rsid w:val="003A1072"/>
    <w:rsid w:val="003A2728"/>
    <w:rsid w:val="003A3106"/>
    <w:rsid w:val="003A346B"/>
    <w:rsid w:val="003A3BCA"/>
    <w:rsid w:val="003A49DD"/>
    <w:rsid w:val="003A4F41"/>
    <w:rsid w:val="003A67D8"/>
    <w:rsid w:val="003A6C54"/>
    <w:rsid w:val="003B02AE"/>
    <w:rsid w:val="003B02EE"/>
    <w:rsid w:val="003B076A"/>
    <w:rsid w:val="003B0ED0"/>
    <w:rsid w:val="003B181B"/>
    <w:rsid w:val="003B1B8A"/>
    <w:rsid w:val="003B2F23"/>
    <w:rsid w:val="003B3436"/>
    <w:rsid w:val="003B3CFA"/>
    <w:rsid w:val="003B469B"/>
    <w:rsid w:val="003B4A97"/>
    <w:rsid w:val="003B5D79"/>
    <w:rsid w:val="003C1174"/>
    <w:rsid w:val="003C1F67"/>
    <w:rsid w:val="003C4D4E"/>
    <w:rsid w:val="003C5EAE"/>
    <w:rsid w:val="003C6AC7"/>
    <w:rsid w:val="003D0563"/>
    <w:rsid w:val="003D1A4F"/>
    <w:rsid w:val="003D1E13"/>
    <w:rsid w:val="003D2515"/>
    <w:rsid w:val="003D2DDC"/>
    <w:rsid w:val="003D33AB"/>
    <w:rsid w:val="003D4044"/>
    <w:rsid w:val="003D4C6B"/>
    <w:rsid w:val="003D64AA"/>
    <w:rsid w:val="003D6C47"/>
    <w:rsid w:val="003D7D50"/>
    <w:rsid w:val="003E0955"/>
    <w:rsid w:val="003E20DE"/>
    <w:rsid w:val="003E2ED8"/>
    <w:rsid w:val="003E301C"/>
    <w:rsid w:val="003E3CDB"/>
    <w:rsid w:val="003E3DD9"/>
    <w:rsid w:val="003E405B"/>
    <w:rsid w:val="003E45C4"/>
    <w:rsid w:val="003E4F17"/>
    <w:rsid w:val="003E59EA"/>
    <w:rsid w:val="003E5D5C"/>
    <w:rsid w:val="003E686E"/>
    <w:rsid w:val="003E68FF"/>
    <w:rsid w:val="003E6B48"/>
    <w:rsid w:val="003F0185"/>
    <w:rsid w:val="003F0BCD"/>
    <w:rsid w:val="003F3AD3"/>
    <w:rsid w:val="003F448F"/>
    <w:rsid w:val="003F4864"/>
    <w:rsid w:val="003F494C"/>
    <w:rsid w:val="003F4D50"/>
    <w:rsid w:val="003F4FB0"/>
    <w:rsid w:val="003F5305"/>
    <w:rsid w:val="003F6A76"/>
    <w:rsid w:val="003F7EEB"/>
    <w:rsid w:val="00401A62"/>
    <w:rsid w:val="00401DFB"/>
    <w:rsid w:val="00402ED9"/>
    <w:rsid w:val="004031A9"/>
    <w:rsid w:val="00403648"/>
    <w:rsid w:val="004039CA"/>
    <w:rsid w:val="00403BB4"/>
    <w:rsid w:val="004049F4"/>
    <w:rsid w:val="004049FC"/>
    <w:rsid w:val="0040507D"/>
    <w:rsid w:val="004058FA"/>
    <w:rsid w:val="00406AAC"/>
    <w:rsid w:val="00407C3E"/>
    <w:rsid w:val="00410421"/>
    <w:rsid w:val="00410587"/>
    <w:rsid w:val="004109CA"/>
    <w:rsid w:val="004109E1"/>
    <w:rsid w:val="00415D1C"/>
    <w:rsid w:val="00417E73"/>
    <w:rsid w:val="00420935"/>
    <w:rsid w:val="004214B6"/>
    <w:rsid w:val="004219AE"/>
    <w:rsid w:val="00422F59"/>
    <w:rsid w:val="00423A85"/>
    <w:rsid w:val="004256CC"/>
    <w:rsid w:val="004259D3"/>
    <w:rsid w:val="0042604B"/>
    <w:rsid w:val="004263D5"/>
    <w:rsid w:val="00426B26"/>
    <w:rsid w:val="00426C28"/>
    <w:rsid w:val="00431C64"/>
    <w:rsid w:val="0043219D"/>
    <w:rsid w:val="00433CE8"/>
    <w:rsid w:val="004368A9"/>
    <w:rsid w:val="00436BFC"/>
    <w:rsid w:val="00437FF2"/>
    <w:rsid w:val="004408F6"/>
    <w:rsid w:val="004409FD"/>
    <w:rsid w:val="004412D9"/>
    <w:rsid w:val="00441371"/>
    <w:rsid w:val="00441933"/>
    <w:rsid w:val="00442670"/>
    <w:rsid w:val="00442ED0"/>
    <w:rsid w:val="0044341D"/>
    <w:rsid w:val="00443603"/>
    <w:rsid w:val="00443641"/>
    <w:rsid w:val="00443A58"/>
    <w:rsid w:val="0044461D"/>
    <w:rsid w:val="004446F3"/>
    <w:rsid w:val="00444E9D"/>
    <w:rsid w:val="004463A1"/>
    <w:rsid w:val="00447505"/>
    <w:rsid w:val="00450209"/>
    <w:rsid w:val="00451269"/>
    <w:rsid w:val="00452E9A"/>
    <w:rsid w:val="00455C5E"/>
    <w:rsid w:val="00457D8E"/>
    <w:rsid w:val="00460A12"/>
    <w:rsid w:val="00461BB4"/>
    <w:rsid w:val="004625D1"/>
    <w:rsid w:val="00463D89"/>
    <w:rsid w:val="004646A2"/>
    <w:rsid w:val="00465F75"/>
    <w:rsid w:val="004662BB"/>
    <w:rsid w:val="0046685C"/>
    <w:rsid w:val="00466BBD"/>
    <w:rsid w:val="004710A7"/>
    <w:rsid w:val="004713B0"/>
    <w:rsid w:val="00473C3C"/>
    <w:rsid w:val="00474782"/>
    <w:rsid w:val="004748FA"/>
    <w:rsid w:val="00474E0C"/>
    <w:rsid w:val="004751EB"/>
    <w:rsid w:val="00475DC9"/>
    <w:rsid w:val="004768DC"/>
    <w:rsid w:val="00477147"/>
    <w:rsid w:val="00481B32"/>
    <w:rsid w:val="00481E0F"/>
    <w:rsid w:val="00482477"/>
    <w:rsid w:val="00482856"/>
    <w:rsid w:val="0048299E"/>
    <w:rsid w:val="00482EF7"/>
    <w:rsid w:val="0048367F"/>
    <w:rsid w:val="00484205"/>
    <w:rsid w:val="00484C03"/>
    <w:rsid w:val="00484DFB"/>
    <w:rsid w:val="00486797"/>
    <w:rsid w:val="004867B8"/>
    <w:rsid w:val="00490D7E"/>
    <w:rsid w:val="00491214"/>
    <w:rsid w:val="0049132A"/>
    <w:rsid w:val="00492BE0"/>
    <w:rsid w:val="00492F23"/>
    <w:rsid w:val="00493FA0"/>
    <w:rsid w:val="00496C7A"/>
    <w:rsid w:val="00496CD5"/>
    <w:rsid w:val="00497733"/>
    <w:rsid w:val="00497EE5"/>
    <w:rsid w:val="00497F46"/>
    <w:rsid w:val="004A1591"/>
    <w:rsid w:val="004A3DD6"/>
    <w:rsid w:val="004A46CD"/>
    <w:rsid w:val="004A5E7A"/>
    <w:rsid w:val="004A77F6"/>
    <w:rsid w:val="004A797D"/>
    <w:rsid w:val="004A7C3D"/>
    <w:rsid w:val="004B04AD"/>
    <w:rsid w:val="004B2354"/>
    <w:rsid w:val="004B27C7"/>
    <w:rsid w:val="004B3734"/>
    <w:rsid w:val="004B596A"/>
    <w:rsid w:val="004B63A9"/>
    <w:rsid w:val="004B6823"/>
    <w:rsid w:val="004B6B0A"/>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D6BAC"/>
    <w:rsid w:val="004E148C"/>
    <w:rsid w:val="004E163D"/>
    <w:rsid w:val="004E1FC6"/>
    <w:rsid w:val="004E264F"/>
    <w:rsid w:val="004E4C1B"/>
    <w:rsid w:val="004E5976"/>
    <w:rsid w:val="004E5B2E"/>
    <w:rsid w:val="004E688C"/>
    <w:rsid w:val="004E6A2E"/>
    <w:rsid w:val="004E702A"/>
    <w:rsid w:val="004E7104"/>
    <w:rsid w:val="004E7AA6"/>
    <w:rsid w:val="004F0333"/>
    <w:rsid w:val="004F19D5"/>
    <w:rsid w:val="004F24B8"/>
    <w:rsid w:val="004F2E03"/>
    <w:rsid w:val="004F329B"/>
    <w:rsid w:val="004F442E"/>
    <w:rsid w:val="004F4E2F"/>
    <w:rsid w:val="004F5403"/>
    <w:rsid w:val="004F779A"/>
    <w:rsid w:val="0050015F"/>
    <w:rsid w:val="00501C80"/>
    <w:rsid w:val="00501E45"/>
    <w:rsid w:val="00503A65"/>
    <w:rsid w:val="00504672"/>
    <w:rsid w:val="005071E6"/>
    <w:rsid w:val="005079FD"/>
    <w:rsid w:val="005104DE"/>
    <w:rsid w:val="00510A11"/>
    <w:rsid w:val="0051139B"/>
    <w:rsid w:val="005117F0"/>
    <w:rsid w:val="00513ACA"/>
    <w:rsid w:val="00513E03"/>
    <w:rsid w:val="00514A40"/>
    <w:rsid w:val="00516252"/>
    <w:rsid w:val="00516295"/>
    <w:rsid w:val="00516C79"/>
    <w:rsid w:val="005172DB"/>
    <w:rsid w:val="00517A38"/>
    <w:rsid w:val="00517BAA"/>
    <w:rsid w:val="0052052F"/>
    <w:rsid w:val="00520FC2"/>
    <w:rsid w:val="00521A3D"/>
    <w:rsid w:val="00521AE2"/>
    <w:rsid w:val="00521EA8"/>
    <w:rsid w:val="0052227A"/>
    <w:rsid w:val="00523405"/>
    <w:rsid w:val="005241BE"/>
    <w:rsid w:val="00524F11"/>
    <w:rsid w:val="00525E77"/>
    <w:rsid w:val="005262CD"/>
    <w:rsid w:val="00526B65"/>
    <w:rsid w:val="005277C3"/>
    <w:rsid w:val="00532FE3"/>
    <w:rsid w:val="0053592C"/>
    <w:rsid w:val="00535F76"/>
    <w:rsid w:val="00536866"/>
    <w:rsid w:val="00536908"/>
    <w:rsid w:val="00536AB8"/>
    <w:rsid w:val="00537D30"/>
    <w:rsid w:val="00540E06"/>
    <w:rsid w:val="00541B11"/>
    <w:rsid w:val="00543B80"/>
    <w:rsid w:val="00544C39"/>
    <w:rsid w:val="00545999"/>
    <w:rsid w:val="00545CCF"/>
    <w:rsid w:val="00547C1A"/>
    <w:rsid w:val="0055017E"/>
    <w:rsid w:val="005519B7"/>
    <w:rsid w:val="0055204B"/>
    <w:rsid w:val="00552424"/>
    <w:rsid w:val="00552AFE"/>
    <w:rsid w:val="00552D4C"/>
    <w:rsid w:val="00552FE4"/>
    <w:rsid w:val="005537D7"/>
    <w:rsid w:val="00553D3C"/>
    <w:rsid w:val="00556303"/>
    <w:rsid w:val="00557024"/>
    <w:rsid w:val="00557B1F"/>
    <w:rsid w:val="0056030E"/>
    <w:rsid w:val="00560CC1"/>
    <w:rsid w:val="00561237"/>
    <w:rsid w:val="00561557"/>
    <w:rsid w:val="00562DE7"/>
    <w:rsid w:val="00563C8B"/>
    <w:rsid w:val="00565389"/>
    <w:rsid w:val="0056599B"/>
    <w:rsid w:val="00565AC8"/>
    <w:rsid w:val="00567869"/>
    <w:rsid w:val="005706F5"/>
    <w:rsid w:val="00570A0A"/>
    <w:rsid w:val="00571A19"/>
    <w:rsid w:val="00572182"/>
    <w:rsid w:val="00573A5A"/>
    <w:rsid w:val="00573CC4"/>
    <w:rsid w:val="00575150"/>
    <w:rsid w:val="00575654"/>
    <w:rsid w:val="0057619E"/>
    <w:rsid w:val="00576B04"/>
    <w:rsid w:val="00577D97"/>
    <w:rsid w:val="00580273"/>
    <w:rsid w:val="00580908"/>
    <w:rsid w:val="005817CA"/>
    <w:rsid w:val="005824D7"/>
    <w:rsid w:val="005830D2"/>
    <w:rsid w:val="00584D11"/>
    <w:rsid w:val="00585A9B"/>
    <w:rsid w:val="00586128"/>
    <w:rsid w:val="00586267"/>
    <w:rsid w:val="00586F34"/>
    <w:rsid w:val="005904C7"/>
    <w:rsid w:val="00590562"/>
    <w:rsid w:val="00591321"/>
    <w:rsid w:val="00591FF1"/>
    <w:rsid w:val="00592AE2"/>
    <w:rsid w:val="00594558"/>
    <w:rsid w:val="00595644"/>
    <w:rsid w:val="00595CA0"/>
    <w:rsid w:val="00596392"/>
    <w:rsid w:val="005966B5"/>
    <w:rsid w:val="00596FCB"/>
    <w:rsid w:val="005A0ECD"/>
    <w:rsid w:val="005A2A30"/>
    <w:rsid w:val="005A40AE"/>
    <w:rsid w:val="005A4E17"/>
    <w:rsid w:val="005A55C5"/>
    <w:rsid w:val="005A5B49"/>
    <w:rsid w:val="005A5CEE"/>
    <w:rsid w:val="005A6582"/>
    <w:rsid w:val="005A688C"/>
    <w:rsid w:val="005A68AB"/>
    <w:rsid w:val="005A7AD1"/>
    <w:rsid w:val="005B0531"/>
    <w:rsid w:val="005B0603"/>
    <w:rsid w:val="005B07BD"/>
    <w:rsid w:val="005B15C7"/>
    <w:rsid w:val="005B160F"/>
    <w:rsid w:val="005B1EFA"/>
    <w:rsid w:val="005B3E56"/>
    <w:rsid w:val="005B483C"/>
    <w:rsid w:val="005B5FFA"/>
    <w:rsid w:val="005B611F"/>
    <w:rsid w:val="005B6A95"/>
    <w:rsid w:val="005B6C44"/>
    <w:rsid w:val="005B731E"/>
    <w:rsid w:val="005C2D73"/>
    <w:rsid w:val="005C315D"/>
    <w:rsid w:val="005C412D"/>
    <w:rsid w:val="005C5CAC"/>
    <w:rsid w:val="005C6724"/>
    <w:rsid w:val="005C67B9"/>
    <w:rsid w:val="005D0755"/>
    <w:rsid w:val="005D1052"/>
    <w:rsid w:val="005D1638"/>
    <w:rsid w:val="005D178B"/>
    <w:rsid w:val="005D2265"/>
    <w:rsid w:val="005D3783"/>
    <w:rsid w:val="005D3814"/>
    <w:rsid w:val="005D4C25"/>
    <w:rsid w:val="005D4EA3"/>
    <w:rsid w:val="005D617C"/>
    <w:rsid w:val="005D6C20"/>
    <w:rsid w:val="005D75C7"/>
    <w:rsid w:val="005D787D"/>
    <w:rsid w:val="005D7DF4"/>
    <w:rsid w:val="005D7FF8"/>
    <w:rsid w:val="005E0F02"/>
    <w:rsid w:val="005E0F3C"/>
    <w:rsid w:val="005E12C6"/>
    <w:rsid w:val="005E1702"/>
    <w:rsid w:val="005E1BEF"/>
    <w:rsid w:val="005E39FD"/>
    <w:rsid w:val="005E50C3"/>
    <w:rsid w:val="005E53BC"/>
    <w:rsid w:val="005E59B0"/>
    <w:rsid w:val="005E5A3C"/>
    <w:rsid w:val="005E5A77"/>
    <w:rsid w:val="005E5F46"/>
    <w:rsid w:val="005E6D9B"/>
    <w:rsid w:val="005F14FE"/>
    <w:rsid w:val="005F2419"/>
    <w:rsid w:val="005F3024"/>
    <w:rsid w:val="005F33AC"/>
    <w:rsid w:val="005F4015"/>
    <w:rsid w:val="005F4829"/>
    <w:rsid w:val="005F4BDB"/>
    <w:rsid w:val="005F5DEE"/>
    <w:rsid w:val="005F6BF5"/>
    <w:rsid w:val="005F6EFF"/>
    <w:rsid w:val="005F7CBC"/>
    <w:rsid w:val="005F7EEB"/>
    <w:rsid w:val="0060132B"/>
    <w:rsid w:val="0060146C"/>
    <w:rsid w:val="0060254E"/>
    <w:rsid w:val="0060258B"/>
    <w:rsid w:val="0060591A"/>
    <w:rsid w:val="0060601B"/>
    <w:rsid w:val="00607914"/>
    <w:rsid w:val="00610014"/>
    <w:rsid w:val="006104FE"/>
    <w:rsid w:val="00611759"/>
    <w:rsid w:val="00612AD8"/>
    <w:rsid w:val="00612C28"/>
    <w:rsid w:val="00612D59"/>
    <w:rsid w:val="006138BF"/>
    <w:rsid w:val="00615A7C"/>
    <w:rsid w:val="006162CD"/>
    <w:rsid w:val="0062038E"/>
    <w:rsid w:val="0062039F"/>
    <w:rsid w:val="00621C00"/>
    <w:rsid w:val="00622308"/>
    <w:rsid w:val="00622325"/>
    <w:rsid w:val="0062379C"/>
    <w:rsid w:val="00623AD1"/>
    <w:rsid w:val="00623CE0"/>
    <w:rsid w:val="00623F69"/>
    <w:rsid w:val="00625053"/>
    <w:rsid w:val="006251E9"/>
    <w:rsid w:val="006261B0"/>
    <w:rsid w:val="00626CAF"/>
    <w:rsid w:val="0062760E"/>
    <w:rsid w:val="0063021E"/>
    <w:rsid w:val="00630519"/>
    <w:rsid w:val="00630F97"/>
    <w:rsid w:val="00631434"/>
    <w:rsid w:val="00631749"/>
    <w:rsid w:val="00631D0D"/>
    <w:rsid w:val="006320D4"/>
    <w:rsid w:val="00632DE1"/>
    <w:rsid w:val="006333FD"/>
    <w:rsid w:val="006341D2"/>
    <w:rsid w:val="0063431F"/>
    <w:rsid w:val="006345C1"/>
    <w:rsid w:val="00637185"/>
    <w:rsid w:val="006371CB"/>
    <w:rsid w:val="00640BA9"/>
    <w:rsid w:val="00640D49"/>
    <w:rsid w:val="00641DDF"/>
    <w:rsid w:val="00642752"/>
    <w:rsid w:val="0064473D"/>
    <w:rsid w:val="00644B42"/>
    <w:rsid w:val="0064528E"/>
    <w:rsid w:val="00645EB8"/>
    <w:rsid w:val="00646F31"/>
    <w:rsid w:val="006475A9"/>
    <w:rsid w:val="0064766B"/>
    <w:rsid w:val="006476D3"/>
    <w:rsid w:val="00650E8A"/>
    <w:rsid w:val="00651DFE"/>
    <w:rsid w:val="00651EA2"/>
    <w:rsid w:val="00653BA7"/>
    <w:rsid w:val="0065457A"/>
    <w:rsid w:val="00654770"/>
    <w:rsid w:val="006547CD"/>
    <w:rsid w:val="00656530"/>
    <w:rsid w:val="00657AB2"/>
    <w:rsid w:val="00661AB9"/>
    <w:rsid w:val="006631D5"/>
    <w:rsid w:val="00663C3A"/>
    <w:rsid w:val="00663CB1"/>
    <w:rsid w:val="00664264"/>
    <w:rsid w:val="00665063"/>
    <w:rsid w:val="006666EC"/>
    <w:rsid w:val="006705F7"/>
    <w:rsid w:val="0067118E"/>
    <w:rsid w:val="00671A53"/>
    <w:rsid w:val="00672009"/>
    <w:rsid w:val="0067231D"/>
    <w:rsid w:val="006737A1"/>
    <w:rsid w:val="00675759"/>
    <w:rsid w:val="00675F55"/>
    <w:rsid w:val="0068174D"/>
    <w:rsid w:val="00684EA7"/>
    <w:rsid w:val="0068675F"/>
    <w:rsid w:val="00686D9E"/>
    <w:rsid w:val="006901E8"/>
    <w:rsid w:val="00690836"/>
    <w:rsid w:val="00691DDE"/>
    <w:rsid w:val="0069256F"/>
    <w:rsid w:val="00692A52"/>
    <w:rsid w:val="00693880"/>
    <w:rsid w:val="00693E99"/>
    <w:rsid w:val="00695DC1"/>
    <w:rsid w:val="0069708B"/>
    <w:rsid w:val="0069724D"/>
    <w:rsid w:val="00697462"/>
    <w:rsid w:val="006A0847"/>
    <w:rsid w:val="006A0B81"/>
    <w:rsid w:val="006A1417"/>
    <w:rsid w:val="006A1A5B"/>
    <w:rsid w:val="006A2F6E"/>
    <w:rsid w:val="006A3543"/>
    <w:rsid w:val="006A5465"/>
    <w:rsid w:val="006B0D83"/>
    <w:rsid w:val="006B1FDF"/>
    <w:rsid w:val="006B238A"/>
    <w:rsid w:val="006B2CDA"/>
    <w:rsid w:val="006B2DAC"/>
    <w:rsid w:val="006B3F22"/>
    <w:rsid w:val="006B4A0C"/>
    <w:rsid w:val="006B50B9"/>
    <w:rsid w:val="006B7391"/>
    <w:rsid w:val="006B76BB"/>
    <w:rsid w:val="006B7CB1"/>
    <w:rsid w:val="006B7DF4"/>
    <w:rsid w:val="006C08A5"/>
    <w:rsid w:val="006C0A94"/>
    <w:rsid w:val="006C0D60"/>
    <w:rsid w:val="006C19FD"/>
    <w:rsid w:val="006C1E19"/>
    <w:rsid w:val="006C46AF"/>
    <w:rsid w:val="006C4AE4"/>
    <w:rsid w:val="006C6C29"/>
    <w:rsid w:val="006C6C97"/>
    <w:rsid w:val="006C74ED"/>
    <w:rsid w:val="006D11BA"/>
    <w:rsid w:val="006D1602"/>
    <w:rsid w:val="006D190F"/>
    <w:rsid w:val="006D2092"/>
    <w:rsid w:val="006D29AB"/>
    <w:rsid w:val="006D33AE"/>
    <w:rsid w:val="006D39B4"/>
    <w:rsid w:val="006D72E3"/>
    <w:rsid w:val="006E03D8"/>
    <w:rsid w:val="006E0DB6"/>
    <w:rsid w:val="006E12AB"/>
    <w:rsid w:val="006E269A"/>
    <w:rsid w:val="006E315C"/>
    <w:rsid w:val="006E4B05"/>
    <w:rsid w:val="006E5380"/>
    <w:rsid w:val="006E63B1"/>
    <w:rsid w:val="006E6F4D"/>
    <w:rsid w:val="006E6F9A"/>
    <w:rsid w:val="006E734B"/>
    <w:rsid w:val="006F0577"/>
    <w:rsid w:val="006F23B4"/>
    <w:rsid w:val="006F2701"/>
    <w:rsid w:val="006F31B4"/>
    <w:rsid w:val="006F3380"/>
    <w:rsid w:val="006F49D0"/>
    <w:rsid w:val="006F4B1C"/>
    <w:rsid w:val="006F6612"/>
    <w:rsid w:val="006F6913"/>
    <w:rsid w:val="006F6C28"/>
    <w:rsid w:val="006F6D2B"/>
    <w:rsid w:val="0070040B"/>
    <w:rsid w:val="00700716"/>
    <w:rsid w:val="00702B60"/>
    <w:rsid w:val="00703AD0"/>
    <w:rsid w:val="00703F4D"/>
    <w:rsid w:val="007055D4"/>
    <w:rsid w:val="0070698A"/>
    <w:rsid w:val="007077E4"/>
    <w:rsid w:val="00707E23"/>
    <w:rsid w:val="00710524"/>
    <w:rsid w:val="0071141D"/>
    <w:rsid w:val="00711753"/>
    <w:rsid w:val="00711B72"/>
    <w:rsid w:val="00713C60"/>
    <w:rsid w:val="00713D44"/>
    <w:rsid w:val="0071574A"/>
    <w:rsid w:val="00715A1B"/>
    <w:rsid w:val="00716423"/>
    <w:rsid w:val="0071690A"/>
    <w:rsid w:val="00716B02"/>
    <w:rsid w:val="00720113"/>
    <w:rsid w:val="00720C59"/>
    <w:rsid w:val="007214FA"/>
    <w:rsid w:val="00721788"/>
    <w:rsid w:val="007219A8"/>
    <w:rsid w:val="00721D75"/>
    <w:rsid w:val="007225EB"/>
    <w:rsid w:val="00723B53"/>
    <w:rsid w:val="00723D0A"/>
    <w:rsid w:val="00725E8F"/>
    <w:rsid w:val="00727060"/>
    <w:rsid w:val="00727132"/>
    <w:rsid w:val="00727CB4"/>
    <w:rsid w:val="00727DA1"/>
    <w:rsid w:val="0073030C"/>
    <w:rsid w:val="007304AF"/>
    <w:rsid w:val="00731617"/>
    <w:rsid w:val="00731D75"/>
    <w:rsid w:val="007324B7"/>
    <w:rsid w:val="0073263E"/>
    <w:rsid w:val="0073416B"/>
    <w:rsid w:val="00734248"/>
    <w:rsid w:val="0073436A"/>
    <w:rsid w:val="00734EC4"/>
    <w:rsid w:val="00736431"/>
    <w:rsid w:val="00736AA3"/>
    <w:rsid w:val="00736DE2"/>
    <w:rsid w:val="007374F2"/>
    <w:rsid w:val="00737DD5"/>
    <w:rsid w:val="00740031"/>
    <w:rsid w:val="0074180C"/>
    <w:rsid w:val="007426D7"/>
    <w:rsid w:val="00742904"/>
    <w:rsid w:val="00743199"/>
    <w:rsid w:val="00743E1E"/>
    <w:rsid w:val="00744929"/>
    <w:rsid w:val="00745106"/>
    <w:rsid w:val="00745AB9"/>
    <w:rsid w:val="00750819"/>
    <w:rsid w:val="00750BDD"/>
    <w:rsid w:val="00751271"/>
    <w:rsid w:val="007512CB"/>
    <w:rsid w:val="0075133C"/>
    <w:rsid w:val="00751EEB"/>
    <w:rsid w:val="00752905"/>
    <w:rsid w:val="007536C4"/>
    <w:rsid w:val="007546EA"/>
    <w:rsid w:val="00755BF9"/>
    <w:rsid w:val="00755DA7"/>
    <w:rsid w:val="00756DD0"/>
    <w:rsid w:val="00757704"/>
    <w:rsid w:val="00762252"/>
    <w:rsid w:val="0076337D"/>
    <w:rsid w:val="00765CD6"/>
    <w:rsid w:val="00766E20"/>
    <w:rsid w:val="00767CBE"/>
    <w:rsid w:val="0077121F"/>
    <w:rsid w:val="00771C77"/>
    <w:rsid w:val="00773955"/>
    <w:rsid w:val="00773ED4"/>
    <w:rsid w:val="0077452F"/>
    <w:rsid w:val="00775025"/>
    <w:rsid w:val="00776001"/>
    <w:rsid w:val="007763AB"/>
    <w:rsid w:val="00776E0E"/>
    <w:rsid w:val="00777F54"/>
    <w:rsid w:val="00781943"/>
    <w:rsid w:val="00782B2D"/>
    <w:rsid w:val="00782F3B"/>
    <w:rsid w:val="00783169"/>
    <w:rsid w:val="007831C8"/>
    <w:rsid w:val="0078324A"/>
    <w:rsid w:val="00783F02"/>
    <w:rsid w:val="00784028"/>
    <w:rsid w:val="00784E68"/>
    <w:rsid w:val="0078517F"/>
    <w:rsid w:val="00785995"/>
    <w:rsid w:val="00786763"/>
    <w:rsid w:val="0078762D"/>
    <w:rsid w:val="0079092B"/>
    <w:rsid w:val="00791E63"/>
    <w:rsid w:val="007928A3"/>
    <w:rsid w:val="00793B55"/>
    <w:rsid w:val="00793C89"/>
    <w:rsid w:val="007944E1"/>
    <w:rsid w:val="007949F6"/>
    <w:rsid w:val="00795D05"/>
    <w:rsid w:val="0079661B"/>
    <w:rsid w:val="007A0C03"/>
    <w:rsid w:val="007A0DC2"/>
    <w:rsid w:val="007A1452"/>
    <w:rsid w:val="007A1857"/>
    <w:rsid w:val="007A43BA"/>
    <w:rsid w:val="007A69D4"/>
    <w:rsid w:val="007A6F3A"/>
    <w:rsid w:val="007B3736"/>
    <w:rsid w:val="007B39FB"/>
    <w:rsid w:val="007B3A98"/>
    <w:rsid w:val="007B5A1D"/>
    <w:rsid w:val="007C0DAC"/>
    <w:rsid w:val="007C1276"/>
    <w:rsid w:val="007C3F3D"/>
    <w:rsid w:val="007C4044"/>
    <w:rsid w:val="007C425C"/>
    <w:rsid w:val="007C45B4"/>
    <w:rsid w:val="007C497D"/>
    <w:rsid w:val="007C5C28"/>
    <w:rsid w:val="007C7DE7"/>
    <w:rsid w:val="007D0211"/>
    <w:rsid w:val="007D0FE2"/>
    <w:rsid w:val="007D1E63"/>
    <w:rsid w:val="007D32CF"/>
    <w:rsid w:val="007D33A0"/>
    <w:rsid w:val="007D4090"/>
    <w:rsid w:val="007D58DE"/>
    <w:rsid w:val="007D6AF8"/>
    <w:rsid w:val="007D779C"/>
    <w:rsid w:val="007E063A"/>
    <w:rsid w:val="007E06A1"/>
    <w:rsid w:val="007E091A"/>
    <w:rsid w:val="007E357A"/>
    <w:rsid w:val="007E5F8F"/>
    <w:rsid w:val="007E6A26"/>
    <w:rsid w:val="007E7FD6"/>
    <w:rsid w:val="007F145E"/>
    <w:rsid w:val="007F1D94"/>
    <w:rsid w:val="007F2123"/>
    <w:rsid w:val="007F2140"/>
    <w:rsid w:val="007F25E4"/>
    <w:rsid w:val="007F3865"/>
    <w:rsid w:val="007F7C59"/>
    <w:rsid w:val="0080052F"/>
    <w:rsid w:val="00800EB6"/>
    <w:rsid w:val="00801789"/>
    <w:rsid w:val="00802BBD"/>
    <w:rsid w:val="00804872"/>
    <w:rsid w:val="00804D06"/>
    <w:rsid w:val="00804D51"/>
    <w:rsid w:val="008073BD"/>
    <w:rsid w:val="00807842"/>
    <w:rsid w:val="00810C2E"/>
    <w:rsid w:val="00811306"/>
    <w:rsid w:val="00811CCA"/>
    <w:rsid w:val="00814106"/>
    <w:rsid w:val="00814A71"/>
    <w:rsid w:val="008167D4"/>
    <w:rsid w:val="00816EE5"/>
    <w:rsid w:val="00817035"/>
    <w:rsid w:val="008206C3"/>
    <w:rsid w:val="0082178E"/>
    <w:rsid w:val="008221CD"/>
    <w:rsid w:val="0082261C"/>
    <w:rsid w:val="0082296E"/>
    <w:rsid w:val="00823718"/>
    <w:rsid w:val="00823799"/>
    <w:rsid w:val="008238AC"/>
    <w:rsid w:val="00823A6A"/>
    <w:rsid w:val="00823D18"/>
    <w:rsid w:val="008248D2"/>
    <w:rsid w:val="00825E99"/>
    <w:rsid w:val="00826495"/>
    <w:rsid w:val="00826904"/>
    <w:rsid w:val="008270A4"/>
    <w:rsid w:val="008272A4"/>
    <w:rsid w:val="00827E2D"/>
    <w:rsid w:val="0083200E"/>
    <w:rsid w:val="008321CE"/>
    <w:rsid w:val="008327AF"/>
    <w:rsid w:val="00833524"/>
    <w:rsid w:val="008342E7"/>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45FB"/>
    <w:rsid w:val="00855F59"/>
    <w:rsid w:val="00857AD7"/>
    <w:rsid w:val="00857C2A"/>
    <w:rsid w:val="00860406"/>
    <w:rsid w:val="00860446"/>
    <w:rsid w:val="008606EB"/>
    <w:rsid w:val="00861D95"/>
    <w:rsid w:val="00861E89"/>
    <w:rsid w:val="00862033"/>
    <w:rsid w:val="0086206C"/>
    <w:rsid w:val="00862833"/>
    <w:rsid w:val="00863038"/>
    <w:rsid w:val="0086371B"/>
    <w:rsid w:val="00870503"/>
    <w:rsid w:val="00870575"/>
    <w:rsid w:val="00870C67"/>
    <w:rsid w:val="00871E75"/>
    <w:rsid w:val="00872A00"/>
    <w:rsid w:val="00874868"/>
    <w:rsid w:val="00874D3D"/>
    <w:rsid w:val="00876538"/>
    <w:rsid w:val="00876684"/>
    <w:rsid w:val="00880891"/>
    <w:rsid w:val="00880F41"/>
    <w:rsid w:val="00881068"/>
    <w:rsid w:val="00882D24"/>
    <w:rsid w:val="008835D4"/>
    <w:rsid w:val="008838FF"/>
    <w:rsid w:val="00884766"/>
    <w:rsid w:val="00885649"/>
    <w:rsid w:val="00885D18"/>
    <w:rsid w:val="0088695B"/>
    <w:rsid w:val="008879E5"/>
    <w:rsid w:val="0089181D"/>
    <w:rsid w:val="008919C7"/>
    <w:rsid w:val="00892311"/>
    <w:rsid w:val="008937A4"/>
    <w:rsid w:val="00893C57"/>
    <w:rsid w:val="0089498C"/>
    <w:rsid w:val="00895138"/>
    <w:rsid w:val="0089564D"/>
    <w:rsid w:val="00895804"/>
    <w:rsid w:val="008961A6"/>
    <w:rsid w:val="00896252"/>
    <w:rsid w:val="00896EB8"/>
    <w:rsid w:val="008A0498"/>
    <w:rsid w:val="008A0D3C"/>
    <w:rsid w:val="008A16FB"/>
    <w:rsid w:val="008A1870"/>
    <w:rsid w:val="008A188B"/>
    <w:rsid w:val="008A3B69"/>
    <w:rsid w:val="008A49C3"/>
    <w:rsid w:val="008A4E9B"/>
    <w:rsid w:val="008A66BE"/>
    <w:rsid w:val="008A7837"/>
    <w:rsid w:val="008B123F"/>
    <w:rsid w:val="008B177A"/>
    <w:rsid w:val="008B1DA0"/>
    <w:rsid w:val="008B21A5"/>
    <w:rsid w:val="008B2842"/>
    <w:rsid w:val="008B3C77"/>
    <w:rsid w:val="008B496C"/>
    <w:rsid w:val="008B5013"/>
    <w:rsid w:val="008B646C"/>
    <w:rsid w:val="008B6593"/>
    <w:rsid w:val="008B7302"/>
    <w:rsid w:val="008B7CA9"/>
    <w:rsid w:val="008C0048"/>
    <w:rsid w:val="008C0693"/>
    <w:rsid w:val="008C2463"/>
    <w:rsid w:val="008C25EB"/>
    <w:rsid w:val="008C307A"/>
    <w:rsid w:val="008C3961"/>
    <w:rsid w:val="008C3D68"/>
    <w:rsid w:val="008C5381"/>
    <w:rsid w:val="008C6B84"/>
    <w:rsid w:val="008C6D41"/>
    <w:rsid w:val="008C6FA9"/>
    <w:rsid w:val="008C7057"/>
    <w:rsid w:val="008C7811"/>
    <w:rsid w:val="008D0BD7"/>
    <w:rsid w:val="008D15AD"/>
    <w:rsid w:val="008D1D02"/>
    <w:rsid w:val="008D39C7"/>
    <w:rsid w:val="008D3B04"/>
    <w:rsid w:val="008D516F"/>
    <w:rsid w:val="008D554A"/>
    <w:rsid w:val="008D55E5"/>
    <w:rsid w:val="008D587C"/>
    <w:rsid w:val="008D5D48"/>
    <w:rsid w:val="008D646F"/>
    <w:rsid w:val="008D77C5"/>
    <w:rsid w:val="008D7C70"/>
    <w:rsid w:val="008E153A"/>
    <w:rsid w:val="008E2C98"/>
    <w:rsid w:val="008E309B"/>
    <w:rsid w:val="008E3D42"/>
    <w:rsid w:val="008E5DCB"/>
    <w:rsid w:val="008E5F9C"/>
    <w:rsid w:val="008E67E6"/>
    <w:rsid w:val="008E693A"/>
    <w:rsid w:val="008E6FF4"/>
    <w:rsid w:val="008F0305"/>
    <w:rsid w:val="008F121D"/>
    <w:rsid w:val="008F1659"/>
    <w:rsid w:val="008F1ED6"/>
    <w:rsid w:val="008F221B"/>
    <w:rsid w:val="008F26D9"/>
    <w:rsid w:val="008F31FE"/>
    <w:rsid w:val="008F333D"/>
    <w:rsid w:val="008F4A71"/>
    <w:rsid w:val="008F4C02"/>
    <w:rsid w:val="008F5145"/>
    <w:rsid w:val="008F574C"/>
    <w:rsid w:val="008F5861"/>
    <w:rsid w:val="008F748B"/>
    <w:rsid w:val="008F7A17"/>
    <w:rsid w:val="009010A7"/>
    <w:rsid w:val="00902041"/>
    <w:rsid w:val="0090278C"/>
    <w:rsid w:val="00902AF0"/>
    <w:rsid w:val="009047BC"/>
    <w:rsid w:val="00905908"/>
    <w:rsid w:val="009064CB"/>
    <w:rsid w:val="009114DF"/>
    <w:rsid w:val="00911DDF"/>
    <w:rsid w:val="00912344"/>
    <w:rsid w:val="00913C37"/>
    <w:rsid w:val="00913D21"/>
    <w:rsid w:val="00915328"/>
    <w:rsid w:val="00915F93"/>
    <w:rsid w:val="00916285"/>
    <w:rsid w:val="0092100C"/>
    <w:rsid w:val="00922B5B"/>
    <w:rsid w:val="00923462"/>
    <w:rsid w:val="00923764"/>
    <w:rsid w:val="00923805"/>
    <w:rsid w:val="00926A8B"/>
    <w:rsid w:val="009279FB"/>
    <w:rsid w:val="00930298"/>
    <w:rsid w:val="00930441"/>
    <w:rsid w:val="00930678"/>
    <w:rsid w:val="00931B8B"/>
    <w:rsid w:val="00932AD9"/>
    <w:rsid w:val="00932B5C"/>
    <w:rsid w:val="00933C8A"/>
    <w:rsid w:val="009350B9"/>
    <w:rsid w:val="0093581A"/>
    <w:rsid w:val="00935BC8"/>
    <w:rsid w:val="00935D60"/>
    <w:rsid w:val="00935F4E"/>
    <w:rsid w:val="0093636C"/>
    <w:rsid w:val="00937381"/>
    <w:rsid w:val="009374F4"/>
    <w:rsid w:val="00940BD6"/>
    <w:rsid w:val="00940D53"/>
    <w:rsid w:val="00940DD2"/>
    <w:rsid w:val="00941AE1"/>
    <w:rsid w:val="0094285D"/>
    <w:rsid w:val="00944A36"/>
    <w:rsid w:val="00945681"/>
    <w:rsid w:val="00945E63"/>
    <w:rsid w:val="00947696"/>
    <w:rsid w:val="0094793E"/>
    <w:rsid w:val="00947990"/>
    <w:rsid w:val="00947FCD"/>
    <w:rsid w:val="009505E6"/>
    <w:rsid w:val="00951F53"/>
    <w:rsid w:val="009524F9"/>
    <w:rsid w:val="00952B75"/>
    <w:rsid w:val="009530D1"/>
    <w:rsid w:val="00953B95"/>
    <w:rsid w:val="00954452"/>
    <w:rsid w:val="0095528B"/>
    <w:rsid w:val="009552E9"/>
    <w:rsid w:val="00956115"/>
    <w:rsid w:val="00960CEF"/>
    <w:rsid w:val="00960FF7"/>
    <w:rsid w:val="0096184D"/>
    <w:rsid w:val="009620CA"/>
    <w:rsid w:val="00962170"/>
    <w:rsid w:val="009645E9"/>
    <w:rsid w:val="00964AB4"/>
    <w:rsid w:val="00964AC0"/>
    <w:rsid w:val="00965509"/>
    <w:rsid w:val="00966467"/>
    <w:rsid w:val="0096673F"/>
    <w:rsid w:val="009667B2"/>
    <w:rsid w:val="0096725A"/>
    <w:rsid w:val="00967DEE"/>
    <w:rsid w:val="00970B50"/>
    <w:rsid w:val="00970F49"/>
    <w:rsid w:val="00971618"/>
    <w:rsid w:val="00971955"/>
    <w:rsid w:val="00971DC0"/>
    <w:rsid w:val="00973E0D"/>
    <w:rsid w:val="00973E3D"/>
    <w:rsid w:val="009741F3"/>
    <w:rsid w:val="009754A9"/>
    <w:rsid w:val="00975D73"/>
    <w:rsid w:val="00976D0A"/>
    <w:rsid w:val="00976ECA"/>
    <w:rsid w:val="009775E7"/>
    <w:rsid w:val="0097771C"/>
    <w:rsid w:val="00980A91"/>
    <w:rsid w:val="00980E6F"/>
    <w:rsid w:val="00981458"/>
    <w:rsid w:val="00982C39"/>
    <w:rsid w:val="009831A3"/>
    <w:rsid w:val="00983FE9"/>
    <w:rsid w:val="0098471B"/>
    <w:rsid w:val="00984A69"/>
    <w:rsid w:val="00985CC9"/>
    <w:rsid w:val="009863A9"/>
    <w:rsid w:val="00986EA1"/>
    <w:rsid w:val="00987346"/>
    <w:rsid w:val="00987416"/>
    <w:rsid w:val="00991B38"/>
    <w:rsid w:val="00992D94"/>
    <w:rsid w:val="00994551"/>
    <w:rsid w:val="00995018"/>
    <w:rsid w:val="00995D53"/>
    <w:rsid w:val="0099620B"/>
    <w:rsid w:val="00996685"/>
    <w:rsid w:val="009968A3"/>
    <w:rsid w:val="00997A7D"/>
    <w:rsid w:val="009A05E1"/>
    <w:rsid w:val="009A103F"/>
    <w:rsid w:val="009A18DD"/>
    <w:rsid w:val="009A20C4"/>
    <w:rsid w:val="009A2E01"/>
    <w:rsid w:val="009A33A3"/>
    <w:rsid w:val="009A4DB5"/>
    <w:rsid w:val="009A5030"/>
    <w:rsid w:val="009A50E1"/>
    <w:rsid w:val="009A5F80"/>
    <w:rsid w:val="009A6C33"/>
    <w:rsid w:val="009B0191"/>
    <w:rsid w:val="009B11C1"/>
    <w:rsid w:val="009B17CE"/>
    <w:rsid w:val="009B1926"/>
    <w:rsid w:val="009B1F51"/>
    <w:rsid w:val="009B2435"/>
    <w:rsid w:val="009B29C4"/>
    <w:rsid w:val="009B39D5"/>
    <w:rsid w:val="009B47F5"/>
    <w:rsid w:val="009B4BCA"/>
    <w:rsid w:val="009B55CF"/>
    <w:rsid w:val="009B5609"/>
    <w:rsid w:val="009B642A"/>
    <w:rsid w:val="009C0FDB"/>
    <w:rsid w:val="009C0FFC"/>
    <w:rsid w:val="009C19BC"/>
    <w:rsid w:val="009C2954"/>
    <w:rsid w:val="009C2E6B"/>
    <w:rsid w:val="009C2EA2"/>
    <w:rsid w:val="009C37E2"/>
    <w:rsid w:val="009C3A4B"/>
    <w:rsid w:val="009C3A74"/>
    <w:rsid w:val="009C3C69"/>
    <w:rsid w:val="009C3D34"/>
    <w:rsid w:val="009C407C"/>
    <w:rsid w:val="009C42B6"/>
    <w:rsid w:val="009C465E"/>
    <w:rsid w:val="009C57EE"/>
    <w:rsid w:val="009C633D"/>
    <w:rsid w:val="009C67A7"/>
    <w:rsid w:val="009C6FBC"/>
    <w:rsid w:val="009C712E"/>
    <w:rsid w:val="009C767D"/>
    <w:rsid w:val="009C7A35"/>
    <w:rsid w:val="009C7AAF"/>
    <w:rsid w:val="009D0155"/>
    <w:rsid w:val="009D1226"/>
    <w:rsid w:val="009D36AE"/>
    <w:rsid w:val="009D38AD"/>
    <w:rsid w:val="009D40F6"/>
    <w:rsid w:val="009D493F"/>
    <w:rsid w:val="009D58DF"/>
    <w:rsid w:val="009D64DD"/>
    <w:rsid w:val="009D7769"/>
    <w:rsid w:val="009E20F2"/>
    <w:rsid w:val="009E2447"/>
    <w:rsid w:val="009E3FF9"/>
    <w:rsid w:val="009E404F"/>
    <w:rsid w:val="009E56D2"/>
    <w:rsid w:val="009E5752"/>
    <w:rsid w:val="009E5D2C"/>
    <w:rsid w:val="009E5E43"/>
    <w:rsid w:val="009E6950"/>
    <w:rsid w:val="009E6C3D"/>
    <w:rsid w:val="009E6EAE"/>
    <w:rsid w:val="009E736B"/>
    <w:rsid w:val="009E796B"/>
    <w:rsid w:val="009E7DBE"/>
    <w:rsid w:val="009F0A5C"/>
    <w:rsid w:val="009F212A"/>
    <w:rsid w:val="009F296D"/>
    <w:rsid w:val="009F3DCC"/>
    <w:rsid w:val="009F3FF5"/>
    <w:rsid w:val="009F560F"/>
    <w:rsid w:val="009F614F"/>
    <w:rsid w:val="009F7431"/>
    <w:rsid w:val="009F7E35"/>
    <w:rsid w:val="00A0106D"/>
    <w:rsid w:val="00A013C9"/>
    <w:rsid w:val="00A02FFD"/>
    <w:rsid w:val="00A0351B"/>
    <w:rsid w:val="00A040BA"/>
    <w:rsid w:val="00A050E2"/>
    <w:rsid w:val="00A053D4"/>
    <w:rsid w:val="00A05BF7"/>
    <w:rsid w:val="00A05EC5"/>
    <w:rsid w:val="00A073C3"/>
    <w:rsid w:val="00A10C8B"/>
    <w:rsid w:val="00A1122A"/>
    <w:rsid w:val="00A11262"/>
    <w:rsid w:val="00A12285"/>
    <w:rsid w:val="00A134CA"/>
    <w:rsid w:val="00A1506D"/>
    <w:rsid w:val="00A150DD"/>
    <w:rsid w:val="00A15547"/>
    <w:rsid w:val="00A16B0B"/>
    <w:rsid w:val="00A170F7"/>
    <w:rsid w:val="00A176B0"/>
    <w:rsid w:val="00A214E5"/>
    <w:rsid w:val="00A221A2"/>
    <w:rsid w:val="00A22701"/>
    <w:rsid w:val="00A22E44"/>
    <w:rsid w:val="00A23159"/>
    <w:rsid w:val="00A23B8D"/>
    <w:rsid w:val="00A24ED9"/>
    <w:rsid w:val="00A24EFE"/>
    <w:rsid w:val="00A27770"/>
    <w:rsid w:val="00A30106"/>
    <w:rsid w:val="00A31687"/>
    <w:rsid w:val="00A31CAA"/>
    <w:rsid w:val="00A33A1A"/>
    <w:rsid w:val="00A33F19"/>
    <w:rsid w:val="00A34B08"/>
    <w:rsid w:val="00A34DD3"/>
    <w:rsid w:val="00A355CF"/>
    <w:rsid w:val="00A362ED"/>
    <w:rsid w:val="00A37319"/>
    <w:rsid w:val="00A37673"/>
    <w:rsid w:val="00A420B3"/>
    <w:rsid w:val="00A420D2"/>
    <w:rsid w:val="00A42DFF"/>
    <w:rsid w:val="00A433D1"/>
    <w:rsid w:val="00A434C0"/>
    <w:rsid w:val="00A435B5"/>
    <w:rsid w:val="00A4384D"/>
    <w:rsid w:val="00A453CB"/>
    <w:rsid w:val="00A45647"/>
    <w:rsid w:val="00A45EBE"/>
    <w:rsid w:val="00A4674D"/>
    <w:rsid w:val="00A46CCA"/>
    <w:rsid w:val="00A5001F"/>
    <w:rsid w:val="00A51760"/>
    <w:rsid w:val="00A517CF"/>
    <w:rsid w:val="00A5224F"/>
    <w:rsid w:val="00A52EA0"/>
    <w:rsid w:val="00A533D3"/>
    <w:rsid w:val="00A53CC7"/>
    <w:rsid w:val="00A5533E"/>
    <w:rsid w:val="00A5584C"/>
    <w:rsid w:val="00A55896"/>
    <w:rsid w:val="00A57466"/>
    <w:rsid w:val="00A57D87"/>
    <w:rsid w:val="00A600A6"/>
    <w:rsid w:val="00A60217"/>
    <w:rsid w:val="00A612F7"/>
    <w:rsid w:val="00A624C9"/>
    <w:rsid w:val="00A669F1"/>
    <w:rsid w:val="00A66E03"/>
    <w:rsid w:val="00A675B6"/>
    <w:rsid w:val="00A70A3A"/>
    <w:rsid w:val="00A71209"/>
    <w:rsid w:val="00A71807"/>
    <w:rsid w:val="00A73D3E"/>
    <w:rsid w:val="00A73EB2"/>
    <w:rsid w:val="00A7504E"/>
    <w:rsid w:val="00A7645B"/>
    <w:rsid w:val="00A77312"/>
    <w:rsid w:val="00A777E8"/>
    <w:rsid w:val="00A77838"/>
    <w:rsid w:val="00A77E8B"/>
    <w:rsid w:val="00A81460"/>
    <w:rsid w:val="00A81990"/>
    <w:rsid w:val="00A82378"/>
    <w:rsid w:val="00A82D58"/>
    <w:rsid w:val="00A82D70"/>
    <w:rsid w:val="00A83333"/>
    <w:rsid w:val="00A83CD5"/>
    <w:rsid w:val="00A849A8"/>
    <w:rsid w:val="00A84DAF"/>
    <w:rsid w:val="00A84E08"/>
    <w:rsid w:val="00A85C7C"/>
    <w:rsid w:val="00A8608C"/>
    <w:rsid w:val="00A86113"/>
    <w:rsid w:val="00A8638A"/>
    <w:rsid w:val="00A86BC6"/>
    <w:rsid w:val="00A87F19"/>
    <w:rsid w:val="00A908AE"/>
    <w:rsid w:val="00A9103D"/>
    <w:rsid w:val="00A91916"/>
    <w:rsid w:val="00A92302"/>
    <w:rsid w:val="00A92656"/>
    <w:rsid w:val="00A9282F"/>
    <w:rsid w:val="00A92D63"/>
    <w:rsid w:val="00A9344A"/>
    <w:rsid w:val="00A95735"/>
    <w:rsid w:val="00A95976"/>
    <w:rsid w:val="00A95FBD"/>
    <w:rsid w:val="00A9619C"/>
    <w:rsid w:val="00A9680F"/>
    <w:rsid w:val="00A97417"/>
    <w:rsid w:val="00AA0067"/>
    <w:rsid w:val="00AA0CE5"/>
    <w:rsid w:val="00AA22AF"/>
    <w:rsid w:val="00AA2363"/>
    <w:rsid w:val="00AA23E5"/>
    <w:rsid w:val="00AA2421"/>
    <w:rsid w:val="00AA57C9"/>
    <w:rsid w:val="00AA59B7"/>
    <w:rsid w:val="00AA7998"/>
    <w:rsid w:val="00AA7BD3"/>
    <w:rsid w:val="00AB0E83"/>
    <w:rsid w:val="00AB0F13"/>
    <w:rsid w:val="00AB1228"/>
    <w:rsid w:val="00AB236F"/>
    <w:rsid w:val="00AB2574"/>
    <w:rsid w:val="00AB26A6"/>
    <w:rsid w:val="00AB3536"/>
    <w:rsid w:val="00AB4EB8"/>
    <w:rsid w:val="00AC119A"/>
    <w:rsid w:val="00AC14A5"/>
    <w:rsid w:val="00AC3BAB"/>
    <w:rsid w:val="00AC3DB7"/>
    <w:rsid w:val="00AC447D"/>
    <w:rsid w:val="00AC4863"/>
    <w:rsid w:val="00AC5947"/>
    <w:rsid w:val="00AC5BA9"/>
    <w:rsid w:val="00AD05C2"/>
    <w:rsid w:val="00AD1354"/>
    <w:rsid w:val="00AD13A3"/>
    <w:rsid w:val="00AD2429"/>
    <w:rsid w:val="00AD2911"/>
    <w:rsid w:val="00AD2AF7"/>
    <w:rsid w:val="00AD2F79"/>
    <w:rsid w:val="00AD3D97"/>
    <w:rsid w:val="00AD4659"/>
    <w:rsid w:val="00AD4F31"/>
    <w:rsid w:val="00AD5E6D"/>
    <w:rsid w:val="00AD65C5"/>
    <w:rsid w:val="00AD7197"/>
    <w:rsid w:val="00AD7C06"/>
    <w:rsid w:val="00AE1086"/>
    <w:rsid w:val="00AE149B"/>
    <w:rsid w:val="00AE149D"/>
    <w:rsid w:val="00AE299D"/>
    <w:rsid w:val="00AE3329"/>
    <w:rsid w:val="00AE34EA"/>
    <w:rsid w:val="00AE5451"/>
    <w:rsid w:val="00AE58BF"/>
    <w:rsid w:val="00AE629E"/>
    <w:rsid w:val="00AE799D"/>
    <w:rsid w:val="00AF0FF8"/>
    <w:rsid w:val="00AF1D05"/>
    <w:rsid w:val="00AF2424"/>
    <w:rsid w:val="00AF26D0"/>
    <w:rsid w:val="00AF302E"/>
    <w:rsid w:val="00AF3308"/>
    <w:rsid w:val="00AF3478"/>
    <w:rsid w:val="00AF4310"/>
    <w:rsid w:val="00AF5036"/>
    <w:rsid w:val="00AF5622"/>
    <w:rsid w:val="00AF7A55"/>
    <w:rsid w:val="00B00009"/>
    <w:rsid w:val="00B00AED"/>
    <w:rsid w:val="00B019BC"/>
    <w:rsid w:val="00B01DD2"/>
    <w:rsid w:val="00B02451"/>
    <w:rsid w:val="00B02A2E"/>
    <w:rsid w:val="00B070DA"/>
    <w:rsid w:val="00B07B30"/>
    <w:rsid w:val="00B07DF6"/>
    <w:rsid w:val="00B100C4"/>
    <w:rsid w:val="00B11172"/>
    <w:rsid w:val="00B119C8"/>
    <w:rsid w:val="00B123F4"/>
    <w:rsid w:val="00B145AC"/>
    <w:rsid w:val="00B16888"/>
    <w:rsid w:val="00B17AC9"/>
    <w:rsid w:val="00B17B1E"/>
    <w:rsid w:val="00B17DC8"/>
    <w:rsid w:val="00B20ADC"/>
    <w:rsid w:val="00B21745"/>
    <w:rsid w:val="00B224F5"/>
    <w:rsid w:val="00B22636"/>
    <w:rsid w:val="00B22900"/>
    <w:rsid w:val="00B23E21"/>
    <w:rsid w:val="00B25C64"/>
    <w:rsid w:val="00B25E52"/>
    <w:rsid w:val="00B2685C"/>
    <w:rsid w:val="00B2715B"/>
    <w:rsid w:val="00B300BA"/>
    <w:rsid w:val="00B30277"/>
    <w:rsid w:val="00B30925"/>
    <w:rsid w:val="00B30B2A"/>
    <w:rsid w:val="00B31CF7"/>
    <w:rsid w:val="00B334AC"/>
    <w:rsid w:val="00B34B75"/>
    <w:rsid w:val="00B35401"/>
    <w:rsid w:val="00B35626"/>
    <w:rsid w:val="00B35ED8"/>
    <w:rsid w:val="00B40863"/>
    <w:rsid w:val="00B4227A"/>
    <w:rsid w:val="00B43145"/>
    <w:rsid w:val="00B431B5"/>
    <w:rsid w:val="00B4323F"/>
    <w:rsid w:val="00B43322"/>
    <w:rsid w:val="00B43687"/>
    <w:rsid w:val="00B46B90"/>
    <w:rsid w:val="00B4774E"/>
    <w:rsid w:val="00B47CDD"/>
    <w:rsid w:val="00B50AB0"/>
    <w:rsid w:val="00B50B44"/>
    <w:rsid w:val="00B50BE7"/>
    <w:rsid w:val="00B5155E"/>
    <w:rsid w:val="00B54026"/>
    <w:rsid w:val="00B540CE"/>
    <w:rsid w:val="00B568A9"/>
    <w:rsid w:val="00B60941"/>
    <w:rsid w:val="00B60EA5"/>
    <w:rsid w:val="00B619C3"/>
    <w:rsid w:val="00B6422C"/>
    <w:rsid w:val="00B65019"/>
    <w:rsid w:val="00B65D6C"/>
    <w:rsid w:val="00B668E8"/>
    <w:rsid w:val="00B674BC"/>
    <w:rsid w:val="00B677AA"/>
    <w:rsid w:val="00B67BC5"/>
    <w:rsid w:val="00B700E3"/>
    <w:rsid w:val="00B70EF1"/>
    <w:rsid w:val="00B71CDE"/>
    <w:rsid w:val="00B72250"/>
    <w:rsid w:val="00B72698"/>
    <w:rsid w:val="00B72ECD"/>
    <w:rsid w:val="00B732B7"/>
    <w:rsid w:val="00B744DE"/>
    <w:rsid w:val="00B74934"/>
    <w:rsid w:val="00B76F97"/>
    <w:rsid w:val="00B80137"/>
    <w:rsid w:val="00B80468"/>
    <w:rsid w:val="00B81344"/>
    <w:rsid w:val="00B81754"/>
    <w:rsid w:val="00B81A1E"/>
    <w:rsid w:val="00B81BAF"/>
    <w:rsid w:val="00B81C50"/>
    <w:rsid w:val="00B82CE6"/>
    <w:rsid w:val="00B840BF"/>
    <w:rsid w:val="00B842C1"/>
    <w:rsid w:val="00B86A88"/>
    <w:rsid w:val="00B86C1B"/>
    <w:rsid w:val="00B86F3F"/>
    <w:rsid w:val="00B87C9E"/>
    <w:rsid w:val="00B9046D"/>
    <w:rsid w:val="00B914B5"/>
    <w:rsid w:val="00B91B1E"/>
    <w:rsid w:val="00B91CBA"/>
    <w:rsid w:val="00B930AD"/>
    <w:rsid w:val="00B9335F"/>
    <w:rsid w:val="00B94A7F"/>
    <w:rsid w:val="00B954D9"/>
    <w:rsid w:val="00B9781E"/>
    <w:rsid w:val="00BA00B7"/>
    <w:rsid w:val="00BA0569"/>
    <w:rsid w:val="00BA0B57"/>
    <w:rsid w:val="00BA1283"/>
    <w:rsid w:val="00BA1E28"/>
    <w:rsid w:val="00BA2323"/>
    <w:rsid w:val="00BA30EF"/>
    <w:rsid w:val="00BA46C3"/>
    <w:rsid w:val="00BA4A65"/>
    <w:rsid w:val="00BA4AF5"/>
    <w:rsid w:val="00BA4F19"/>
    <w:rsid w:val="00BA5B73"/>
    <w:rsid w:val="00BA68AD"/>
    <w:rsid w:val="00BA74E7"/>
    <w:rsid w:val="00BB05A8"/>
    <w:rsid w:val="00BB0D07"/>
    <w:rsid w:val="00BB2DA9"/>
    <w:rsid w:val="00BB32D2"/>
    <w:rsid w:val="00BB4CCC"/>
    <w:rsid w:val="00BB546E"/>
    <w:rsid w:val="00BB5681"/>
    <w:rsid w:val="00BB578F"/>
    <w:rsid w:val="00BB6687"/>
    <w:rsid w:val="00BB6D30"/>
    <w:rsid w:val="00BB77FD"/>
    <w:rsid w:val="00BC1924"/>
    <w:rsid w:val="00BC53F5"/>
    <w:rsid w:val="00BC658A"/>
    <w:rsid w:val="00BC75BA"/>
    <w:rsid w:val="00BC7D07"/>
    <w:rsid w:val="00BD070B"/>
    <w:rsid w:val="00BD0A52"/>
    <w:rsid w:val="00BD1381"/>
    <w:rsid w:val="00BD16B3"/>
    <w:rsid w:val="00BD2179"/>
    <w:rsid w:val="00BD6201"/>
    <w:rsid w:val="00BD63D8"/>
    <w:rsid w:val="00BD6C57"/>
    <w:rsid w:val="00BD6EE6"/>
    <w:rsid w:val="00BD7426"/>
    <w:rsid w:val="00BD79E4"/>
    <w:rsid w:val="00BE00DA"/>
    <w:rsid w:val="00BE0C2A"/>
    <w:rsid w:val="00BE0F0E"/>
    <w:rsid w:val="00BE2496"/>
    <w:rsid w:val="00BE2992"/>
    <w:rsid w:val="00BE2A5E"/>
    <w:rsid w:val="00BE4154"/>
    <w:rsid w:val="00BF0139"/>
    <w:rsid w:val="00BF1A01"/>
    <w:rsid w:val="00BF3C5E"/>
    <w:rsid w:val="00BF3F4E"/>
    <w:rsid w:val="00BF3F8B"/>
    <w:rsid w:val="00BF6F2A"/>
    <w:rsid w:val="00BF737C"/>
    <w:rsid w:val="00C00A71"/>
    <w:rsid w:val="00C02264"/>
    <w:rsid w:val="00C03814"/>
    <w:rsid w:val="00C03B0F"/>
    <w:rsid w:val="00C03B5B"/>
    <w:rsid w:val="00C03D50"/>
    <w:rsid w:val="00C06176"/>
    <w:rsid w:val="00C07697"/>
    <w:rsid w:val="00C07D88"/>
    <w:rsid w:val="00C113C7"/>
    <w:rsid w:val="00C12E6D"/>
    <w:rsid w:val="00C12FBC"/>
    <w:rsid w:val="00C13522"/>
    <w:rsid w:val="00C149A9"/>
    <w:rsid w:val="00C15531"/>
    <w:rsid w:val="00C15929"/>
    <w:rsid w:val="00C170DE"/>
    <w:rsid w:val="00C17C5F"/>
    <w:rsid w:val="00C20588"/>
    <w:rsid w:val="00C21B3A"/>
    <w:rsid w:val="00C21BFA"/>
    <w:rsid w:val="00C21E3E"/>
    <w:rsid w:val="00C22931"/>
    <w:rsid w:val="00C22E2B"/>
    <w:rsid w:val="00C22FDA"/>
    <w:rsid w:val="00C236C8"/>
    <w:rsid w:val="00C270CB"/>
    <w:rsid w:val="00C27AA1"/>
    <w:rsid w:val="00C30151"/>
    <w:rsid w:val="00C30698"/>
    <w:rsid w:val="00C30721"/>
    <w:rsid w:val="00C30E5C"/>
    <w:rsid w:val="00C3134D"/>
    <w:rsid w:val="00C31AA9"/>
    <w:rsid w:val="00C320D5"/>
    <w:rsid w:val="00C32BAF"/>
    <w:rsid w:val="00C33528"/>
    <w:rsid w:val="00C338C5"/>
    <w:rsid w:val="00C33951"/>
    <w:rsid w:val="00C35732"/>
    <w:rsid w:val="00C3658F"/>
    <w:rsid w:val="00C36D5B"/>
    <w:rsid w:val="00C373BB"/>
    <w:rsid w:val="00C41E5C"/>
    <w:rsid w:val="00C43496"/>
    <w:rsid w:val="00C456A8"/>
    <w:rsid w:val="00C45B62"/>
    <w:rsid w:val="00C4663F"/>
    <w:rsid w:val="00C47E92"/>
    <w:rsid w:val="00C50B23"/>
    <w:rsid w:val="00C51CC2"/>
    <w:rsid w:val="00C5423E"/>
    <w:rsid w:val="00C57C9E"/>
    <w:rsid w:val="00C60583"/>
    <w:rsid w:val="00C627DA"/>
    <w:rsid w:val="00C64D4A"/>
    <w:rsid w:val="00C64D86"/>
    <w:rsid w:val="00C65029"/>
    <w:rsid w:val="00C650E9"/>
    <w:rsid w:val="00C66BAD"/>
    <w:rsid w:val="00C66F35"/>
    <w:rsid w:val="00C7031E"/>
    <w:rsid w:val="00C70F65"/>
    <w:rsid w:val="00C73328"/>
    <w:rsid w:val="00C742F0"/>
    <w:rsid w:val="00C764CC"/>
    <w:rsid w:val="00C76574"/>
    <w:rsid w:val="00C770FF"/>
    <w:rsid w:val="00C77A3A"/>
    <w:rsid w:val="00C77CC3"/>
    <w:rsid w:val="00C81A8B"/>
    <w:rsid w:val="00C84522"/>
    <w:rsid w:val="00C84755"/>
    <w:rsid w:val="00C84784"/>
    <w:rsid w:val="00C84AE0"/>
    <w:rsid w:val="00C857E8"/>
    <w:rsid w:val="00C86803"/>
    <w:rsid w:val="00C86CB1"/>
    <w:rsid w:val="00C875EE"/>
    <w:rsid w:val="00C87726"/>
    <w:rsid w:val="00C9177E"/>
    <w:rsid w:val="00C918A7"/>
    <w:rsid w:val="00C93146"/>
    <w:rsid w:val="00C93334"/>
    <w:rsid w:val="00C9470A"/>
    <w:rsid w:val="00C95848"/>
    <w:rsid w:val="00CA1E1A"/>
    <w:rsid w:val="00CA2027"/>
    <w:rsid w:val="00CA3AA7"/>
    <w:rsid w:val="00CA3B6A"/>
    <w:rsid w:val="00CA3F7D"/>
    <w:rsid w:val="00CA459B"/>
    <w:rsid w:val="00CA4D2A"/>
    <w:rsid w:val="00CA5ADF"/>
    <w:rsid w:val="00CA6A5B"/>
    <w:rsid w:val="00CA7438"/>
    <w:rsid w:val="00CA7904"/>
    <w:rsid w:val="00CB09FF"/>
    <w:rsid w:val="00CB2117"/>
    <w:rsid w:val="00CB3C05"/>
    <w:rsid w:val="00CB3E81"/>
    <w:rsid w:val="00CB41BD"/>
    <w:rsid w:val="00CB444B"/>
    <w:rsid w:val="00CB52C2"/>
    <w:rsid w:val="00CB5695"/>
    <w:rsid w:val="00CB5862"/>
    <w:rsid w:val="00CB5EAF"/>
    <w:rsid w:val="00CB5EF2"/>
    <w:rsid w:val="00CB79BB"/>
    <w:rsid w:val="00CB7E86"/>
    <w:rsid w:val="00CC06A4"/>
    <w:rsid w:val="00CC0B24"/>
    <w:rsid w:val="00CC0C7C"/>
    <w:rsid w:val="00CC1D63"/>
    <w:rsid w:val="00CC1EB4"/>
    <w:rsid w:val="00CC3870"/>
    <w:rsid w:val="00CC4310"/>
    <w:rsid w:val="00CC4449"/>
    <w:rsid w:val="00CC47FF"/>
    <w:rsid w:val="00CC4CC2"/>
    <w:rsid w:val="00CC66AF"/>
    <w:rsid w:val="00CC6832"/>
    <w:rsid w:val="00CC733F"/>
    <w:rsid w:val="00CD0AAB"/>
    <w:rsid w:val="00CD188D"/>
    <w:rsid w:val="00CD1D4D"/>
    <w:rsid w:val="00CD2496"/>
    <w:rsid w:val="00CD649B"/>
    <w:rsid w:val="00CD7582"/>
    <w:rsid w:val="00CE1024"/>
    <w:rsid w:val="00CE138C"/>
    <w:rsid w:val="00CE1D25"/>
    <w:rsid w:val="00CE23C4"/>
    <w:rsid w:val="00CE337A"/>
    <w:rsid w:val="00CE458C"/>
    <w:rsid w:val="00CE47D6"/>
    <w:rsid w:val="00CE6853"/>
    <w:rsid w:val="00CE720D"/>
    <w:rsid w:val="00CE79C7"/>
    <w:rsid w:val="00CF0CED"/>
    <w:rsid w:val="00CF15F1"/>
    <w:rsid w:val="00CF1664"/>
    <w:rsid w:val="00CF3DA3"/>
    <w:rsid w:val="00CF46A0"/>
    <w:rsid w:val="00CF4C43"/>
    <w:rsid w:val="00CF61B1"/>
    <w:rsid w:val="00CF7A85"/>
    <w:rsid w:val="00D003F4"/>
    <w:rsid w:val="00D02355"/>
    <w:rsid w:val="00D02BD1"/>
    <w:rsid w:val="00D0606C"/>
    <w:rsid w:val="00D060EB"/>
    <w:rsid w:val="00D06147"/>
    <w:rsid w:val="00D065ED"/>
    <w:rsid w:val="00D0664E"/>
    <w:rsid w:val="00D07276"/>
    <w:rsid w:val="00D0788D"/>
    <w:rsid w:val="00D109D7"/>
    <w:rsid w:val="00D10CAD"/>
    <w:rsid w:val="00D12102"/>
    <w:rsid w:val="00D12C15"/>
    <w:rsid w:val="00D13C61"/>
    <w:rsid w:val="00D14347"/>
    <w:rsid w:val="00D14ED6"/>
    <w:rsid w:val="00D15841"/>
    <w:rsid w:val="00D16A39"/>
    <w:rsid w:val="00D16F7B"/>
    <w:rsid w:val="00D21079"/>
    <w:rsid w:val="00D213F0"/>
    <w:rsid w:val="00D22896"/>
    <w:rsid w:val="00D22CE2"/>
    <w:rsid w:val="00D23A0A"/>
    <w:rsid w:val="00D24493"/>
    <w:rsid w:val="00D245D3"/>
    <w:rsid w:val="00D248F5"/>
    <w:rsid w:val="00D2588B"/>
    <w:rsid w:val="00D25BAD"/>
    <w:rsid w:val="00D26CF3"/>
    <w:rsid w:val="00D270D3"/>
    <w:rsid w:val="00D27736"/>
    <w:rsid w:val="00D27BC6"/>
    <w:rsid w:val="00D30715"/>
    <w:rsid w:val="00D30A18"/>
    <w:rsid w:val="00D31113"/>
    <w:rsid w:val="00D35053"/>
    <w:rsid w:val="00D3704A"/>
    <w:rsid w:val="00D370D7"/>
    <w:rsid w:val="00D4097E"/>
    <w:rsid w:val="00D413CF"/>
    <w:rsid w:val="00D41992"/>
    <w:rsid w:val="00D41F0C"/>
    <w:rsid w:val="00D43383"/>
    <w:rsid w:val="00D4370B"/>
    <w:rsid w:val="00D43E18"/>
    <w:rsid w:val="00D44E55"/>
    <w:rsid w:val="00D4504F"/>
    <w:rsid w:val="00D451BE"/>
    <w:rsid w:val="00D45492"/>
    <w:rsid w:val="00D45E7B"/>
    <w:rsid w:val="00D463A1"/>
    <w:rsid w:val="00D468F6"/>
    <w:rsid w:val="00D50804"/>
    <w:rsid w:val="00D51325"/>
    <w:rsid w:val="00D518F4"/>
    <w:rsid w:val="00D521C1"/>
    <w:rsid w:val="00D5236B"/>
    <w:rsid w:val="00D52544"/>
    <w:rsid w:val="00D544A1"/>
    <w:rsid w:val="00D56F4E"/>
    <w:rsid w:val="00D57743"/>
    <w:rsid w:val="00D62359"/>
    <w:rsid w:val="00D6283F"/>
    <w:rsid w:val="00D63F73"/>
    <w:rsid w:val="00D6403B"/>
    <w:rsid w:val="00D659C1"/>
    <w:rsid w:val="00D666CE"/>
    <w:rsid w:val="00D67151"/>
    <w:rsid w:val="00D67F6C"/>
    <w:rsid w:val="00D71008"/>
    <w:rsid w:val="00D71ECE"/>
    <w:rsid w:val="00D7227C"/>
    <w:rsid w:val="00D72581"/>
    <w:rsid w:val="00D72AFD"/>
    <w:rsid w:val="00D72BA2"/>
    <w:rsid w:val="00D74834"/>
    <w:rsid w:val="00D7530B"/>
    <w:rsid w:val="00D7610D"/>
    <w:rsid w:val="00D776E8"/>
    <w:rsid w:val="00D77C8D"/>
    <w:rsid w:val="00D77F74"/>
    <w:rsid w:val="00D80CED"/>
    <w:rsid w:val="00D826FE"/>
    <w:rsid w:val="00D85B7F"/>
    <w:rsid w:val="00D85E30"/>
    <w:rsid w:val="00D870E4"/>
    <w:rsid w:val="00D900EC"/>
    <w:rsid w:val="00D91B86"/>
    <w:rsid w:val="00D92BA9"/>
    <w:rsid w:val="00D94100"/>
    <w:rsid w:val="00D95153"/>
    <w:rsid w:val="00D96499"/>
    <w:rsid w:val="00D97116"/>
    <w:rsid w:val="00D97AE1"/>
    <w:rsid w:val="00DA00A9"/>
    <w:rsid w:val="00DA0DF7"/>
    <w:rsid w:val="00DA1B48"/>
    <w:rsid w:val="00DA2744"/>
    <w:rsid w:val="00DA2CD0"/>
    <w:rsid w:val="00DA3F37"/>
    <w:rsid w:val="00DA4183"/>
    <w:rsid w:val="00DA41D7"/>
    <w:rsid w:val="00DA5039"/>
    <w:rsid w:val="00DA5935"/>
    <w:rsid w:val="00DA6485"/>
    <w:rsid w:val="00DA6A18"/>
    <w:rsid w:val="00DA6A45"/>
    <w:rsid w:val="00DA6EE1"/>
    <w:rsid w:val="00DA76E5"/>
    <w:rsid w:val="00DB03F1"/>
    <w:rsid w:val="00DB177F"/>
    <w:rsid w:val="00DB1A33"/>
    <w:rsid w:val="00DB1B5B"/>
    <w:rsid w:val="00DB2A7D"/>
    <w:rsid w:val="00DB3CC0"/>
    <w:rsid w:val="00DB6385"/>
    <w:rsid w:val="00DB651A"/>
    <w:rsid w:val="00DB6872"/>
    <w:rsid w:val="00DC0A7E"/>
    <w:rsid w:val="00DC0E69"/>
    <w:rsid w:val="00DC1E5D"/>
    <w:rsid w:val="00DC21D4"/>
    <w:rsid w:val="00DC26A4"/>
    <w:rsid w:val="00DC3DDF"/>
    <w:rsid w:val="00DC537F"/>
    <w:rsid w:val="00DC5799"/>
    <w:rsid w:val="00DC62FF"/>
    <w:rsid w:val="00DD1345"/>
    <w:rsid w:val="00DD2EB4"/>
    <w:rsid w:val="00DD3097"/>
    <w:rsid w:val="00DD3110"/>
    <w:rsid w:val="00DD3258"/>
    <w:rsid w:val="00DD369D"/>
    <w:rsid w:val="00DD51FD"/>
    <w:rsid w:val="00DD5928"/>
    <w:rsid w:val="00DD7153"/>
    <w:rsid w:val="00DD7262"/>
    <w:rsid w:val="00DD7C65"/>
    <w:rsid w:val="00DE0256"/>
    <w:rsid w:val="00DE093C"/>
    <w:rsid w:val="00DE206A"/>
    <w:rsid w:val="00DE2DA5"/>
    <w:rsid w:val="00DE3A0B"/>
    <w:rsid w:val="00DE3DC7"/>
    <w:rsid w:val="00DE4CF1"/>
    <w:rsid w:val="00DE5E9D"/>
    <w:rsid w:val="00DE7725"/>
    <w:rsid w:val="00DE7B91"/>
    <w:rsid w:val="00DF0523"/>
    <w:rsid w:val="00DF2526"/>
    <w:rsid w:val="00DF2CC6"/>
    <w:rsid w:val="00DF543A"/>
    <w:rsid w:val="00DF571F"/>
    <w:rsid w:val="00DF64D6"/>
    <w:rsid w:val="00DF79F2"/>
    <w:rsid w:val="00E00740"/>
    <w:rsid w:val="00E02FCE"/>
    <w:rsid w:val="00E0334B"/>
    <w:rsid w:val="00E03CB0"/>
    <w:rsid w:val="00E04F3E"/>
    <w:rsid w:val="00E07B01"/>
    <w:rsid w:val="00E07BFC"/>
    <w:rsid w:val="00E104D0"/>
    <w:rsid w:val="00E11B23"/>
    <w:rsid w:val="00E12BBA"/>
    <w:rsid w:val="00E13C44"/>
    <w:rsid w:val="00E155D5"/>
    <w:rsid w:val="00E15B68"/>
    <w:rsid w:val="00E162A4"/>
    <w:rsid w:val="00E16781"/>
    <w:rsid w:val="00E16AE8"/>
    <w:rsid w:val="00E16E03"/>
    <w:rsid w:val="00E17B92"/>
    <w:rsid w:val="00E216E7"/>
    <w:rsid w:val="00E21B69"/>
    <w:rsid w:val="00E2225F"/>
    <w:rsid w:val="00E2288D"/>
    <w:rsid w:val="00E22A9B"/>
    <w:rsid w:val="00E22E32"/>
    <w:rsid w:val="00E22FDB"/>
    <w:rsid w:val="00E24256"/>
    <w:rsid w:val="00E2538F"/>
    <w:rsid w:val="00E30A0E"/>
    <w:rsid w:val="00E30EBE"/>
    <w:rsid w:val="00E3108D"/>
    <w:rsid w:val="00E3246B"/>
    <w:rsid w:val="00E33409"/>
    <w:rsid w:val="00E33B10"/>
    <w:rsid w:val="00E33E3D"/>
    <w:rsid w:val="00E34057"/>
    <w:rsid w:val="00E3613A"/>
    <w:rsid w:val="00E36C70"/>
    <w:rsid w:val="00E37793"/>
    <w:rsid w:val="00E37E46"/>
    <w:rsid w:val="00E40518"/>
    <w:rsid w:val="00E40908"/>
    <w:rsid w:val="00E4133D"/>
    <w:rsid w:val="00E41F50"/>
    <w:rsid w:val="00E430B6"/>
    <w:rsid w:val="00E4360B"/>
    <w:rsid w:val="00E43BF2"/>
    <w:rsid w:val="00E44550"/>
    <w:rsid w:val="00E44679"/>
    <w:rsid w:val="00E46584"/>
    <w:rsid w:val="00E46613"/>
    <w:rsid w:val="00E47662"/>
    <w:rsid w:val="00E47E9F"/>
    <w:rsid w:val="00E50A59"/>
    <w:rsid w:val="00E514AB"/>
    <w:rsid w:val="00E51845"/>
    <w:rsid w:val="00E53281"/>
    <w:rsid w:val="00E53DE0"/>
    <w:rsid w:val="00E54C5F"/>
    <w:rsid w:val="00E54D77"/>
    <w:rsid w:val="00E55D6E"/>
    <w:rsid w:val="00E56FA1"/>
    <w:rsid w:val="00E60980"/>
    <w:rsid w:val="00E61B9C"/>
    <w:rsid w:val="00E62223"/>
    <w:rsid w:val="00E625E4"/>
    <w:rsid w:val="00E651FF"/>
    <w:rsid w:val="00E70501"/>
    <w:rsid w:val="00E715BD"/>
    <w:rsid w:val="00E715E4"/>
    <w:rsid w:val="00E7284D"/>
    <w:rsid w:val="00E72F5A"/>
    <w:rsid w:val="00E736E4"/>
    <w:rsid w:val="00E75288"/>
    <w:rsid w:val="00E75DF9"/>
    <w:rsid w:val="00E80E97"/>
    <w:rsid w:val="00E82EA1"/>
    <w:rsid w:val="00E857DD"/>
    <w:rsid w:val="00E865E3"/>
    <w:rsid w:val="00E869F1"/>
    <w:rsid w:val="00E86AAE"/>
    <w:rsid w:val="00E8731C"/>
    <w:rsid w:val="00E87C1C"/>
    <w:rsid w:val="00E90EC2"/>
    <w:rsid w:val="00E912B1"/>
    <w:rsid w:val="00E918F3"/>
    <w:rsid w:val="00E91B11"/>
    <w:rsid w:val="00E94109"/>
    <w:rsid w:val="00E94874"/>
    <w:rsid w:val="00E948BF"/>
    <w:rsid w:val="00E949FD"/>
    <w:rsid w:val="00E951D5"/>
    <w:rsid w:val="00EA03E3"/>
    <w:rsid w:val="00EA20F2"/>
    <w:rsid w:val="00EA23B4"/>
    <w:rsid w:val="00EA3267"/>
    <w:rsid w:val="00EA41D1"/>
    <w:rsid w:val="00EA52EE"/>
    <w:rsid w:val="00EA539A"/>
    <w:rsid w:val="00EA5A96"/>
    <w:rsid w:val="00EA61D6"/>
    <w:rsid w:val="00EA6EA3"/>
    <w:rsid w:val="00EA7AE4"/>
    <w:rsid w:val="00EB5257"/>
    <w:rsid w:val="00EB5C8F"/>
    <w:rsid w:val="00EB7FE9"/>
    <w:rsid w:val="00EC00AA"/>
    <w:rsid w:val="00EC00EE"/>
    <w:rsid w:val="00EC01B5"/>
    <w:rsid w:val="00EC0B1E"/>
    <w:rsid w:val="00EC1B1B"/>
    <w:rsid w:val="00EC1C4A"/>
    <w:rsid w:val="00EC2EB9"/>
    <w:rsid w:val="00EC3E48"/>
    <w:rsid w:val="00EC48B7"/>
    <w:rsid w:val="00EC5D7A"/>
    <w:rsid w:val="00EC6280"/>
    <w:rsid w:val="00EC6B5D"/>
    <w:rsid w:val="00EC7C15"/>
    <w:rsid w:val="00ED0ADD"/>
    <w:rsid w:val="00ED1A8D"/>
    <w:rsid w:val="00ED317E"/>
    <w:rsid w:val="00ED3518"/>
    <w:rsid w:val="00ED37E0"/>
    <w:rsid w:val="00ED3EAD"/>
    <w:rsid w:val="00ED4713"/>
    <w:rsid w:val="00ED5244"/>
    <w:rsid w:val="00ED5FE9"/>
    <w:rsid w:val="00ED64BC"/>
    <w:rsid w:val="00ED7E46"/>
    <w:rsid w:val="00EE0FC4"/>
    <w:rsid w:val="00EE3A7D"/>
    <w:rsid w:val="00EE3ECA"/>
    <w:rsid w:val="00EE58BB"/>
    <w:rsid w:val="00EE5A38"/>
    <w:rsid w:val="00EF08B5"/>
    <w:rsid w:val="00EF16EF"/>
    <w:rsid w:val="00EF1770"/>
    <w:rsid w:val="00EF1F9C"/>
    <w:rsid w:val="00EF3362"/>
    <w:rsid w:val="00EF409F"/>
    <w:rsid w:val="00EF5443"/>
    <w:rsid w:val="00EF59F8"/>
    <w:rsid w:val="00EF6CBE"/>
    <w:rsid w:val="00EF7A7F"/>
    <w:rsid w:val="00F00642"/>
    <w:rsid w:val="00F014E5"/>
    <w:rsid w:val="00F029C6"/>
    <w:rsid w:val="00F032E7"/>
    <w:rsid w:val="00F03947"/>
    <w:rsid w:val="00F05B56"/>
    <w:rsid w:val="00F05C45"/>
    <w:rsid w:val="00F069C9"/>
    <w:rsid w:val="00F122EA"/>
    <w:rsid w:val="00F1233E"/>
    <w:rsid w:val="00F12979"/>
    <w:rsid w:val="00F1354E"/>
    <w:rsid w:val="00F14C7F"/>
    <w:rsid w:val="00F14EEA"/>
    <w:rsid w:val="00F154F6"/>
    <w:rsid w:val="00F15925"/>
    <w:rsid w:val="00F16277"/>
    <w:rsid w:val="00F1658B"/>
    <w:rsid w:val="00F171C2"/>
    <w:rsid w:val="00F1748F"/>
    <w:rsid w:val="00F176E6"/>
    <w:rsid w:val="00F179B8"/>
    <w:rsid w:val="00F21515"/>
    <w:rsid w:val="00F2166E"/>
    <w:rsid w:val="00F23F44"/>
    <w:rsid w:val="00F241BA"/>
    <w:rsid w:val="00F24457"/>
    <w:rsid w:val="00F24911"/>
    <w:rsid w:val="00F255F5"/>
    <w:rsid w:val="00F25618"/>
    <w:rsid w:val="00F25A23"/>
    <w:rsid w:val="00F27BFD"/>
    <w:rsid w:val="00F27FA1"/>
    <w:rsid w:val="00F30BEC"/>
    <w:rsid w:val="00F3130A"/>
    <w:rsid w:val="00F3192F"/>
    <w:rsid w:val="00F32442"/>
    <w:rsid w:val="00F32CBA"/>
    <w:rsid w:val="00F33614"/>
    <w:rsid w:val="00F34147"/>
    <w:rsid w:val="00F353BD"/>
    <w:rsid w:val="00F359CB"/>
    <w:rsid w:val="00F364E6"/>
    <w:rsid w:val="00F36E94"/>
    <w:rsid w:val="00F37A52"/>
    <w:rsid w:val="00F37A81"/>
    <w:rsid w:val="00F4065B"/>
    <w:rsid w:val="00F40ADA"/>
    <w:rsid w:val="00F40BD9"/>
    <w:rsid w:val="00F40C85"/>
    <w:rsid w:val="00F41093"/>
    <w:rsid w:val="00F42984"/>
    <w:rsid w:val="00F42C85"/>
    <w:rsid w:val="00F43088"/>
    <w:rsid w:val="00F442C7"/>
    <w:rsid w:val="00F44577"/>
    <w:rsid w:val="00F44909"/>
    <w:rsid w:val="00F4505F"/>
    <w:rsid w:val="00F456AF"/>
    <w:rsid w:val="00F46CB5"/>
    <w:rsid w:val="00F475BA"/>
    <w:rsid w:val="00F47975"/>
    <w:rsid w:val="00F479D6"/>
    <w:rsid w:val="00F50009"/>
    <w:rsid w:val="00F51CE3"/>
    <w:rsid w:val="00F520F4"/>
    <w:rsid w:val="00F52533"/>
    <w:rsid w:val="00F526FF"/>
    <w:rsid w:val="00F53ECA"/>
    <w:rsid w:val="00F540E0"/>
    <w:rsid w:val="00F54E28"/>
    <w:rsid w:val="00F576AD"/>
    <w:rsid w:val="00F578C3"/>
    <w:rsid w:val="00F57A59"/>
    <w:rsid w:val="00F57F36"/>
    <w:rsid w:val="00F60AFF"/>
    <w:rsid w:val="00F61A8E"/>
    <w:rsid w:val="00F637D9"/>
    <w:rsid w:val="00F649AC"/>
    <w:rsid w:val="00F65DB4"/>
    <w:rsid w:val="00F67426"/>
    <w:rsid w:val="00F67595"/>
    <w:rsid w:val="00F67A12"/>
    <w:rsid w:val="00F70CF7"/>
    <w:rsid w:val="00F71327"/>
    <w:rsid w:val="00F72A39"/>
    <w:rsid w:val="00F73A38"/>
    <w:rsid w:val="00F7455E"/>
    <w:rsid w:val="00F7543F"/>
    <w:rsid w:val="00F75653"/>
    <w:rsid w:val="00F75B4F"/>
    <w:rsid w:val="00F77000"/>
    <w:rsid w:val="00F7712C"/>
    <w:rsid w:val="00F77377"/>
    <w:rsid w:val="00F80132"/>
    <w:rsid w:val="00F804F3"/>
    <w:rsid w:val="00F80722"/>
    <w:rsid w:val="00F81193"/>
    <w:rsid w:val="00F83515"/>
    <w:rsid w:val="00F84FD3"/>
    <w:rsid w:val="00F85DBE"/>
    <w:rsid w:val="00F913B2"/>
    <w:rsid w:val="00F92AE7"/>
    <w:rsid w:val="00F92E20"/>
    <w:rsid w:val="00F939B8"/>
    <w:rsid w:val="00F93AF3"/>
    <w:rsid w:val="00F93B6D"/>
    <w:rsid w:val="00F95F3A"/>
    <w:rsid w:val="00F96E69"/>
    <w:rsid w:val="00F972EE"/>
    <w:rsid w:val="00F97EA7"/>
    <w:rsid w:val="00FA0E0D"/>
    <w:rsid w:val="00FA190E"/>
    <w:rsid w:val="00FA1E4D"/>
    <w:rsid w:val="00FA1FB3"/>
    <w:rsid w:val="00FA2993"/>
    <w:rsid w:val="00FA396B"/>
    <w:rsid w:val="00FA525A"/>
    <w:rsid w:val="00FA5463"/>
    <w:rsid w:val="00FA5E63"/>
    <w:rsid w:val="00FA6ADC"/>
    <w:rsid w:val="00FA7FE5"/>
    <w:rsid w:val="00FB037C"/>
    <w:rsid w:val="00FB3068"/>
    <w:rsid w:val="00FB415B"/>
    <w:rsid w:val="00FB45A2"/>
    <w:rsid w:val="00FB52E9"/>
    <w:rsid w:val="00FB61D4"/>
    <w:rsid w:val="00FB72B4"/>
    <w:rsid w:val="00FB7324"/>
    <w:rsid w:val="00FC346D"/>
    <w:rsid w:val="00FC3528"/>
    <w:rsid w:val="00FC378A"/>
    <w:rsid w:val="00FC419D"/>
    <w:rsid w:val="00FC4E11"/>
    <w:rsid w:val="00FC734D"/>
    <w:rsid w:val="00FD10F6"/>
    <w:rsid w:val="00FD2AC8"/>
    <w:rsid w:val="00FD3033"/>
    <w:rsid w:val="00FD30F3"/>
    <w:rsid w:val="00FD31C5"/>
    <w:rsid w:val="00FD39F5"/>
    <w:rsid w:val="00FD4F63"/>
    <w:rsid w:val="00FD59C0"/>
    <w:rsid w:val="00FD63E7"/>
    <w:rsid w:val="00FD65B5"/>
    <w:rsid w:val="00FD7EED"/>
    <w:rsid w:val="00FE192D"/>
    <w:rsid w:val="00FE1E00"/>
    <w:rsid w:val="00FE55FD"/>
    <w:rsid w:val="00FE5B36"/>
    <w:rsid w:val="00FE67BB"/>
    <w:rsid w:val="00FE7A66"/>
    <w:rsid w:val="00FF2438"/>
    <w:rsid w:val="00FF2734"/>
    <w:rsid w:val="00FF39F6"/>
    <w:rsid w:val="00FF3DDA"/>
    <w:rsid w:val="00FF496E"/>
    <w:rsid w:val="00FF5F26"/>
    <w:rsid w:val="00FF68C9"/>
    <w:rsid w:val="04FC2ABA"/>
    <w:rsid w:val="0B2539FE"/>
    <w:rsid w:val="0DACCFD5"/>
    <w:rsid w:val="103D13EE"/>
    <w:rsid w:val="114AFD79"/>
    <w:rsid w:val="13C56079"/>
    <w:rsid w:val="1424AFA4"/>
    <w:rsid w:val="17E7A624"/>
    <w:rsid w:val="18CEB9B2"/>
    <w:rsid w:val="193BE8C6"/>
    <w:rsid w:val="1ACD2870"/>
    <w:rsid w:val="1C5274A0"/>
    <w:rsid w:val="1DF992C7"/>
    <w:rsid w:val="1F951925"/>
    <w:rsid w:val="20A2513F"/>
    <w:rsid w:val="210CBD66"/>
    <w:rsid w:val="2ABA6F3A"/>
    <w:rsid w:val="2B7A3749"/>
    <w:rsid w:val="2C02156B"/>
    <w:rsid w:val="2DDFDF2F"/>
    <w:rsid w:val="33B27484"/>
    <w:rsid w:val="33C51F7B"/>
    <w:rsid w:val="351607D4"/>
    <w:rsid w:val="356F59CD"/>
    <w:rsid w:val="360F1609"/>
    <w:rsid w:val="37546945"/>
    <w:rsid w:val="384089CA"/>
    <w:rsid w:val="39D0219E"/>
    <w:rsid w:val="4061213B"/>
    <w:rsid w:val="4450284C"/>
    <w:rsid w:val="453DC421"/>
    <w:rsid w:val="4A03EBE4"/>
    <w:rsid w:val="4AFB290F"/>
    <w:rsid w:val="4BBCA806"/>
    <w:rsid w:val="4C98561D"/>
    <w:rsid w:val="5049C653"/>
    <w:rsid w:val="5560FF75"/>
    <w:rsid w:val="5BAB2715"/>
    <w:rsid w:val="5D8A4266"/>
    <w:rsid w:val="5E68267A"/>
    <w:rsid w:val="5F2E7AA8"/>
    <w:rsid w:val="5F97C3E6"/>
    <w:rsid w:val="6CFF6BB1"/>
    <w:rsid w:val="6EA9764F"/>
    <w:rsid w:val="6F966412"/>
    <w:rsid w:val="71030AB9"/>
    <w:rsid w:val="72CD1FD1"/>
    <w:rsid w:val="757CAA17"/>
    <w:rsid w:val="7A5FBC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F46CB5"/>
    <w:pPr>
      <w:spacing w:after="120"/>
    </w:pPr>
  </w:style>
  <w:style w:type="character" w:customStyle="1" w:styleId="BodyTextChar">
    <w:name w:val="Body Text Char"/>
    <w:basedOn w:val="DefaultParagraphFont"/>
    <w:link w:val="BodyText"/>
    <w:rsid w:val="00F46CB5"/>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 w:type="table" w:styleId="TableGridLight">
    <w:name w:val="Grid Table Light"/>
    <w:basedOn w:val="TableNormal"/>
    <w:uiPriority w:val="40"/>
    <w:rsid w:val="00A150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global-recycling.info/archives/5425" TargetMode="External"/><Relationship Id="rId13" Type="http://schemas.openxmlformats.org/officeDocument/2006/relationships/hyperlink" Target="https://images.magnetmail.net/images/clients/ISRIID/attach/ENIndonesiaGovtJointDecreeonRPimportsEN.pdf" TargetMode="External"/><Relationship Id="rId18" Type="http://schemas.openxmlformats.org/officeDocument/2006/relationships/hyperlink" Target="https://vanbanphapluat.co/decision-28-2020-qd-ttg-the-list-of-waste-permitted-for-import-as-production-materials" TargetMode="External"/><Relationship Id="rId26" Type="http://schemas.openxmlformats.org/officeDocument/2006/relationships/hyperlink" Target="https://www.rebnews.com/thailands-plastic-ban-delay-took-into-account-balance-of-need-for-material-and-environmental-considerations/" TargetMode="External"/><Relationship Id="rId3" Type="http://schemas.openxmlformats.org/officeDocument/2006/relationships/hyperlink" Target="https://www.australianmining.com.au/news/australian-copper-production-declines-in-2020/" TargetMode="External"/><Relationship Id="rId21" Type="http://schemas.openxmlformats.org/officeDocument/2006/relationships/hyperlink" Target="https://www.spglobal.com/platts/en/market-insights/latest-news/metals/022019-vietnams-jan-scrap-imports-plunge-amid-stricter-government-rules" TargetMode="External"/><Relationship Id="rId7" Type="http://schemas.openxmlformats.org/officeDocument/2006/relationships/hyperlink" Target="https://genevasolutions.news/sustainable-business-finance/a-new-global-treaty-to-tackle-plastic-pollution" TargetMode="External"/><Relationship Id="rId12" Type="http://schemas.openxmlformats.org/officeDocument/2006/relationships/hyperlink" Target="https://www.mrw.co.uk/news/indonesia-to-allow-waste-imports-with-2-contamination-limit-19-07-2021/" TargetMode="External"/><Relationship Id="rId17" Type="http://schemas.openxmlformats.org/officeDocument/2006/relationships/hyperlink" Target="http://extwprlegs1.fao.org/docs/pdf/bgd171057.pdf" TargetMode="External"/><Relationship Id="rId25" Type="http://schemas.openxmlformats.org/officeDocument/2006/relationships/hyperlink" Target="https://www.rebnews.com/thailand-considering-plastic-import-ban-from-1-january-2022/" TargetMode="External"/><Relationship Id="rId33" Type="http://schemas.openxmlformats.org/officeDocument/2006/relationships/hyperlink" Target="https://www.pakistantoday.com.pk/2021/08/04/pm-directs-to-take-inspiration-from-china-for-waste-ban-policy/" TargetMode="External"/><Relationship Id="rId2" Type="http://schemas.openxmlformats.org/officeDocument/2006/relationships/hyperlink" Target="https://www.abc.net.au/news/2021-05-27/iron-ore-price-at-record-high-but-australia-china-tensions-loom/100166932" TargetMode="External"/><Relationship Id="rId16" Type="http://schemas.openxmlformats.org/officeDocument/2006/relationships/hyperlink" Target="https://www.metalbulletin.com/Article/3983295/FOCUS-India-mulls-over-self-sufficient-future-without-imported-scrap.html" TargetMode="External"/><Relationship Id="rId20"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29" Type="http://schemas.openxmlformats.org/officeDocument/2006/relationships/hyperlink" Target="http://www.businesskorea.co.kr/news/articleView.html?idxno=58078" TargetMode="External"/><Relationship Id="rId1" Type="http://schemas.openxmlformats.org/officeDocument/2006/relationships/hyperlink" Target="https://www.abs.gov.au/statistics/economy/international-trade/international-merchandise-trade-preliminary-australia/latest-release" TargetMode="External"/><Relationship Id="rId6" Type="http://schemas.openxmlformats.org/officeDocument/2006/relationships/hyperlink" Target="https://ec.europa.eu/environment/news/plastic-waste-shipments-new-eu-rules-importing-and-exporting-plastic-waste-2020-12-22_en" TargetMode="External"/><Relationship Id="rId11" Type="http://schemas.openxmlformats.org/officeDocument/2006/relationships/hyperlink" Target="https://en.antaranews.com/news/177746/recycling-industry-processing-just-one-third-of-nations-waste-govt" TargetMode="External"/><Relationship Id="rId24" Type="http://schemas.openxmlformats.org/officeDocument/2006/relationships/hyperlink" Target="https://images.magnetmail.net/images/clients/ISRIID/attach/20201124ChinaSWimportbanEN.pdf" TargetMode="External"/><Relationship Id="rId32" Type="http://schemas.openxmlformats.org/officeDocument/2006/relationships/hyperlink" Target="http://www.commerce.gov.pk/wp-content/uploads/2020/09/Import-Policy-Order-25-09-2020.pdf" TargetMode="External"/><Relationship Id="rId5" Type="http://schemas.openxmlformats.org/officeDocument/2006/relationships/hyperlink" Target="https://resource-recycling.com/e-scrap/2021/01/14/basel-plastic-rules-cause-immediate-e-plastics-strife/" TargetMode="External"/><Relationship Id="rId15" Type="http://schemas.openxmlformats.org/officeDocument/2006/relationships/hyperlink" Target="https://www.wastedive.com/news/india-enforce-contamination-rate-inspections-paper-imports/570427/" TargetMode="External"/><Relationship Id="rId23" Type="http://schemas.openxmlformats.org/officeDocument/2006/relationships/hyperlink" Target="https://www.thesundaily.my/opinion/becoming-a-leader-tackling-plastic-waste-DC6466588" TargetMode="External"/><Relationship Id="rId28" Type="http://schemas.openxmlformats.org/officeDocument/2006/relationships/hyperlink" Target="http://www.taipeitimes.com/News/taiwan/archives/2018/10/02/2003701576" TargetMode="External"/><Relationship Id="rId10" Type="http://schemas.openxmlformats.org/officeDocument/2006/relationships/hyperlink" Target="https://www.alcircle.com/news/malaysias-import-restrictions-on-metal-scrap-may-lose-out-recycling-investments-industry-association-66482" TargetMode="External"/><Relationship Id="rId19" Type="http://schemas.openxmlformats.org/officeDocument/2006/relationships/hyperlink" Target="https://www.cciclondon.com/portal/article/index/cat_id/35/id/286.html" TargetMode="External"/><Relationship Id="rId31" Type="http://schemas.openxmlformats.org/officeDocument/2006/relationships/hyperlink" Target="https://www.koreatimes.co.kr/www/nation/2020/06/371_292052.html" TargetMode="External"/><Relationship Id="rId4" Type="http://schemas.openxmlformats.org/officeDocument/2006/relationships/hyperlink" Target="http://www.basel.int/Countries/StatusofRatifications/PlasticWasteamendments/tabid/8377/Default.aspx" TargetMode="External"/><Relationship Id="rId9" Type="http://schemas.openxmlformats.org/officeDocument/2006/relationships/hyperlink" Target="https://recyclinginternational.com/bir-convention/growing-fears-of-global-recycling-infrastructure-collapse/36136/" TargetMode="External"/><Relationship Id="rId14" Type="http://schemas.openxmlformats.org/officeDocument/2006/relationships/hyperlink" Target="https://www.businesstoday.in/current/policy/india-bans-import-of-plastic-waste-from-august-this-year-to-curb-pollution/story/358778.html" TargetMode="External"/><Relationship Id="rId22" Type="http://schemas.openxmlformats.org/officeDocument/2006/relationships/hyperlink" Target="https://www.reuters.com/article/us-malaysia-environment-plastic-idUSKBN2BG0ZL" TargetMode="External"/><Relationship Id="rId27" Type="http://schemas.openxmlformats.org/officeDocument/2006/relationships/hyperlink" Target="https://www.bangkokpost.com/life/social-and-lifestyle/2042171/the-year-nature-bounced-back" TargetMode="External"/><Relationship Id="rId30" Type="http://schemas.openxmlformats.org/officeDocument/2006/relationships/hyperlink" Target="https://business.inquirer.net/315509/s-korea-to-phase-out-industrial-waste-im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root>
  <reviewers>Name Surname, Name Surname</reviewers>
  <projnumber>1234</projnumber>
  <contractdate>2018-01-01T00:00:00</contractdate>
  <infocurrent>2017-07-01T00:00:00</infocurrent>
  <copyright/>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852B80-D1F6-438E-B397-1CBB961B1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0A215-B830-40C0-91EC-5EE3078176A1}">
  <ds:schemaRefs>
    <ds:schemaRef ds:uri="http://purl.org/dc/elements/1.1/"/>
    <ds:schemaRef ds:uri="http://schemas.microsoft.com/office/2006/metadata/properties"/>
    <ds:schemaRef ds:uri="425a5c30-4c2f-474f-aa2f-443e46b3d18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c7ce04e-ea5d-4d46-bab0-39b1fa6a6f36"/>
    <ds:schemaRef ds:uri="http://www.w3.org/XML/1998/namespace"/>
  </ds:schemaRefs>
</ds:datastoreItem>
</file>

<file path=customXml/itemProps4.xml><?xml version="1.0" encoding="utf-8"?>
<ds:datastoreItem xmlns:ds="http://schemas.openxmlformats.org/officeDocument/2006/customXml" ds:itemID="{A510F670-9325-470C-97D0-A9A4BC3018FA}">
  <ds:schemaRefs/>
</ds:datastoreItem>
</file>

<file path=customXml/itemProps5.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6.xml><?xml version="1.0" encoding="utf-8"?>
<ds:datastoreItem xmlns:ds="http://schemas.openxmlformats.org/officeDocument/2006/customXml" ds:itemID="{568B79E7-06B1-401D-B83A-58A8A1C0C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4443</Words>
  <Characters>25327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Exports of Australian waste and recovered materials in 2020-21</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in 2020-21</dc:title>
  <dc:creator>Sally@blueenvironment.com.au</dc:creator>
  <cp:keywords>Copyright</cp:keywords>
  <cp:revision>6</cp:revision>
  <cp:lastPrinted>2021-09-14T03:56:00Z</cp:lastPrinted>
  <dcterms:created xsi:type="dcterms:W3CDTF">2021-09-14T03:55:00Z</dcterms:created>
  <dcterms:modified xsi:type="dcterms:W3CDTF">2021-09-17T08:08:00Z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