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F6" w:rsidRDefault="00FE71F6" w:rsidP="00FE71F6">
      <w:pPr>
        <w:pStyle w:val="Heading1"/>
        <w:jc w:val="center"/>
      </w:pPr>
      <w:bookmarkStart w:id="0" w:name="_Toc327900118"/>
    </w:p>
    <w:p w:rsidR="00AD535F" w:rsidRDefault="00AD535F" w:rsidP="00AD535F"/>
    <w:p w:rsidR="00AD535F" w:rsidRPr="00AD535F" w:rsidRDefault="00AD535F" w:rsidP="00AD535F"/>
    <w:p w:rsidR="002A4B80" w:rsidRDefault="002A4B80" w:rsidP="002A4B80"/>
    <w:p w:rsidR="002A4B80" w:rsidRPr="002A4B80" w:rsidRDefault="002A4B80" w:rsidP="002A4B80"/>
    <w:p w:rsidR="00FE71F6" w:rsidRPr="00005959" w:rsidRDefault="00E7759A" w:rsidP="002A4B80">
      <w:pPr>
        <w:spacing w:after="120"/>
        <w:jc w:val="center"/>
        <w:rPr>
          <w:rFonts w:cstheme="minorHAnsi"/>
          <w:b/>
          <w:color w:val="365F91" w:themeColor="accent1" w:themeShade="BF"/>
          <w:sz w:val="44"/>
          <w:szCs w:val="44"/>
          <w:u w:val="single"/>
        </w:rPr>
      </w:pPr>
      <w:r w:rsidRPr="00005959">
        <w:rPr>
          <w:rFonts w:cstheme="minorHAnsi"/>
          <w:b/>
          <w:color w:val="365F91" w:themeColor="accent1" w:themeShade="BF"/>
          <w:sz w:val="44"/>
          <w:szCs w:val="44"/>
          <w:u w:val="single"/>
        </w:rPr>
        <w:t xml:space="preserve">Draft </w:t>
      </w:r>
      <w:r w:rsidR="00FE71F6" w:rsidRPr="00005959">
        <w:rPr>
          <w:rFonts w:cstheme="minorHAnsi"/>
          <w:b/>
          <w:color w:val="365F91" w:themeColor="accent1" w:themeShade="BF"/>
          <w:sz w:val="44"/>
          <w:szCs w:val="44"/>
          <w:u w:val="single"/>
        </w:rPr>
        <w:t>Framework of Standards</w:t>
      </w:r>
    </w:p>
    <w:p w:rsidR="00FE71F6" w:rsidRPr="00005959" w:rsidRDefault="00FE71F6" w:rsidP="002A4B80">
      <w:pPr>
        <w:spacing w:after="120"/>
        <w:jc w:val="center"/>
        <w:rPr>
          <w:rFonts w:cstheme="minorHAnsi"/>
          <w:b/>
          <w:color w:val="365F91" w:themeColor="accent1" w:themeShade="BF"/>
          <w:sz w:val="28"/>
          <w:szCs w:val="28"/>
        </w:rPr>
      </w:pPr>
      <w:proofErr w:type="gramStart"/>
      <w:r w:rsidRPr="00005959">
        <w:rPr>
          <w:rFonts w:cstheme="minorHAnsi"/>
          <w:b/>
          <w:color w:val="365F91" w:themeColor="accent1" w:themeShade="BF"/>
          <w:sz w:val="28"/>
          <w:szCs w:val="28"/>
        </w:rPr>
        <w:t>for</w:t>
      </w:r>
      <w:proofErr w:type="gramEnd"/>
    </w:p>
    <w:p w:rsidR="003C1AD4" w:rsidRPr="00005959" w:rsidRDefault="00FE71F6" w:rsidP="002A4B80">
      <w:pPr>
        <w:spacing w:after="240"/>
        <w:jc w:val="center"/>
        <w:rPr>
          <w:rFonts w:cstheme="minorHAnsi"/>
          <w:b/>
          <w:color w:val="365F91" w:themeColor="accent1" w:themeShade="BF"/>
          <w:sz w:val="44"/>
          <w:szCs w:val="44"/>
        </w:rPr>
      </w:pPr>
      <w:r w:rsidRPr="00005959">
        <w:rPr>
          <w:rFonts w:cstheme="minorHAnsi"/>
          <w:b/>
          <w:color w:val="365F91" w:themeColor="accent1" w:themeShade="BF"/>
          <w:sz w:val="44"/>
          <w:szCs w:val="44"/>
        </w:rPr>
        <w:t xml:space="preserve">Accreditation of </w:t>
      </w:r>
      <w:r w:rsidRPr="00005959">
        <w:rPr>
          <w:rFonts w:cstheme="minorHAnsi"/>
          <w:b/>
          <w:color w:val="365F91" w:themeColor="accent1" w:themeShade="BF"/>
          <w:sz w:val="44"/>
          <w:szCs w:val="44"/>
        </w:rPr>
        <w:br/>
        <w:t xml:space="preserve">Environmental Approvals </w:t>
      </w:r>
    </w:p>
    <w:p w:rsidR="00FE71F6" w:rsidRPr="00005959" w:rsidRDefault="00FE71F6" w:rsidP="003C1AD4">
      <w:pPr>
        <w:spacing w:after="120"/>
        <w:jc w:val="center"/>
        <w:rPr>
          <w:rFonts w:cstheme="minorHAnsi"/>
          <w:b/>
          <w:color w:val="365F91" w:themeColor="accent1" w:themeShade="BF"/>
          <w:sz w:val="28"/>
          <w:szCs w:val="28"/>
        </w:rPr>
      </w:pPr>
      <w:proofErr w:type="gramStart"/>
      <w:r w:rsidRPr="00005959">
        <w:rPr>
          <w:rFonts w:cstheme="minorHAnsi"/>
          <w:b/>
          <w:color w:val="365F91" w:themeColor="accent1" w:themeShade="BF"/>
          <w:sz w:val="28"/>
          <w:szCs w:val="28"/>
        </w:rPr>
        <w:t>under</w:t>
      </w:r>
      <w:proofErr w:type="gramEnd"/>
      <w:r w:rsidRPr="00005959">
        <w:rPr>
          <w:rFonts w:cstheme="minorHAnsi"/>
          <w:b/>
          <w:color w:val="365F91" w:themeColor="accent1" w:themeShade="BF"/>
          <w:sz w:val="28"/>
          <w:szCs w:val="28"/>
        </w:rPr>
        <w:t xml:space="preserve"> the</w:t>
      </w:r>
    </w:p>
    <w:p w:rsidR="00FE71F6" w:rsidRPr="00005959" w:rsidRDefault="00FE71F6" w:rsidP="002A4B80">
      <w:pPr>
        <w:spacing w:after="120"/>
        <w:jc w:val="center"/>
        <w:rPr>
          <w:rFonts w:cstheme="minorHAnsi"/>
          <w:b/>
          <w:color w:val="365F91" w:themeColor="accent1" w:themeShade="BF"/>
          <w:sz w:val="44"/>
          <w:szCs w:val="44"/>
        </w:rPr>
      </w:pPr>
      <w:r w:rsidRPr="00005959">
        <w:rPr>
          <w:rFonts w:cstheme="minorHAnsi"/>
          <w:b/>
          <w:i/>
          <w:color w:val="365F91" w:themeColor="accent1" w:themeShade="BF"/>
          <w:sz w:val="44"/>
          <w:szCs w:val="44"/>
        </w:rPr>
        <w:t>Environment Protection and Biodiversity Conservation Act 1999</w:t>
      </w:r>
    </w:p>
    <w:p w:rsidR="00FE71F6" w:rsidRPr="002A4B80" w:rsidRDefault="00FE71F6" w:rsidP="00FE71F6">
      <w:pPr>
        <w:jc w:val="center"/>
        <w:rPr>
          <w:sz w:val="44"/>
          <w:szCs w:val="44"/>
        </w:rPr>
      </w:pPr>
    </w:p>
    <w:p w:rsidR="00CD3279" w:rsidRDefault="00FE71F6" w:rsidP="00CD26D3">
      <w:pPr>
        <w:jc w:val="center"/>
        <w:rPr>
          <w:b/>
          <w:color w:val="365F91" w:themeColor="accent1" w:themeShade="BF"/>
          <w:sz w:val="36"/>
          <w:szCs w:val="36"/>
        </w:rPr>
        <w:sectPr w:rsidR="00CD3279" w:rsidSect="00CD3279">
          <w:headerReference w:type="default" r:id="rId8"/>
          <w:footerReference w:type="default" r:id="rId9"/>
          <w:endnotePr>
            <w:numFmt w:val="decimal"/>
          </w:endnotePr>
          <w:pgSz w:w="11906" w:h="16838"/>
          <w:pgMar w:top="1440" w:right="1440" w:bottom="1440" w:left="1440" w:header="709" w:footer="709" w:gutter="0"/>
          <w:cols w:space="708"/>
          <w:titlePg/>
          <w:docGrid w:linePitch="360"/>
        </w:sectPr>
      </w:pPr>
      <w:r w:rsidRPr="00A44E49">
        <w:br/>
      </w:r>
      <w:r w:rsidR="002A4B80">
        <w:rPr>
          <w:color w:val="365F91" w:themeColor="accent1" w:themeShade="BF"/>
          <w:sz w:val="36"/>
          <w:szCs w:val="36"/>
        </w:rPr>
        <w:br/>
      </w:r>
      <w:r w:rsidR="002A4B80">
        <w:rPr>
          <w:color w:val="365F91" w:themeColor="accent1" w:themeShade="BF"/>
          <w:sz w:val="36"/>
          <w:szCs w:val="36"/>
        </w:rPr>
        <w:br/>
      </w:r>
      <w:r w:rsidR="002A4B80">
        <w:rPr>
          <w:color w:val="365F91" w:themeColor="accent1" w:themeShade="BF"/>
          <w:sz w:val="36"/>
          <w:szCs w:val="36"/>
        </w:rPr>
        <w:br/>
      </w:r>
      <w:r w:rsidR="002A4B80">
        <w:rPr>
          <w:color w:val="365F91" w:themeColor="accent1" w:themeShade="BF"/>
          <w:sz w:val="36"/>
          <w:szCs w:val="36"/>
        </w:rPr>
        <w:br/>
      </w:r>
      <w:r w:rsidR="002A4B80">
        <w:rPr>
          <w:color w:val="365F91" w:themeColor="accent1" w:themeShade="BF"/>
          <w:sz w:val="36"/>
          <w:szCs w:val="36"/>
        </w:rPr>
        <w:br/>
      </w:r>
      <w:r w:rsidR="00E172AF" w:rsidRPr="002A4B80">
        <w:rPr>
          <w:b/>
          <w:color w:val="365F91" w:themeColor="accent1" w:themeShade="BF"/>
          <w:sz w:val="36"/>
          <w:szCs w:val="36"/>
        </w:rPr>
        <w:t>July</w:t>
      </w:r>
      <w:r w:rsidRPr="002A4B80">
        <w:rPr>
          <w:b/>
          <w:color w:val="365F91" w:themeColor="accent1" w:themeShade="BF"/>
          <w:sz w:val="36"/>
          <w:szCs w:val="36"/>
        </w:rPr>
        <w:t xml:space="preserve"> 2012</w:t>
      </w:r>
    </w:p>
    <w:p w:rsidR="002A4B80" w:rsidRPr="002A4B80" w:rsidRDefault="002A4B80" w:rsidP="00CD26D3">
      <w:pPr>
        <w:jc w:val="center"/>
        <w:rPr>
          <w:b/>
          <w:color w:val="365F91" w:themeColor="accent1" w:themeShade="BF"/>
          <w:sz w:val="36"/>
          <w:szCs w:val="36"/>
        </w:rPr>
      </w:pPr>
    </w:p>
    <w:p w:rsidR="002A4B80" w:rsidRDefault="002A4B80" w:rsidP="002A4B80">
      <w:r>
        <w:br w:type="page"/>
      </w:r>
    </w:p>
    <w:sdt>
      <w:sdtPr>
        <w:rPr>
          <w:rFonts w:asciiTheme="minorHAnsi" w:eastAsiaTheme="minorHAnsi" w:hAnsiTheme="minorHAnsi" w:cstheme="minorBidi"/>
          <w:b w:val="0"/>
          <w:bCs w:val="0"/>
          <w:color w:val="auto"/>
          <w:sz w:val="22"/>
          <w:szCs w:val="22"/>
        </w:rPr>
        <w:id w:val="527682652"/>
        <w:docPartObj>
          <w:docPartGallery w:val="Table of Contents"/>
          <w:docPartUnique/>
        </w:docPartObj>
      </w:sdtPr>
      <w:sdtEndPr>
        <w:rPr>
          <w:noProof/>
        </w:rPr>
      </w:sdtEndPr>
      <w:sdtContent>
        <w:p w:rsidR="00FE71F6" w:rsidRPr="00A44E49" w:rsidRDefault="00FE71F6" w:rsidP="00AD535F">
          <w:pPr>
            <w:pStyle w:val="Heading2"/>
          </w:pPr>
        </w:p>
        <w:bookmarkStart w:id="1" w:name="_GoBack"/>
        <w:bookmarkEnd w:id="1"/>
        <w:p w:rsidR="00A72285" w:rsidRDefault="003A2851">
          <w:pPr>
            <w:pStyle w:val="TOC1"/>
            <w:rPr>
              <w:rFonts w:eastAsiaTheme="minorEastAsia"/>
              <w:b w:val="0"/>
              <w:lang w:eastAsia="en-AU"/>
            </w:rPr>
          </w:pPr>
          <w:r w:rsidRPr="003A2851">
            <w:fldChar w:fldCharType="begin"/>
          </w:r>
          <w:r w:rsidR="00FE71F6" w:rsidRPr="00A44E49">
            <w:instrText xml:space="preserve"> TOC \o "1-3" \h \z \u </w:instrText>
          </w:r>
          <w:r w:rsidRPr="003A2851">
            <w:fldChar w:fldCharType="separate"/>
          </w:r>
          <w:hyperlink w:anchor="_Toc339368169" w:history="1">
            <w:r w:rsidR="00A72285" w:rsidRPr="00BA5638">
              <w:rPr>
                <w:rStyle w:val="Hyperlink"/>
              </w:rPr>
              <w:t>Preface</w:t>
            </w:r>
            <w:r w:rsidR="00A72285">
              <w:rPr>
                <w:webHidden/>
              </w:rPr>
              <w:tab/>
            </w:r>
            <w:r>
              <w:rPr>
                <w:webHidden/>
              </w:rPr>
              <w:fldChar w:fldCharType="begin"/>
            </w:r>
            <w:r w:rsidR="00A72285">
              <w:rPr>
                <w:webHidden/>
              </w:rPr>
              <w:instrText xml:space="preserve"> PAGEREF _Toc339368169 \h </w:instrText>
            </w:r>
            <w:r>
              <w:rPr>
                <w:webHidden/>
              </w:rPr>
            </w:r>
            <w:r>
              <w:rPr>
                <w:webHidden/>
              </w:rPr>
              <w:fldChar w:fldCharType="separate"/>
            </w:r>
            <w:r w:rsidR="00A72285">
              <w:rPr>
                <w:webHidden/>
              </w:rPr>
              <w:t>4</w:t>
            </w:r>
            <w:r>
              <w:rPr>
                <w:webHidden/>
              </w:rPr>
              <w:fldChar w:fldCharType="end"/>
            </w:r>
          </w:hyperlink>
        </w:p>
        <w:p w:rsidR="00A72285" w:rsidRDefault="003A2851">
          <w:pPr>
            <w:pStyle w:val="TOC1"/>
            <w:rPr>
              <w:rFonts w:eastAsiaTheme="minorEastAsia"/>
              <w:b w:val="0"/>
              <w:lang w:eastAsia="en-AU"/>
            </w:rPr>
          </w:pPr>
          <w:hyperlink w:anchor="_Toc339368170" w:history="1">
            <w:r w:rsidR="00A72285" w:rsidRPr="00BA5638">
              <w:rPr>
                <w:rStyle w:val="Hyperlink"/>
              </w:rPr>
              <w:t>1.</w:t>
            </w:r>
            <w:r w:rsidR="00A72285">
              <w:rPr>
                <w:rFonts w:eastAsiaTheme="minorEastAsia"/>
                <w:b w:val="0"/>
                <w:lang w:eastAsia="en-AU"/>
              </w:rPr>
              <w:tab/>
            </w:r>
            <w:r w:rsidR="00A72285" w:rsidRPr="00BA5638">
              <w:rPr>
                <w:rStyle w:val="Hyperlink"/>
              </w:rPr>
              <w:t>Introduction</w:t>
            </w:r>
            <w:r w:rsidR="00A72285">
              <w:rPr>
                <w:webHidden/>
              </w:rPr>
              <w:tab/>
            </w:r>
            <w:r>
              <w:rPr>
                <w:webHidden/>
              </w:rPr>
              <w:fldChar w:fldCharType="begin"/>
            </w:r>
            <w:r w:rsidR="00A72285">
              <w:rPr>
                <w:webHidden/>
              </w:rPr>
              <w:instrText xml:space="preserve"> PAGEREF _Toc339368170 \h </w:instrText>
            </w:r>
            <w:r>
              <w:rPr>
                <w:webHidden/>
              </w:rPr>
            </w:r>
            <w:r>
              <w:rPr>
                <w:webHidden/>
              </w:rPr>
              <w:fldChar w:fldCharType="separate"/>
            </w:r>
            <w:r w:rsidR="00A72285">
              <w:rPr>
                <w:webHidden/>
              </w:rPr>
              <w:t>5</w:t>
            </w:r>
            <w:r>
              <w:rPr>
                <w:webHidden/>
              </w:rPr>
              <w:fldChar w:fldCharType="end"/>
            </w:r>
          </w:hyperlink>
        </w:p>
        <w:p w:rsidR="00A72285" w:rsidRDefault="003A2851">
          <w:pPr>
            <w:pStyle w:val="TOC2"/>
            <w:tabs>
              <w:tab w:val="right" w:leader="dot" w:pos="9016"/>
            </w:tabs>
            <w:rPr>
              <w:rFonts w:eastAsiaTheme="minorEastAsia"/>
              <w:noProof/>
              <w:lang w:eastAsia="en-AU"/>
            </w:rPr>
          </w:pPr>
          <w:hyperlink w:anchor="_Toc339368171" w:history="1">
            <w:r w:rsidR="00A72285" w:rsidRPr="00BA5638">
              <w:rPr>
                <w:rStyle w:val="Hyperlink"/>
                <w:noProof/>
              </w:rPr>
              <w:t>Purpose of this Framework</w:t>
            </w:r>
            <w:r w:rsidR="00A72285">
              <w:rPr>
                <w:noProof/>
                <w:webHidden/>
              </w:rPr>
              <w:tab/>
            </w:r>
            <w:r>
              <w:rPr>
                <w:noProof/>
                <w:webHidden/>
              </w:rPr>
              <w:fldChar w:fldCharType="begin"/>
            </w:r>
            <w:r w:rsidR="00A72285">
              <w:rPr>
                <w:noProof/>
                <w:webHidden/>
              </w:rPr>
              <w:instrText xml:space="preserve"> PAGEREF _Toc339368171 \h </w:instrText>
            </w:r>
            <w:r>
              <w:rPr>
                <w:noProof/>
                <w:webHidden/>
              </w:rPr>
            </w:r>
            <w:r>
              <w:rPr>
                <w:noProof/>
                <w:webHidden/>
              </w:rPr>
              <w:fldChar w:fldCharType="separate"/>
            </w:r>
            <w:r w:rsidR="00A72285">
              <w:rPr>
                <w:noProof/>
                <w:webHidden/>
              </w:rPr>
              <w:t>5</w:t>
            </w:r>
            <w:r>
              <w:rPr>
                <w:noProof/>
                <w:webHidden/>
              </w:rPr>
              <w:fldChar w:fldCharType="end"/>
            </w:r>
          </w:hyperlink>
        </w:p>
        <w:p w:rsidR="00A72285" w:rsidRDefault="003A2851">
          <w:pPr>
            <w:pStyle w:val="TOC1"/>
            <w:rPr>
              <w:rFonts w:eastAsiaTheme="minorEastAsia"/>
              <w:b w:val="0"/>
              <w:lang w:eastAsia="en-AU"/>
            </w:rPr>
          </w:pPr>
          <w:hyperlink w:anchor="_Toc339368172" w:history="1">
            <w:r w:rsidR="00A72285" w:rsidRPr="00BA5638">
              <w:rPr>
                <w:rStyle w:val="Hyperlink"/>
              </w:rPr>
              <w:t>2.</w:t>
            </w:r>
            <w:r w:rsidR="00A72285">
              <w:rPr>
                <w:rFonts w:eastAsiaTheme="minorEastAsia"/>
                <w:b w:val="0"/>
                <w:lang w:eastAsia="en-AU"/>
              </w:rPr>
              <w:tab/>
            </w:r>
            <w:r w:rsidR="00A72285" w:rsidRPr="00BA5638">
              <w:rPr>
                <w:rStyle w:val="Hyperlink"/>
              </w:rPr>
              <w:t>Context</w:t>
            </w:r>
            <w:r w:rsidR="00A72285">
              <w:rPr>
                <w:webHidden/>
              </w:rPr>
              <w:tab/>
            </w:r>
            <w:r>
              <w:rPr>
                <w:webHidden/>
              </w:rPr>
              <w:fldChar w:fldCharType="begin"/>
            </w:r>
            <w:r w:rsidR="00A72285">
              <w:rPr>
                <w:webHidden/>
              </w:rPr>
              <w:instrText xml:space="preserve"> PAGEREF _Toc339368172 \h </w:instrText>
            </w:r>
            <w:r>
              <w:rPr>
                <w:webHidden/>
              </w:rPr>
            </w:r>
            <w:r>
              <w:rPr>
                <w:webHidden/>
              </w:rPr>
              <w:fldChar w:fldCharType="separate"/>
            </w:r>
            <w:r w:rsidR="00A72285">
              <w:rPr>
                <w:webHidden/>
              </w:rPr>
              <w:t>5</w:t>
            </w:r>
            <w:r>
              <w:rPr>
                <w:webHidden/>
              </w:rPr>
              <w:fldChar w:fldCharType="end"/>
            </w:r>
          </w:hyperlink>
        </w:p>
        <w:p w:rsidR="00A72285" w:rsidRDefault="003A2851">
          <w:pPr>
            <w:pStyle w:val="TOC2"/>
            <w:tabs>
              <w:tab w:val="right" w:leader="dot" w:pos="9016"/>
            </w:tabs>
            <w:rPr>
              <w:rFonts w:eastAsiaTheme="minorEastAsia"/>
              <w:noProof/>
              <w:lang w:eastAsia="en-AU"/>
            </w:rPr>
          </w:pPr>
          <w:hyperlink w:anchor="_Toc339368173" w:history="1">
            <w:r w:rsidR="00A72285" w:rsidRPr="00BA5638">
              <w:rPr>
                <w:rStyle w:val="Hyperlink"/>
                <w:noProof/>
              </w:rPr>
              <w:t>Overview of the EPBC Act</w:t>
            </w:r>
            <w:r w:rsidR="00A72285">
              <w:rPr>
                <w:noProof/>
                <w:webHidden/>
              </w:rPr>
              <w:tab/>
            </w:r>
            <w:r>
              <w:rPr>
                <w:noProof/>
                <w:webHidden/>
              </w:rPr>
              <w:fldChar w:fldCharType="begin"/>
            </w:r>
            <w:r w:rsidR="00A72285">
              <w:rPr>
                <w:noProof/>
                <w:webHidden/>
              </w:rPr>
              <w:instrText xml:space="preserve"> PAGEREF _Toc339368173 \h </w:instrText>
            </w:r>
            <w:r>
              <w:rPr>
                <w:noProof/>
                <w:webHidden/>
              </w:rPr>
            </w:r>
            <w:r>
              <w:rPr>
                <w:noProof/>
                <w:webHidden/>
              </w:rPr>
              <w:fldChar w:fldCharType="separate"/>
            </w:r>
            <w:r w:rsidR="00A72285">
              <w:rPr>
                <w:noProof/>
                <w:webHidden/>
              </w:rPr>
              <w:t>5</w:t>
            </w:r>
            <w:r>
              <w:rPr>
                <w:noProof/>
                <w:webHidden/>
              </w:rPr>
              <w:fldChar w:fldCharType="end"/>
            </w:r>
          </w:hyperlink>
        </w:p>
        <w:p w:rsidR="00A72285" w:rsidRDefault="003A2851">
          <w:pPr>
            <w:pStyle w:val="TOC2"/>
            <w:tabs>
              <w:tab w:val="right" w:leader="dot" w:pos="9016"/>
            </w:tabs>
            <w:rPr>
              <w:rFonts w:eastAsiaTheme="minorEastAsia"/>
              <w:noProof/>
              <w:lang w:eastAsia="en-AU"/>
            </w:rPr>
          </w:pPr>
          <w:hyperlink w:anchor="_Toc339368174" w:history="1">
            <w:r w:rsidR="00A72285" w:rsidRPr="00BA5638">
              <w:rPr>
                <w:rStyle w:val="Hyperlink"/>
                <w:noProof/>
              </w:rPr>
              <w:t>A risk-based threshold for environmental regulation</w:t>
            </w:r>
            <w:r w:rsidR="00A72285">
              <w:rPr>
                <w:noProof/>
                <w:webHidden/>
              </w:rPr>
              <w:tab/>
            </w:r>
            <w:r>
              <w:rPr>
                <w:noProof/>
                <w:webHidden/>
              </w:rPr>
              <w:fldChar w:fldCharType="begin"/>
            </w:r>
            <w:r w:rsidR="00A72285">
              <w:rPr>
                <w:noProof/>
                <w:webHidden/>
              </w:rPr>
              <w:instrText xml:space="preserve"> PAGEREF _Toc339368174 \h </w:instrText>
            </w:r>
            <w:r>
              <w:rPr>
                <w:noProof/>
                <w:webHidden/>
              </w:rPr>
            </w:r>
            <w:r>
              <w:rPr>
                <w:noProof/>
                <w:webHidden/>
              </w:rPr>
              <w:fldChar w:fldCharType="separate"/>
            </w:r>
            <w:r w:rsidR="00A72285">
              <w:rPr>
                <w:noProof/>
                <w:webHidden/>
              </w:rPr>
              <w:t>7</w:t>
            </w:r>
            <w:r>
              <w:rPr>
                <w:noProof/>
                <w:webHidden/>
              </w:rPr>
              <w:fldChar w:fldCharType="end"/>
            </w:r>
          </w:hyperlink>
        </w:p>
        <w:p w:rsidR="00A72285" w:rsidRDefault="003A2851">
          <w:pPr>
            <w:pStyle w:val="TOC2"/>
            <w:tabs>
              <w:tab w:val="right" w:leader="dot" w:pos="9016"/>
            </w:tabs>
            <w:rPr>
              <w:rFonts w:eastAsiaTheme="minorEastAsia"/>
              <w:noProof/>
              <w:lang w:eastAsia="en-AU"/>
            </w:rPr>
          </w:pPr>
          <w:hyperlink w:anchor="_Toc339368175" w:history="1">
            <w:r w:rsidR="00A72285" w:rsidRPr="00BA5638">
              <w:rPr>
                <w:rStyle w:val="Hyperlink"/>
                <w:noProof/>
              </w:rPr>
              <w:t>Accreditation of State and Territory environment approvals</w:t>
            </w:r>
            <w:r w:rsidR="00A72285">
              <w:rPr>
                <w:noProof/>
                <w:webHidden/>
              </w:rPr>
              <w:tab/>
            </w:r>
            <w:r>
              <w:rPr>
                <w:noProof/>
                <w:webHidden/>
              </w:rPr>
              <w:fldChar w:fldCharType="begin"/>
            </w:r>
            <w:r w:rsidR="00A72285">
              <w:rPr>
                <w:noProof/>
                <w:webHidden/>
              </w:rPr>
              <w:instrText xml:space="preserve"> PAGEREF _Toc339368175 \h </w:instrText>
            </w:r>
            <w:r>
              <w:rPr>
                <w:noProof/>
                <w:webHidden/>
              </w:rPr>
            </w:r>
            <w:r>
              <w:rPr>
                <w:noProof/>
                <w:webHidden/>
              </w:rPr>
              <w:fldChar w:fldCharType="separate"/>
            </w:r>
            <w:r w:rsidR="00A72285">
              <w:rPr>
                <w:noProof/>
                <w:webHidden/>
              </w:rPr>
              <w:t>7</w:t>
            </w:r>
            <w:r>
              <w:rPr>
                <w:noProof/>
                <w:webHidden/>
              </w:rPr>
              <w:fldChar w:fldCharType="end"/>
            </w:r>
          </w:hyperlink>
        </w:p>
        <w:p w:rsidR="00A72285" w:rsidRDefault="003A2851">
          <w:pPr>
            <w:pStyle w:val="TOC2"/>
            <w:tabs>
              <w:tab w:val="right" w:leader="dot" w:pos="9016"/>
            </w:tabs>
            <w:rPr>
              <w:rFonts w:eastAsiaTheme="minorEastAsia"/>
              <w:noProof/>
              <w:lang w:eastAsia="en-AU"/>
            </w:rPr>
          </w:pPr>
          <w:hyperlink w:anchor="_Toc339368176" w:history="1">
            <w:r w:rsidR="00A72285" w:rsidRPr="00BA5638">
              <w:rPr>
                <w:rStyle w:val="Hyperlink"/>
                <w:noProof/>
              </w:rPr>
              <w:t>Prerequisites for agreeing bilateral agreements</w:t>
            </w:r>
            <w:r w:rsidR="00A72285">
              <w:rPr>
                <w:noProof/>
                <w:webHidden/>
              </w:rPr>
              <w:tab/>
            </w:r>
            <w:r>
              <w:rPr>
                <w:noProof/>
                <w:webHidden/>
              </w:rPr>
              <w:fldChar w:fldCharType="begin"/>
            </w:r>
            <w:r w:rsidR="00A72285">
              <w:rPr>
                <w:noProof/>
                <w:webHidden/>
              </w:rPr>
              <w:instrText xml:space="preserve"> PAGEREF _Toc339368176 \h </w:instrText>
            </w:r>
            <w:r>
              <w:rPr>
                <w:noProof/>
                <w:webHidden/>
              </w:rPr>
            </w:r>
            <w:r>
              <w:rPr>
                <w:noProof/>
                <w:webHidden/>
              </w:rPr>
              <w:fldChar w:fldCharType="separate"/>
            </w:r>
            <w:r w:rsidR="00A72285">
              <w:rPr>
                <w:noProof/>
                <w:webHidden/>
              </w:rPr>
              <w:t>7</w:t>
            </w:r>
            <w:r>
              <w:rPr>
                <w:noProof/>
                <w:webHidden/>
              </w:rPr>
              <w:fldChar w:fldCharType="end"/>
            </w:r>
          </w:hyperlink>
        </w:p>
        <w:p w:rsidR="00A72285" w:rsidRDefault="003A2851">
          <w:pPr>
            <w:pStyle w:val="TOC2"/>
            <w:tabs>
              <w:tab w:val="right" w:leader="dot" w:pos="9016"/>
            </w:tabs>
            <w:rPr>
              <w:rFonts w:eastAsiaTheme="minorEastAsia"/>
              <w:noProof/>
              <w:lang w:eastAsia="en-AU"/>
            </w:rPr>
          </w:pPr>
          <w:hyperlink w:anchor="_Toc339368177" w:history="1">
            <w:r w:rsidR="00A72285" w:rsidRPr="00BA5638">
              <w:rPr>
                <w:rStyle w:val="Hyperlink"/>
                <w:noProof/>
              </w:rPr>
              <w:t>Overarching vision</w:t>
            </w:r>
            <w:r w:rsidR="00A72285">
              <w:rPr>
                <w:noProof/>
                <w:webHidden/>
              </w:rPr>
              <w:tab/>
            </w:r>
            <w:r>
              <w:rPr>
                <w:noProof/>
                <w:webHidden/>
              </w:rPr>
              <w:fldChar w:fldCharType="begin"/>
            </w:r>
            <w:r w:rsidR="00A72285">
              <w:rPr>
                <w:noProof/>
                <w:webHidden/>
              </w:rPr>
              <w:instrText xml:space="preserve"> PAGEREF _Toc339368177 \h </w:instrText>
            </w:r>
            <w:r>
              <w:rPr>
                <w:noProof/>
                <w:webHidden/>
              </w:rPr>
            </w:r>
            <w:r>
              <w:rPr>
                <w:noProof/>
                <w:webHidden/>
              </w:rPr>
              <w:fldChar w:fldCharType="separate"/>
            </w:r>
            <w:r w:rsidR="00A72285">
              <w:rPr>
                <w:noProof/>
                <w:webHidden/>
              </w:rPr>
              <w:t>8</w:t>
            </w:r>
            <w:r>
              <w:rPr>
                <w:noProof/>
                <w:webHidden/>
              </w:rPr>
              <w:fldChar w:fldCharType="end"/>
            </w:r>
          </w:hyperlink>
        </w:p>
        <w:p w:rsidR="00A72285" w:rsidRDefault="003A2851">
          <w:pPr>
            <w:pStyle w:val="TOC1"/>
            <w:rPr>
              <w:rFonts w:eastAsiaTheme="minorEastAsia"/>
              <w:b w:val="0"/>
              <w:lang w:eastAsia="en-AU"/>
            </w:rPr>
          </w:pPr>
          <w:hyperlink w:anchor="_Toc339368178" w:history="1">
            <w:r w:rsidR="00A72285" w:rsidRPr="00BA5638">
              <w:rPr>
                <w:rStyle w:val="Hyperlink"/>
              </w:rPr>
              <w:t>3.</w:t>
            </w:r>
            <w:r w:rsidR="00A72285">
              <w:rPr>
                <w:rFonts w:eastAsiaTheme="minorEastAsia"/>
                <w:b w:val="0"/>
                <w:lang w:eastAsia="en-AU"/>
              </w:rPr>
              <w:tab/>
            </w:r>
            <w:r w:rsidR="00A72285" w:rsidRPr="00BA5638">
              <w:rPr>
                <w:rStyle w:val="Hyperlink"/>
              </w:rPr>
              <w:t>Approach to standards for accreditation</w:t>
            </w:r>
            <w:r w:rsidR="00A72285">
              <w:rPr>
                <w:webHidden/>
              </w:rPr>
              <w:tab/>
            </w:r>
            <w:r>
              <w:rPr>
                <w:webHidden/>
              </w:rPr>
              <w:fldChar w:fldCharType="begin"/>
            </w:r>
            <w:r w:rsidR="00A72285">
              <w:rPr>
                <w:webHidden/>
              </w:rPr>
              <w:instrText xml:space="preserve"> PAGEREF _Toc339368178 \h </w:instrText>
            </w:r>
            <w:r>
              <w:rPr>
                <w:webHidden/>
              </w:rPr>
            </w:r>
            <w:r>
              <w:rPr>
                <w:webHidden/>
              </w:rPr>
              <w:fldChar w:fldCharType="separate"/>
            </w:r>
            <w:r w:rsidR="00A72285">
              <w:rPr>
                <w:webHidden/>
              </w:rPr>
              <w:t>9</w:t>
            </w:r>
            <w:r>
              <w:rPr>
                <w:webHidden/>
              </w:rPr>
              <w:fldChar w:fldCharType="end"/>
            </w:r>
          </w:hyperlink>
        </w:p>
        <w:p w:rsidR="00A72285" w:rsidRDefault="003A2851">
          <w:pPr>
            <w:pStyle w:val="TOC2"/>
            <w:tabs>
              <w:tab w:val="right" w:leader="dot" w:pos="9016"/>
            </w:tabs>
            <w:rPr>
              <w:rFonts w:eastAsiaTheme="minorEastAsia"/>
              <w:noProof/>
              <w:lang w:eastAsia="en-AU"/>
            </w:rPr>
          </w:pPr>
          <w:hyperlink w:anchor="_Toc339368179" w:history="1">
            <w:r w:rsidR="00A72285" w:rsidRPr="00BA5638">
              <w:rPr>
                <w:rStyle w:val="Hyperlink"/>
                <w:noProof/>
              </w:rPr>
              <w:t>A proposed approach to achieving assurance and flexibility</w:t>
            </w:r>
            <w:r w:rsidR="00A72285">
              <w:rPr>
                <w:noProof/>
                <w:webHidden/>
              </w:rPr>
              <w:tab/>
            </w:r>
            <w:r>
              <w:rPr>
                <w:noProof/>
                <w:webHidden/>
              </w:rPr>
              <w:fldChar w:fldCharType="begin"/>
            </w:r>
            <w:r w:rsidR="00A72285">
              <w:rPr>
                <w:noProof/>
                <w:webHidden/>
              </w:rPr>
              <w:instrText xml:space="preserve"> PAGEREF _Toc339368179 \h </w:instrText>
            </w:r>
            <w:r>
              <w:rPr>
                <w:noProof/>
                <w:webHidden/>
              </w:rPr>
            </w:r>
            <w:r>
              <w:rPr>
                <w:noProof/>
                <w:webHidden/>
              </w:rPr>
              <w:fldChar w:fldCharType="separate"/>
            </w:r>
            <w:r w:rsidR="00A72285">
              <w:rPr>
                <w:noProof/>
                <w:webHidden/>
              </w:rPr>
              <w:t>9</w:t>
            </w:r>
            <w:r>
              <w:rPr>
                <w:noProof/>
                <w:webHidden/>
              </w:rPr>
              <w:fldChar w:fldCharType="end"/>
            </w:r>
          </w:hyperlink>
        </w:p>
        <w:p w:rsidR="00A72285" w:rsidRDefault="003A2851">
          <w:pPr>
            <w:pStyle w:val="TOC1"/>
            <w:rPr>
              <w:rFonts w:eastAsiaTheme="minorEastAsia"/>
              <w:b w:val="0"/>
              <w:lang w:eastAsia="en-AU"/>
            </w:rPr>
          </w:pPr>
          <w:hyperlink w:anchor="_Toc339368180" w:history="1">
            <w:r w:rsidR="00A72285" w:rsidRPr="00BA5638">
              <w:rPr>
                <w:rStyle w:val="Hyperlink"/>
              </w:rPr>
              <w:t>4.</w:t>
            </w:r>
            <w:r w:rsidR="00A72285">
              <w:rPr>
                <w:rFonts w:eastAsiaTheme="minorEastAsia"/>
                <w:b w:val="0"/>
                <w:lang w:eastAsia="en-AU"/>
              </w:rPr>
              <w:tab/>
            </w:r>
            <w:r w:rsidR="00A72285" w:rsidRPr="00BA5638">
              <w:rPr>
                <w:rStyle w:val="Hyperlink"/>
              </w:rPr>
              <w:t>Standards for the environment and systems</w:t>
            </w:r>
            <w:r w:rsidR="00A72285">
              <w:rPr>
                <w:webHidden/>
              </w:rPr>
              <w:tab/>
            </w:r>
            <w:r>
              <w:rPr>
                <w:webHidden/>
              </w:rPr>
              <w:fldChar w:fldCharType="begin"/>
            </w:r>
            <w:r w:rsidR="00A72285">
              <w:rPr>
                <w:webHidden/>
              </w:rPr>
              <w:instrText xml:space="preserve"> PAGEREF _Toc339368180 \h </w:instrText>
            </w:r>
            <w:r>
              <w:rPr>
                <w:webHidden/>
              </w:rPr>
            </w:r>
            <w:r>
              <w:rPr>
                <w:webHidden/>
              </w:rPr>
              <w:fldChar w:fldCharType="separate"/>
            </w:r>
            <w:r w:rsidR="00A72285">
              <w:rPr>
                <w:webHidden/>
              </w:rPr>
              <w:t>10</w:t>
            </w:r>
            <w:r>
              <w:rPr>
                <w:webHidden/>
              </w:rPr>
              <w:fldChar w:fldCharType="end"/>
            </w:r>
          </w:hyperlink>
        </w:p>
        <w:p w:rsidR="00A72285" w:rsidRDefault="003A2851">
          <w:pPr>
            <w:pStyle w:val="TOC2"/>
            <w:tabs>
              <w:tab w:val="right" w:leader="dot" w:pos="9016"/>
            </w:tabs>
            <w:rPr>
              <w:rFonts w:eastAsiaTheme="minorEastAsia"/>
              <w:noProof/>
              <w:lang w:eastAsia="en-AU"/>
            </w:rPr>
          </w:pPr>
          <w:hyperlink w:anchor="_Toc339368181" w:history="1">
            <w:r w:rsidR="00A72285" w:rsidRPr="00BA5638">
              <w:rPr>
                <w:rStyle w:val="Hyperlink"/>
                <w:noProof/>
              </w:rPr>
              <w:t>Environmental Standards</w:t>
            </w:r>
            <w:r w:rsidR="00A72285">
              <w:rPr>
                <w:noProof/>
                <w:webHidden/>
              </w:rPr>
              <w:tab/>
            </w:r>
            <w:r>
              <w:rPr>
                <w:noProof/>
                <w:webHidden/>
              </w:rPr>
              <w:fldChar w:fldCharType="begin"/>
            </w:r>
            <w:r w:rsidR="00A72285">
              <w:rPr>
                <w:noProof/>
                <w:webHidden/>
              </w:rPr>
              <w:instrText xml:space="preserve"> PAGEREF _Toc339368181 \h </w:instrText>
            </w:r>
            <w:r>
              <w:rPr>
                <w:noProof/>
                <w:webHidden/>
              </w:rPr>
            </w:r>
            <w:r>
              <w:rPr>
                <w:noProof/>
                <w:webHidden/>
              </w:rPr>
              <w:fldChar w:fldCharType="separate"/>
            </w:r>
            <w:r w:rsidR="00A72285">
              <w:rPr>
                <w:noProof/>
                <w:webHidden/>
              </w:rPr>
              <w:t>11</w:t>
            </w:r>
            <w:r>
              <w:rPr>
                <w:noProof/>
                <w:webHidden/>
              </w:rPr>
              <w:fldChar w:fldCharType="end"/>
            </w:r>
          </w:hyperlink>
        </w:p>
        <w:p w:rsidR="00A72285" w:rsidRDefault="003A2851">
          <w:pPr>
            <w:pStyle w:val="TOC3"/>
            <w:tabs>
              <w:tab w:val="right" w:leader="dot" w:pos="9016"/>
            </w:tabs>
            <w:rPr>
              <w:rFonts w:eastAsiaTheme="minorEastAsia"/>
              <w:noProof/>
              <w:lang w:eastAsia="en-AU"/>
            </w:rPr>
          </w:pPr>
          <w:hyperlink w:anchor="_Toc339368182" w:history="1">
            <w:r w:rsidR="00A72285" w:rsidRPr="00BA5638">
              <w:rPr>
                <w:rStyle w:val="Hyperlink"/>
                <w:noProof/>
              </w:rPr>
              <w:t>Environmental Outcomes for all Matters of National Environmental Significance</w:t>
            </w:r>
            <w:r w:rsidR="00A72285">
              <w:rPr>
                <w:noProof/>
                <w:webHidden/>
              </w:rPr>
              <w:tab/>
            </w:r>
            <w:r>
              <w:rPr>
                <w:noProof/>
                <w:webHidden/>
              </w:rPr>
              <w:fldChar w:fldCharType="begin"/>
            </w:r>
            <w:r w:rsidR="00A72285">
              <w:rPr>
                <w:noProof/>
                <w:webHidden/>
              </w:rPr>
              <w:instrText xml:space="preserve"> PAGEREF _Toc339368182 \h </w:instrText>
            </w:r>
            <w:r>
              <w:rPr>
                <w:noProof/>
                <w:webHidden/>
              </w:rPr>
            </w:r>
            <w:r>
              <w:rPr>
                <w:noProof/>
                <w:webHidden/>
              </w:rPr>
              <w:fldChar w:fldCharType="separate"/>
            </w:r>
            <w:r w:rsidR="00A72285">
              <w:rPr>
                <w:noProof/>
                <w:webHidden/>
              </w:rPr>
              <w:t>11</w:t>
            </w:r>
            <w:r>
              <w:rPr>
                <w:noProof/>
                <w:webHidden/>
              </w:rPr>
              <w:fldChar w:fldCharType="end"/>
            </w:r>
          </w:hyperlink>
        </w:p>
        <w:p w:rsidR="00A72285" w:rsidRDefault="003A2851">
          <w:pPr>
            <w:pStyle w:val="TOC3"/>
            <w:tabs>
              <w:tab w:val="right" w:leader="dot" w:pos="9016"/>
            </w:tabs>
            <w:rPr>
              <w:rFonts w:eastAsiaTheme="minorEastAsia"/>
              <w:noProof/>
              <w:lang w:eastAsia="en-AU"/>
            </w:rPr>
          </w:pPr>
          <w:hyperlink w:anchor="_Toc339368183" w:history="1">
            <w:r w:rsidR="00A72285" w:rsidRPr="00BA5638">
              <w:rPr>
                <w:rStyle w:val="Hyperlink"/>
                <w:noProof/>
              </w:rPr>
              <w:t>Listed threatened species and ecological communities</w:t>
            </w:r>
            <w:r w:rsidR="00A72285">
              <w:rPr>
                <w:noProof/>
                <w:webHidden/>
              </w:rPr>
              <w:tab/>
            </w:r>
            <w:r>
              <w:rPr>
                <w:noProof/>
                <w:webHidden/>
              </w:rPr>
              <w:fldChar w:fldCharType="begin"/>
            </w:r>
            <w:r w:rsidR="00A72285">
              <w:rPr>
                <w:noProof/>
                <w:webHidden/>
              </w:rPr>
              <w:instrText xml:space="preserve"> PAGEREF _Toc339368183 \h </w:instrText>
            </w:r>
            <w:r>
              <w:rPr>
                <w:noProof/>
                <w:webHidden/>
              </w:rPr>
            </w:r>
            <w:r>
              <w:rPr>
                <w:noProof/>
                <w:webHidden/>
              </w:rPr>
              <w:fldChar w:fldCharType="separate"/>
            </w:r>
            <w:r w:rsidR="00A72285">
              <w:rPr>
                <w:noProof/>
                <w:webHidden/>
              </w:rPr>
              <w:t>12</w:t>
            </w:r>
            <w:r>
              <w:rPr>
                <w:noProof/>
                <w:webHidden/>
              </w:rPr>
              <w:fldChar w:fldCharType="end"/>
            </w:r>
          </w:hyperlink>
        </w:p>
        <w:p w:rsidR="00A72285" w:rsidRDefault="003A2851">
          <w:pPr>
            <w:pStyle w:val="TOC3"/>
            <w:tabs>
              <w:tab w:val="right" w:leader="dot" w:pos="9016"/>
            </w:tabs>
            <w:rPr>
              <w:rFonts w:eastAsiaTheme="minorEastAsia"/>
              <w:noProof/>
              <w:lang w:eastAsia="en-AU"/>
            </w:rPr>
          </w:pPr>
          <w:hyperlink w:anchor="_Toc339368184" w:history="1">
            <w:r w:rsidR="00A72285" w:rsidRPr="00BA5638">
              <w:rPr>
                <w:rStyle w:val="Hyperlink"/>
                <w:noProof/>
              </w:rPr>
              <w:t>Listed migratory species</w:t>
            </w:r>
            <w:r w:rsidR="00A72285">
              <w:rPr>
                <w:noProof/>
                <w:webHidden/>
              </w:rPr>
              <w:tab/>
            </w:r>
            <w:r>
              <w:rPr>
                <w:noProof/>
                <w:webHidden/>
              </w:rPr>
              <w:fldChar w:fldCharType="begin"/>
            </w:r>
            <w:r w:rsidR="00A72285">
              <w:rPr>
                <w:noProof/>
                <w:webHidden/>
              </w:rPr>
              <w:instrText xml:space="preserve"> PAGEREF _Toc339368184 \h </w:instrText>
            </w:r>
            <w:r>
              <w:rPr>
                <w:noProof/>
                <w:webHidden/>
              </w:rPr>
            </w:r>
            <w:r>
              <w:rPr>
                <w:noProof/>
                <w:webHidden/>
              </w:rPr>
              <w:fldChar w:fldCharType="separate"/>
            </w:r>
            <w:r w:rsidR="00A72285">
              <w:rPr>
                <w:noProof/>
                <w:webHidden/>
              </w:rPr>
              <w:t>13</w:t>
            </w:r>
            <w:r>
              <w:rPr>
                <w:noProof/>
                <w:webHidden/>
              </w:rPr>
              <w:fldChar w:fldCharType="end"/>
            </w:r>
          </w:hyperlink>
        </w:p>
        <w:p w:rsidR="00A72285" w:rsidRDefault="003A2851">
          <w:pPr>
            <w:pStyle w:val="TOC3"/>
            <w:tabs>
              <w:tab w:val="right" w:leader="dot" w:pos="9016"/>
            </w:tabs>
            <w:rPr>
              <w:rFonts w:eastAsiaTheme="minorEastAsia"/>
              <w:noProof/>
              <w:lang w:eastAsia="en-AU"/>
            </w:rPr>
          </w:pPr>
          <w:hyperlink w:anchor="_Toc339368185" w:history="1">
            <w:r w:rsidR="00A72285" w:rsidRPr="00BA5638">
              <w:rPr>
                <w:rStyle w:val="Hyperlink"/>
                <w:noProof/>
              </w:rPr>
              <w:t>Wetlands of international importance</w:t>
            </w:r>
            <w:r w:rsidR="00A72285">
              <w:rPr>
                <w:noProof/>
                <w:webHidden/>
              </w:rPr>
              <w:tab/>
            </w:r>
            <w:r>
              <w:rPr>
                <w:noProof/>
                <w:webHidden/>
              </w:rPr>
              <w:fldChar w:fldCharType="begin"/>
            </w:r>
            <w:r w:rsidR="00A72285">
              <w:rPr>
                <w:noProof/>
                <w:webHidden/>
              </w:rPr>
              <w:instrText xml:space="preserve"> PAGEREF _Toc339368185 \h </w:instrText>
            </w:r>
            <w:r>
              <w:rPr>
                <w:noProof/>
                <w:webHidden/>
              </w:rPr>
            </w:r>
            <w:r>
              <w:rPr>
                <w:noProof/>
                <w:webHidden/>
              </w:rPr>
              <w:fldChar w:fldCharType="separate"/>
            </w:r>
            <w:r w:rsidR="00A72285">
              <w:rPr>
                <w:noProof/>
                <w:webHidden/>
              </w:rPr>
              <w:t>13</w:t>
            </w:r>
            <w:r>
              <w:rPr>
                <w:noProof/>
                <w:webHidden/>
              </w:rPr>
              <w:fldChar w:fldCharType="end"/>
            </w:r>
          </w:hyperlink>
        </w:p>
        <w:p w:rsidR="00A72285" w:rsidRDefault="003A2851">
          <w:pPr>
            <w:pStyle w:val="TOC3"/>
            <w:tabs>
              <w:tab w:val="right" w:leader="dot" w:pos="9016"/>
            </w:tabs>
            <w:rPr>
              <w:rFonts w:eastAsiaTheme="minorEastAsia"/>
              <w:noProof/>
              <w:lang w:eastAsia="en-AU"/>
            </w:rPr>
          </w:pPr>
          <w:hyperlink w:anchor="_Toc339368186" w:history="1">
            <w:r w:rsidR="00A72285" w:rsidRPr="00BA5638">
              <w:rPr>
                <w:rStyle w:val="Hyperlink"/>
                <w:noProof/>
              </w:rPr>
              <w:t>National Heritage</w:t>
            </w:r>
            <w:r w:rsidR="00A72285">
              <w:rPr>
                <w:noProof/>
                <w:webHidden/>
              </w:rPr>
              <w:tab/>
            </w:r>
            <w:r>
              <w:rPr>
                <w:noProof/>
                <w:webHidden/>
              </w:rPr>
              <w:fldChar w:fldCharType="begin"/>
            </w:r>
            <w:r w:rsidR="00A72285">
              <w:rPr>
                <w:noProof/>
                <w:webHidden/>
              </w:rPr>
              <w:instrText xml:space="preserve"> PAGEREF _Toc339368186 \h </w:instrText>
            </w:r>
            <w:r>
              <w:rPr>
                <w:noProof/>
                <w:webHidden/>
              </w:rPr>
            </w:r>
            <w:r>
              <w:rPr>
                <w:noProof/>
                <w:webHidden/>
              </w:rPr>
              <w:fldChar w:fldCharType="separate"/>
            </w:r>
            <w:r w:rsidR="00A72285">
              <w:rPr>
                <w:noProof/>
                <w:webHidden/>
              </w:rPr>
              <w:t>14</w:t>
            </w:r>
            <w:r>
              <w:rPr>
                <w:noProof/>
                <w:webHidden/>
              </w:rPr>
              <w:fldChar w:fldCharType="end"/>
            </w:r>
          </w:hyperlink>
        </w:p>
        <w:p w:rsidR="00A72285" w:rsidRDefault="003A2851">
          <w:pPr>
            <w:pStyle w:val="TOC3"/>
            <w:tabs>
              <w:tab w:val="right" w:leader="dot" w:pos="9016"/>
            </w:tabs>
            <w:rPr>
              <w:rFonts w:eastAsiaTheme="minorEastAsia"/>
              <w:noProof/>
              <w:lang w:eastAsia="en-AU"/>
            </w:rPr>
          </w:pPr>
          <w:hyperlink w:anchor="_Toc339368187" w:history="1">
            <w:r w:rsidR="00A72285" w:rsidRPr="00BA5638">
              <w:rPr>
                <w:rStyle w:val="Hyperlink"/>
                <w:noProof/>
              </w:rPr>
              <w:t>World Heritage properties</w:t>
            </w:r>
            <w:r w:rsidR="00A72285">
              <w:rPr>
                <w:noProof/>
                <w:webHidden/>
              </w:rPr>
              <w:tab/>
            </w:r>
            <w:r>
              <w:rPr>
                <w:noProof/>
                <w:webHidden/>
              </w:rPr>
              <w:fldChar w:fldCharType="begin"/>
            </w:r>
            <w:r w:rsidR="00A72285">
              <w:rPr>
                <w:noProof/>
                <w:webHidden/>
              </w:rPr>
              <w:instrText xml:space="preserve"> PAGEREF _Toc339368187 \h </w:instrText>
            </w:r>
            <w:r>
              <w:rPr>
                <w:noProof/>
                <w:webHidden/>
              </w:rPr>
            </w:r>
            <w:r>
              <w:rPr>
                <w:noProof/>
                <w:webHidden/>
              </w:rPr>
              <w:fldChar w:fldCharType="separate"/>
            </w:r>
            <w:r w:rsidR="00A72285">
              <w:rPr>
                <w:noProof/>
                <w:webHidden/>
              </w:rPr>
              <w:t>14</w:t>
            </w:r>
            <w:r>
              <w:rPr>
                <w:noProof/>
                <w:webHidden/>
              </w:rPr>
              <w:fldChar w:fldCharType="end"/>
            </w:r>
          </w:hyperlink>
        </w:p>
        <w:p w:rsidR="00A72285" w:rsidRDefault="003A2851">
          <w:pPr>
            <w:pStyle w:val="TOC3"/>
            <w:tabs>
              <w:tab w:val="right" w:leader="dot" w:pos="9016"/>
            </w:tabs>
            <w:rPr>
              <w:rFonts w:eastAsiaTheme="minorEastAsia"/>
              <w:noProof/>
              <w:lang w:eastAsia="en-AU"/>
            </w:rPr>
          </w:pPr>
          <w:hyperlink w:anchor="_Toc339368188" w:history="1">
            <w:r w:rsidR="00A72285" w:rsidRPr="00BA5638">
              <w:rPr>
                <w:rStyle w:val="Hyperlink"/>
                <w:noProof/>
              </w:rPr>
              <w:t>Protection of the environment from nuclear actions</w:t>
            </w:r>
            <w:r w:rsidR="00A72285">
              <w:rPr>
                <w:noProof/>
                <w:webHidden/>
              </w:rPr>
              <w:tab/>
            </w:r>
            <w:r>
              <w:rPr>
                <w:noProof/>
                <w:webHidden/>
              </w:rPr>
              <w:fldChar w:fldCharType="begin"/>
            </w:r>
            <w:r w:rsidR="00A72285">
              <w:rPr>
                <w:noProof/>
                <w:webHidden/>
              </w:rPr>
              <w:instrText xml:space="preserve"> PAGEREF _Toc339368188 \h </w:instrText>
            </w:r>
            <w:r>
              <w:rPr>
                <w:noProof/>
                <w:webHidden/>
              </w:rPr>
            </w:r>
            <w:r>
              <w:rPr>
                <w:noProof/>
                <w:webHidden/>
              </w:rPr>
              <w:fldChar w:fldCharType="separate"/>
            </w:r>
            <w:r w:rsidR="00A72285">
              <w:rPr>
                <w:noProof/>
                <w:webHidden/>
              </w:rPr>
              <w:t>15</w:t>
            </w:r>
            <w:r>
              <w:rPr>
                <w:noProof/>
                <w:webHidden/>
              </w:rPr>
              <w:fldChar w:fldCharType="end"/>
            </w:r>
          </w:hyperlink>
        </w:p>
        <w:p w:rsidR="00A72285" w:rsidRDefault="003A2851">
          <w:pPr>
            <w:pStyle w:val="TOC3"/>
            <w:tabs>
              <w:tab w:val="right" w:leader="dot" w:pos="9016"/>
            </w:tabs>
            <w:rPr>
              <w:rFonts w:eastAsiaTheme="minorEastAsia"/>
              <w:noProof/>
              <w:lang w:eastAsia="en-AU"/>
            </w:rPr>
          </w:pPr>
          <w:hyperlink w:anchor="_Toc339368189" w:history="1">
            <w:r w:rsidR="00A72285" w:rsidRPr="00BA5638">
              <w:rPr>
                <w:rStyle w:val="Hyperlink"/>
                <w:noProof/>
              </w:rPr>
              <w:t>Commonwealth marine environment</w:t>
            </w:r>
            <w:r w:rsidR="00A72285">
              <w:rPr>
                <w:noProof/>
                <w:webHidden/>
              </w:rPr>
              <w:tab/>
            </w:r>
            <w:r>
              <w:rPr>
                <w:noProof/>
                <w:webHidden/>
              </w:rPr>
              <w:fldChar w:fldCharType="begin"/>
            </w:r>
            <w:r w:rsidR="00A72285">
              <w:rPr>
                <w:noProof/>
                <w:webHidden/>
              </w:rPr>
              <w:instrText xml:space="preserve"> PAGEREF _Toc339368189 \h </w:instrText>
            </w:r>
            <w:r>
              <w:rPr>
                <w:noProof/>
                <w:webHidden/>
              </w:rPr>
            </w:r>
            <w:r>
              <w:rPr>
                <w:noProof/>
                <w:webHidden/>
              </w:rPr>
              <w:fldChar w:fldCharType="separate"/>
            </w:r>
            <w:r w:rsidR="00A72285">
              <w:rPr>
                <w:noProof/>
                <w:webHidden/>
              </w:rPr>
              <w:t>16</w:t>
            </w:r>
            <w:r>
              <w:rPr>
                <w:noProof/>
                <w:webHidden/>
              </w:rPr>
              <w:fldChar w:fldCharType="end"/>
            </w:r>
          </w:hyperlink>
        </w:p>
        <w:p w:rsidR="00A72285" w:rsidRDefault="003A2851">
          <w:pPr>
            <w:pStyle w:val="TOC3"/>
            <w:tabs>
              <w:tab w:val="right" w:leader="dot" w:pos="9016"/>
            </w:tabs>
            <w:rPr>
              <w:rFonts w:eastAsiaTheme="minorEastAsia"/>
              <w:noProof/>
              <w:lang w:eastAsia="en-AU"/>
            </w:rPr>
          </w:pPr>
          <w:hyperlink w:anchor="_Toc339368190" w:history="1">
            <w:r w:rsidR="00A72285" w:rsidRPr="00BA5638">
              <w:rPr>
                <w:rStyle w:val="Hyperlink"/>
                <w:noProof/>
              </w:rPr>
              <w:t>Great Barrier Reef Marine Park</w:t>
            </w:r>
            <w:r w:rsidR="00A72285">
              <w:rPr>
                <w:noProof/>
                <w:webHidden/>
              </w:rPr>
              <w:tab/>
            </w:r>
            <w:r>
              <w:rPr>
                <w:noProof/>
                <w:webHidden/>
              </w:rPr>
              <w:fldChar w:fldCharType="begin"/>
            </w:r>
            <w:r w:rsidR="00A72285">
              <w:rPr>
                <w:noProof/>
                <w:webHidden/>
              </w:rPr>
              <w:instrText xml:space="preserve"> PAGEREF _Toc339368190 \h </w:instrText>
            </w:r>
            <w:r>
              <w:rPr>
                <w:noProof/>
                <w:webHidden/>
              </w:rPr>
            </w:r>
            <w:r>
              <w:rPr>
                <w:noProof/>
                <w:webHidden/>
              </w:rPr>
              <w:fldChar w:fldCharType="separate"/>
            </w:r>
            <w:r w:rsidR="00A72285">
              <w:rPr>
                <w:noProof/>
                <w:webHidden/>
              </w:rPr>
              <w:t>16</w:t>
            </w:r>
            <w:r>
              <w:rPr>
                <w:noProof/>
                <w:webHidden/>
              </w:rPr>
              <w:fldChar w:fldCharType="end"/>
            </w:r>
          </w:hyperlink>
        </w:p>
        <w:p w:rsidR="00A72285" w:rsidRDefault="003A2851">
          <w:pPr>
            <w:pStyle w:val="TOC2"/>
            <w:tabs>
              <w:tab w:val="right" w:leader="dot" w:pos="9016"/>
            </w:tabs>
            <w:rPr>
              <w:rFonts w:eastAsiaTheme="minorEastAsia"/>
              <w:noProof/>
              <w:lang w:eastAsia="en-AU"/>
            </w:rPr>
          </w:pPr>
          <w:hyperlink w:anchor="_Toc339368191" w:history="1">
            <w:r w:rsidR="00A72285" w:rsidRPr="00BA5638">
              <w:rPr>
                <w:rStyle w:val="Hyperlink"/>
                <w:noProof/>
              </w:rPr>
              <w:t>System Standards</w:t>
            </w:r>
            <w:r w:rsidR="00A72285">
              <w:rPr>
                <w:noProof/>
                <w:webHidden/>
              </w:rPr>
              <w:tab/>
            </w:r>
            <w:r>
              <w:rPr>
                <w:noProof/>
                <w:webHidden/>
              </w:rPr>
              <w:fldChar w:fldCharType="begin"/>
            </w:r>
            <w:r w:rsidR="00A72285">
              <w:rPr>
                <w:noProof/>
                <w:webHidden/>
              </w:rPr>
              <w:instrText xml:space="preserve"> PAGEREF _Toc339368191 \h </w:instrText>
            </w:r>
            <w:r>
              <w:rPr>
                <w:noProof/>
                <w:webHidden/>
              </w:rPr>
            </w:r>
            <w:r>
              <w:rPr>
                <w:noProof/>
                <w:webHidden/>
              </w:rPr>
              <w:fldChar w:fldCharType="separate"/>
            </w:r>
            <w:r w:rsidR="00A72285">
              <w:rPr>
                <w:noProof/>
                <w:webHidden/>
              </w:rPr>
              <w:t>17</w:t>
            </w:r>
            <w:r>
              <w:rPr>
                <w:noProof/>
                <w:webHidden/>
              </w:rPr>
              <w:fldChar w:fldCharType="end"/>
            </w:r>
          </w:hyperlink>
        </w:p>
        <w:p w:rsidR="00A72285" w:rsidRDefault="003A2851">
          <w:pPr>
            <w:pStyle w:val="TOC3"/>
            <w:tabs>
              <w:tab w:val="right" w:leader="dot" w:pos="9016"/>
            </w:tabs>
            <w:rPr>
              <w:rFonts w:eastAsiaTheme="minorEastAsia"/>
              <w:noProof/>
              <w:lang w:eastAsia="en-AU"/>
            </w:rPr>
          </w:pPr>
          <w:hyperlink w:anchor="_Toc339368192" w:history="1">
            <w:r w:rsidR="00A72285" w:rsidRPr="00BA5638">
              <w:rPr>
                <w:rStyle w:val="Hyperlink"/>
                <w:noProof/>
              </w:rPr>
              <w:t>Identifying Matters of National Environmental Significance</w:t>
            </w:r>
            <w:r w:rsidR="00A72285">
              <w:rPr>
                <w:noProof/>
                <w:webHidden/>
              </w:rPr>
              <w:tab/>
            </w:r>
            <w:r>
              <w:rPr>
                <w:noProof/>
                <w:webHidden/>
              </w:rPr>
              <w:fldChar w:fldCharType="begin"/>
            </w:r>
            <w:r w:rsidR="00A72285">
              <w:rPr>
                <w:noProof/>
                <w:webHidden/>
              </w:rPr>
              <w:instrText xml:space="preserve"> PAGEREF _Toc339368192 \h </w:instrText>
            </w:r>
            <w:r>
              <w:rPr>
                <w:noProof/>
                <w:webHidden/>
              </w:rPr>
            </w:r>
            <w:r>
              <w:rPr>
                <w:noProof/>
                <w:webHidden/>
              </w:rPr>
              <w:fldChar w:fldCharType="separate"/>
            </w:r>
            <w:r w:rsidR="00A72285">
              <w:rPr>
                <w:noProof/>
                <w:webHidden/>
              </w:rPr>
              <w:t>17</w:t>
            </w:r>
            <w:r>
              <w:rPr>
                <w:noProof/>
                <w:webHidden/>
              </w:rPr>
              <w:fldChar w:fldCharType="end"/>
            </w:r>
          </w:hyperlink>
        </w:p>
        <w:p w:rsidR="00A72285" w:rsidRDefault="003A2851">
          <w:pPr>
            <w:pStyle w:val="TOC3"/>
            <w:tabs>
              <w:tab w:val="right" w:leader="dot" w:pos="9016"/>
            </w:tabs>
            <w:rPr>
              <w:rFonts w:eastAsiaTheme="minorEastAsia"/>
              <w:noProof/>
              <w:lang w:eastAsia="en-AU"/>
            </w:rPr>
          </w:pPr>
          <w:hyperlink w:anchor="_Toc339368193" w:history="1">
            <w:r w:rsidR="00A72285" w:rsidRPr="00BA5638">
              <w:rPr>
                <w:rStyle w:val="Hyperlink"/>
                <w:noProof/>
              </w:rPr>
              <w:t>Risk-based assessment</w:t>
            </w:r>
            <w:r w:rsidR="00A72285">
              <w:rPr>
                <w:noProof/>
                <w:webHidden/>
              </w:rPr>
              <w:tab/>
            </w:r>
            <w:r>
              <w:rPr>
                <w:noProof/>
                <w:webHidden/>
              </w:rPr>
              <w:fldChar w:fldCharType="begin"/>
            </w:r>
            <w:r w:rsidR="00A72285">
              <w:rPr>
                <w:noProof/>
                <w:webHidden/>
              </w:rPr>
              <w:instrText xml:space="preserve"> PAGEREF _Toc339368193 \h </w:instrText>
            </w:r>
            <w:r>
              <w:rPr>
                <w:noProof/>
                <w:webHidden/>
              </w:rPr>
            </w:r>
            <w:r>
              <w:rPr>
                <w:noProof/>
                <w:webHidden/>
              </w:rPr>
              <w:fldChar w:fldCharType="separate"/>
            </w:r>
            <w:r w:rsidR="00A72285">
              <w:rPr>
                <w:noProof/>
                <w:webHidden/>
              </w:rPr>
              <w:t>19</w:t>
            </w:r>
            <w:r>
              <w:rPr>
                <w:noProof/>
                <w:webHidden/>
              </w:rPr>
              <w:fldChar w:fldCharType="end"/>
            </w:r>
          </w:hyperlink>
        </w:p>
        <w:p w:rsidR="00A72285" w:rsidRDefault="003A2851">
          <w:pPr>
            <w:pStyle w:val="TOC3"/>
            <w:tabs>
              <w:tab w:val="right" w:leader="dot" w:pos="9016"/>
            </w:tabs>
            <w:rPr>
              <w:rFonts w:eastAsiaTheme="minorEastAsia"/>
              <w:noProof/>
              <w:lang w:eastAsia="en-AU"/>
            </w:rPr>
          </w:pPr>
          <w:hyperlink w:anchor="_Toc339368194" w:history="1">
            <w:r w:rsidR="00A72285" w:rsidRPr="00BA5638">
              <w:rPr>
                <w:rStyle w:val="Hyperlink"/>
                <w:noProof/>
              </w:rPr>
              <w:t>Adequate environmental assessment and approvals based on good policy</w:t>
            </w:r>
            <w:r w:rsidR="00A72285">
              <w:rPr>
                <w:noProof/>
                <w:webHidden/>
              </w:rPr>
              <w:tab/>
            </w:r>
            <w:r>
              <w:rPr>
                <w:noProof/>
                <w:webHidden/>
              </w:rPr>
              <w:fldChar w:fldCharType="begin"/>
            </w:r>
            <w:r w:rsidR="00A72285">
              <w:rPr>
                <w:noProof/>
                <w:webHidden/>
              </w:rPr>
              <w:instrText xml:space="preserve"> PAGEREF _Toc339368194 \h </w:instrText>
            </w:r>
            <w:r>
              <w:rPr>
                <w:noProof/>
                <w:webHidden/>
              </w:rPr>
            </w:r>
            <w:r>
              <w:rPr>
                <w:noProof/>
                <w:webHidden/>
              </w:rPr>
              <w:fldChar w:fldCharType="separate"/>
            </w:r>
            <w:r w:rsidR="00A72285">
              <w:rPr>
                <w:noProof/>
                <w:webHidden/>
              </w:rPr>
              <w:t>19</w:t>
            </w:r>
            <w:r>
              <w:rPr>
                <w:noProof/>
                <w:webHidden/>
              </w:rPr>
              <w:fldChar w:fldCharType="end"/>
            </w:r>
          </w:hyperlink>
        </w:p>
        <w:p w:rsidR="00A72285" w:rsidRDefault="003A2851">
          <w:pPr>
            <w:pStyle w:val="TOC3"/>
            <w:tabs>
              <w:tab w:val="right" w:leader="dot" w:pos="9016"/>
            </w:tabs>
            <w:rPr>
              <w:rFonts w:eastAsiaTheme="minorEastAsia"/>
              <w:noProof/>
              <w:lang w:eastAsia="en-AU"/>
            </w:rPr>
          </w:pPr>
          <w:hyperlink w:anchor="_Toc339368195" w:history="1">
            <w:r w:rsidR="00A72285" w:rsidRPr="00BA5638">
              <w:rPr>
                <w:rStyle w:val="Hyperlink"/>
                <w:noProof/>
              </w:rPr>
              <w:t>Transparent processes and decisions</w:t>
            </w:r>
            <w:r w:rsidR="00A72285">
              <w:rPr>
                <w:noProof/>
                <w:webHidden/>
              </w:rPr>
              <w:tab/>
            </w:r>
            <w:r>
              <w:rPr>
                <w:noProof/>
                <w:webHidden/>
              </w:rPr>
              <w:fldChar w:fldCharType="begin"/>
            </w:r>
            <w:r w:rsidR="00A72285">
              <w:rPr>
                <w:noProof/>
                <w:webHidden/>
              </w:rPr>
              <w:instrText xml:space="preserve"> PAGEREF _Toc339368195 \h </w:instrText>
            </w:r>
            <w:r>
              <w:rPr>
                <w:noProof/>
                <w:webHidden/>
              </w:rPr>
            </w:r>
            <w:r>
              <w:rPr>
                <w:noProof/>
                <w:webHidden/>
              </w:rPr>
              <w:fldChar w:fldCharType="separate"/>
            </w:r>
            <w:r w:rsidR="00A72285">
              <w:rPr>
                <w:noProof/>
                <w:webHidden/>
              </w:rPr>
              <w:t>22</w:t>
            </w:r>
            <w:r>
              <w:rPr>
                <w:noProof/>
                <w:webHidden/>
              </w:rPr>
              <w:fldChar w:fldCharType="end"/>
            </w:r>
          </w:hyperlink>
        </w:p>
        <w:p w:rsidR="00A72285" w:rsidRDefault="003A2851">
          <w:pPr>
            <w:pStyle w:val="TOC1"/>
            <w:rPr>
              <w:rFonts w:eastAsiaTheme="minorEastAsia"/>
              <w:b w:val="0"/>
              <w:lang w:eastAsia="en-AU"/>
            </w:rPr>
          </w:pPr>
          <w:hyperlink w:anchor="_Toc339368196" w:history="1">
            <w:r w:rsidR="00A72285" w:rsidRPr="00BA5638">
              <w:rPr>
                <w:rStyle w:val="Hyperlink"/>
              </w:rPr>
              <w:t>5.</w:t>
            </w:r>
            <w:r w:rsidR="00A72285">
              <w:rPr>
                <w:rFonts w:eastAsiaTheme="minorEastAsia"/>
                <w:b w:val="0"/>
                <w:lang w:eastAsia="en-AU"/>
              </w:rPr>
              <w:tab/>
            </w:r>
            <w:r w:rsidR="00A72285" w:rsidRPr="00BA5638">
              <w:rPr>
                <w:rStyle w:val="Hyperlink"/>
              </w:rPr>
              <w:t>Standards for assurance</w:t>
            </w:r>
            <w:r w:rsidR="00A72285">
              <w:rPr>
                <w:webHidden/>
              </w:rPr>
              <w:tab/>
            </w:r>
            <w:r>
              <w:rPr>
                <w:webHidden/>
              </w:rPr>
              <w:fldChar w:fldCharType="begin"/>
            </w:r>
            <w:r w:rsidR="00A72285">
              <w:rPr>
                <w:webHidden/>
              </w:rPr>
              <w:instrText xml:space="preserve"> PAGEREF _Toc339368196 \h </w:instrText>
            </w:r>
            <w:r>
              <w:rPr>
                <w:webHidden/>
              </w:rPr>
            </w:r>
            <w:r>
              <w:rPr>
                <w:webHidden/>
              </w:rPr>
              <w:fldChar w:fldCharType="separate"/>
            </w:r>
            <w:r w:rsidR="00A72285">
              <w:rPr>
                <w:webHidden/>
              </w:rPr>
              <w:t>23</w:t>
            </w:r>
            <w:r>
              <w:rPr>
                <w:webHidden/>
              </w:rPr>
              <w:fldChar w:fldCharType="end"/>
            </w:r>
          </w:hyperlink>
        </w:p>
        <w:p w:rsidR="00A72285" w:rsidRDefault="003A2851">
          <w:pPr>
            <w:pStyle w:val="TOC3"/>
            <w:tabs>
              <w:tab w:val="right" w:leader="dot" w:pos="9016"/>
            </w:tabs>
            <w:rPr>
              <w:rFonts w:eastAsiaTheme="minorEastAsia"/>
              <w:noProof/>
              <w:lang w:eastAsia="en-AU"/>
            </w:rPr>
          </w:pPr>
          <w:hyperlink w:anchor="_Toc339368197" w:history="1">
            <w:r w:rsidR="00A72285" w:rsidRPr="00BA5638">
              <w:rPr>
                <w:rStyle w:val="Hyperlink"/>
                <w:noProof/>
              </w:rPr>
              <w:t>Assurance</w:t>
            </w:r>
            <w:r w:rsidR="00A72285">
              <w:rPr>
                <w:noProof/>
                <w:webHidden/>
              </w:rPr>
              <w:tab/>
            </w:r>
            <w:r>
              <w:rPr>
                <w:noProof/>
                <w:webHidden/>
              </w:rPr>
              <w:fldChar w:fldCharType="begin"/>
            </w:r>
            <w:r w:rsidR="00A72285">
              <w:rPr>
                <w:noProof/>
                <w:webHidden/>
              </w:rPr>
              <w:instrText xml:space="preserve"> PAGEREF _Toc339368197 \h </w:instrText>
            </w:r>
            <w:r>
              <w:rPr>
                <w:noProof/>
                <w:webHidden/>
              </w:rPr>
            </w:r>
            <w:r>
              <w:rPr>
                <w:noProof/>
                <w:webHidden/>
              </w:rPr>
              <w:fldChar w:fldCharType="separate"/>
            </w:r>
            <w:r w:rsidR="00A72285">
              <w:rPr>
                <w:noProof/>
                <w:webHidden/>
              </w:rPr>
              <w:t>24</w:t>
            </w:r>
            <w:r>
              <w:rPr>
                <w:noProof/>
                <w:webHidden/>
              </w:rPr>
              <w:fldChar w:fldCharType="end"/>
            </w:r>
          </w:hyperlink>
        </w:p>
        <w:p w:rsidR="00A72285" w:rsidRDefault="003A2851">
          <w:pPr>
            <w:pStyle w:val="TOC1"/>
            <w:rPr>
              <w:rFonts w:eastAsiaTheme="minorEastAsia"/>
              <w:b w:val="0"/>
              <w:lang w:eastAsia="en-AU"/>
            </w:rPr>
          </w:pPr>
          <w:hyperlink w:anchor="_Toc339368198" w:history="1">
            <w:r w:rsidR="00A72285" w:rsidRPr="00BA5638">
              <w:rPr>
                <w:rStyle w:val="Hyperlink"/>
              </w:rPr>
              <w:t>Facilitating evolution of law and policy under bilateral agreements</w:t>
            </w:r>
            <w:r w:rsidR="00A72285">
              <w:rPr>
                <w:webHidden/>
              </w:rPr>
              <w:tab/>
            </w:r>
            <w:r>
              <w:rPr>
                <w:webHidden/>
              </w:rPr>
              <w:fldChar w:fldCharType="begin"/>
            </w:r>
            <w:r w:rsidR="00A72285">
              <w:rPr>
                <w:webHidden/>
              </w:rPr>
              <w:instrText xml:space="preserve"> PAGEREF _Toc339368198 \h </w:instrText>
            </w:r>
            <w:r>
              <w:rPr>
                <w:webHidden/>
              </w:rPr>
            </w:r>
            <w:r>
              <w:rPr>
                <w:webHidden/>
              </w:rPr>
              <w:fldChar w:fldCharType="separate"/>
            </w:r>
            <w:r w:rsidR="00A72285">
              <w:rPr>
                <w:webHidden/>
              </w:rPr>
              <w:t>26</w:t>
            </w:r>
            <w:r>
              <w:rPr>
                <w:webHidden/>
              </w:rPr>
              <w:fldChar w:fldCharType="end"/>
            </w:r>
          </w:hyperlink>
        </w:p>
        <w:p w:rsidR="00A72285" w:rsidRDefault="003A2851">
          <w:pPr>
            <w:pStyle w:val="TOC1"/>
            <w:rPr>
              <w:rFonts w:eastAsiaTheme="minorEastAsia"/>
              <w:b w:val="0"/>
              <w:lang w:eastAsia="en-AU"/>
            </w:rPr>
          </w:pPr>
          <w:hyperlink w:anchor="_Toc339368199" w:history="1">
            <w:r w:rsidR="00A72285" w:rsidRPr="00BA5638">
              <w:rPr>
                <w:rStyle w:val="Hyperlink"/>
              </w:rPr>
              <w:t>Attachment A - Tools to deliver conservation outcomes for matters of national environmental significance</w:t>
            </w:r>
            <w:r w:rsidR="00A72285">
              <w:rPr>
                <w:webHidden/>
              </w:rPr>
              <w:tab/>
            </w:r>
            <w:r>
              <w:rPr>
                <w:webHidden/>
              </w:rPr>
              <w:fldChar w:fldCharType="begin"/>
            </w:r>
            <w:r w:rsidR="00A72285">
              <w:rPr>
                <w:webHidden/>
              </w:rPr>
              <w:instrText xml:space="preserve"> PAGEREF _Toc339368199 \h </w:instrText>
            </w:r>
            <w:r>
              <w:rPr>
                <w:webHidden/>
              </w:rPr>
            </w:r>
            <w:r>
              <w:rPr>
                <w:webHidden/>
              </w:rPr>
              <w:fldChar w:fldCharType="separate"/>
            </w:r>
            <w:r w:rsidR="00A72285">
              <w:rPr>
                <w:webHidden/>
              </w:rPr>
              <w:t>27</w:t>
            </w:r>
            <w:r>
              <w:rPr>
                <w:webHidden/>
              </w:rPr>
              <w:fldChar w:fldCharType="end"/>
            </w:r>
          </w:hyperlink>
        </w:p>
        <w:p w:rsidR="00A72285" w:rsidRDefault="003A2851">
          <w:pPr>
            <w:pStyle w:val="TOC1"/>
            <w:rPr>
              <w:rFonts w:eastAsiaTheme="minorEastAsia"/>
              <w:b w:val="0"/>
              <w:lang w:eastAsia="en-AU"/>
            </w:rPr>
          </w:pPr>
          <w:hyperlink w:anchor="_Toc339368200" w:history="1">
            <w:r w:rsidR="00A72285" w:rsidRPr="00BA5638">
              <w:rPr>
                <w:rStyle w:val="Hyperlink"/>
              </w:rPr>
              <w:t>Attachment B – International obligations for listed threatened species and ecological communities</w:t>
            </w:r>
            <w:r w:rsidR="00A72285">
              <w:rPr>
                <w:webHidden/>
              </w:rPr>
              <w:tab/>
            </w:r>
            <w:r>
              <w:rPr>
                <w:webHidden/>
              </w:rPr>
              <w:fldChar w:fldCharType="begin"/>
            </w:r>
            <w:r w:rsidR="00A72285">
              <w:rPr>
                <w:webHidden/>
              </w:rPr>
              <w:instrText xml:space="preserve"> PAGEREF _Toc339368200 \h </w:instrText>
            </w:r>
            <w:r>
              <w:rPr>
                <w:webHidden/>
              </w:rPr>
            </w:r>
            <w:r>
              <w:rPr>
                <w:webHidden/>
              </w:rPr>
              <w:fldChar w:fldCharType="separate"/>
            </w:r>
            <w:r w:rsidR="00A72285">
              <w:rPr>
                <w:webHidden/>
              </w:rPr>
              <w:t>29</w:t>
            </w:r>
            <w:r>
              <w:rPr>
                <w:webHidden/>
              </w:rPr>
              <w:fldChar w:fldCharType="end"/>
            </w:r>
          </w:hyperlink>
        </w:p>
        <w:p w:rsidR="00A72285" w:rsidRDefault="003A2851">
          <w:pPr>
            <w:pStyle w:val="TOC3"/>
            <w:tabs>
              <w:tab w:val="right" w:leader="dot" w:pos="9016"/>
            </w:tabs>
            <w:rPr>
              <w:rFonts w:eastAsiaTheme="minorEastAsia"/>
              <w:noProof/>
              <w:lang w:eastAsia="en-AU"/>
            </w:rPr>
          </w:pPr>
          <w:hyperlink w:anchor="_Toc339368201" w:history="1">
            <w:r w:rsidR="00A72285" w:rsidRPr="00BA5638">
              <w:rPr>
                <w:rStyle w:val="Hyperlink"/>
                <w:noProof/>
              </w:rPr>
              <w:t>Extracts from the Biodiversity Convention</w:t>
            </w:r>
            <w:r w:rsidR="00A72285">
              <w:rPr>
                <w:noProof/>
                <w:webHidden/>
              </w:rPr>
              <w:tab/>
            </w:r>
            <w:r>
              <w:rPr>
                <w:noProof/>
                <w:webHidden/>
              </w:rPr>
              <w:fldChar w:fldCharType="begin"/>
            </w:r>
            <w:r w:rsidR="00A72285">
              <w:rPr>
                <w:noProof/>
                <w:webHidden/>
              </w:rPr>
              <w:instrText xml:space="preserve"> PAGEREF _Toc339368201 \h </w:instrText>
            </w:r>
            <w:r>
              <w:rPr>
                <w:noProof/>
                <w:webHidden/>
              </w:rPr>
            </w:r>
            <w:r>
              <w:rPr>
                <w:noProof/>
                <w:webHidden/>
              </w:rPr>
              <w:fldChar w:fldCharType="separate"/>
            </w:r>
            <w:r w:rsidR="00A72285">
              <w:rPr>
                <w:noProof/>
                <w:webHidden/>
              </w:rPr>
              <w:t>29</w:t>
            </w:r>
            <w:r>
              <w:rPr>
                <w:noProof/>
                <w:webHidden/>
              </w:rPr>
              <w:fldChar w:fldCharType="end"/>
            </w:r>
          </w:hyperlink>
        </w:p>
        <w:p w:rsidR="00A72285" w:rsidRDefault="003A2851">
          <w:pPr>
            <w:pStyle w:val="TOC3"/>
            <w:tabs>
              <w:tab w:val="right" w:leader="dot" w:pos="9016"/>
            </w:tabs>
            <w:rPr>
              <w:rFonts w:eastAsiaTheme="minorEastAsia"/>
              <w:noProof/>
              <w:lang w:eastAsia="en-AU"/>
            </w:rPr>
          </w:pPr>
          <w:hyperlink w:anchor="_Toc339368202" w:history="1">
            <w:r w:rsidR="00A72285" w:rsidRPr="00BA5638">
              <w:rPr>
                <w:rStyle w:val="Hyperlink"/>
                <w:noProof/>
              </w:rPr>
              <w:t>Extracts from the Apia Convention</w:t>
            </w:r>
            <w:r w:rsidR="00A72285">
              <w:rPr>
                <w:noProof/>
                <w:webHidden/>
              </w:rPr>
              <w:tab/>
            </w:r>
            <w:r>
              <w:rPr>
                <w:noProof/>
                <w:webHidden/>
              </w:rPr>
              <w:fldChar w:fldCharType="begin"/>
            </w:r>
            <w:r w:rsidR="00A72285">
              <w:rPr>
                <w:noProof/>
                <w:webHidden/>
              </w:rPr>
              <w:instrText xml:space="preserve"> PAGEREF _Toc339368202 \h </w:instrText>
            </w:r>
            <w:r>
              <w:rPr>
                <w:noProof/>
                <w:webHidden/>
              </w:rPr>
            </w:r>
            <w:r>
              <w:rPr>
                <w:noProof/>
                <w:webHidden/>
              </w:rPr>
              <w:fldChar w:fldCharType="separate"/>
            </w:r>
            <w:r w:rsidR="00A72285">
              <w:rPr>
                <w:noProof/>
                <w:webHidden/>
              </w:rPr>
              <w:t>33</w:t>
            </w:r>
            <w:r>
              <w:rPr>
                <w:noProof/>
                <w:webHidden/>
              </w:rPr>
              <w:fldChar w:fldCharType="end"/>
            </w:r>
          </w:hyperlink>
        </w:p>
        <w:p w:rsidR="00A72285" w:rsidRDefault="003A2851">
          <w:pPr>
            <w:pStyle w:val="TOC3"/>
            <w:tabs>
              <w:tab w:val="right" w:leader="dot" w:pos="9016"/>
            </w:tabs>
            <w:rPr>
              <w:rFonts w:eastAsiaTheme="minorEastAsia"/>
              <w:noProof/>
              <w:lang w:eastAsia="en-AU"/>
            </w:rPr>
          </w:pPr>
          <w:hyperlink w:anchor="_Toc339368203" w:history="1">
            <w:r w:rsidR="00A72285" w:rsidRPr="00BA5638">
              <w:rPr>
                <w:rStyle w:val="Hyperlink"/>
                <w:noProof/>
              </w:rPr>
              <w:t>Extracts from CITES</w:t>
            </w:r>
            <w:r w:rsidR="00A72285">
              <w:rPr>
                <w:noProof/>
                <w:webHidden/>
              </w:rPr>
              <w:tab/>
            </w:r>
            <w:r>
              <w:rPr>
                <w:noProof/>
                <w:webHidden/>
              </w:rPr>
              <w:fldChar w:fldCharType="begin"/>
            </w:r>
            <w:r w:rsidR="00A72285">
              <w:rPr>
                <w:noProof/>
                <w:webHidden/>
              </w:rPr>
              <w:instrText xml:space="preserve"> PAGEREF _Toc339368203 \h </w:instrText>
            </w:r>
            <w:r>
              <w:rPr>
                <w:noProof/>
                <w:webHidden/>
              </w:rPr>
            </w:r>
            <w:r>
              <w:rPr>
                <w:noProof/>
                <w:webHidden/>
              </w:rPr>
              <w:fldChar w:fldCharType="separate"/>
            </w:r>
            <w:r w:rsidR="00A72285">
              <w:rPr>
                <w:noProof/>
                <w:webHidden/>
              </w:rPr>
              <w:t>34</w:t>
            </w:r>
            <w:r>
              <w:rPr>
                <w:noProof/>
                <w:webHidden/>
              </w:rPr>
              <w:fldChar w:fldCharType="end"/>
            </w:r>
          </w:hyperlink>
        </w:p>
        <w:p w:rsidR="00A72285" w:rsidRDefault="003A2851">
          <w:pPr>
            <w:pStyle w:val="TOC1"/>
            <w:rPr>
              <w:rFonts w:eastAsiaTheme="minorEastAsia"/>
              <w:b w:val="0"/>
              <w:lang w:eastAsia="en-AU"/>
            </w:rPr>
          </w:pPr>
          <w:hyperlink w:anchor="_Toc339368204" w:history="1">
            <w:r w:rsidR="00A72285" w:rsidRPr="00BA5638">
              <w:rPr>
                <w:rStyle w:val="Hyperlink"/>
              </w:rPr>
              <w:t>Attachment C – Draft model for a national list of threatened species and ecological communities</w:t>
            </w:r>
            <w:r w:rsidR="00A72285">
              <w:rPr>
                <w:webHidden/>
              </w:rPr>
              <w:tab/>
            </w:r>
            <w:r>
              <w:rPr>
                <w:webHidden/>
              </w:rPr>
              <w:fldChar w:fldCharType="begin"/>
            </w:r>
            <w:r w:rsidR="00A72285">
              <w:rPr>
                <w:webHidden/>
              </w:rPr>
              <w:instrText xml:space="preserve"> PAGEREF _Toc339368204 \h </w:instrText>
            </w:r>
            <w:r>
              <w:rPr>
                <w:webHidden/>
              </w:rPr>
            </w:r>
            <w:r>
              <w:rPr>
                <w:webHidden/>
              </w:rPr>
              <w:fldChar w:fldCharType="separate"/>
            </w:r>
            <w:r w:rsidR="00A72285">
              <w:rPr>
                <w:webHidden/>
              </w:rPr>
              <w:t>35</w:t>
            </w:r>
            <w:r>
              <w:rPr>
                <w:webHidden/>
              </w:rPr>
              <w:fldChar w:fldCharType="end"/>
            </w:r>
          </w:hyperlink>
        </w:p>
        <w:p w:rsidR="00A72285" w:rsidRDefault="003A2851">
          <w:pPr>
            <w:pStyle w:val="TOC1"/>
            <w:rPr>
              <w:rFonts w:eastAsiaTheme="minorEastAsia"/>
              <w:b w:val="0"/>
              <w:lang w:eastAsia="en-AU"/>
            </w:rPr>
          </w:pPr>
          <w:hyperlink w:anchor="_Toc339368205" w:history="1">
            <w:r w:rsidR="00A72285" w:rsidRPr="00BA5638">
              <w:rPr>
                <w:rStyle w:val="Hyperlink"/>
              </w:rPr>
              <w:t>Attachment D – International obligations for listed migratory species</w:t>
            </w:r>
            <w:r w:rsidR="00A72285">
              <w:rPr>
                <w:webHidden/>
              </w:rPr>
              <w:tab/>
            </w:r>
            <w:r>
              <w:rPr>
                <w:webHidden/>
              </w:rPr>
              <w:fldChar w:fldCharType="begin"/>
            </w:r>
            <w:r w:rsidR="00A72285">
              <w:rPr>
                <w:webHidden/>
              </w:rPr>
              <w:instrText xml:space="preserve"> PAGEREF _Toc339368205 \h </w:instrText>
            </w:r>
            <w:r>
              <w:rPr>
                <w:webHidden/>
              </w:rPr>
            </w:r>
            <w:r>
              <w:rPr>
                <w:webHidden/>
              </w:rPr>
              <w:fldChar w:fldCharType="separate"/>
            </w:r>
            <w:r w:rsidR="00A72285">
              <w:rPr>
                <w:webHidden/>
              </w:rPr>
              <w:t>38</w:t>
            </w:r>
            <w:r>
              <w:rPr>
                <w:webHidden/>
              </w:rPr>
              <w:fldChar w:fldCharType="end"/>
            </w:r>
          </w:hyperlink>
        </w:p>
        <w:p w:rsidR="00A72285" w:rsidRDefault="003A2851">
          <w:pPr>
            <w:pStyle w:val="TOC3"/>
            <w:tabs>
              <w:tab w:val="right" w:leader="dot" w:pos="9016"/>
            </w:tabs>
            <w:rPr>
              <w:rFonts w:eastAsiaTheme="minorEastAsia"/>
              <w:noProof/>
              <w:lang w:eastAsia="en-AU"/>
            </w:rPr>
          </w:pPr>
          <w:hyperlink w:anchor="_Toc339368206" w:history="1">
            <w:r w:rsidR="00A72285" w:rsidRPr="00BA5638">
              <w:rPr>
                <w:rStyle w:val="Hyperlink"/>
                <w:noProof/>
              </w:rPr>
              <w:t>Extracts from the Bonn Convention</w:t>
            </w:r>
            <w:r w:rsidR="00A72285">
              <w:rPr>
                <w:noProof/>
                <w:webHidden/>
              </w:rPr>
              <w:tab/>
            </w:r>
            <w:r>
              <w:rPr>
                <w:noProof/>
                <w:webHidden/>
              </w:rPr>
              <w:fldChar w:fldCharType="begin"/>
            </w:r>
            <w:r w:rsidR="00A72285">
              <w:rPr>
                <w:noProof/>
                <w:webHidden/>
              </w:rPr>
              <w:instrText xml:space="preserve"> PAGEREF _Toc339368206 \h </w:instrText>
            </w:r>
            <w:r>
              <w:rPr>
                <w:noProof/>
                <w:webHidden/>
              </w:rPr>
            </w:r>
            <w:r>
              <w:rPr>
                <w:noProof/>
                <w:webHidden/>
              </w:rPr>
              <w:fldChar w:fldCharType="separate"/>
            </w:r>
            <w:r w:rsidR="00A72285">
              <w:rPr>
                <w:noProof/>
                <w:webHidden/>
              </w:rPr>
              <w:t>38</w:t>
            </w:r>
            <w:r>
              <w:rPr>
                <w:noProof/>
                <w:webHidden/>
              </w:rPr>
              <w:fldChar w:fldCharType="end"/>
            </w:r>
          </w:hyperlink>
        </w:p>
        <w:p w:rsidR="00A72285" w:rsidRDefault="003A2851">
          <w:pPr>
            <w:pStyle w:val="TOC3"/>
            <w:tabs>
              <w:tab w:val="right" w:leader="dot" w:pos="9016"/>
            </w:tabs>
            <w:rPr>
              <w:rFonts w:eastAsiaTheme="minorEastAsia"/>
              <w:noProof/>
              <w:lang w:eastAsia="en-AU"/>
            </w:rPr>
          </w:pPr>
          <w:hyperlink w:anchor="_Toc339368207" w:history="1">
            <w:r w:rsidR="00A72285" w:rsidRPr="00BA5638">
              <w:rPr>
                <w:rStyle w:val="Hyperlink"/>
                <w:noProof/>
              </w:rPr>
              <w:t>Extracts from CAMBA</w:t>
            </w:r>
            <w:r w:rsidR="00A72285">
              <w:rPr>
                <w:noProof/>
                <w:webHidden/>
              </w:rPr>
              <w:tab/>
            </w:r>
            <w:r>
              <w:rPr>
                <w:noProof/>
                <w:webHidden/>
              </w:rPr>
              <w:fldChar w:fldCharType="begin"/>
            </w:r>
            <w:r w:rsidR="00A72285">
              <w:rPr>
                <w:noProof/>
                <w:webHidden/>
              </w:rPr>
              <w:instrText xml:space="preserve"> PAGEREF _Toc339368207 \h </w:instrText>
            </w:r>
            <w:r>
              <w:rPr>
                <w:noProof/>
                <w:webHidden/>
              </w:rPr>
            </w:r>
            <w:r>
              <w:rPr>
                <w:noProof/>
                <w:webHidden/>
              </w:rPr>
              <w:fldChar w:fldCharType="separate"/>
            </w:r>
            <w:r w:rsidR="00A72285">
              <w:rPr>
                <w:noProof/>
                <w:webHidden/>
              </w:rPr>
              <w:t>39</w:t>
            </w:r>
            <w:r>
              <w:rPr>
                <w:noProof/>
                <w:webHidden/>
              </w:rPr>
              <w:fldChar w:fldCharType="end"/>
            </w:r>
          </w:hyperlink>
        </w:p>
        <w:p w:rsidR="00A72285" w:rsidRDefault="003A2851">
          <w:pPr>
            <w:pStyle w:val="TOC3"/>
            <w:tabs>
              <w:tab w:val="right" w:leader="dot" w:pos="9016"/>
            </w:tabs>
            <w:rPr>
              <w:rFonts w:eastAsiaTheme="minorEastAsia"/>
              <w:noProof/>
              <w:lang w:eastAsia="en-AU"/>
            </w:rPr>
          </w:pPr>
          <w:hyperlink w:anchor="_Toc339368208" w:history="1">
            <w:r w:rsidR="00A72285" w:rsidRPr="00BA5638">
              <w:rPr>
                <w:rStyle w:val="Hyperlink"/>
                <w:noProof/>
              </w:rPr>
              <w:t>Extracts from JAMBA</w:t>
            </w:r>
            <w:r w:rsidR="00A72285">
              <w:rPr>
                <w:noProof/>
                <w:webHidden/>
              </w:rPr>
              <w:tab/>
            </w:r>
            <w:r>
              <w:rPr>
                <w:noProof/>
                <w:webHidden/>
              </w:rPr>
              <w:fldChar w:fldCharType="begin"/>
            </w:r>
            <w:r w:rsidR="00A72285">
              <w:rPr>
                <w:noProof/>
                <w:webHidden/>
              </w:rPr>
              <w:instrText xml:space="preserve"> PAGEREF _Toc339368208 \h </w:instrText>
            </w:r>
            <w:r>
              <w:rPr>
                <w:noProof/>
                <w:webHidden/>
              </w:rPr>
            </w:r>
            <w:r>
              <w:rPr>
                <w:noProof/>
                <w:webHidden/>
              </w:rPr>
              <w:fldChar w:fldCharType="separate"/>
            </w:r>
            <w:r w:rsidR="00A72285">
              <w:rPr>
                <w:noProof/>
                <w:webHidden/>
              </w:rPr>
              <w:t>40</w:t>
            </w:r>
            <w:r>
              <w:rPr>
                <w:noProof/>
                <w:webHidden/>
              </w:rPr>
              <w:fldChar w:fldCharType="end"/>
            </w:r>
          </w:hyperlink>
        </w:p>
        <w:p w:rsidR="00A72285" w:rsidRDefault="003A2851">
          <w:pPr>
            <w:pStyle w:val="TOC3"/>
            <w:tabs>
              <w:tab w:val="right" w:leader="dot" w:pos="9016"/>
            </w:tabs>
            <w:rPr>
              <w:rFonts w:eastAsiaTheme="minorEastAsia"/>
              <w:noProof/>
              <w:lang w:eastAsia="en-AU"/>
            </w:rPr>
          </w:pPr>
          <w:hyperlink w:anchor="_Toc339368209" w:history="1">
            <w:r w:rsidR="00A72285" w:rsidRPr="00BA5638">
              <w:rPr>
                <w:rStyle w:val="Hyperlink"/>
                <w:noProof/>
              </w:rPr>
              <w:t>Extracts from ROKAMBA</w:t>
            </w:r>
            <w:r w:rsidR="00A72285">
              <w:rPr>
                <w:noProof/>
                <w:webHidden/>
              </w:rPr>
              <w:tab/>
            </w:r>
            <w:r>
              <w:rPr>
                <w:noProof/>
                <w:webHidden/>
              </w:rPr>
              <w:fldChar w:fldCharType="begin"/>
            </w:r>
            <w:r w:rsidR="00A72285">
              <w:rPr>
                <w:noProof/>
                <w:webHidden/>
              </w:rPr>
              <w:instrText xml:space="preserve"> PAGEREF _Toc339368209 \h </w:instrText>
            </w:r>
            <w:r>
              <w:rPr>
                <w:noProof/>
                <w:webHidden/>
              </w:rPr>
            </w:r>
            <w:r>
              <w:rPr>
                <w:noProof/>
                <w:webHidden/>
              </w:rPr>
              <w:fldChar w:fldCharType="separate"/>
            </w:r>
            <w:r w:rsidR="00A72285">
              <w:rPr>
                <w:noProof/>
                <w:webHidden/>
              </w:rPr>
              <w:t>41</w:t>
            </w:r>
            <w:r>
              <w:rPr>
                <w:noProof/>
                <w:webHidden/>
              </w:rPr>
              <w:fldChar w:fldCharType="end"/>
            </w:r>
          </w:hyperlink>
        </w:p>
        <w:p w:rsidR="00A72285" w:rsidRDefault="003A2851">
          <w:pPr>
            <w:pStyle w:val="TOC1"/>
            <w:rPr>
              <w:rFonts w:eastAsiaTheme="minorEastAsia"/>
              <w:b w:val="0"/>
              <w:lang w:eastAsia="en-AU"/>
            </w:rPr>
          </w:pPr>
          <w:hyperlink w:anchor="_Toc339368210" w:history="1">
            <w:r w:rsidR="00A72285" w:rsidRPr="00BA5638">
              <w:rPr>
                <w:rStyle w:val="Hyperlink"/>
              </w:rPr>
              <w:t>Attachment E – International obligations for Ramsar wetlands</w:t>
            </w:r>
            <w:r w:rsidR="00A72285">
              <w:rPr>
                <w:webHidden/>
              </w:rPr>
              <w:tab/>
            </w:r>
            <w:r>
              <w:rPr>
                <w:webHidden/>
              </w:rPr>
              <w:fldChar w:fldCharType="begin"/>
            </w:r>
            <w:r w:rsidR="00A72285">
              <w:rPr>
                <w:webHidden/>
              </w:rPr>
              <w:instrText xml:space="preserve"> PAGEREF _Toc339368210 \h </w:instrText>
            </w:r>
            <w:r>
              <w:rPr>
                <w:webHidden/>
              </w:rPr>
            </w:r>
            <w:r>
              <w:rPr>
                <w:webHidden/>
              </w:rPr>
              <w:fldChar w:fldCharType="separate"/>
            </w:r>
            <w:r w:rsidR="00A72285">
              <w:rPr>
                <w:webHidden/>
              </w:rPr>
              <w:t>43</w:t>
            </w:r>
            <w:r>
              <w:rPr>
                <w:webHidden/>
              </w:rPr>
              <w:fldChar w:fldCharType="end"/>
            </w:r>
          </w:hyperlink>
        </w:p>
        <w:p w:rsidR="00A72285" w:rsidRDefault="003A2851">
          <w:pPr>
            <w:pStyle w:val="TOC3"/>
            <w:tabs>
              <w:tab w:val="right" w:leader="dot" w:pos="9016"/>
            </w:tabs>
            <w:rPr>
              <w:rFonts w:eastAsiaTheme="minorEastAsia"/>
              <w:noProof/>
              <w:lang w:eastAsia="en-AU"/>
            </w:rPr>
          </w:pPr>
          <w:hyperlink w:anchor="_Toc339368211" w:history="1">
            <w:r w:rsidR="00A72285" w:rsidRPr="00BA5638">
              <w:rPr>
                <w:rStyle w:val="Hyperlink"/>
                <w:noProof/>
              </w:rPr>
              <w:t>Extracts from the Ramsar Convention</w:t>
            </w:r>
            <w:r w:rsidR="00A72285">
              <w:rPr>
                <w:noProof/>
                <w:webHidden/>
              </w:rPr>
              <w:tab/>
            </w:r>
            <w:r>
              <w:rPr>
                <w:noProof/>
                <w:webHidden/>
              </w:rPr>
              <w:fldChar w:fldCharType="begin"/>
            </w:r>
            <w:r w:rsidR="00A72285">
              <w:rPr>
                <w:noProof/>
                <w:webHidden/>
              </w:rPr>
              <w:instrText xml:space="preserve"> PAGEREF _Toc339368211 \h </w:instrText>
            </w:r>
            <w:r>
              <w:rPr>
                <w:noProof/>
                <w:webHidden/>
              </w:rPr>
            </w:r>
            <w:r>
              <w:rPr>
                <w:noProof/>
                <w:webHidden/>
              </w:rPr>
              <w:fldChar w:fldCharType="separate"/>
            </w:r>
            <w:r w:rsidR="00A72285">
              <w:rPr>
                <w:noProof/>
                <w:webHidden/>
              </w:rPr>
              <w:t>43</w:t>
            </w:r>
            <w:r>
              <w:rPr>
                <w:noProof/>
                <w:webHidden/>
              </w:rPr>
              <w:fldChar w:fldCharType="end"/>
            </w:r>
          </w:hyperlink>
        </w:p>
        <w:p w:rsidR="00A72285" w:rsidRDefault="003A2851">
          <w:pPr>
            <w:pStyle w:val="TOC1"/>
            <w:rPr>
              <w:rFonts w:eastAsiaTheme="minorEastAsia"/>
              <w:b w:val="0"/>
              <w:lang w:eastAsia="en-AU"/>
            </w:rPr>
          </w:pPr>
          <w:hyperlink w:anchor="_Toc339368212" w:history="1">
            <w:r w:rsidR="00A72285" w:rsidRPr="00BA5638">
              <w:rPr>
                <w:rStyle w:val="Hyperlink"/>
              </w:rPr>
              <w:t>Attachment F – Australian Ramsar management principles</w:t>
            </w:r>
            <w:r w:rsidR="00A72285">
              <w:rPr>
                <w:webHidden/>
              </w:rPr>
              <w:tab/>
            </w:r>
            <w:r>
              <w:rPr>
                <w:webHidden/>
              </w:rPr>
              <w:fldChar w:fldCharType="begin"/>
            </w:r>
            <w:r w:rsidR="00A72285">
              <w:rPr>
                <w:webHidden/>
              </w:rPr>
              <w:instrText xml:space="preserve"> PAGEREF _Toc339368212 \h </w:instrText>
            </w:r>
            <w:r>
              <w:rPr>
                <w:webHidden/>
              </w:rPr>
            </w:r>
            <w:r>
              <w:rPr>
                <w:webHidden/>
              </w:rPr>
              <w:fldChar w:fldCharType="separate"/>
            </w:r>
            <w:r w:rsidR="00A72285">
              <w:rPr>
                <w:webHidden/>
              </w:rPr>
              <w:t>45</w:t>
            </w:r>
            <w:r>
              <w:rPr>
                <w:webHidden/>
              </w:rPr>
              <w:fldChar w:fldCharType="end"/>
            </w:r>
          </w:hyperlink>
        </w:p>
        <w:p w:rsidR="00A72285" w:rsidRDefault="003A2851">
          <w:pPr>
            <w:pStyle w:val="TOC3"/>
            <w:tabs>
              <w:tab w:val="right" w:leader="dot" w:pos="9016"/>
            </w:tabs>
            <w:rPr>
              <w:rFonts w:eastAsiaTheme="minorEastAsia"/>
              <w:noProof/>
              <w:lang w:eastAsia="en-AU"/>
            </w:rPr>
          </w:pPr>
          <w:hyperlink w:anchor="_Toc339368213" w:history="1">
            <w:r w:rsidR="00A72285" w:rsidRPr="00BA5638">
              <w:rPr>
                <w:rStyle w:val="Hyperlink"/>
                <w:noProof/>
              </w:rPr>
              <w:t>Schedule 6 to the EPBC Regulations</w:t>
            </w:r>
            <w:r w:rsidR="00A72285">
              <w:rPr>
                <w:noProof/>
                <w:webHidden/>
              </w:rPr>
              <w:tab/>
            </w:r>
            <w:r>
              <w:rPr>
                <w:noProof/>
                <w:webHidden/>
              </w:rPr>
              <w:fldChar w:fldCharType="begin"/>
            </w:r>
            <w:r w:rsidR="00A72285">
              <w:rPr>
                <w:noProof/>
                <w:webHidden/>
              </w:rPr>
              <w:instrText xml:space="preserve"> PAGEREF _Toc339368213 \h </w:instrText>
            </w:r>
            <w:r>
              <w:rPr>
                <w:noProof/>
                <w:webHidden/>
              </w:rPr>
            </w:r>
            <w:r>
              <w:rPr>
                <w:noProof/>
                <w:webHidden/>
              </w:rPr>
              <w:fldChar w:fldCharType="separate"/>
            </w:r>
            <w:r w:rsidR="00A72285">
              <w:rPr>
                <w:noProof/>
                <w:webHidden/>
              </w:rPr>
              <w:t>45</w:t>
            </w:r>
            <w:r>
              <w:rPr>
                <w:noProof/>
                <w:webHidden/>
              </w:rPr>
              <w:fldChar w:fldCharType="end"/>
            </w:r>
          </w:hyperlink>
        </w:p>
        <w:p w:rsidR="00A72285" w:rsidRDefault="003A2851">
          <w:pPr>
            <w:pStyle w:val="TOC1"/>
            <w:rPr>
              <w:rFonts w:eastAsiaTheme="minorEastAsia"/>
              <w:b w:val="0"/>
              <w:lang w:eastAsia="en-AU"/>
            </w:rPr>
          </w:pPr>
          <w:hyperlink w:anchor="_Toc339368214" w:history="1">
            <w:r w:rsidR="00A72285" w:rsidRPr="00BA5638">
              <w:rPr>
                <w:rStyle w:val="Hyperlink"/>
              </w:rPr>
              <w:t>Attachment G – National Heritage management principles</w:t>
            </w:r>
            <w:r w:rsidR="00A72285">
              <w:rPr>
                <w:webHidden/>
              </w:rPr>
              <w:tab/>
            </w:r>
            <w:r>
              <w:rPr>
                <w:webHidden/>
              </w:rPr>
              <w:fldChar w:fldCharType="begin"/>
            </w:r>
            <w:r w:rsidR="00A72285">
              <w:rPr>
                <w:webHidden/>
              </w:rPr>
              <w:instrText xml:space="preserve"> PAGEREF _Toc339368214 \h </w:instrText>
            </w:r>
            <w:r>
              <w:rPr>
                <w:webHidden/>
              </w:rPr>
            </w:r>
            <w:r>
              <w:rPr>
                <w:webHidden/>
              </w:rPr>
              <w:fldChar w:fldCharType="separate"/>
            </w:r>
            <w:r w:rsidR="00A72285">
              <w:rPr>
                <w:webHidden/>
              </w:rPr>
              <w:t>48</w:t>
            </w:r>
            <w:r>
              <w:rPr>
                <w:webHidden/>
              </w:rPr>
              <w:fldChar w:fldCharType="end"/>
            </w:r>
          </w:hyperlink>
        </w:p>
        <w:p w:rsidR="00A72285" w:rsidRDefault="003A2851">
          <w:pPr>
            <w:pStyle w:val="TOC3"/>
            <w:tabs>
              <w:tab w:val="right" w:leader="dot" w:pos="9016"/>
            </w:tabs>
            <w:rPr>
              <w:rFonts w:eastAsiaTheme="minorEastAsia"/>
              <w:noProof/>
              <w:lang w:eastAsia="en-AU"/>
            </w:rPr>
          </w:pPr>
          <w:hyperlink w:anchor="_Toc339368215" w:history="1">
            <w:r w:rsidR="00A72285" w:rsidRPr="00BA5638">
              <w:rPr>
                <w:rStyle w:val="Hyperlink"/>
                <w:noProof/>
              </w:rPr>
              <w:t>Schedule 5B to the EPBC Regulations</w:t>
            </w:r>
            <w:r w:rsidR="00A72285">
              <w:rPr>
                <w:noProof/>
                <w:webHidden/>
              </w:rPr>
              <w:tab/>
            </w:r>
            <w:r>
              <w:rPr>
                <w:noProof/>
                <w:webHidden/>
              </w:rPr>
              <w:fldChar w:fldCharType="begin"/>
            </w:r>
            <w:r w:rsidR="00A72285">
              <w:rPr>
                <w:noProof/>
                <w:webHidden/>
              </w:rPr>
              <w:instrText xml:space="preserve"> PAGEREF _Toc339368215 \h </w:instrText>
            </w:r>
            <w:r>
              <w:rPr>
                <w:noProof/>
                <w:webHidden/>
              </w:rPr>
            </w:r>
            <w:r>
              <w:rPr>
                <w:noProof/>
                <w:webHidden/>
              </w:rPr>
              <w:fldChar w:fldCharType="separate"/>
            </w:r>
            <w:r w:rsidR="00A72285">
              <w:rPr>
                <w:noProof/>
                <w:webHidden/>
              </w:rPr>
              <w:t>48</w:t>
            </w:r>
            <w:r>
              <w:rPr>
                <w:noProof/>
                <w:webHidden/>
              </w:rPr>
              <w:fldChar w:fldCharType="end"/>
            </w:r>
          </w:hyperlink>
        </w:p>
        <w:p w:rsidR="00A72285" w:rsidRDefault="003A2851">
          <w:pPr>
            <w:pStyle w:val="TOC1"/>
            <w:rPr>
              <w:rFonts w:eastAsiaTheme="minorEastAsia"/>
              <w:b w:val="0"/>
              <w:lang w:eastAsia="en-AU"/>
            </w:rPr>
          </w:pPr>
          <w:hyperlink w:anchor="_Toc339368216" w:history="1">
            <w:r w:rsidR="00A72285" w:rsidRPr="00BA5638">
              <w:rPr>
                <w:rStyle w:val="Hyperlink"/>
              </w:rPr>
              <w:t>Attachment H – Accreditation of management plans for World Heritage properties and National Heritage places</w:t>
            </w:r>
            <w:r w:rsidR="00A72285">
              <w:rPr>
                <w:webHidden/>
              </w:rPr>
              <w:tab/>
            </w:r>
            <w:r>
              <w:rPr>
                <w:webHidden/>
              </w:rPr>
              <w:fldChar w:fldCharType="begin"/>
            </w:r>
            <w:r w:rsidR="00A72285">
              <w:rPr>
                <w:webHidden/>
              </w:rPr>
              <w:instrText xml:space="preserve"> PAGEREF _Toc339368216 \h </w:instrText>
            </w:r>
            <w:r>
              <w:rPr>
                <w:webHidden/>
              </w:rPr>
            </w:r>
            <w:r>
              <w:rPr>
                <w:webHidden/>
              </w:rPr>
              <w:fldChar w:fldCharType="separate"/>
            </w:r>
            <w:r w:rsidR="00A72285">
              <w:rPr>
                <w:webHidden/>
              </w:rPr>
              <w:t>49</w:t>
            </w:r>
            <w:r>
              <w:rPr>
                <w:webHidden/>
              </w:rPr>
              <w:fldChar w:fldCharType="end"/>
            </w:r>
          </w:hyperlink>
        </w:p>
        <w:p w:rsidR="00A72285" w:rsidRDefault="003A2851">
          <w:pPr>
            <w:pStyle w:val="TOC3"/>
            <w:tabs>
              <w:tab w:val="right" w:leader="dot" w:pos="9016"/>
            </w:tabs>
            <w:rPr>
              <w:rFonts w:eastAsiaTheme="minorEastAsia"/>
              <w:noProof/>
              <w:lang w:eastAsia="en-AU"/>
            </w:rPr>
          </w:pPr>
          <w:hyperlink w:anchor="_Toc339368217" w:history="1">
            <w:r w:rsidR="00A72285" w:rsidRPr="00BA5638">
              <w:rPr>
                <w:rStyle w:val="Hyperlink"/>
                <w:noProof/>
              </w:rPr>
              <w:t>Extract from Part 2B of the EPBC Regulations</w:t>
            </w:r>
            <w:r w:rsidR="00A72285">
              <w:rPr>
                <w:noProof/>
                <w:webHidden/>
              </w:rPr>
              <w:tab/>
            </w:r>
            <w:r>
              <w:rPr>
                <w:noProof/>
                <w:webHidden/>
              </w:rPr>
              <w:fldChar w:fldCharType="begin"/>
            </w:r>
            <w:r w:rsidR="00A72285">
              <w:rPr>
                <w:noProof/>
                <w:webHidden/>
              </w:rPr>
              <w:instrText xml:space="preserve"> PAGEREF _Toc339368217 \h </w:instrText>
            </w:r>
            <w:r>
              <w:rPr>
                <w:noProof/>
                <w:webHidden/>
              </w:rPr>
            </w:r>
            <w:r>
              <w:rPr>
                <w:noProof/>
                <w:webHidden/>
              </w:rPr>
              <w:fldChar w:fldCharType="separate"/>
            </w:r>
            <w:r w:rsidR="00A72285">
              <w:rPr>
                <w:noProof/>
                <w:webHidden/>
              </w:rPr>
              <w:t>49</w:t>
            </w:r>
            <w:r>
              <w:rPr>
                <w:noProof/>
                <w:webHidden/>
              </w:rPr>
              <w:fldChar w:fldCharType="end"/>
            </w:r>
          </w:hyperlink>
        </w:p>
        <w:p w:rsidR="00A72285" w:rsidRDefault="003A2851">
          <w:pPr>
            <w:pStyle w:val="TOC1"/>
            <w:rPr>
              <w:rFonts w:eastAsiaTheme="minorEastAsia"/>
              <w:b w:val="0"/>
              <w:lang w:eastAsia="en-AU"/>
            </w:rPr>
          </w:pPr>
          <w:hyperlink w:anchor="_Toc339368218" w:history="1">
            <w:r w:rsidR="00A72285" w:rsidRPr="00BA5638">
              <w:rPr>
                <w:rStyle w:val="Hyperlink"/>
              </w:rPr>
              <w:t>Attachment I – International obligations for World Heritage properties</w:t>
            </w:r>
            <w:r w:rsidR="00A72285">
              <w:rPr>
                <w:webHidden/>
              </w:rPr>
              <w:tab/>
            </w:r>
            <w:r>
              <w:rPr>
                <w:webHidden/>
              </w:rPr>
              <w:fldChar w:fldCharType="begin"/>
            </w:r>
            <w:r w:rsidR="00A72285">
              <w:rPr>
                <w:webHidden/>
              </w:rPr>
              <w:instrText xml:space="preserve"> PAGEREF _Toc339368218 \h </w:instrText>
            </w:r>
            <w:r>
              <w:rPr>
                <w:webHidden/>
              </w:rPr>
            </w:r>
            <w:r>
              <w:rPr>
                <w:webHidden/>
              </w:rPr>
              <w:fldChar w:fldCharType="separate"/>
            </w:r>
            <w:r w:rsidR="00A72285">
              <w:rPr>
                <w:webHidden/>
              </w:rPr>
              <w:t>52</w:t>
            </w:r>
            <w:r>
              <w:rPr>
                <w:webHidden/>
              </w:rPr>
              <w:fldChar w:fldCharType="end"/>
            </w:r>
          </w:hyperlink>
        </w:p>
        <w:p w:rsidR="00A72285" w:rsidRDefault="003A2851">
          <w:pPr>
            <w:pStyle w:val="TOC3"/>
            <w:tabs>
              <w:tab w:val="right" w:leader="dot" w:pos="9016"/>
            </w:tabs>
            <w:rPr>
              <w:rFonts w:eastAsiaTheme="minorEastAsia"/>
              <w:noProof/>
              <w:lang w:eastAsia="en-AU"/>
            </w:rPr>
          </w:pPr>
          <w:hyperlink w:anchor="_Toc339368219" w:history="1">
            <w:r w:rsidR="00A72285" w:rsidRPr="00BA5638">
              <w:rPr>
                <w:rStyle w:val="Hyperlink"/>
                <w:noProof/>
              </w:rPr>
              <w:t>Extracts from the World Heritage Convention</w:t>
            </w:r>
            <w:r w:rsidR="00A72285">
              <w:rPr>
                <w:noProof/>
                <w:webHidden/>
              </w:rPr>
              <w:tab/>
            </w:r>
            <w:r>
              <w:rPr>
                <w:noProof/>
                <w:webHidden/>
              </w:rPr>
              <w:fldChar w:fldCharType="begin"/>
            </w:r>
            <w:r w:rsidR="00A72285">
              <w:rPr>
                <w:noProof/>
                <w:webHidden/>
              </w:rPr>
              <w:instrText xml:space="preserve"> PAGEREF _Toc339368219 \h </w:instrText>
            </w:r>
            <w:r>
              <w:rPr>
                <w:noProof/>
                <w:webHidden/>
              </w:rPr>
            </w:r>
            <w:r>
              <w:rPr>
                <w:noProof/>
                <w:webHidden/>
              </w:rPr>
              <w:fldChar w:fldCharType="separate"/>
            </w:r>
            <w:r w:rsidR="00A72285">
              <w:rPr>
                <w:noProof/>
                <w:webHidden/>
              </w:rPr>
              <w:t>52</w:t>
            </w:r>
            <w:r>
              <w:rPr>
                <w:noProof/>
                <w:webHidden/>
              </w:rPr>
              <w:fldChar w:fldCharType="end"/>
            </w:r>
          </w:hyperlink>
        </w:p>
        <w:p w:rsidR="00A72285" w:rsidRDefault="003A2851">
          <w:pPr>
            <w:pStyle w:val="TOC1"/>
            <w:rPr>
              <w:rFonts w:eastAsiaTheme="minorEastAsia"/>
              <w:b w:val="0"/>
              <w:lang w:eastAsia="en-AU"/>
            </w:rPr>
          </w:pPr>
          <w:hyperlink w:anchor="_Toc339368220" w:history="1">
            <w:r w:rsidR="00A72285" w:rsidRPr="00BA5638">
              <w:rPr>
                <w:rStyle w:val="Hyperlink"/>
              </w:rPr>
              <w:t>Attachment J – Australian World Heritage management principles</w:t>
            </w:r>
            <w:r w:rsidR="00A72285">
              <w:rPr>
                <w:webHidden/>
              </w:rPr>
              <w:tab/>
            </w:r>
            <w:r>
              <w:rPr>
                <w:webHidden/>
              </w:rPr>
              <w:fldChar w:fldCharType="begin"/>
            </w:r>
            <w:r w:rsidR="00A72285">
              <w:rPr>
                <w:webHidden/>
              </w:rPr>
              <w:instrText xml:space="preserve"> PAGEREF _Toc339368220 \h </w:instrText>
            </w:r>
            <w:r>
              <w:rPr>
                <w:webHidden/>
              </w:rPr>
            </w:r>
            <w:r>
              <w:rPr>
                <w:webHidden/>
              </w:rPr>
              <w:fldChar w:fldCharType="separate"/>
            </w:r>
            <w:r w:rsidR="00A72285">
              <w:rPr>
                <w:webHidden/>
              </w:rPr>
              <w:t>55</w:t>
            </w:r>
            <w:r>
              <w:rPr>
                <w:webHidden/>
              </w:rPr>
              <w:fldChar w:fldCharType="end"/>
            </w:r>
          </w:hyperlink>
        </w:p>
        <w:p w:rsidR="00A72285" w:rsidRDefault="003A2851">
          <w:pPr>
            <w:pStyle w:val="TOC3"/>
            <w:tabs>
              <w:tab w:val="right" w:leader="dot" w:pos="9016"/>
            </w:tabs>
            <w:rPr>
              <w:rFonts w:eastAsiaTheme="minorEastAsia"/>
              <w:noProof/>
              <w:lang w:eastAsia="en-AU"/>
            </w:rPr>
          </w:pPr>
          <w:hyperlink w:anchor="_Toc339368221" w:history="1">
            <w:r w:rsidR="00A72285" w:rsidRPr="00BA5638">
              <w:rPr>
                <w:rStyle w:val="Hyperlink"/>
                <w:noProof/>
              </w:rPr>
              <w:t>Schedule 5 to the EPBC Regulations</w:t>
            </w:r>
            <w:r w:rsidR="00A72285">
              <w:rPr>
                <w:noProof/>
                <w:webHidden/>
              </w:rPr>
              <w:tab/>
            </w:r>
            <w:r>
              <w:rPr>
                <w:noProof/>
                <w:webHidden/>
              </w:rPr>
              <w:fldChar w:fldCharType="begin"/>
            </w:r>
            <w:r w:rsidR="00A72285">
              <w:rPr>
                <w:noProof/>
                <w:webHidden/>
              </w:rPr>
              <w:instrText xml:space="preserve"> PAGEREF _Toc339368221 \h </w:instrText>
            </w:r>
            <w:r>
              <w:rPr>
                <w:noProof/>
                <w:webHidden/>
              </w:rPr>
            </w:r>
            <w:r>
              <w:rPr>
                <w:noProof/>
                <w:webHidden/>
              </w:rPr>
              <w:fldChar w:fldCharType="separate"/>
            </w:r>
            <w:r w:rsidR="00A72285">
              <w:rPr>
                <w:noProof/>
                <w:webHidden/>
              </w:rPr>
              <w:t>55</w:t>
            </w:r>
            <w:r>
              <w:rPr>
                <w:noProof/>
                <w:webHidden/>
              </w:rPr>
              <w:fldChar w:fldCharType="end"/>
            </w:r>
          </w:hyperlink>
        </w:p>
        <w:p w:rsidR="00A72285" w:rsidRDefault="003A2851">
          <w:pPr>
            <w:pStyle w:val="TOC1"/>
            <w:rPr>
              <w:rFonts w:eastAsiaTheme="minorEastAsia"/>
              <w:b w:val="0"/>
              <w:lang w:eastAsia="en-AU"/>
            </w:rPr>
          </w:pPr>
          <w:hyperlink w:anchor="_Toc339368222" w:history="1">
            <w:r w:rsidR="00A72285" w:rsidRPr="00BA5638">
              <w:rPr>
                <w:rStyle w:val="Hyperlink"/>
              </w:rPr>
              <w:t>Attachment K – Extract from the Intergovernmental Agreement on the Environment, 1992</w:t>
            </w:r>
            <w:r w:rsidR="00A72285">
              <w:rPr>
                <w:webHidden/>
              </w:rPr>
              <w:tab/>
            </w:r>
            <w:r>
              <w:rPr>
                <w:webHidden/>
              </w:rPr>
              <w:fldChar w:fldCharType="begin"/>
            </w:r>
            <w:r w:rsidR="00A72285">
              <w:rPr>
                <w:webHidden/>
              </w:rPr>
              <w:instrText xml:space="preserve"> PAGEREF _Toc339368222 \h </w:instrText>
            </w:r>
            <w:r>
              <w:rPr>
                <w:webHidden/>
              </w:rPr>
            </w:r>
            <w:r>
              <w:rPr>
                <w:webHidden/>
              </w:rPr>
              <w:fldChar w:fldCharType="separate"/>
            </w:r>
            <w:r w:rsidR="00A72285">
              <w:rPr>
                <w:webHidden/>
              </w:rPr>
              <w:t>57</w:t>
            </w:r>
            <w:r>
              <w:rPr>
                <w:webHidden/>
              </w:rPr>
              <w:fldChar w:fldCharType="end"/>
            </w:r>
          </w:hyperlink>
        </w:p>
        <w:p w:rsidR="00FE71F6" w:rsidRPr="00A44E49" w:rsidRDefault="003A2851" w:rsidP="00FE71F6">
          <w:pPr>
            <w:rPr>
              <w:noProof/>
            </w:rPr>
          </w:pPr>
          <w:r w:rsidRPr="00A44E49">
            <w:rPr>
              <w:bCs/>
              <w:noProof/>
            </w:rPr>
            <w:fldChar w:fldCharType="end"/>
          </w:r>
        </w:p>
      </w:sdtContent>
    </w:sdt>
    <w:p w:rsidR="005D0C5C" w:rsidRPr="00A44E49" w:rsidRDefault="005D0C5C"/>
    <w:p w:rsidR="00FE71F6" w:rsidRPr="00A44E49" w:rsidRDefault="00FE71F6">
      <w:r w:rsidRPr="00A44E49">
        <w:br w:type="page"/>
      </w:r>
    </w:p>
    <w:p w:rsidR="00A72285" w:rsidRDefault="00A72285" w:rsidP="00A72285">
      <w:pPr>
        <w:pStyle w:val="Heading1"/>
        <w:spacing w:after="240"/>
      </w:pPr>
      <w:bookmarkStart w:id="2" w:name="_Toc339368169"/>
      <w:bookmarkStart w:id="3" w:name="_Toc327900125"/>
      <w:bookmarkEnd w:id="0"/>
      <w:r>
        <w:lastRenderedPageBreak/>
        <w:t>Preface</w:t>
      </w:r>
      <w:bookmarkEnd w:id="2"/>
    </w:p>
    <w:p w:rsidR="00A72285" w:rsidRDefault="00A72285" w:rsidP="00A72285">
      <w:r w:rsidRPr="008B0203">
        <w:rPr>
          <w:b/>
        </w:rPr>
        <w:t>In April 2012 the Council of Australian Governments (COAG) agreed to reform the administration of national environment regulation</w:t>
      </w:r>
      <w:r>
        <w:t xml:space="preserve"> in order to reduce duplication and double-handling while maintaining high environmental standards. </w:t>
      </w:r>
    </w:p>
    <w:p w:rsidR="00A72285" w:rsidRPr="0037316E" w:rsidRDefault="00A72285" w:rsidP="00A72285">
      <w:r w:rsidRPr="007B3A89">
        <w:rPr>
          <w:b/>
        </w:rPr>
        <w:t xml:space="preserve">To achieve this, COAG agreed to develop </w:t>
      </w:r>
      <w:r>
        <w:rPr>
          <w:b/>
        </w:rPr>
        <w:t xml:space="preserve">bilateral </w:t>
      </w:r>
      <w:r w:rsidRPr="007B3A89">
        <w:rPr>
          <w:b/>
        </w:rPr>
        <w:t>arrangements to accredit states and territories (states) to assess and approve actions</w:t>
      </w:r>
      <w:r>
        <w:t xml:space="preserve">  through statutory bilateral agreements under the </w:t>
      </w:r>
      <w:r w:rsidRPr="0042393D">
        <w:rPr>
          <w:i/>
        </w:rPr>
        <w:t>Environment Protection and Biodiversity Conservation Act 1999</w:t>
      </w:r>
      <w:r>
        <w:t xml:space="preserve"> (EPBC Act). To ensure the maintenance of strong environment outcomes, COAG agreed that standards should be developed to inform the development of accreditation arrangements between the Commonwealth and each state.</w:t>
      </w:r>
    </w:p>
    <w:p w:rsidR="00A72285" w:rsidRDefault="00A72285" w:rsidP="00A72285">
      <w:pPr>
        <w:rPr>
          <w:b/>
        </w:rPr>
      </w:pPr>
      <w:r>
        <w:t xml:space="preserve">The Commonwealth has put forward a draft </w:t>
      </w:r>
      <w:r>
        <w:rPr>
          <w:i/>
        </w:rPr>
        <w:t>Framework of Standards for Accreditation</w:t>
      </w:r>
      <w:r>
        <w:t xml:space="preserve">. </w:t>
      </w:r>
      <w:r>
        <w:rPr>
          <w:b/>
        </w:rPr>
        <w:t>The draft standards are a Commonwealth document and form the basis for the Australian Government’s approach to bilateral negotiations</w:t>
      </w:r>
      <w:r w:rsidRPr="001B3CEF">
        <w:t>. They set out both:</w:t>
      </w:r>
    </w:p>
    <w:p w:rsidR="00A72285" w:rsidRDefault="00A72285" w:rsidP="00A72285">
      <w:pPr>
        <w:pStyle w:val="ListParagraph"/>
        <w:numPr>
          <w:ilvl w:val="0"/>
          <w:numId w:val="56"/>
        </w:numPr>
      </w:pPr>
      <w:r>
        <w:t>Standards for accreditation – which reflect the specific accreditation requirements of the EPBC Act, and requirements of Commonwealth law and policy that are essential for the Commonwealth to be satisfied that high environment standards will be maintained; and</w:t>
      </w:r>
    </w:p>
    <w:p w:rsidR="00A72285" w:rsidRDefault="00A72285" w:rsidP="00A72285">
      <w:pPr>
        <w:pStyle w:val="ListParagraph"/>
        <w:numPr>
          <w:ilvl w:val="0"/>
          <w:numId w:val="56"/>
        </w:numPr>
      </w:pPr>
      <w:r>
        <w:t>Commonwealth considerations – which provide additional guidance to jurisdictions on areas that the Commonwealth will take into account when determining whether the standards have been met.</w:t>
      </w:r>
    </w:p>
    <w:p w:rsidR="00A72285" w:rsidRPr="00A72285" w:rsidRDefault="00A72285" w:rsidP="00A72285"/>
    <w:p w:rsidR="00A72285" w:rsidRDefault="00A72285">
      <w:pPr>
        <w:rPr>
          <w:rFonts w:asciiTheme="majorHAnsi" w:eastAsiaTheme="majorEastAsia" w:hAnsiTheme="majorHAnsi" w:cstheme="majorBidi"/>
          <w:b/>
          <w:bCs/>
          <w:color w:val="365F91" w:themeColor="accent1" w:themeShade="BF"/>
          <w:sz w:val="28"/>
          <w:szCs w:val="28"/>
        </w:rPr>
      </w:pPr>
      <w:r>
        <w:br w:type="page"/>
      </w:r>
    </w:p>
    <w:p w:rsidR="00CD26D3" w:rsidRPr="00A44E49" w:rsidRDefault="00CD26D3" w:rsidP="00453A44">
      <w:pPr>
        <w:pStyle w:val="Heading1"/>
        <w:numPr>
          <w:ilvl w:val="0"/>
          <w:numId w:val="17"/>
        </w:numPr>
        <w:spacing w:after="240"/>
        <w:ind w:left="357" w:hanging="357"/>
      </w:pPr>
      <w:bookmarkStart w:id="4" w:name="_Toc339368170"/>
      <w:r w:rsidRPr="00A44E49">
        <w:lastRenderedPageBreak/>
        <w:t>Introduction</w:t>
      </w:r>
      <w:bookmarkEnd w:id="4"/>
    </w:p>
    <w:p w:rsidR="00CD26D3" w:rsidRPr="00A44E49" w:rsidRDefault="00CD26D3" w:rsidP="00297201">
      <w:pPr>
        <w:pStyle w:val="ListParagraph"/>
        <w:numPr>
          <w:ilvl w:val="0"/>
          <w:numId w:val="42"/>
        </w:numPr>
        <w:ind w:left="357" w:hanging="357"/>
        <w:contextualSpacing w:val="0"/>
      </w:pPr>
      <w:r w:rsidRPr="00A44E49">
        <w:t xml:space="preserve">This document proposes standards for accreditation of State and Territory regimes to undertake environment approvals under the </w:t>
      </w:r>
      <w:r w:rsidRPr="00297201">
        <w:rPr>
          <w:i/>
        </w:rPr>
        <w:t xml:space="preserve">Environment Protection and Biodiversity Conservation Act 1999 </w:t>
      </w:r>
      <w:r w:rsidRPr="00A44E49">
        <w:t>(EPBC Act).</w:t>
      </w:r>
    </w:p>
    <w:p w:rsidR="00CD26D3" w:rsidRPr="006F78AA" w:rsidRDefault="00CD26D3" w:rsidP="00297201">
      <w:pPr>
        <w:pStyle w:val="ListParagraph"/>
        <w:numPr>
          <w:ilvl w:val="0"/>
          <w:numId w:val="42"/>
        </w:numPr>
        <w:ind w:left="357" w:hanging="357"/>
        <w:contextualSpacing w:val="0"/>
        <w:rPr>
          <w:rFonts w:cs="Verdana"/>
        </w:rPr>
      </w:pPr>
      <w:r w:rsidRPr="00A44E49">
        <w:t>The circulation of th</w:t>
      </w:r>
      <w:r w:rsidR="003676FD" w:rsidRPr="00A44E49">
        <w:t>is</w:t>
      </w:r>
      <w:r w:rsidRPr="00A44E49">
        <w:t xml:space="preserve"> draft </w:t>
      </w:r>
      <w:r w:rsidRPr="00A44E49">
        <w:rPr>
          <w:i/>
        </w:rPr>
        <w:t>Framework of Standards for Accreditation</w:t>
      </w:r>
      <w:r w:rsidRPr="00A44E49">
        <w:t xml:space="preserve"> (the Framework) is the second milestone in the delivery of the Council of Australian Governments’ (COAG) environment regulation reform agenda.  It builds on the </w:t>
      </w:r>
      <w:r w:rsidRPr="00A44E49">
        <w:rPr>
          <w:i/>
        </w:rPr>
        <w:t>Statement of Environmental and Assurance Outcomes</w:t>
      </w:r>
      <w:r w:rsidRPr="00A44E49">
        <w:t>, the first milestone paper for this reform, which the Commonwealth provided to States a</w:t>
      </w:r>
      <w:r w:rsidR="00574FBD" w:rsidRPr="00A44E49">
        <w:t xml:space="preserve">nd Territories on </w:t>
      </w:r>
      <w:r w:rsidR="00574FBD" w:rsidRPr="006F78AA">
        <w:rPr>
          <w:rFonts w:cs="Verdana"/>
        </w:rPr>
        <w:t>8 June 2012.</w:t>
      </w:r>
      <w:r w:rsidRPr="006F78AA">
        <w:rPr>
          <w:rFonts w:cs="Verdana"/>
        </w:rPr>
        <w:t xml:space="preserve"> </w:t>
      </w:r>
      <w:r w:rsidR="00273CA9">
        <w:rPr>
          <w:rFonts w:cs="Verdana"/>
        </w:rPr>
        <w:t xml:space="preserve"> </w:t>
      </w:r>
      <w:r w:rsidRPr="006F78AA">
        <w:rPr>
          <w:rFonts w:cs="Verdana"/>
        </w:rPr>
        <w:t>The two documents should be read together.</w:t>
      </w:r>
    </w:p>
    <w:p w:rsidR="00CD26D3" w:rsidRPr="006F78AA" w:rsidRDefault="00814F52" w:rsidP="00297201">
      <w:pPr>
        <w:pStyle w:val="ListParagraph"/>
        <w:numPr>
          <w:ilvl w:val="0"/>
          <w:numId w:val="42"/>
        </w:numPr>
        <w:rPr>
          <w:rFonts w:cs="Verdana"/>
        </w:rPr>
      </w:pPr>
      <w:r>
        <w:rPr>
          <w:rFonts w:cs="Verdana"/>
        </w:rPr>
        <w:t xml:space="preserve">The </w:t>
      </w:r>
      <w:r w:rsidR="00BE218E" w:rsidRPr="006F78AA">
        <w:rPr>
          <w:rFonts w:cs="Verdana"/>
        </w:rPr>
        <w:t>implementation of a comprehensive system for the accreditation of environmental approvals is a collaborative endeavour involving the Commonwealth wor</w:t>
      </w:r>
      <w:r w:rsidR="00BE218E">
        <w:rPr>
          <w:rFonts w:cs="Verdana"/>
        </w:rPr>
        <w:t>king in close partnership with State and T</w:t>
      </w:r>
      <w:r w:rsidR="00BE218E" w:rsidRPr="006F78AA">
        <w:rPr>
          <w:rFonts w:cs="Verdana"/>
        </w:rPr>
        <w:t xml:space="preserve">erritory governments. </w:t>
      </w:r>
      <w:r w:rsidR="00BE218E">
        <w:rPr>
          <w:rFonts w:cs="Verdana"/>
        </w:rPr>
        <w:t xml:space="preserve"> </w:t>
      </w:r>
      <w:r w:rsidR="00BE218E" w:rsidRPr="006F78AA">
        <w:rPr>
          <w:rFonts w:cs="Verdana"/>
        </w:rPr>
        <w:t>This draft framework has been prepared to provide a basis fo</w:t>
      </w:r>
      <w:r w:rsidR="00BE218E">
        <w:rPr>
          <w:rFonts w:cs="Verdana"/>
        </w:rPr>
        <w:t>r further discussions with the States and T</w:t>
      </w:r>
      <w:r w:rsidR="00BE218E" w:rsidRPr="006F78AA">
        <w:rPr>
          <w:rFonts w:cs="Verdana"/>
        </w:rPr>
        <w:t xml:space="preserve">erritories of the requirements for a robust system that maintains Australia's reputation for high environmental standards and efficient regulation. </w:t>
      </w:r>
    </w:p>
    <w:p w:rsidR="00CD26D3" w:rsidRPr="00A44E49" w:rsidRDefault="00CD26D3" w:rsidP="00CD26D3">
      <w:pPr>
        <w:pStyle w:val="Heading2"/>
      </w:pPr>
      <w:bookmarkStart w:id="5" w:name="_Toc328061289"/>
      <w:bookmarkStart w:id="6" w:name="_Toc339368171"/>
      <w:r w:rsidRPr="00A44E49">
        <w:t>Purpose</w:t>
      </w:r>
      <w:bookmarkEnd w:id="5"/>
      <w:r w:rsidRPr="00A44E49">
        <w:t xml:space="preserve"> of this Framework</w:t>
      </w:r>
      <w:bookmarkEnd w:id="6"/>
    </w:p>
    <w:p w:rsidR="00CD26D3" w:rsidRPr="00A44E49" w:rsidRDefault="00CD26D3" w:rsidP="00297201">
      <w:pPr>
        <w:pStyle w:val="ListParagraph"/>
        <w:numPr>
          <w:ilvl w:val="0"/>
          <w:numId w:val="42"/>
        </w:numPr>
        <w:rPr>
          <w:rFonts w:cs="Verdana"/>
        </w:rPr>
      </w:pPr>
      <w:r w:rsidRPr="00A44E49">
        <w:rPr>
          <w:rFonts w:cs="Verdana"/>
        </w:rPr>
        <w:t>The Framework of Standards is designed to support the implementation of COAG’s environment regulation reform agenda by facilitating a detailed exchange of information</w:t>
      </w:r>
      <w:r w:rsidR="00574FBD" w:rsidRPr="00A44E49">
        <w:rPr>
          <w:rFonts w:cs="Verdana"/>
        </w:rPr>
        <w:t xml:space="preserve"> between the Commonwealth, States and Territories</w:t>
      </w:r>
      <w:r w:rsidRPr="00A44E49">
        <w:rPr>
          <w:rFonts w:cs="Verdana"/>
        </w:rPr>
        <w:t xml:space="preserve"> about: </w:t>
      </w:r>
    </w:p>
    <w:p w:rsidR="00CD26D3" w:rsidRPr="00A44E49" w:rsidRDefault="00CD26D3" w:rsidP="00453A44">
      <w:pPr>
        <w:pStyle w:val="ListParagraph"/>
        <w:numPr>
          <w:ilvl w:val="0"/>
          <w:numId w:val="15"/>
        </w:numPr>
      </w:pPr>
      <w:r w:rsidRPr="00A44E49">
        <w:rPr>
          <w:rFonts w:cs="Verdana"/>
        </w:rPr>
        <w:t xml:space="preserve">the </w:t>
      </w:r>
      <w:r w:rsidR="003676FD" w:rsidRPr="00A44E49">
        <w:rPr>
          <w:rFonts w:cs="Verdana"/>
        </w:rPr>
        <w:t>requirements</w:t>
      </w:r>
      <w:r w:rsidRPr="00A44E49">
        <w:rPr>
          <w:rFonts w:cs="Verdana"/>
        </w:rPr>
        <w:t xml:space="preserve"> </w:t>
      </w:r>
      <w:r w:rsidR="00805798">
        <w:rPr>
          <w:rFonts w:cs="Verdana"/>
        </w:rPr>
        <w:t xml:space="preserve">that must be satisfied in order for </w:t>
      </w:r>
      <w:r w:rsidRPr="00A44E49">
        <w:rPr>
          <w:rFonts w:cs="Verdana"/>
        </w:rPr>
        <w:t>the Commonwealth to accredit State and Territory systems</w:t>
      </w:r>
      <w:r w:rsidR="003676FD" w:rsidRPr="00A44E49">
        <w:rPr>
          <w:rFonts w:cs="Verdana"/>
        </w:rPr>
        <w:t xml:space="preserve"> </w:t>
      </w:r>
      <w:r w:rsidR="00037225">
        <w:rPr>
          <w:rFonts w:cs="Verdana"/>
        </w:rPr>
        <w:t xml:space="preserve">through bilateral agreements </w:t>
      </w:r>
      <w:r w:rsidR="003676FD" w:rsidRPr="00A44E49">
        <w:rPr>
          <w:rFonts w:cs="Verdana"/>
        </w:rPr>
        <w:t>under the EPBC Act</w:t>
      </w:r>
      <w:r w:rsidRPr="00A44E49">
        <w:rPr>
          <w:rFonts w:cs="Verdana"/>
        </w:rPr>
        <w:t>; and</w:t>
      </w:r>
    </w:p>
    <w:p w:rsidR="00CD26D3" w:rsidRPr="00805798" w:rsidRDefault="00CD26D3" w:rsidP="00297201">
      <w:pPr>
        <w:pStyle w:val="ListParagraph"/>
        <w:numPr>
          <w:ilvl w:val="0"/>
          <w:numId w:val="15"/>
        </w:numPr>
        <w:contextualSpacing w:val="0"/>
      </w:pPr>
      <w:proofErr w:type="gramStart"/>
      <w:r w:rsidRPr="00A44E49">
        <w:rPr>
          <w:rFonts w:cs="Verdana"/>
        </w:rPr>
        <w:t>how</w:t>
      </w:r>
      <w:proofErr w:type="gramEnd"/>
      <w:r w:rsidRPr="00A44E49">
        <w:rPr>
          <w:rFonts w:cs="Verdana"/>
        </w:rPr>
        <w:t xml:space="preserve"> each State and Te</w:t>
      </w:r>
      <w:r w:rsidR="00984C72">
        <w:rPr>
          <w:rFonts w:cs="Verdana"/>
        </w:rPr>
        <w:t>rritory system could address those</w:t>
      </w:r>
      <w:r w:rsidRPr="00A44E49">
        <w:rPr>
          <w:rFonts w:cs="Verdana"/>
        </w:rPr>
        <w:t xml:space="preserve"> </w:t>
      </w:r>
      <w:r w:rsidR="00574FBD" w:rsidRPr="00A44E49">
        <w:rPr>
          <w:rFonts w:cs="Verdana"/>
        </w:rPr>
        <w:t>requirements</w:t>
      </w:r>
      <w:r w:rsidRPr="00A44E49">
        <w:rPr>
          <w:rFonts w:cs="Verdana"/>
        </w:rPr>
        <w:t>.</w:t>
      </w:r>
    </w:p>
    <w:p w:rsidR="00805798" w:rsidRPr="00A44E49" w:rsidRDefault="00805798" w:rsidP="00297201">
      <w:pPr>
        <w:pStyle w:val="ListParagraph"/>
        <w:numPr>
          <w:ilvl w:val="0"/>
          <w:numId w:val="42"/>
        </w:numPr>
        <w:ind w:left="357" w:hanging="357"/>
        <w:contextualSpacing w:val="0"/>
      </w:pPr>
      <w:r>
        <w:t>The Framework is inten</w:t>
      </w:r>
      <w:r w:rsidR="00125D23">
        <w:t>ded to support risk- and outcome-</w:t>
      </w:r>
      <w:r>
        <w:t xml:space="preserve">based regulation.  Accordingly, the standards for accreditation are clearly specified.  However, it is recognised that States and Territories should have flexibility in proposing how they would achieve the standards within the requirements of the EPBC Act. </w:t>
      </w:r>
    </w:p>
    <w:p w:rsidR="00CD26D3" w:rsidRPr="00A44E49" w:rsidRDefault="00CD26D3" w:rsidP="00297201">
      <w:pPr>
        <w:pStyle w:val="ListParagraph"/>
        <w:numPr>
          <w:ilvl w:val="0"/>
          <w:numId w:val="42"/>
        </w:numPr>
      </w:pPr>
      <w:r w:rsidRPr="00A44E49">
        <w:t xml:space="preserve">This </w:t>
      </w:r>
      <w:r w:rsidR="00574FBD" w:rsidRPr="00A44E49">
        <w:t>document</w:t>
      </w:r>
      <w:r w:rsidRPr="00A44E49">
        <w:t xml:space="preserve"> sets out:</w:t>
      </w:r>
    </w:p>
    <w:p w:rsidR="00CD26D3" w:rsidRPr="00A44E49" w:rsidRDefault="00CD26D3" w:rsidP="00453A44">
      <w:pPr>
        <w:pStyle w:val="ListParagraph"/>
        <w:numPr>
          <w:ilvl w:val="0"/>
          <w:numId w:val="18"/>
        </w:numPr>
      </w:pPr>
      <w:r w:rsidRPr="00A44E49">
        <w:t xml:space="preserve">contextual information about the EPBC Act and the requirements for </w:t>
      </w:r>
      <w:r w:rsidR="003676FD" w:rsidRPr="00A44E49">
        <w:t>accrediting approval systems under bilateral agreements</w:t>
      </w:r>
      <w:r w:rsidRPr="00A44E49">
        <w:t>;</w:t>
      </w:r>
    </w:p>
    <w:p w:rsidR="00CD26D3" w:rsidRPr="00A44E49" w:rsidRDefault="00574FBD" w:rsidP="00453A44">
      <w:pPr>
        <w:pStyle w:val="ListParagraph"/>
        <w:numPr>
          <w:ilvl w:val="0"/>
          <w:numId w:val="18"/>
        </w:numPr>
      </w:pPr>
      <w:r w:rsidRPr="00A44E49">
        <w:t>an explanation of the</w:t>
      </w:r>
      <w:r w:rsidR="00CD26D3" w:rsidRPr="00A44E49">
        <w:t xml:space="preserve"> standards; and</w:t>
      </w:r>
    </w:p>
    <w:p w:rsidR="00CD26D3" w:rsidRPr="00A44E49" w:rsidRDefault="00CD26D3" w:rsidP="00453A44">
      <w:pPr>
        <w:pStyle w:val="ListParagraph"/>
        <w:numPr>
          <w:ilvl w:val="0"/>
          <w:numId w:val="18"/>
        </w:numPr>
      </w:pPr>
      <w:proofErr w:type="gramStart"/>
      <w:r w:rsidRPr="00A44E49">
        <w:t>standards</w:t>
      </w:r>
      <w:proofErr w:type="gramEnd"/>
      <w:r w:rsidRPr="00A44E49">
        <w:t xml:space="preserve"> for accreditation for each of the</w:t>
      </w:r>
      <w:r w:rsidR="003676FD" w:rsidRPr="00A44E49">
        <w:t xml:space="preserve"> environment and system</w:t>
      </w:r>
      <w:r w:rsidRPr="00A44E49">
        <w:t xml:space="preserve"> outcomes </w:t>
      </w:r>
      <w:r w:rsidR="003676FD" w:rsidRPr="00A44E49">
        <w:t>identified in</w:t>
      </w:r>
      <w:r w:rsidRPr="00A44E49">
        <w:t xml:space="preserve"> the </w:t>
      </w:r>
      <w:r w:rsidRPr="00A44E49">
        <w:rPr>
          <w:i/>
        </w:rPr>
        <w:t>Statement of Environmental and Assurance Outcomes</w:t>
      </w:r>
      <w:r w:rsidRPr="00A44E49">
        <w:t>.</w:t>
      </w:r>
    </w:p>
    <w:p w:rsidR="00CD26D3" w:rsidRPr="00A44E49" w:rsidRDefault="00CD26D3" w:rsidP="00690EA5">
      <w:pPr>
        <w:pStyle w:val="Heading1"/>
        <w:numPr>
          <w:ilvl w:val="0"/>
          <w:numId w:val="43"/>
        </w:numPr>
        <w:spacing w:after="240"/>
      </w:pPr>
      <w:bookmarkStart w:id="7" w:name="_Toc327900111"/>
      <w:bookmarkStart w:id="8" w:name="_Toc327274223"/>
      <w:bookmarkStart w:id="9" w:name="_Toc339368172"/>
      <w:r w:rsidRPr="00A44E49">
        <w:t>Context</w:t>
      </w:r>
      <w:bookmarkEnd w:id="7"/>
      <w:bookmarkEnd w:id="8"/>
      <w:bookmarkEnd w:id="9"/>
    </w:p>
    <w:p w:rsidR="00CD26D3" w:rsidRPr="00A44E49" w:rsidRDefault="00CD26D3" w:rsidP="00CD26D3">
      <w:pPr>
        <w:pStyle w:val="Heading2"/>
      </w:pPr>
      <w:bookmarkStart w:id="10" w:name="_Toc339368173"/>
      <w:r w:rsidRPr="00A44E49">
        <w:t>Overview of the EPBC Act</w:t>
      </w:r>
      <w:bookmarkEnd w:id="10"/>
    </w:p>
    <w:p w:rsidR="00AD535F" w:rsidRDefault="00CD26D3" w:rsidP="00297201">
      <w:pPr>
        <w:pStyle w:val="ListParagraph"/>
        <w:numPr>
          <w:ilvl w:val="0"/>
          <w:numId w:val="42"/>
        </w:numPr>
      </w:pPr>
      <w:r w:rsidRPr="00A44E49">
        <w:t xml:space="preserve">The </w:t>
      </w:r>
      <w:r w:rsidRPr="00A44E49">
        <w:rPr>
          <w:rStyle w:val="Emphasis"/>
          <w:i w:val="0"/>
        </w:rPr>
        <w:t>EPBC Act</w:t>
      </w:r>
      <w:r w:rsidRPr="00A44E49">
        <w:t xml:space="preserve"> is the Commonwealth Government’s central piece of environment legislation.</w:t>
      </w:r>
      <w:r w:rsidR="005B212C">
        <w:t xml:space="preserve"> </w:t>
      </w:r>
      <w:r w:rsidR="00273CA9">
        <w:t xml:space="preserve"> </w:t>
      </w:r>
      <w:r w:rsidR="005B212C">
        <w:br/>
      </w:r>
      <w:r w:rsidRPr="00A44E49">
        <w:t>It provides a legal framework to protect and manage nationally and internationally important flora, fauna, ecological communities</w:t>
      </w:r>
      <w:r w:rsidR="00A86D98">
        <w:t xml:space="preserve">, </w:t>
      </w:r>
      <w:r w:rsidRPr="00A44E49">
        <w:t>heritage places</w:t>
      </w:r>
      <w:r w:rsidR="00A86D98">
        <w:t xml:space="preserve"> and Commonwealth marine areas</w:t>
      </w:r>
      <w:r w:rsidRPr="00A44E49">
        <w:t xml:space="preserve"> - defined </w:t>
      </w:r>
      <w:r w:rsidRPr="00A44E49">
        <w:lastRenderedPageBreak/>
        <w:t xml:space="preserve">in the </w:t>
      </w:r>
      <w:r w:rsidRPr="00A44E49">
        <w:rPr>
          <w:rStyle w:val="HTMLAcronym"/>
        </w:rPr>
        <w:t>EPBC</w:t>
      </w:r>
      <w:r w:rsidRPr="00A44E49">
        <w:t xml:space="preserve"> Act as matters of national environmental significance.</w:t>
      </w:r>
      <w:bookmarkEnd w:id="3"/>
      <w:r w:rsidR="00AD535F" w:rsidRPr="00A44E49">
        <w:rPr>
          <w:rStyle w:val="EndnoteReference"/>
        </w:rPr>
        <w:endnoteReference w:id="1"/>
      </w:r>
      <w:r w:rsidR="00AD535F">
        <w:t xml:space="preserve">  The </w:t>
      </w:r>
      <w:r w:rsidR="00AD535F">
        <w:rPr>
          <w:rStyle w:val="HTMLAcronym"/>
        </w:rPr>
        <w:t>EPBC</w:t>
      </w:r>
      <w:r w:rsidR="00AD535F">
        <w:t xml:space="preserve"> Act enables the Australian Government to join with the States and Territories in providing a national scheme of environment and heritage protection and biodiversity conservation,</w:t>
      </w:r>
      <w:r w:rsidR="00AD535F">
        <w:rPr>
          <w:rStyle w:val="EndnoteReference"/>
        </w:rPr>
        <w:endnoteReference w:id="2"/>
      </w:r>
      <w:r w:rsidR="00AD535F">
        <w:t xml:space="preserve"> and is the statutory mechanism to ensure that Australia meets its obligations under key international environmental conventions.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AD535F" w:rsidTr="00BE218E">
        <w:tc>
          <w:tcPr>
            <w:tcW w:w="9242" w:type="dxa"/>
            <w:shd w:val="clear" w:color="auto" w:fill="C6D9F1" w:themeFill="text2" w:themeFillTint="33"/>
          </w:tcPr>
          <w:p w:rsidR="00AD535F" w:rsidRDefault="00AD535F" w:rsidP="00AF24E8">
            <w:pPr>
              <w:spacing w:after="120"/>
            </w:pPr>
            <w:r w:rsidRPr="00C93AAD">
              <w:t>The objects of the EPBC Act are to:</w:t>
            </w:r>
            <w:r w:rsidR="00BE6F5B">
              <w:rPr>
                <w:rStyle w:val="EndnoteReference"/>
              </w:rPr>
              <w:endnoteReference w:id="3"/>
            </w:r>
          </w:p>
          <w:p w:rsidR="00AD535F" w:rsidRPr="00046A90" w:rsidRDefault="00AD535F" w:rsidP="00AF24E8">
            <w:pPr>
              <w:pStyle w:val="ListParagraph"/>
              <w:numPr>
                <w:ilvl w:val="0"/>
                <w:numId w:val="39"/>
              </w:numPr>
              <w:spacing w:after="120"/>
              <w:ind w:left="714" w:hanging="357"/>
              <w:contextualSpacing w:val="0"/>
            </w:pPr>
            <w:r w:rsidRPr="00046A90">
              <w:t xml:space="preserve">provide for the protection of the </w:t>
            </w:r>
            <w:hyperlink r:id="rId10" w:anchor="environment" w:history="1">
              <w:r w:rsidRPr="00046A90">
                <w:t>environment</w:t>
              </w:r>
            </w:hyperlink>
            <w:r w:rsidRPr="00046A90">
              <w:t xml:space="preserve">, especially those aspects of the </w:t>
            </w:r>
            <w:hyperlink r:id="rId11" w:anchor="environment" w:history="1">
              <w:r w:rsidRPr="00046A90">
                <w:t>environment</w:t>
              </w:r>
            </w:hyperlink>
            <w:r w:rsidRPr="00046A90">
              <w:t xml:space="preserve"> that are matters of national </w:t>
            </w:r>
            <w:hyperlink r:id="rId12" w:anchor="environment" w:history="1">
              <w:r w:rsidRPr="00046A90">
                <w:t>environmental</w:t>
              </w:r>
            </w:hyperlink>
            <w:r w:rsidRPr="00046A90">
              <w:t xml:space="preserve"> significance;</w:t>
            </w:r>
          </w:p>
          <w:p w:rsidR="00AD535F" w:rsidRPr="00046A90" w:rsidRDefault="00AD535F" w:rsidP="00AF24E8">
            <w:pPr>
              <w:pStyle w:val="ListParagraph"/>
              <w:numPr>
                <w:ilvl w:val="0"/>
                <w:numId w:val="39"/>
              </w:numPr>
              <w:spacing w:after="120"/>
              <w:ind w:left="714" w:hanging="357"/>
              <w:contextualSpacing w:val="0"/>
            </w:pPr>
            <w:r w:rsidRPr="00046A90">
              <w:t xml:space="preserve">promote ecologically sustainable development through the conservation and </w:t>
            </w:r>
            <w:hyperlink r:id="rId13" w:anchor="ecologically_sustainable_use" w:history="1">
              <w:r w:rsidRPr="00046A90">
                <w:t>ecologically sustainable</w:t>
              </w:r>
            </w:hyperlink>
            <w:r w:rsidRPr="00046A90">
              <w:t xml:space="preserve"> </w:t>
            </w:r>
            <w:hyperlink r:id="rId14" w:anchor="ecologically_sustainable_use" w:history="1">
              <w:r w:rsidRPr="00046A90">
                <w:t>use</w:t>
              </w:r>
            </w:hyperlink>
            <w:r w:rsidRPr="00046A90">
              <w:t xml:space="preserve"> of natural resources; </w:t>
            </w:r>
          </w:p>
          <w:p w:rsidR="00AD535F" w:rsidRPr="00046A90" w:rsidRDefault="00AD535F" w:rsidP="00AF24E8">
            <w:pPr>
              <w:pStyle w:val="ListParagraph"/>
              <w:numPr>
                <w:ilvl w:val="0"/>
                <w:numId w:val="39"/>
              </w:numPr>
              <w:spacing w:after="120"/>
              <w:ind w:left="714" w:hanging="357"/>
              <w:contextualSpacing w:val="0"/>
            </w:pPr>
            <w:r w:rsidRPr="00046A90">
              <w:t xml:space="preserve">promote the conservation of </w:t>
            </w:r>
            <w:hyperlink r:id="rId15" w:anchor="biodiversity" w:history="1">
              <w:r w:rsidRPr="00046A90">
                <w:t>biodiversity</w:t>
              </w:r>
            </w:hyperlink>
            <w:r>
              <w:t xml:space="preserve"> and </w:t>
            </w:r>
            <w:r w:rsidRPr="00046A90">
              <w:t>provide for the protection and conservation of heritage;</w:t>
            </w:r>
          </w:p>
          <w:p w:rsidR="00AD535F" w:rsidRPr="00046A90" w:rsidRDefault="00AD535F" w:rsidP="00AF24E8">
            <w:pPr>
              <w:pStyle w:val="ListParagraph"/>
              <w:numPr>
                <w:ilvl w:val="0"/>
                <w:numId w:val="39"/>
              </w:numPr>
              <w:spacing w:after="120"/>
              <w:ind w:left="714" w:hanging="357"/>
              <w:contextualSpacing w:val="0"/>
            </w:pPr>
            <w:r w:rsidRPr="00046A90">
              <w:t xml:space="preserve">promote a co-operative approach to the protection and management of the </w:t>
            </w:r>
            <w:hyperlink r:id="rId16" w:anchor="environment" w:history="1">
              <w:r w:rsidRPr="00046A90">
                <w:t>environment</w:t>
              </w:r>
            </w:hyperlink>
            <w:r w:rsidRPr="00046A90">
              <w:t xml:space="preserve"> involving governments, the community, </w:t>
            </w:r>
            <w:hyperlink r:id="rId17" w:anchor="land" w:history="1">
              <w:r w:rsidRPr="00046A90">
                <w:t>land</w:t>
              </w:r>
            </w:hyperlink>
            <w:r w:rsidRPr="00046A90">
              <w:t>-holders and Indigenous peoples;</w:t>
            </w:r>
          </w:p>
          <w:p w:rsidR="00AD535F" w:rsidRPr="00046A90" w:rsidRDefault="00AD535F" w:rsidP="00AF24E8">
            <w:pPr>
              <w:pStyle w:val="ListParagraph"/>
              <w:numPr>
                <w:ilvl w:val="0"/>
                <w:numId w:val="39"/>
              </w:numPr>
              <w:spacing w:after="120"/>
              <w:ind w:left="714" w:hanging="357"/>
              <w:contextualSpacing w:val="0"/>
            </w:pPr>
            <w:r w:rsidRPr="00046A90">
              <w:t xml:space="preserve">assist in the co-operative implementation of Australia's international </w:t>
            </w:r>
            <w:hyperlink r:id="rId18" w:anchor="environment" w:history="1">
              <w:r w:rsidRPr="00046A90">
                <w:t>environmental</w:t>
              </w:r>
            </w:hyperlink>
            <w:r w:rsidRPr="00046A90">
              <w:t xml:space="preserve"> responsibilities; </w:t>
            </w:r>
          </w:p>
          <w:p w:rsidR="00AD535F" w:rsidRPr="00046A90" w:rsidRDefault="00AD535F" w:rsidP="00AF24E8">
            <w:pPr>
              <w:pStyle w:val="ListParagraph"/>
              <w:numPr>
                <w:ilvl w:val="0"/>
                <w:numId w:val="39"/>
              </w:numPr>
              <w:spacing w:after="120"/>
              <w:ind w:left="714" w:hanging="357"/>
              <w:contextualSpacing w:val="0"/>
            </w:pPr>
            <w:r w:rsidRPr="00046A90">
              <w:t xml:space="preserve">recognise the role of Indigenous peoples in the conservation and </w:t>
            </w:r>
            <w:hyperlink r:id="rId19" w:anchor="ecologically_sustainable_use" w:history="1">
              <w:r w:rsidRPr="00046A90">
                <w:t>ecologically sustainable use</w:t>
              </w:r>
            </w:hyperlink>
            <w:r w:rsidRPr="00046A90">
              <w:t xml:space="preserve"> of Australia's </w:t>
            </w:r>
            <w:hyperlink r:id="rId20" w:anchor="biodiversity" w:history="1">
              <w:r w:rsidRPr="00046A90">
                <w:t>biodiversity</w:t>
              </w:r>
            </w:hyperlink>
            <w:r w:rsidRPr="00046A90">
              <w:t xml:space="preserve">; and </w:t>
            </w:r>
          </w:p>
          <w:p w:rsidR="00AD535F" w:rsidRDefault="00AD535F" w:rsidP="00AF24E8">
            <w:pPr>
              <w:pStyle w:val="ListParagraph"/>
              <w:numPr>
                <w:ilvl w:val="0"/>
                <w:numId w:val="39"/>
              </w:numPr>
              <w:spacing w:after="120"/>
              <w:ind w:left="714" w:hanging="357"/>
              <w:contextualSpacing w:val="0"/>
            </w:pPr>
            <w:proofErr w:type="gramStart"/>
            <w:r w:rsidRPr="00046A90">
              <w:t>promote</w:t>
            </w:r>
            <w:proofErr w:type="gramEnd"/>
            <w:r w:rsidRPr="00046A90">
              <w:t xml:space="preserve"> the use of Indigenous peoples' knowledge of </w:t>
            </w:r>
            <w:hyperlink r:id="rId21" w:anchor="biodiversity" w:history="1">
              <w:r w:rsidRPr="00046A90">
                <w:t>biodiversity</w:t>
              </w:r>
            </w:hyperlink>
            <w:r w:rsidRPr="00046A90">
              <w:t xml:space="preserve"> with the involvement of, and in co-operation with, the owners of the knowledge.</w:t>
            </w:r>
          </w:p>
        </w:tc>
      </w:tr>
    </w:tbl>
    <w:p w:rsidR="00AD535F" w:rsidRPr="00A44E49" w:rsidRDefault="00AD535F" w:rsidP="00297201">
      <w:pPr>
        <w:pStyle w:val="ListParagraph"/>
        <w:numPr>
          <w:ilvl w:val="0"/>
          <w:numId w:val="42"/>
        </w:numPr>
      </w:pPr>
      <w:r w:rsidRPr="00A44E49">
        <w:t xml:space="preserve">All jurisdictions are committed to the principles of ecologically sustainable development through the </w:t>
      </w:r>
      <w:r w:rsidRPr="00A44E49">
        <w:rPr>
          <w:i/>
        </w:rPr>
        <w:t>Intergovernmental Agreement on the Environment 1992</w:t>
      </w:r>
      <w:r w:rsidRPr="00A44E49">
        <w:t xml:space="preserve">. </w:t>
      </w:r>
      <w:r w:rsidR="00273CA9">
        <w:t xml:space="preserve"> </w:t>
      </w:r>
      <w:r w:rsidRPr="00A44E49">
        <w:t>The EPBC Act incorporates these principles.</w:t>
      </w:r>
      <w:r w:rsidRPr="00A44E49">
        <w:rPr>
          <w:rStyle w:val="EndnoteReference"/>
        </w:rPr>
        <w:endnoteReference w:id="4"/>
      </w:r>
      <w:r w:rsidRPr="00A44E49">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AD535F" w:rsidTr="00BE218E">
        <w:tc>
          <w:tcPr>
            <w:tcW w:w="9242" w:type="dxa"/>
            <w:shd w:val="clear" w:color="auto" w:fill="C6D9F1" w:themeFill="text2" w:themeFillTint="33"/>
          </w:tcPr>
          <w:p w:rsidR="00AD535F" w:rsidRDefault="00AD535F" w:rsidP="007264AF">
            <w:pPr>
              <w:spacing w:after="120"/>
            </w:pPr>
            <w:r>
              <w:t>Principles of ecologically sustainable development:</w:t>
            </w:r>
          </w:p>
          <w:p w:rsidR="00AD535F" w:rsidRDefault="00AD535F" w:rsidP="007264AF">
            <w:pPr>
              <w:pStyle w:val="ListParagraph"/>
              <w:numPr>
                <w:ilvl w:val="0"/>
                <w:numId w:val="41"/>
              </w:numPr>
              <w:spacing w:after="120"/>
              <w:contextualSpacing w:val="0"/>
            </w:pPr>
            <w:r>
              <w:t>Decision-making processes should effectively integrate both long-term and short-term economic, environmental, social and equitable considerations;</w:t>
            </w:r>
          </w:p>
          <w:p w:rsidR="00AD535F" w:rsidRDefault="00AD535F" w:rsidP="007264AF">
            <w:pPr>
              <w:pStyle w:val="ListParagraph"/>
              <w:numPr>
                <w:ilvl w:val="0"/>
                <w:numId w:val="41"/>
              </w:numPr>
              <w:spacing w:after="120"/>
              <w:ind w:left="714" w:hanging="357"/>
              <w:contextualSpacing w:val="0"/>
            </w:pPr>
            <w:r>
              <w:t xml:space="preserve">The precautionary principle - if there are threats of serious or irreversible environmental damage, lack of full scientific certainty should not be used as a reason for postponing measures to prevent environmental degradation; </w:t>
            </w:r>
          </w:p>
          <w:p w:rsidR="00AD535F" w:rsidRDefault="00AD535F" w:rsidP="007264AF">
            <w:pPr>
              <w:pStyle w:val="ListParagraph"/>
              <w:numPr>
                <w:ilvl w:val="0"/>
                <w:numId w:val="41"/>
              </w:numPr>
              <w:spacing w:after="120"/>
              <w:ind w:left="714" w:hanging="357"/>
              <w:contextualSpacing w:val="0"/>
            </w:pPr>
            <w:r>
              <w:t>The principle of inter-generational equity - that the present generation should ensure that the health, diversity and productivity of the environment is maintained or enhanced for the benefit of future generations;</w:t>
            </w:r>
          </w:p>
          <w:p w:rsidR="00AD535F" w:rsidRDefault="00AD535F" w:rsidP="007264AF">
            <w:pPr>
              <w:pStyle w:val="ListParagraph"/>
              <w:numPr>
                <w:ilvl w:val="0"/>
                <w:numId w:val="41"/>
              </w:numPr>
              <w:spacing w:after="120"/>
              <w:ind w:left="714" w:hanging="357"/>
              <w:contextualSpacing w:val="0"/>
            </w:pPr>
            <w:r>
              <w:t>The conservation of biological diversity and ecological integrity should be a fundamental consideration in decision-making; and</w:t>
            </w:r>
          </w:p>
          <w:p w:rsidR="00AD535F" w:rsidRDefault="00AD535F" w:rsidP="007264AF">
            <w:pPr>
              <w:pStyle w:val="ListParagraph"/>
              <w:numPr>
                <w:ilvl w:val="0"/>
                <w:numId w:val="41"/>
              </w:numPr>
              <w:spacing w:after="120"/>
              <w:ind w:left="714" w:hanging="357"/>
              <w:contextualSpacing w:val="0"/>
            </w:pPr>
            <w:r>
              <w:t>Improved valuation, pricing and incentive mechanisms should be promoted.</w:t>
            </w:r>
          </w:p>
          <w:p w:rsidR="00AD535F" w:rsidRDefault="00AD535F" w:rsidP="00AF24E8"/>
        </w:tc>
      </w:tr>
    </w:tbl>
    <w:p w:rsidR="00AD535F" w:rsidRDefault="00AD535F" w:rsidP="007264AF"/>
    <w:p w:rsidR="00995C62" w:rsidRDefault="00995C62">
      <w:pPr>
        <w:rPr>
          <w:rFonts w:asciiTheme="majorHAnsi" w:eastAsiaTheme="majorEastAsia" w:hAnsiTheme="majorHAnsi" w:cstheme="majorBidi"/>
          <w:b/>
          <w:bCs/>
          <w:color w:val="4F81BD" w:themeColor="accent1"/>
          <w:sz w:val="26"/>
          <w:szCs w:val="26"/>
        </w:rPr>
      </w:pPr>
      <w:bookmarkStart w:id="11" w:name="_Toc327900115"/>
      <w:bookmarkStart w:id="12" w:name="_Toc328503763"/>
      <w:r>
        <w:br w:type="page"/>
      </w:r>
    </w:p>
    <w:p w:rsidR="00AD535F" w:rsidRPr="00A44E49" w:rsidRDefault="00AD535F">
      <w:pPr>
        <w:pStyle w:val="Heading2"/>
      </w:pPr>
      <w:bookmarkStart w:id="13" w:name="_Toc339368174"/>
      <w:r w:rsidRPr="00A44E49">
        <w:lastRenderedPageBreak/>
        <w:t>A risk-based threshold for environmental regulation</w:t>
      </w:r>
      <w:bookmarkEnd w:id="11"/>
      <w:bookmarkEnd w:id="13"/>
    </w:p>
    <w:p w:rsidR="00AD535F" w:rsidRPr="00A44E49" w:rsidRDefault="00AD535F" w:rsidP="00297201">
      <w:pPr>
        <w:pStyle w:val="ListParagraph"/>
        <w:numPr>
          <w:ilvl w:val="0"/>
          <w:numId w:val="42"/>
        </w:numPr>
      </w:pPr>
      <w:r w:rsidRPr="00A44E49">
        <w:t>The EPBC Act adopts a ri</w:t>
      </w:r>
      <w:r w:rsidR="00E90B79">
        <w:t>sk-based approach in setting a ‘significant impact’</w:t>
      </w:r>
      <w:r w:rsidRPr="00A44E49">
        <w:t xml:space="preserve"> threshold for the regulation of environmental approvals.</w:t>
      </w:r>
      <w:r w:rsidR="00273CA9">
        <w:t xml:space="preserve">  </w:t>
      </w:r>
      <w:r w:rsidRPr="00A44E49">
        <w:t>This means that the Act requires the referral of proposed actions that are likely to have</w:t>
      </w:r>
      <w:r w:rsidRPr="00A44E49">
        <w:rPr>
          <w:position w:val="2"/>
        </w:rPr>
        <w:t xml:space="preserve"> </w:t>
      </w:r>
      <w:r w:rsidRPr="00A44E49">
        <w:t>a significant impact on a matter of national environmental significance.</w:t>
      </w:r>
      <w:r w:rsidRPr="00A44E49">
        <w:rPr>
          <w:rStyle w:val="EndnoteReference"/>
        </w:rPr>
        <w:endnoteReference w:id="5"/>
      </w:r>
      <w:r w:rsidRPr="00A44E49">
        <w:t xml:space="preserve">  It follows that State and Territory assessment and approval processes accredited under bilateral agreements need only cover actions that cross this threshold.</w:t>
      </w:r>
    </w:p>
    <w:p w:rsidR="00AD535F" w:rsidRPr="00A44E49" w:rsidRDefault="00AD535F" w:rsidP="00D80253">
      <w:pPr>
        <w:pStyle w:val="Heading2"/>
      </w:pPr>
      <w:bookmarkStart w:id="14" w:name="_Toc339368175"/>
      <w:r w:rsidRPr="00A44E49">
        <w:t>Accreditation of State and Territory environment approvals</w:t>
      </w:r>
      <w:bookmarkEnd w:id="14"/>
      <w:r w:rsidRPr="00A44E49">
        <w:t xml:space="preserve"> </w:t>
      </w:r>
    </w:p>
    <w:p w:rsidR="00AD535F" w:rsidRPr="00A44E49" w:rsidRDefault="00AD535F" w:rsidP="00551748">
      <w:pPr>
        <w:pStyle w:val="ListParagraph"/>
        <w:numPr>
          <w:ilvl w:val="0"/>
          <w:numId w:val="42"/>
        </w:numPr>
        <w:ind w:left="357" w:hanging="357"/>
        <w:contextualSpacing w:val="0"/>
        <w:rPr>
          <w:rFonts w:cstheme="minorHAnsi"/>
        </w:rPr>
      </w:pPr>
      <w:r w:rsidRPr="00297201">
        <w:t>The EPBC Act provides various mechanisms to minimise duplication by accrediting State and</w:t>
      </w:r>
      <w:r w:rsidRPr="00A44E49">
        <w:rPr>
          <w:rFonts w:cstheme="minorHAnsi"/>
        </w:rPr>
        <w:t xml:space="preserve"> Territory environmental assessment and approval systems.</w:t>
      </w:r>
      <w:r w:rsidRPr="00A44E49">
        <w:rPr>
          <w:rStyle w:val="EndnoteReference"/>
          <w:rFonts w:cstheme="minorHAnsi"/>
        </w:rPr>
        <w:endnoteReference w:id="6"/>
      </w:r>
      <w:r w:rsidRPr="00A44E49">
        <w:rPr>
          <w:rFonts w:cstheme="minorHAnsi"/>
        </w:rPr>
        <w:t xml:space="preserve">  The most comprehensive of these mechanisms are bilateral agreements. </w:t>
      </w:r>
      <w:r w:rsidR="00273CA9">
        <w:rPr>
          <w:rFonts w:cstheme="minorHAnsi"/>
        </w:rPr>
        <w:t xml:space="preserve"> </w:t>
      </w:r>
      <w:r w:rsidRPr="00A44E49">
        <w:rPr>
          <w:rFonts w:cstheme="minorHAnsi"/>
        </w:rPr>
        <w:t>In effect, bilateral agreements allow the Commonwealth, subject to certain requirements, to delegate to the States and Territories the responsibility for assessing and approving proposed developments under the EPBC Act.</w:t>
      </w:r>
    </w:p>
    <w:p w:rsidR="00AD535F" w:rsidRPr="00A44E49" w:rsidRDefault="00AD535F" w:rsidP="00297201">
      <w:pPr>
        <w:pStyle w:val="ListParagraph"/>
        <w:numPr>
          <w:ilvl w:val="0"/>
          <w:numId w:val="42"/>
        </w:numPr>
        <w:rPr>
          <w:rFonts w:eastAsia="Calibri" w:cstheme="minorHAnsi"/>
        </w:rPr>
      </w:pPr>
      <w:bookmarkStart w:id="15" w:name="_Toc327274228"/>
      <w:r w:rsidRPr="00A44E49">
        <w:rPr>
          <w:rFonts w:eastAsia="Calibri" w:cstheme="minorHAnsi"/>
        </w:rPr>
        <w:t>There are two types of bilateral agreement:</w:t>
      </w:r>
    </w:p>
    <w:p w:rsidR="00AD535F" w:rsidRPr="00A44E49" w:rsidRDefault="00AD535F" w:rsidP="00297201">
      <w:pPr>
        <w:pStyle w:val="ListParagraph"/>
        <w:numPr>
          <w:ilvl w:val="1"/>
          <w:numId w:val="19"/>
        </w:numPr>
        <w:rPr>
          <w:rFonts w:eastAsia="Calibri" w:cstheme="minorHAnsi"/>
        </w:rPr>
      </w:pPr>
      <w:r w:rsidRPr="00A44E49">
        <w:rPr>
          <w:rFonts w:eastAsia="Calibri" w:cstheme="minorHAnsi"/>
        </w:rPr>
        <w:t xml:space="preserve">an </w:t>
      </w:r>
      <w:r w:rsidRPr="00A44E49">
        <w:rPr>
          <w:rFonts w:eastAsia="Calibri" w:cstheme="minorHAnsi"/>
          <w:i/>
        </w:rPr>
        <w:t>assessment bilateral agreement</w:t>
      </w:r>
      <w:r w:rsidRPr="00A44E49">
        <w:rPr>
          <w:rFonts w:eastAsia="Calibri" w:cstheme="minorHAnsi"/>
        </w:rPr>
        <w:t xml:space="preserve"> may declare that actions assessed in a specified manner by a State or Territory need not be assessed under the EPBC Act, thus minimising duplication between Commonwealth and State or Territory assessments; and</w:t>
      </w:r>
    </w:p>
    <w:p w:rsidR="00AD535F" w:rsidRPr="00A44E49" w:rsidRDefault="00AD535F" w:rsidP="00297201">
      <w:pPr>
        <w:pStyle w:val="ListParagraph"/>
        <w:numPr>
          <w:ilvl w:val="1"/>
          <w:numId w:val="19"/>
        </w:numPr>
        <w:contextualSpacing w:val="0"/>
        <w:rPr>
          <w:rFonts w:eastAsia="Calibri" w:cstheme="minorHAnsi"/>
        </w:rPr>
      </w:pPr>
      <w:proofErr w:type="gramStart"/>
      <w:r w:rsidRPr="00A44E49">
        <w:rPr>
          <w:rFonts w:eastAsia="Calibri" w:cstheme="minorHAnsi"/>
        </w:rPr>
        <w:t>an</w:t>
      </w:r>
      <w:proofErr w:type="gramEnd"/>
      <w:r w:rsidRPr="00A44E49">
        <w:rPr>
          <w:rFonts w:eastAsia="Calibri" w:cstheme="minorHAnsi"/>
        </w:rPr>
        <w:t xml:space="preserve"> </w:t>
      </w:r>
      <w:r w:rsidRPr="005B212C">
        <w:rPr>
          <w:rFonts w:eastAsia="Calibri" w:cstheme="minorHAnsi"/>
          <w:i/>
        </w:rPr>
        <w:t>approval bilateral agreement</w:t>
      </w:r>
      <w:r w:rsidRPr="00A44E49">
        <w:rPr>
          <w:rFonts w:eastAsia="Calibri" w:cstheme="minorHAnsi"/>
        </w:rPr>
        <w:t xml:space="preserve"> may declare that actions taken under accredited State or Territory management arrangements or authorisation processes do not need </w:t>
      </w:r>
      <w:r>
        <w:rPr>
          <w:rFonts w:eastAsia="Calibri" w:cstheme="minorHAnsi"/>
        </w:rPr>
        <w:t xml:space="preserve">further </w:t>
      </w:r>
      <w:r w:rsidRPr="00A44E49">
        <w:rPr>
          <w:rFonts w:eastAsia="Calibri" w:cstheme="minorHAnsi"/>
        </w:rPr>
        <w:t>Commonwealth approval under the EPBC Act.</w:t>
      </w:r>
    </w:p>
    <w:p w:rsidR="00AD535F" w:rsidRPr="00A76FD7" w:rsidRDefault="00AD535F" w:rsidP="00A76FD7">
      <w:pPr>
        <w:pStyle w:val="ListParagraph"/>
        <w:numPr>
          <w:ilvl w:val="0"/>
          <w:numId w:val="42"/>
        </w:numPr>
        <w:ind w:left="357" w:hanging="357"/>
        <w:contextualSpacing w:val="0"/>
        <w:rPr>
          <w:rFonts w:cstheme="minorHAnsi"/>
        </w:rPr>
      </w:pPr>
      <w:r w:rsidRPr="00A44E49">
        <w:t>Bilateral agreements relating to environmental assessment have existed between the Commonwealth and all the States and Territories but there are no approval bilateral agreements currently in place.</w:t>
      </w:r>
      <w:r w:rsidRPr="00A44E49">
        <w:rPr>
          <w:rStyle w:val="EndnoteReference"/>
        </w:rPr>
        <w:endnoteReference w:id="7"/>
      </w:r>
      <w:r>
        <w:t xml:space="preserve">  </w:t>
      </w:r>
      <w:r w:rsidRPr="00A63B63">
        <w:rPr>
          <w:rFonts w:cs="Verdana"/>
        </w:rPr>
        <w:t xml:space="preserve">While we can draw lessons from existing assessment bilateral agreements, the reform agreed by COAG is breaking new ground in seeking the accreditation of State and Territory regimes to undertake approvals. </w:t>
      </w:r>
      <w:r>
        <w:rPr>
          <w:rFonts w:cs="Verdana"/>
        </w:rPr>
        <w:t xml:space="preserve"> </w:t>
      </w:r>
      <w:r w:rsidRPr="00A63B63">
        <w:rPr>
          <w:rFonts w:cs="Verdana"/>
        </w:rPr>
        <w:t xml:space="preserve">The accreditation of approval regimes would, </w:t>
      </w:r>
      <w:r w:rsidRPr="00A76FD7">
        <w:rPr>
          <w:rFonts w:cstheme="minorHAnsi"/>
        </w:rPr>
        <w:t>necessarily, incorporate assessment processes which relate to these approvals.</w:t>
      </w:r>
    </w:p>
    <w:p w:rsidR="00AD535F" w:rsidRPr="00A76FD7" w:rsidRDefault="00AD535F" w:rsidP="00A76FD7">
      <w:pPr>
        <w:pStyle w:val="ListParagraph"/>
        <w:numPr>
          <w:ilvl w:val="0"/>
          <w:numId w:val="42"/>
        </w:numPr>
        <w:ind w:left="357" w:hanging="357"/>
        <w:contextualSpacing w:val="0"/>
        <w:rPr>
          <w:rFonts w:cstheme="minorHAnsi"/>
        </w:rPr>
      </w:pPr>
      <w:r w:rsidRPr="00A76FD7">
        <w:rPr>
          <w:rFonts w:cstheme="minorHAnsi"/>
        </w:rPr>
        <w:t>Therefore, consistent with COAG’s decision, the standards in this document are focus</w:t>
      </w:r>
      <w:r w:rsidR="00432F1F">
        <w:rPr>
          <w:rFonts w:cstheme="minorHAnsi"/>
        </w:rPr>
        <w:t>s</w:t>
      </w:r>
      <w:r w:rsidRPr="00A76FD7">
        <w:rPr>
          <w:rFonts w:cstheme="minorHAnsi"/>
        </w:rPr>
        <w:t>ed on the development of bilateral agreements that accredit State and Territory environmental approval and related assessment arrangements.</w:t>
      </w:r>
    </w:p>
    <w:p w:rsidR="00AD535F" w:rsidRPr="00A44E49" w:rsidRDefault="00AD535F" w:rsidP="00D80253">
      <w:pPr>
        <w:pStyle w:val="Heading2"/>
      </w:pPr>
      <w:bookmarkStart w:id="16" w:name="_Toc339368176"/>
      <w:bookmarkEnd w:id="15"/>
      <w:r w:rsidRPr="00A44E49">
        <w:t>Prerequisites for agreeing bilateral agreements</w:t>
      </w:r>
      <w:bookmarkEnd w:id="16"/>
      <w:r w:rsidRPr="00A44E49">
        <w:t xml:space="preserve"> </w:t>
      </w:r>
    </w:p>
    <w:p w:rsidR="00AD535F" w:rsidRPr="00A44E49" w:rsidRDefault="00AD535F" w:rsidP="00297201">
      <w:pPr>
        <w:pStyle w:val="ListParagraph"/>
        <w:numPr>
          <w:ilvl w:val="0"/>
          <w:numId w:val="42"/>
        </w:numPr>
        <w:rPr>
          <w:rFonts w:eastAsia="Calibri" w:cstheme="minorHAnsi"/>
        </w:rPr>
      </w:pPr>
      <w:r w:rsidRPr="00A44E49">
        <w:rPr>
          <w:rFonts w:eastAsia="Calibri" w:cstheme="minorHAnsi"/>
        </w:rPr>
        <w:t xml:space="preserve">The power to make approval and assessment bilateral agreements is in Part 5 of the EPBC Act. </w:t>
      </w:r>
      <w:r>
        <w:rPr>
          <w:rFonts w:eastAsia="Calibri" w:cstheme="minorHAnsi"/>
        </w:rPr>
        <w:br/>
      </w:r>
      <w:r w:rsidRPr="00A44E49">
        <w:rPr>
          <w:rFonts w:eastAsia="Calibri" w:cstheme="minorHAnsi"/>
        </w:rPr>
        <w:t>This part includes r</w:t>
      </w:r>
      <w:r w:rsidRPr="00A44E49">
        <w:rPr>
          <w:rFonts w:eastAsia="Calibri" w:cstheme="minorHAnsi"/>
          <w:lang w:eastAsia="en-AU"/>
        </w:rPr>
        <w:t>equirements that:</w:t>
      </w:r>
    </w:p>
    <w:p w:rsidR="00AD535F" w:rsidRPr="00A44E49" w:rsidRDefault="00AD535F" w:rsidP="00453A44">
      <w:pPr>
        <w:pStyle w:val="ListParagraph"/>
        <w:numPr>
          <w:ilvl w:val="0"/>
          <w:numId w:val="11"/>
        </w:numPr>
      </w:pPr>
      <w:r w:rsidRPr="00A44E49">
        <w:t>for assessment bilateral agreements – the manner of the assessment process must be specified and may include:</w:t>
      </w:r>
    </w:p>
    <w:p w:rsidR="00AD535F" w:rsidRPr="00A44E49" w:rsidRDefault="00AD535F" w:rsidP="00453A44">
      <w:pPr>
        <w:pStyle w:val="ListParagraph"/>
        <w:numPr>
          <w:ilvl w:val="1"/>
          <w:numId w:val="11"/>
        </w:numPr>
      </w:pPr>
      <w:r w:rsidRPr="00A44E49">
        <w:t>assessment by any person under a law of the State; or</w:t>
      </w:r>
    </w:p>
    <w:p w:rsidR="00AD535F" w:rsidRPr="00A44E49" w:rsidRDefault="00AD535F" w:rsidP="00453A44">
      <w:pPr>
        <w:pStyle w:val="ListParagraph"/>
        <w:numPr>
          <w:ilvl w:val="1"/>
          <w:numId w:val="11"/>
        </w:numPr>
      </w:pPr>
      <w:r w:rsidRPr="00A44E49">
        <w:t>assessment by any person under an agreement or instrument made under a law of the State; or</w:t>
      </w:r>
    </w:p>
    <w:p w:rsidR="00AD535F" w:rsidRPr="00A44E49" w:rsidRDefault="00AD535F" w:rsidP="00453A44">
      <w:pPr>
        <w:pStyle w:val="ListParagraph"/>
        <w:numPr>
          <w:ilvl w:val="1"/>
          <w:numId w:val="11"/>
        </w:numPr>
      </w:pPr>
      <w:r w:rsidRPr="00A44E49">
        <w:t>assessment by any person in accordance with criteria specified in an instrument agreed by the parties to the bilateral agreement;</w:t>
      </w:r>
      <w:r w:rsidRPr="00A44E49">
        <w:rPr>
          <w:rStyle w:val="EndnoteReference"/>
        </w:rPr>
        <w:endnoteReference w:id="8"/>
      </w:r>
      <w:r>
        <w:t xml:space="preserve"> and</w:t>
      </w:r>
    </w:p>
    <w:p w:rsidR="00AD535F" w:rsidRDefault="00AD535F" w:rsidP="00453A44">
      <w:pPr>
        <w:pStyle w:val="ListParagraph"/>
        <w:numPr>
          <w:ilvl w:val="0"/>
          <w:numId w:val="11"/>
        </w:numPr>
      </w:pPr>
      <w:proofErr w:type="gramStart"/>
      <w:r w:rsidRPr="00A44E49">
        <w:lastRenderedPageBreak/>
        <w:t>for</w:t>
      </w:r>
      <w:proofErr w:type="gramEnd"/>
      <w:r w:rsidRPr="00A44E49">
        <w:t xml:space="preserve"> approval bilateral agreements – an accredited authorisation process </w:t>
      </w:r>
      <w:r w:rsidR="006A6118">
        <w:t xml:space="preserve">or management arrangement </w:t>
      </w:r>
      <w:r w:rsidRPr="00A44E49">
        <w:t>(defined under section 46 of the EPBC Act) must be set out in</w:t>
      </w:r>
      <w:r w:rsidR="006A6118">
        <w:t>, or in force under,</w:t>
      </w:r>
      <w:r w:rsidRPr="00A44E49">
        <w:t xml:space="preserve"> a law of the State or Territory, and otherwise meet the criteria set out in the EPBC Act and the Regulations.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AD535F" w:rsidTr="001753FD">
        <w:tc>
          <w:tcPr>
            <w:tcW w:w="9242" w:type="dxa"/>
            <w:shd w:val="clear" w:color="auto" w:fill="C6D9F1" w:themeFill="text2" w:themeFillTint="33"/>
          </w:tcPr>
          <w:p w:rsidR="00AD535F" w:rsidRPr="00A44E49" w:rsidRDefault="00AD535F" w:rsidP="00197A4F">
            <w:pPr>
              <w:spacing w:after="200"/>
              <w:rPr>
                <w:rFonts w:ascii="Calibri" w:hAnsi="Calibri" w:cs="Calibri"/>
                <w:b/>
              </w:rPr>
            </w:pPr>
            <w:r w:rsidRPr="00A44E49">
              <w:rPr>
                <w:rFonts w:ascii="Calibri" w:hAnsi="Calibri" w:cs="Calibri"/>
                <w:b/>
              </w:rPr>
              <w:t>Thresholds for bilateral agreements and accreditation</w:t>
            </w:r>
          </w:p>
          <w:p w:rsidR="00AD535F" w:rsidRPr="00A44E49" w:rsidRDefault="00AD535F" w:rsidP="00197A4F">
            <w:pPr>
              <w:spacing w:after="200"/>
              <w:rPr>
                <w:rFonts w:ascii="Calibri" w:hAnsi="Calibri" w:cs="Calibri"/>
                <w:b/>
              </w:rPr>
            </w:pPr>
            <w:r w:rsidRPr="00A44E49">
              <w:rPr>
                <w:rFonts w:ascii="Calibri" w:hAnsi="Calibri" w:cs="Calibri"/>
              </w:rPr>
              <w:t xml:space="preserve">In general terms, the </w:t>
            </w:r>
            <w:r w:rsidRPr="00A44E49">
              <w:t xml:space="preserve">Commonwealth Minister for the Environment </w:t>
            </w:r>
            <w:r w:rsidRPr="00A44E49">
              <w:rPr>
                <w:rFonts w:ascii="Calibri" w:hAnsi="Calibri" w:cs="Calibri"/>
              </w:rPr>
              <w:t xml:space="preserve">must be satisfied that a bilateral agreement and State or Territory processes or arrangements: </w:t>
            </w:r>
          </w:p>
          <w:p w:rsidR="00AD535F" w:rsidRPr="005B212C" w:rsidRDefault="00AD535F" w:rsidP="00F4336D">
            <w:pPr>
              <w:pStyle w:val="ListParagraph"/>
              <w:numPr>
                <w:ilvl w:val="0"/>
                <w:numId w:val="53"/>
              </w:numPr>
              <w:spacing w:after="120"/>
              <w:contextualSpacing w:val="0"/>
              <w:rPr>
                <w:rFonts w:cstheme="minorHAnsi"/>
              </w:rPr>
            </w:pPr>
            <w:r w:rsidRPr="005B212C">
              <w:rPr>
                <w:rFonts w:ascii="Calibri" w:hAnsi="Calibri" w:cs="Calibri"/>
              </w:rPr>
              <w:t>accord with the objects of the EPBC Act, which incorporate the principles of ecologically sustainable development, including the precautionary principle</w:t>
            </w:r>
            <w:r w:rsidRPr="005B212C">
              <w:rPr>
                <w:rFonts w:cstheme="minorHAnsi"/>
              </w:rPr>
              <w:t>;</w:t>
            </w:r>
            <w:r w:rsidRPr="005B212C">
              <w:rPr>
                <w:rStyle w:val="EndnoteReference"/>
                <w:rFonts w:cstheme="minorHAnsi"/>
              </w:rPr>
              <w:endnoteReference w:id="9"/>
            </w:r>
          </w:p>
          <w:p w:rsidR="00AD535F" w:rsidRPr="00A44E49" w:rsidRDefault="00AD535F" w:rsidP="00F4336D">
            <w:pPr>
              <w:pStyle w:val="ListParagraph"/>
              <w:numPr>
                <w:ilvl w:val="0"/>
                <w:numId w:val="53"/>
              </w:numPr>
              <w:spacing w:after="120"/>
              <w:ind w:left="714" w:hanging="357"/>
              <w:contextualSpacing w:val="0"/>
              <w:rPr>
                <w:rFonts w:cstheme="minorHAnsi"/>
              </w:rPr>
            </w:pPr>
            <w:r w:rsidRPr="00A44E49">
              <w:rPr>
                <w:rFonts w:cstheme="minorHAnsi"/>
              </w:rPr>
              <w:t>are not inconsistent with Australia’s obligations under each of the relevant international agreements;</w:t>
            </w:r>
            <w:r w:rsidRPr="00A44E49">
              <w:rPr>
                <w:rStyle w:val="EndnoteReference"/>
                <w:rFonts w:cstheme="minorHAnsi"/>
              </w:rPr>
              <w:endnoteReference w:id="10"/>
            </w:r>
          </w:p>
          <w:p w:rsidR="00AD535F" w:rsidRPr="00A44E49" w:rsidRDefault="00AD535F" w:rsidP="00F4336D">
            <w:pPr>
              <w:pStyle w:val="ListParagraph"/>
              <w:numPr>
                <w:ilvl w:val="0"/>
                <w:numId w:val="53"/>
              </w:numPr>
              <w:spacing w:after="120"/>
              <w:ind w:left="714" w:hanging="357"/>
              <w:contextualSpacing w:val="0"/>
              <w:rPr>
                <w:rFonts w:cstheme="minorHAnsi"/>
              </w:rPr>
            </w:pPr>
            <w:r w:rsidRPr="00A44E49">
              <w:rPr>
                <w:rFonts w:cstheme="minorHAnsi"/>
              </w:rPr>
              <w:t xml:space="preserve">promote management of protected areas such as World Heritage properties, National Heritage places and </w:t>
            </w:r>
            <w:proofErr w:type="spellStart"/>
            <w:r w:rsidRPr="00A44E49">
              <w:rPr>
                <w:rFonts w:cstheme="minorHAnsi"/>
              </w:rPr>
              <w:t>Ramsar</w:t>
            </w:r>
            <w:proofErr w:type="spellEnd"/>
            <w:r w:rsidRPr="00A44E49">
              <w:rPr>
                <w:rFonts w:cstheme="minorHAnsi"/>
              </w:rPr>
              <w:t xml:space="preserve"> wetlands in accordance with management principles adopted under the Act;</w:t>
            </w:r>
            <w:r w:rsidRPr="00A44E49">
              <w:rPr>
                <w:rStyle w:val="EndnoteReference"/>
                <w:rFonts w:cstheme="minorHAnsi"/>
              </w:rPr>
              <w:endnoteReference w:id="11"/>
            </w:r>
          </w:p>
          <w:p w:rsidR="00AD535F" w:rsidRDefault="00AD535F" w:rsidP="00F4336D">
            <w:pPr>
              <w:pStyle w:val="ListParagraph"/>
              <w:numPr>
                <w:ilvl w:val="0"/>
                <w:numId w:val="53"/>
              </w:numPr>
              <w:spacing w:after="120"/>
              <w:ind w:left="714" w:hanging="357"/>
              <w:contextualSpacing w:val="0"/>
              <w:rPr>
                <w:rFonts w:cstheme="minorHAnsi"/>
              </w:rPr>
            </w:pPr>
            <w:r w:rsidRPr="00A44E49">
              <w:rPr>
                <w:rFonts w:cstheme="minorHAnsi"/>
              </w:rPr>
              <w:t>promote the survival and/or enhance the conservation status of any relevant threatened or migratory species;</w:t>
            </w:r>
            <w:r w:rsidRPr="00A44E49">
              <w:rPr>
                <w:rStyle w:val="EndnoteReference"/>
                <w:rFonts w:cstheme="minorHAnsi"/>
              </w:rPr>
              <w:endnoteReference w:id="12"/>
            </w:r>
          </w:p>
          <w:p w:rsidR="00AD535F" w:rsidRPr="005B212C" w:rsidRDefault="00AD535F" w:rsidP="00197A4F">
            <w:pPr>
              <w:spacing w:after="200"/>
              <w:rPr>
                <w:rFonts w:cstheme="minorHAnsi"/>
              </w:rPr>
            </w:pPr>
            <w:r w:rsidRPr="005B212C">
              <w:rPr>
                <w:rFonts w:cstheme="minorHAnsi"/>
              </w:rPr>
              <w:t>and that individual approval decisions under accredited arrangements:</w:t>
            </w:r>
          </w:p>
          <w:p w:rsidR="00AD535F" w:rsidRPr="005B212C" w:rsidRDefault="00AD535F" w:rsidP="00F4336D">
            <w:pPr>
              <w:pStyle w:val="ListParagraph"/>
              <w:numPr>
                <w:ilvl w:val="0"/>
                <w:numId w:val="53"/>
              </w:numPr>
              <w:spacing w:after="120"/>
              <w:ind w:left="714" w:hanging="357"/>
              <w:contextualSpacing w:val="0"/>
              <w:rPr>
                <w:rFonts w:ascii="Calibri" w:hAnsi="Calibri" w:cs="Calibri"/>
              </w:rPr>
            </w:pPr>
            <w:r w:rsidRPr="005B212C">
              <w:rPr>
                <w:rFonts w:ascii="Calibri" w:hAnsi="Calibri" w:cs="Calibri"/>
              </w:rPr>
              <w:t xml:space="preserve">will be the subject of adequate assessment of the impacts that actions are likely to have on matters of national environmental significance; </w:t>
            </w:r>
          </w:p>
          <w:p w:rsidR="00AD535F" w:rsidRPr="005B212C" w:rsidRDefault="00AD535F" w:rsidP="00F4336D">
            <w:pPr>
              <w:pStyle w:val="ListParagraph"/>
              <w:numPr>
                <w:ilvl w:val="0"/>
                <w:numId w:val="53"/>
              </w:numPr>
              <w:spacing w:after="120"/>
              <w:ind w:left="714" w:hanging="357"/>
              <w:contextualSpacing w:val="0"/>
              <w:rPr>
                <w:rFonts w:ascii="Calibri" w:hAnsi="Calibri" w:cs="Calibri"/>
              </w:rPr>
            </w:pPr>
            <w:r w:rsidRPr="005B212C">
              <w:rPr>
                <w:rFonts w:ascii="Calibri" w:hAnsi="Calibri" w:cs="Calibri"/>
              </w:rPr>
              <w:t>are not inconsistent with any relevant threat abat</w:t>
            </w:r>
            <w:r w:rsidR="00273CA9">
              <w:rPr>
                <w:rFonts w:ascii="Calibri" w:hAnsi="Calibri" w:cs="Calibri"/>
              </w:rPr>
              <w:t xml:space="preserve">ement plans or recovery plans; </w:t>
            </w:r>
            <w:r w:rsidRPr="005B212C">
              <w:rPr>
                <w:rFonts w:ascii="Calibri" w:hAnsi="Calibri" w:cs="Calibri"/>
              </w:rPr>
              <w:t>and</w:t>
            </w:r>
          </w:p>
          <w:p w:rsidR="00AD535F" w:rsidRPr="00197A4F" w:rsidRDefault="00AD535F" w:rsidP="00F4336D">
            <w:pPr>
              <w:pStyle w:val="ListParagraph"/>
              <w:numPr>
                <w:ilvl w:val="0"/>
                <w:numId w:val="53"/>
              </w:numPr>
              <w:spacing w:after="120"/>
              <w:ind w:left="714" w:hanging="357"/>
              <w:contextualSpacing w:val="0"/>
              <w:rPr>
                <w:rFonts w:ascii="Calibri" w:hAnsi="Calibri" w:cs="Calibri"/>
              </w:rPr>
            </w:pPr>
            <w:proofErr w:type="gramStart"/>
            <w:r w:rsidRPr="005B212C">
              <w:rPr>
                <w:rFonts w:ascii="Calibri" w:hAnsi="Calibri" w:cs="Calibri"/>
              </w:rPr>
              <w:t>will</w:t>
            </w:r>
            <w:proofErr w:type="gramEnd"/>
            <w:r w:rsidRPr="005B212C">
              <w:rPr>
                <w:rFonts w:ascii="Calibri" w:hAnsi="Calibri" w:cs="Calibri"/>
              </w:rPr>
              <w:t xml:space="preserve"> not result in the approval of an action that would have unacceptable or unsustainable impacts on any of the matters protected by the EPBC Act.</w:t>
            </w:r>
            <w:r w:rsidRPr="005B212C">
              <w:rPr>
                <w:rStyle w:val="EndnoteReference"/>
                <w:rFonts w:ascii="Calibri" w:hAnsi="Calibri" w:cs="Calibri"/>
              </w:rPr>
              <w:endnoteReference w:id="13"/>
            </w:r>
          </w:p>
        </w:tc>
      </w:tr>
    </w:tbl>
    <w:p w:rsidR="00AD535F" w:rsidRPr="00EA71E0" w:rsidRDefault="00AD535F" w:rsidP="00EA71E0">
      <w:pPr>
        <w:rPr>
          <w:rFonts w:cstheme="minorHAnsi"/>
          <w:sz w:val="12"/>
          <w:szCs w:val="12"/>
        </w:rPr>
      </w:pPr>
    </w:p>
    <w:p w:rsidR="00AD535F" w:rsidRPr="00A44E49" w:rsidRDefault="00AD535F" w:rsidP="00297201">
      <w:pPr>
        <w:pStyle w:val="ListParagraph"/>
        <w:numPr>
          <w:ilvl w:val="0"/>
          <w:numId w:val="42"/>
        </w:numPr>
      </w:pPr>
      <w:r>
        <w:t xml:space="preserve">Where appropriate, </w:t>
      </w:r>
      <w:r w:rsidRPr="00A44E49">
        <w:t xml:space="preserve">the Commonwealth is open to options for progressive accreditation of State and Territory systems. </w:t>
      </w:r>
      <w:r>
        <w:t xml:space="preserve"> </w:t>
      </w:r>
      <w:r w:rsidRPr="00A44E49">
        <w:t xml:space="preserve">In this case, the Minister could accredit those aspects of State and Territory systems </w:t>
      </w:r>
      <w:r>
        <w:t>that</w:t>
      </w:r>
      <w:r w:rsidRPr="00A44E49">
        <w:t xml:space="preserve"> meet the required standards and bilateral agreements could provide a framework and timeline for moving to full accreditation. </w:t>
      </w:r>
    </w:p>
    <w:p w:rsidR="00AD535F" w:rsidRPr="00D771F5" w:rsidRDefault="00AD535F" w:rsidP="007642C4">
      <w:pPr>
        <w:pStyle w:val="Heading2"/>
      </w:pPr>
      <w:bookmarkStart w:id="17" w:name="_Toc339368177"/>
      <w:r>
        <w:t>O</w:t>
      </w:r>
      <w:r w:rsidRPr="00A44E49">
        <w:t>verarching vision</w:t>
      </w:r>
      <w:bookmarkEnd w:id="17"/>
    </w:p>
    <w:p w:rsidR="00AD535F" w:rsidRPr="00A44E49" w:rsidRDefault="00AD535F" w:rsidP="00297201">
      <w:pPr>
        <w:pStyle w:val="ListParagraph"/>
        <w:numPr>
          <w:ilvl w:val="0"/>
          <w:numId w:val="42"/>
        </w:numPr>
      </w:pPr>
      <w:r w:rsidRPr="00A44E49">
        <w:t xml:space="preserve">Consistent with COAG’s decision, the overarching vision for these reforms is: </w:t>
      </w:r>
    </w:p>
    <w:p w:rsidR="00AD535F" w:rsidRPr="00A44E49" w:rsidRDefault="00AD535F" w:rsidP="00D771F5">
      <w:pPr>
        <w:ind w:left="720"/>
        <w:rPr>
          <w:i/>
          <w:iCs/>
        </w:rPr>
      </w:pPr>
      <w:r w:rsidRPr="00A44E49">
        <w:rPr>
          <w:i/>
          <w:iCs/>
        </w:rPr>
        <w:t>To strengthen intergovernmental cooperation and minimise unnecessary costs to business through bilateral agreements under the EPBC Act which achieve high environmental outcomes.</w:t>
      </w:r>
    </w:p>
    <w:p w:rsidR="00AD535F" w:rsidRPr="00A44E49" w:rsidRDefault="00AD535F" w:rsidP="00297201">
      <w:pPr>
        <w:pStyle w:val="ListParagraph"/>
        <w:numPr>
          <w:ilvl w:val="0"/>
          <w:numId w:val="42"/>
        </w:numPr>
      </w:pPr>
      <w:r>
        <w:t>E</w:t>
      </w:r>
      <w:r w:rsidRPr="000A0FAC">
        <w:t>fficient and robust systems for environmental assessment and approval, and a commitment to strong intergovernmental co-operation for areas where there is shared responsibility</w:t>
      </w:r>
      <w:r>
        <w:t>, can</w:t>
      </w:r>
      <w:r w:rsidRPr="000A0FAC">
        <w:t xml:space="preserve"> </w:t>
      </w:r>
      <w:r>
        <w:t>contribute to the reduction of</w:t>
      </w:r>
      <w:r w:rsidRPr="000A0FAC">
        <w:t xml:space="preserve"> business </w:t>
      </w:r>
      <w:r>
        <w:t xml:space="preserve">costs and </w:t>
      </w:r>
      <w:r w:rsidRPr="000A0FAC">
        <w:t>support the achievement of high environmental standards.</w:t>
      </w:r>
      <w:r>
        <w:rPr>
          <w:rStyle w:val="EndnoteReference"/>
        </w:rPr>
        <w:endnoteReference w:id="14"/>
      </w:r>
      <w:r>
        <w:t xml:space="preserve"> </w:t>
      </w:r>
      <w:r w:rsidRPr="000A0FAC">
        <w:t xml:space="preserve"> Taken together, these outcomes </w:t>
      </w:r>
      <w:r>
        <w:t>aim</w:t>
      </w:r>
      <w:r w:rsidRPr="000A0FAC">
        <w:t xml:space="preserve"> to improve</w:t>
      </w:r>
      <w:r>
        <w:t xml:space="preserve"> and</w:t>
      </w:r>
      <w:r w:rsidRPr="000A0FAC">
        <w:t xml:space="preserve"> </w:t>
      </w:r>
      <w:r>
        <w:t>enhance productivity</w:t>
      </w:r>
      <w:r w:rsidRPr="000A0FAC">
        <w:t xml:space="preserve">. </w:t>
      </w:r>
    </w:p>
    <w:p w:rsidR="00AD535F" w:rsidRPr="00A44E49" w:rsidRDefault="00AD535F" w:rsidP="001753FD">
      <w:pPr>
        <w:pStyle w:val="Heading1"/>
        <w:numPr>
          <w:ilvl w:val="0"/>
          <w:numId w:val="43"/>
        </w:numPr>
        <w:spacing w:after="240"/>
      </w:pPr>
      <w:bookmarkStart w:id="18" w:name="_Toc329011569"/>
      <w:bookmarkStart w:id="19" w:name="_Toc329011622"/>
      <w:bookmarkStart w:id="20" w:name="_Toc329011570"/>
      <w:bookmarkStart w:id="21" w:name="_Toc329011623"/>
      <w:bookmarkStart w:id="22" w:name="_Toc329011571"/>
      <w:bookmarkStart w:id="23" w:name="_Toc329011624"/>
      <w:bookmarkStart w:id="24" w:name="_Toc329011572"/>
      <w:bookmarkStart w:id="25" w:name="_Toc329011625"/>
      <w:bookmarkStart w:id="26" w:name="_Toc329011573"/>
      <w:bookmarkStart w:id="27" w:name="_Toc329011626"/>
      <w:bookmarkStart w:id="28" w:name="_Toc329011574"/>
      <w:bookmarkStart w:id="29" w:name="_Toc329011627"/>
      <w:bookmarkStart w:id="30" w:name="_Toc329011575"/>
      <w:bookmarkStart w:id="31" w:name="_Toc329011628"/>
      <w:bookmarkStart w:id="32" w:name="_Toc329011576"/>
      <w:bookmarkStart w:id="33" w:name="_Toc329011629"/>
      <w:bookmarkStart w:id="34" w:name="_Toc329011577"/>
      <w:bookmarkStart w:id="35" w:name="_Toc329011630"/>
      <w:bookmarkStart w:id="36" w:name="_Toc329011578"/>
      <w:bookmarkStart w:id="37" w:name="_Toc329011631"/>
      <w:bookmarkStart w:id="38" w:name="_Toc329011579"/>
      <w:bookmarkStart w:id="39" w:name="_Toc329011632"/>
      <w:bookmarkStart w:id="40" w:name="_Toc329011580"/>
      <w:bookmarkStart w:id="41" w:name="_Toc329011633"/>
      <w:bookmarkStart w:id="42" w:name="_Toc329011581"/>
      <w:bookmarkStart w:id="43" w:name="_Toc329011634"/>
      <w:bookmarkStart w:id="44" w:name="_Toc339368178"/>
      <w:bookmarkEnd w:id="1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lastRenderedPageBreak/>
        <w:t>Approach to s</w:t>
      </w:r>
      <w:r w:rsidRPr="00A44E49">
        <w:t>tandards for accreditation</w:t>
      </w:r>
      <w:bookmarkEnd w:id="44"/>
    </w:p>
    <w:p w:rsidR="00AD535F" w:rsidRPr="00A44E49" w:rsidRDefault="00AD535F" w:rsidP="00297201">
      <w:pPr>
        <w:pStyle w:val="ListParagraph"/>
        <w:numPr>
          <w:ilvl w:val="0"/>
          <w:numId w:val="42"/>
        </w:numPr>
        <w:ind w:left="357" w:hanging="357"/>
        <w:contextualSpacing w:val="0"/>
      </w:pPr>
      <w:r w:rsidRPr="00A44E49">
        <w:t>For each environmental and systems outcome identified in the</w:t>
      </w:r>
      <w:r w:rsidRPr="00A44E49">
        <w:rPr>
          <w:i/>
        </w:rPr>
        <w:t xml:space="preserve"> Statement of Environmental and Assurance Outcomes</w:t>
      </w:r>
      <w:r w:rsidRPr="00A44E49">
        <w:t xml:space="preserve">, this Framework sets out standards for accreditation. </w:t>
      </w:r>
      <w:r>
        <w:t xml:space="preserve"> </w:t>
      </w:r>
      <w:r w:rsidRPr="00A44E49">
        <w:t>The Framework also describes considerations that will be taken into account by the Commonwealth Environment Minister in determining whether the legal requirements for accreditation can be met.</w:t>
      </w:r>
    </w:p>
    <w:p w:rsidR="00AD535F" w:rsidRPr="00A44E49" w:rsidRDefault="00AD535F" w:rsidP="00297201">
      <w:pPr>
        <w:pStyle w:val="ListParagraph"/>
        <w:numPr>
          <w:ilvl w:val="0"/>
          <w:numId w:val="42"/>
        </w:numPr>
      </w:pPr>
      <w:r w:rsidRPr="00A44E49">
        <w:t xml:space="preserve">The table below shows the approach in the document to setting out the standards and considerations. </w:t>
      </w:r>
    </w:p>
    <w:tbl>
      <w:tblPr>
        <w:tblStyle w:val="LightShading-Accent1"/>
        <w:tblW w:w="8851" w:type="dxa"/>
        <w:tblLook w:val="04A0"/>
      </w:tblPr>
      <w:tblGrid>
        <w:gridCol w:w="8851"/>
      </w:tblGrid>
      <w:tr w:rsidR="00590286" w:rsidRPr="00590286" w:rsidTr="00590286">
        <w:trPr>
          <w:cnfStyle w:val="100000000000"/>
          <w:trHeight w:val="363"/>
        </w:trPr>
        <w:tc>
          <w:tcPr>
            <w:cnfStyle w:val="001000000000"/>
            <w:tcW w:w="8851" w:type="dxa"/>
            <w:shd w:val="clear" w:color="auto" w:fill="auto"/>
          </w:tcPr>
          <w:p w:rsidR="00AD535F" w:rsidRPr="00590286" w:rsidRDefault="00AD535F" w:rsidP="001153B8">
            <w:pPr>
              <w:rPr>
                <w:i/>
                <w:color w:val="auto"/>
              </w:rPr>
            </w:pPr>
            <w:r w:rsidRPr="00590286">
              <w:rPr>
                <w:color w:val="auto"/>
              </w:rPr>
              <w:t xml:space="preserve">Outcome: the desired environmental or system outcome, described in the </w:t>
            </w:r>
            <w:r w:rsidRPr="00590286">
              <w:rPr>
                <w:i/>
                <w:color w:val="auto"/>
              </w:rPr>
              <w:t>Statement of Environmental and Assurance Outcomes</w:t>
            </w:r>
          </w:p>
        </w:tc>
      </w:tr>
      <w:tr w:rsidR="00AD535F" w:rsidRPr="00590286" w:rsidTr="000C1741">
        <w:trPr>
          <w:cnfStyle w:val="000000100000"/>
          <w:trHeight w:val="364"/>
        </w:trPr>
        <w:tc>
          <w:tcPr>
            <w:cnfStyle w:val="001000000000"/>
            <w:tcW w:w="8851" w:type="dxa"/>
            <w:vAlign w:val="center"/>
          </w:tcPr>
          <w:p w:rsidR="00AD535F" w:rsidRPr="00590286" w:rsidRDefault="00AD535F" w:rsidP="00590286">
            <w:pPr>
              <w:pStyle w:val="Heading4"/>
              <w:outlineLvl w:val="3"/>
              <w:rPr>
                <w:color w:val="auto"/>
              </w:rPr>
            </w:pPr>
            <w:r w:rsidRPr="00590286">
              <w:t>Standards:</w:t>
            </w:r>
          </w:p>
        </w:tc>
      </w:tr>
      <w:tr w:rsidR="00AD535F" w:rsidRPr="00A44E49" w:rsidTr="00EA71E0">
        <w:trPr>
          <w:trHeight w:val="567"/>
        </w:trPr>
        <w:tc>
          <w:tcPr>
            <w:cnfStyle w:val="001000000000"/>
            <w:tcW w:w="8851" w:type="dxa"/>
          </w:tcPr>
          <w:p w:rsidR="00AD535F" w:rsidRPr="00A44E49" w:rsidRDefault="00AD535F" w:rsidP="002A1AF3">
            <w:pPr>
              <w:spacing w:after="120"/>
              <w:rPr>
                <w:b w:val="0"/>
              </w:rPr>
            </w:pPr>
            <w:r w:rsidRPr="00A44E49">
              <w:rPr>
                <w:b w:val="0"/>
              </w:rPr>
              <w:t>The standards consist of:</w:t>
            </w:r>
          </w:p>
          <w:p w:rsidR="00AD535F" w:rsidRPr="00A44E49" w:rsidRDefault="00AD535F" w:rsidP="002A1AF3">
            <w:pPr>
              <w:pStyle w:val="ListParagraph"/>
              <w:numPr>
                <w:ilvl w:val="0"/>
                <w:numId w:val="16"/>
              </w:numPr>
              <w:spacing w:after="120"/>
              <w:ind w:left="357" w:hanging="357"/>
              <w:contextualSpacing w:val="0"/>
              <w:rPr>
                <w:b w:val="0"/>
              </w:rPr>
            </w:pPr>
            <w:r w:rsidRPr="00A44E49">
              <w:rPr>
                <w:b w:val="0"/>
              </w:rPr>
              <w:t>specific accreditation requirements of the EPBC Act; and</w:t>
            </w:r>
          </w:p>
          <w:p w:rsidR="00AD535F" w:rsidRDefault="00AD535F" w:rsidP="002A1AF3">
            <w:pPr>
              <w:pStyle w:val="ListParagraph"/>
              <w:numPr>
                <w:ilvl w:val="0"/>
                <w:numId w:val="16"/>
              </w:numPr>
              <w:spacing w:after="120"/>
              <w:ind w:left="357" w:hanging="357"/>
              <w:contextualSpacing w:val="0"/>
              <w:rPr>
                <w:b w:val="0"/>
              </w:rPr>
            </w:pPr>
            <w:proofErr w:type="gramStart"/>
            <w:r w:rsidRPr="00A44E49">
              <w:rPr>
                <w:b w:val="0"/>
              </w:rPr>
              <w:t>requirements</w:t>
            </w:r>
            <w:proofErr w:type="gramEnd"/>
            <w:r w:rsidRPr="00A44E49">
              <w:rPr>
                <w:b w:val="0"/>
              </w:rPr>
              <w:t xml:space="preserve"> </w:t>
            </w:r>
            <w:r>
              <w:rPr>
                <w:b w:val="0"/>
              </w:rPr>
              <w:t xml:space="preserve">of </w:t>
            </w:r>
            <w:r w:rsidRPr="00A44E49">
              <w:rPr>
                <w:b w:val="0"/>
              </w:rPr>
              <w:t>Commonwealth law and policy</w:t>
            </w:r>
            <w:r>
              <w:rPr>
                <w:b w:val="0"/>
              </w:rPr>
              <w:t xml:space="preserve"> that are essential for the Commonwealth Environment Minister to be satisfied that high environmental standards will be maintained</w:t>
            </w:r>
            <w:r w:rsidRPr="00A44E49">
              <w:rPr>
                <w:b w:val="0"/>
              </w:rPr>
              <w:t>.</w:t>
            </w:r>
            <w:r w:rsidRPr="00A44E49">
              <w:rPr>
                <w:rStyle w:val="EndnoteReference"/>
                <w:b w:val="0"/>
              </w:rPr>
              <w:endnoteReference w:id="15"/>
            </w:r>
          </w:p>
          <w:p w:rsidR="00AD535F" w:rsidRPr="00D83FC8" w:rsidRDefault="00AD535F" w:rsidP="002A1AF3">
            <w:pPr>
              <w:spacing w:after="120"/>
              <w:rPr>
                <w:b w:val="0"/>
                <w:bCs w:val="0"/>
                <w:color w:val="auto"/>
              </w:rPr>
            </w:pPr>
            <w:r w:rsidRPr="00297201">
              <w:rPr>
                <w:b w:val="0"/>
              </w:rPr>
              <w:t>As noted above, it is recognised that States and Territories should have flexibility in proposing how they would achieve the standards within the requirements of the EPBC Act.</w:t>
            </w:r>
          </w:p>
        </w:tc>
      </w:tr>
      <w:tr w:rsidR="00AD535F" w:rsidRPr="00A44E49" w:rsidTr="000C1741">
        <w:trPr>
          <w:cnfStyle w:val="000000100000"/>
          <w:trHeight w:val="435"/>
        </w:trPr>
        <w:tc>
          <w:tcPr>
            <w:cnfStyle w:val="001000000000"/>
            <w:tcW w:w="8851" w:type="dxa"/>
            <w:vAlign w:val="center"/>
          </w:tcPr>
          <w:p w:rsidR="00AD535F" w:rsidRPr="00590286" w:rsidRDefault="00AD535F" w:rsidP="00590286">
            <w:pPr>
              <w:pStyle w:val="Heading4"/>
              <w:outlineLvl w:val="3"/>
              <w:rPr>
                <w:sz w:val="20"/>
                <w:szCs w:val="20"/>
              </w:rPr>
            </w:pPr>
            <w:r w:rsidRPr="00590286">
              <w:t>Considerations for accreditation:</w:t>
            </w:r>
          </w:p>
        </w:tc>
      </w:tr>
      <w:tr w:rsidR="00AD535F" w:rsidRPr="00A44E49" w:rsidTr="000C1741">
        <w:trPr>
          <w:trHeight w:val="426"/>
        </w:trPr>
        <w:tc>
          <w:tcPr>
            <w:cnfStyle w:val="001000000000"/>
            <w:tcW w:w="8851" w:type="dxa"/>
          </w:tcPr>
          <w:p w:rsidR="00AD535F" w:rsidRPr="00A44E49" w:rsidRDefault="00AD535F" w:rsidP="00CD26D3">
            <w:pPr>
              <w:spacing w:before="120" w:after="120"/>
              <w:rPr>
                <w:b w:val="0"/>
              </w:rPr>
            </w:pPr>
            <w:r w:rsidRPr="00A44E49">
              <w:rPr>
                <w:b w:val="0"/>
              </w:rPr>
              <w:t xml:space="preserve">This section lists considerations that the Commonwealth Environment Minister will take into account in deciding whether he or she can be satisfied that the standards set out above will be met. </w:t>
            </w:r>
            <w:r>
              <w:rPr>
                <w:b w:val="0"/>
              </w:rPr>
              <w:t xml:space="preserve"> </w:t>
            </w:r>
            <w:r w:rsidRPr="00A44E49">
              <w:rPr>
                <w:b w:val="0"/>
              </w:rPr>
              <w:t xml:space="preserve">These considerations </w:t>
            </w:r>
            <w:r>
              <w:rPr>
                <w:b w:val="0"/>
              </w:rPr>
              <w:t xml:space="preserve">are those that currently guide decisions made by the Commonwealth and </w:t>
            </w:r>
            <w:r w:rsidRPr="00A44E49">
              <w:rPr>
                <w:b w:val="0"/>
              </w:rPr>
              <w:t>are derived from:</w:t>
            </w:r>
          </w:p>
          <w:p w:rsidR="00AD535F" w:rsidRPr="00A44E49" w:rsidRDefault="00AD535F" w:rsidP="002A1AF3">
            <w:pPr>
              <w:pStyle w:val="ListParagraph"/>
              <w:numPr>
                <w:ilvl w:val="0"/>
                <w:numId w:val="31"/>
              </w:numPr>
              <w:spacing w:after="120"/>
              <w:ind w:left="357" w:hanging="357"/>
              <w:contextualSpacing w:val="0"/>
              <w:rPr>
                <w:b w:val="0"/>
              </w:rPr>
            </w:pPr>
            <w:r w:rsidRPr="00A44E49">
              <w:rPr>
                <w:b w:val="0"/>
              </w:rPr>
              <w:t>key provisions of the EPBC Act;</w:t>
            </w:r>
          </w:p>
          <w:p w:rsidR="00AD535F" w:rsidRPr="00A44E49" w:rsidRDefault="00AD535F" w:rsidP="0027192E">
            <w:pPr>
              <w:pStyle w:val="ListParagraph"/>
              <w:numPr>
                <w:ilvl w:val="0"/>
                <w:numId w:val="31"/>
              </w:numPr>
              <w:spacing w:after="120"/>
              <w:ind w:left="357" w:hanging="357"/>
              <w:contextualSpacing w:val="0"/>
              <w:rPr>
                <w:b w:val="0"/>
              </w:rPr>
            </w:pPr>
            <w:r w:rsidRPr="00A44E49">
              <w:rPr>
                <w:b w:val="0"/>
              </w:rPr>
              <w:t xml:space="preserve">Commonwealth policy or practice under the </w:t>
            </w:r>
            <w:r>
              <w:rPr>
                <w:b w:val="0"/>
              </w:rPr>
              <w:t xml:space="preserve">EPBC </w:t>
            </w:r>
            <w:r w:rsidRPr="00A44E49">
              <w:rPr>
                <w:b w:val="0"/>
              </w:rPr>
              <w:t>Act; and</w:t>
            </w:r>
          </w:p>
          <w:p w:rsidR="00AD535F" w:rsidRPr="00A44E49" w:rsidRDefault="00AD535F" w:rsidP="002A1AF3">
            <w:pPr>
              <w:pStyle w:val="ListParagraph"/>
              <w:numPr>
                <w:ilvl w:val="0"/>
                <w:numId w:val="31"/>
              </w:numPr>
              <w:spacing w:after="120"/>
              <w:ind w:left="357" w:hanging="357"/>
              <w:contextualSpacing w:val="0"/>
              <w:rPr>
                <w:b w:val="0"/>
              </w:rPr>
            </w:pPr>
            <w:proofErr w:type="gramStart"/>
            <w:r w:rsidRPr="00A44E49">
              <w:rPr>
                <w:b w:val="0"/>
              </w:rPr>
              <w:t>key</w:t>
            </w:r>
            <w:proofErr w:type="gramEnd"/>
            <w:r w:rsidRPr="00A44E49">
              <w:rPr>
                <w:b w:val="0"/>
              </w:rPr>
              <w:t xml:space="preserve"> administrative law principles.</w:t>
            </w:r>
          </w:p>
          <w:p w:rsidR="00AD535F" w:rsidRPr="00A44E49" w:rsidRDefault="00AD535F" w:rsidP="002A1AF3">
            <w:pPr>
              <w:spacing w:after="120"/>
              <w:rPr>
                <w:b w:val="0"/>
                <w:i/>
              </w:rPr>
            </w:pPr>
            <w:r w:rsidRPr="00261866">
              <w:rPr>
                <w:b w:val="0"/>
              </w:rPr>
              <w:t>Comments, elaboration or proposals for discussion from the Commonwealth are shown in italicised text below the relevant consideration.</w:t>
            </w:r>
          </w:p>
        </w:tc>
      </w:tr>
    </w:tbl>
    <w:p w:rsidR="00AD535F" w:rsidRPr="00A44E49" w:rsidRDefault="00AD535F" w:rsidP="00CD26D3">
      <w:pPr>
        <w:pStyle w:val="Heading2"/>
      </w:pPr>
      <w:bookmarkStart w:id="45" w:name="_Toc339368179"/>
      <w:r w:rsidRPr="00A44E49">
        <w:t xml:space="preserve">A proposed approach to </w:t>
      </w:r>
      <w:r>
        <w:t>achieving</w:t>
      </w:r>
      <w:r w:rsidRPr="00A44E49">
        <w:t xml:space="preserve"> assurance and flexibility</w:t>
      </w:r>
      <w:bookmarkEnd w:id="45"/>
    </w:p>
    <w:p w:rsidR="00AD535F" w:rsidRPr="00A44E49" w:rsidRDefault="00AD535F" w:rsidP="00297201">
      <w:pPr>
        <w:pStyle w:val="ListParagraph"/>
        <w:numPr>
          <w:ilvl w:val="0"/>
          <w:numId w:val="42"/>
        </w:numPr>
        <w:ind w:left="357" w:hanging="357"/>
        <w:contextualSpacing w:val="0"/>
      </w:pPr>
      <w:r w:rsidRPr="00A44E49">
        <w:t xml:space="preserve">The standards </w:t>
      </w:r>
      <w:r>
        <w:t>proposed in this Framework are</w:t>
      </w:r>
      <w:r w:rsidRPr="00A44E49">
        <w:t xml:space="preserve"> derived from key legal requirements for accreditation and other requirements imposed on the Commonwealth under the EPBC Act. </w:t>
      </w:r>
    </w:p>
    <w:p w:rsidR="00AD535F" w:rsidRPr="00A44E49" w:rsidRDefault="00AD535F" w:rsidP="00297201">
      <w:pPr>
        <w:pStyle w:val="ListParagraph"/>
        <w:numPr>
          <w:ilvl w:val="0"/>
          <w:numId w:val="42"/>
        </w:numPr>
        <w:ind w:left="357" w:hanging="357"/>
        <w:contextualSpacing w:val="0"/>
      </w:pPr>
      <w:r w:rsidRPr="00A44E49">
        <w:t xml:space="preserve">Each jurisdiction may propose for accreditation a set of arrangements that combine legislative provisions with plans, policies and programs. </w:t>
      </w:r>
      <w:r>
        <w:t xml:space="preserve"> </w:t>
      </w:r>
      <w:r w:rsidRPr="00A44E49">
        <w:t>Each jurisdiction’s proposal will necessarily be different, reflecting their respective circumstances, needs and interests.</w:t>
      </w:r>
      <w:r w:rsidR="00273CA9">
        <w:t xml:space="preserve"> </w:t>
      </w:r>
      <w:r w:rsidRPr="00A44E49">
        <w:t xml:space="preserve"> </w:t>
      </w:r>
      <w:r>
        <w:t>A</w:t>
      </w:r>
      <w:r w:rsidRPr="00A44E49">
        <w:t>s a matter of principle, a comprehensive and flexible approach</w:t>
      </w:r>
      <w:r w:rsidRPr="00A44E49" w:rsidDel="00F1341B">
        <w:t xml:space="preserve"> </w:t>
      </w:r>
      <w:r w:rsidRPr="00A44E49">
        <w:t xml:space="preserve">is much more likely to deliver </w:t>
      </w:r>
      <w:r>
        <w:t xml:space="preserve">acceptable </w:t>
      </w:r>
      <w:r w:rsidRPr="00A44E49">
        <w:t>conservation outcomes for matters of national environmental significance than a regulatory approach that involves only</w:t>
      </w:r>
      <w:r>
        <w:t xml:space="preserve"> the accreditation of a particular legislative system</w:t>
      </w:r>
      <w:r w:rsidRPr="00A44E49">
        <w:t xml:space="preserve"> </w:t>
      </w:r>
      <w:r>
        <w:t>or process</w:t>
      </w:r>
      <w:r w:rsidRPr="00A44E49">
        <w:t>.</w:t>
      </w:r>
    </w:p>
    <w:p w:rsidR="00AD535F" w:rsidRPr="00A44E49" w:rsidRDefault="00AD535F" w:rsidP="00297201">
      <w:pPr>
        <w:pStyle w:val="ListParagraph"/>
        <w:numPr>
          <w:ilvl w:val="0"/>
          <w:numId w:val="42"/>
        </w:numPr>
        <w:ind w:left="357" w:hanging="357"/>
        <w:contextualSpacing w:val="0"/>
      </w:pPr>
      <w:r w:rsidRPr="00A44E49">
        <w:lastRenderedPageBreak/>
        <w:t xml:space="preserve">Bilateral agreements can encompass a broad range of cooperative actions to protect and conserve the environment while improving the efficiency of environmental regulation. </w:t>
      </w:r>
      <w:r>
        <w:t xml:space="preserve"> </w:t>
      </w:r>
      <w:r w:rsidRPr="00A44E49">
        <w:t xml:space="preserve">A comprehensive and flexible approach could be achieved, and the Minister could therefore be satisfied that statutory preconditions to bilateral agreements are met, if the relevant State or Territory had, through the bilateral agreement, agreed to implement plans, policies and programs designed to secure the long-term conservation of relevant matters of national environmental significance. </w:t>
      </w:r>
      <w:r>
        <w:t xml:space="preserve"> </w:t>
      </w:r>
      <w:r w:rsidRPr="00A44E49">
        <w:t xml:space="preserve">These might be in any combination and sourced in Commonwealth or State or Territory law. </w:t>
      </w:r>
      <w:r>
        <w:t xml:space="preserve"> </w:t>
      </w:r>
      <w:r w:rsidRPr="00A44E49">
        <w:t xml:space="preserve">For example, for a World Heritage property, a State or Territory might agree to </w:t>
      </w:r>
      <w:r>
        <w:t>implement</w:t>
      </w:r>
      <w:r w:rsidRPr="00A44E49">
        <w:t xml:space="preserve"> its own plan of management for the property that had been accredited by the Commonwealth Minister under the EPBC Act.</w:t>
      </w:r>
      <w:r w:rsidRPr="00A44E49">
        <w:rPr>
          <w:rStyle w:val="EndnoteReference"/>
        </w:rPr>
        <w:endnoteReference w:id="16"/>
      </w:r>
      <w:r>
        <w:t xml:space="preserve">  </w:t>
      </w:r>
      <w:r w:rsidRPr="00A44E49">
        <w:t xml:space="preserve">For certain migratory species, the State or Territory might agree to protect or conserve critical habitat. </w:t>
      </w:r>
      <w:r>
        <w:t xml:space="preserve"> </w:t>
      </w:r>
      <w:r w:rsidRPr="00A44E49">
        <w:t xml:space="preserve">Policies might identify both significant and unacceptable impacts on a particular threatened species, or on threatened species in a particular area.  There might be agreement to undertake a strategic assessment under Part 10 of the EPBC Act, or to align investment in recovery actions for maximum effect.  A table identifying relevant tools available under the EPBC Act, to support this comprehensive and flexible approach, is at </w:t>
      </w:r>
      <w:r w:rsidRPr="00A44E49">
        <w:rPr>
          <w:b/>
        </w:rPr>
        <w:t>Attachment A</w:t>
      </w:r>
      <w:r w:rsidRPr="00A44E49">
        <w:t>.</w:t>
      </w:r>
    </w:p>
    <w:p w:rsidR="00AD535F" w:rsidRPr="00A44E49" w:rsidRDefault="00AD535F" w:rsidP="001753FD">
      <w:pPr>
        <w:pStyle w:val="Heading1"/>
        <w:numPr>
          <w:ilvl w:val="0"/>
          <w:numId w:val="43"/>
        </w:numPr>
        <w:spacing w:after="240"/>
        <w:rPr>
          <w:bCs w:val="0"/>
        </w:rPr>
      </w:pPr>
      <w:bookmarkStart w:id="46" w:name="_Toc339368180"/>
      <w:r>
        <w:t>Standards</w:t>
      </w:r>
      <w:r w:rsidRPr="00A44E49">
        <w:t xml:space="preserve"> for the environment and systems</w:t>
      </w:r>
      <w:bookmarkEnd w:id="46"/>
    </w:p>
    <w:p w:rsidR="00AD535F" w:rsidRPr="00A44E49" w:rsidRDefault="00AD535F" w:rsidP="00551748">
      <w:pPr>
        <w:pStyle w:val="ListParagraph"/>
        <w:numPr>
          <w:ilvl w:val="0"/>
          <w:numId w:val="42"/>
        </w:numPr>
        <w:ind w:left="357" w:hanging="357"/>
        <w:contextualSpacing w:val="0"/>
      </w:pPr>
      <w:bookmarkStart w:id="47" w:name="_Toc328503765"/>
      <w:bookmarkStart w:id="48" w:name="_Toc326832243"/>
      <w:bookmarkStart w:id="49" w:name="_Toc327900128"/>
      <w:r w:rsidRPr="00A44E49">
        <w:t xml:space="preserve">This section sets out the </w:t>
      </w:r>
      <w:r>
        <w:t xml:space="preserve">environment and systems </w:t>
      </w:r>
      <w:r w:rsidRPr="00A44E49">
        <w:t xml:space="preserve">standards to be met to achieve </w:t>
      </w:r>
      <w:r>
        <w:t xml:space="preserve">the Commonwealth’s </w:t>
      </w:r>
      <w:r w:rsidRPr="00A44E49">
        <w:t>overarching vision, and related outcomes, identified by the</w:t>
      </w:r>
      <w:r w:rsidRPr="00A44E49">
        <w:rPr>
          <w:i/>
        </w:rPr>
        <w:t xml:space="preserve"> Statement of Environmental and Assurance Outcomes</w:t>
      </w:r>
      <w:r>
        <w:t xml:space="preserve"> for </w:t>
      </w:r>
      <w:proofErr w:type="gramStart"/>
      <w:r>
        <w:t xml:space="preserve">both </w:t>
      </w:r>
      <w:r w:rsidRPr="00A44E49">
        <w:t>the</w:t>
      </w:r>
      <w:proofErr w:type="gramEnd"/>
      <w:r w:rsidRPr="00A44E49">
        <w:t xml:space="preserve"> environment</w:t>
      </w:r>
      <w:r>
        <w:t xml:space="preserve">, </w:t>
      </w:r>
      <w:r w:rsidRPr="00A44E49">
        <w:t>systems</w:t>
      </w:r>
      <w:r>
        <w:t xml:space="preserve"> and assurance</w:t>
      </w:r>
      <w:r w:rsidRPr="00A44E49">
        <w:t>.</w:t>
      </w:r>
    </w:p>
    <w:bookmarkEnd w:id="47"/>
    <w:p w:rsidR="00AD535F" w:rsidRPr="00A44E49" w:rsidRDefault="00AD535F" w:rsidP="0088052B">
      <w:pPr>
        <w:pStyle w:val="ListParagraph"/>
        <w:numPr>
          <w:ilvl w:val="0"/>
          <w:numId w:val="42"/>
        </w:numPr>
        <w:ind w:left="357" w:hanging="357"/>
        <w:contextualSpacing w:val="0"/>
      </w:pPr>
      <w:r w:rsidRPr="00A44E49">
        <w:t>The overarching outcome and measure of success for the environment from this reform is that:</w:t>
      </w:r>
      <w:r w:rsidRPr="00A44E49">
        <w:rPr>
          <w:rStyle w:val="EndnoteReference"/>
        </w:rPr>
        <w:endnoteReference w:id="17"/>
      </w:r>
    </w:p>
    <w:p w:rsidR="00AD535F" w:rsidRPr="00A44E49" w:rsidRDefault="00AD535F" w:rsidP="008A241A">
      <w:pPr>
        <w:keepNext/>
        <w:keepLines/>
        <w:spacing w:after="120"/>
        <w:ind w:left="709"/>
        <w:rPr>
          <w:i/>
        </w:rPr>
      </w:pPr>
      <w:r w:rsidRPr="00A44E49">
        <w:rPr>
          <w:i/>
        </w:rPr>
        <w:t>Australia’s high environmental standards are maintained and that:</w:t>
      </w:r>
    </w:p>
    <w:p w:rsidR="00AD535F" w:rsidRPr="00A44E49" w:rsidRDefault="00AD535F" w:rsidP="008A241A">
      <w:pPr>
        <w:spacing w:after="120"/>
        <w:ind w:left="1418" w:hanging="709"/>
        <w:rPr>
          <w:i/>
        </w:rPr>
      </w:pPr>
      <w:r w:rsidRPr="00A44E49">
        <w:rPr>
          <w:i/>
        </w:rPr>
        <w:t>1.</w:t>
      </w:r>
      <w:r w:rsidRPr="00A44E49">
        <w:rPr>
          <w:i/>
        </w:rPr>
        <w:tab/>
        <w:t>Australia will comply fully with all its international environmental obligations;</w:t>
      </w:r>
    </w:p>
    <w:p w:rsidR="00AD535F" w:rsidRPr="00A44E49" w:rsidRDefault="00AD535F" w:rsidP="008A241A">
      <w:pPr>
        <w:spacing w:after="120"/>
        <w:ind w:left="1418" w:hanging="709"/>
        <w:rPr>
          <w:i/>
        </w:rPr>
      </w:pPr>
      <w:r w:rsidRPr="00A44E49">
        <w:rPr>
          <w:i/>
        </w:rPr>
        <w:t>2.</w:t>
      </w:r>
      <w:r w:rsidRPr="00A44E49">
        <w:rPr>
          <w:i/>
        </w:rPr>
        <w:tab/>
      </w:r>
      <w:proofErr w:type="gramStart"/>
      <w:r w:rsidRPr="00A44E49">
        <w:rPr>
          <w:i/>
        </w:rPr>
        <w:t>matters</w:t>
      </w:r>
      <w:proofErr w:type="gramEnd"/>
      <w:r w:rsidRPr="00A44E49">
        <w:rPr>
          <w:i/>
        </w:rPr>
        <w:t xml:space="preserve"> of national environmental significance are protected as required under the EPBC Act; </w:t>
      </w:r>
    </w:p>
    <w:p w:rsidR="00AD535F" w:rsidRPr="00A44E49" w:rsidRDefault="00AD535F" w:rsidP="008A241A">
      <w:pPr>
        <w:spacing w:after="120"/>
        <w:ind w:left="1418" w:hanging="709"/>
        <w:rPr>
          <w:i/>
        </w:rPr>
      </w:pPr>
      <w:r w:rsidRPr="00A44E49">
        <w:rPr>
          <w:i/>
        </w:rPr>
        <w:t>3.</w:t>
      </w:r>
      <w:r w:rsidRPr="00A44E49">
        <w:rPr>
          <w:i/>
        </w:rPr>
        <w:tab/>
      </w:r>
      <w:proofErr w:type="gramStart"/>
      <w:r w:rsidRPr="00A44E49">
        <w:rPr>
          <w:i/>
        </w:rPr>
        <w:t>there</w:t>
      </w:r>
      <w:proofErr w:type="gramEnd"/>
      <w:r w:rsidRPr="00A44E49">
        <w:rPr>
          <w:i/>
        </w:rPr>
        <w:t xml:space="preserve"> will be high quality assessment of the impacts of proposed actions on matters of national environmental significance; and</w:t>
      </w:r>
    </w:p>
    <w:p w:rsidR="00AD535F" w:rsidRPr="00A44E49" w:rsidRDefault="00AD535F" w:rsidP="008A241A">
      <w:pPr>
        <w:spacing w:after="120"/>
        <w:ind w:left="1418" w:hanging="709"/>
        <w:rPr>
          <w:i/>
        </w:rPr>
      </w:pPr>
      <w:r w:rsidRPr="00A44E49">
        <w:rPr>
          <w:i/>
        </w:rPr>
        <w:t>4.</w:t>
      </w:r>
      <w:r w:rsidRPr="00A44E49">
        <w:rPr>
          <w:i/>
        </w:rPr>
        <w:tab/>
      </w:r>
      <w:proofErr w:type="gramStart"/>
      <w:r w:rsidRPr="00A44E49">
        <w:rPr>
          <w:i/>
        </w:rPr>
        <w:t>authorised</w:t>
      </w:r>
      <w:proofErr w:type="gramEnd"/>
      <w:r w:rsidRPr="00A44E49">
        <w:rPr>
          <w:i/>
        </w:rPr>
        <w:t xml:space="preserve"> actions do not have unacceptable or unsustainable impacts on matters of national environmental significance.</w:t>
      </w:r>
    </w:p>
    <w:p w:rsidR="00AD535F" w:rsidRPr="00A44E49" w:rsidRDefault="00AD535F" w:rsidP="0088052B">
      <w:pPr>
        <w:pStyle w:val="ListParagraph"/>
        <w:numPr>
          <w:ilvl w:val="0"/>
          <w:numId w:val="42"/>
        </w:numPr>
        <w:ind w:left="357" w:hanging="357"/>
        <w:contextualSpacing w:val="0"/>
        <w:rPr>
          <w:rFonts w:ascii="Calibri" w:hAnsi="Calibri" w:cs="Calibri"/>
        </w:rPr>
      </w:pPr>
      <w:r w:rsidRPr="00A44E49">
        <w:t xml:space="preserve">The EPBC Act protects eight matters of national environmental significance. </w:t>
      </w:r>
      <w:r w:rsidR="00273CA9">
        <w:t xml:space="preserve"> </w:t>
      </w:r>
      <w:r w:rsidRPr="00A44E49">
        <w:t>These are: World Heritage properties, National Heritage places, wetlands of international importance, listed threatened species and ecological communities, listed migratory species, protection of the environment from nuclear actions, the Commonwealth marine environment and the Great Barrier Reef Marine Park.</w:t>
      </w:r>
      <w:r w:rsidRPr="00A44E49">
        <w:rPr>
          <w:rStyle w:val="EndnoteReference"/>
        </w:rPr>
        <w:endnoteReference w:id="18"/>
      </w:r>
      <w:r w:rsidRPr="00A44E49">
        <w:rPr>
          <w:rFonts w:ascii="Calibri" w:hAnsi="Calibri" w:cs="Calibri"/>
        </w:rPr>
        <w:t xml:space="preserve">  </w:t>
      </w:r>
    </w:p>
    <w:p w:rsidR="00AD535F" w:rsidRDefault="00AD535F" w:rsidP="00351A63">
      <w:pPr>
        <w:pStyle w:val="Heading2"/>
      </w:pPr>
      <w:bookmarkStart w:id="50" w:name="_Toc339368181"/>
      <w:r>
        <w:lastRenderedPageBreak/>
        <w:t>Environmental Standards</w:t>
      </w:r>
      <w:bookmarkEnd w:id="50"/>
    </w:p>
    <w:p w:rsidR="00AD535F" w:rsidRDefault="00AD535F" w:rsidP="0088052B">
      <w:pPr>
        <w:pStyle w:val="ListParagraph"/>
        <w:numPr>
          <w:ilvl w:val="0"/>
          <w:numId w:val="42"/>
        </w:numPr>
        <w:ind w:left="357" w:hanging="357"/>
        <w:contextualSpacing w:val="0"/>
        <w:rPr>
          <w:rFonts w:ascii="Calibri" w:hAnsi="Calibri" w:cs="Calibri"/>
        </w:rPr>
      </w:pPr>
      <w:r w:rsidRPr="00A44E49">
        <w:rPr>
          <w:rFonts w:ascii="Calibri" w:hAnsi="Calibri" w:cs="Calibri"/>
        </w:rPr>
        <w:t xml:space="preserve">The standards set out </w:t>
      </w:r>
      <w:r>
        <w:rPr>
          <w:rFonts w:ascii="Calibri" w:hAnsi="Calibri" w:cs="Calibri"/>
        </w:rPr>
        <w:t xml:space="preserve">immediately below relate to all eight matters of national environmental significance.  Subsequent standards relate to </w:t>
      </w:r>
      <w:r w:rsidRPr="00A44E49">
        <w:rPr>
          <w:rFonts w:ascii="Calibri" w:hAnsi="Calibri" w:cs="Calibri"/>
        </w:rPr>
        <w:t>each of these eight matters of national environmental significance</w:t>
      </w:r>
      <w:r>
        <w:rPr>
          <w:rFonts w:ascii="Calibri" w:hAnsi="Calibri" w:cs="Calibri"/>
        </w:rPr>
        <w:t xml:space="preserve"> individually</w:t>
      </w:r>
      <w:r w:rsidRPr="00A44E49">
        <w:rPr>
          <w:rFonts w:ascii="Calibri" w:hAnsi="Calibri" w:cs="Calibri"/>
        </w:rPr>
        <w:t xml:space="preserve">.  </w:t>
      </w:r>
      <w:r>
        <w:rPr>
          <w:rFonts w:ascii="Calibri" w:hAnsi="Calibri" w:cs="Calibri"/>
        </w:rPr>
        <w:t>The standards should be read together.</w:t>
      </w:r>
      <w:r w:rsidRPr="00A44E49">
        <w:rPr>
          <w:rFonts w:ascii="Calibri" w:hAnsi="Calibri" w:cs="Calibri"/>
        </w:rPr>
        <w:t xml:space="preserve"> </w:t>
      </w:r>
    </w:p>
    <w:p w:rsidR="00AD535F" w:rsidRPr="00443571" w:rsidRDefault="00AD535F" w:rsidP="00595E90">
      <w:pPr>
        <w:pStyle w:val="Heading3"/>
      </w:pPr>
      <w:bookmarkStart w:id="51" w:name="_Toc339368182"/>
      <w:r w:rsidRPr="00595E90">
        <w:t>Environmental</w:t>
      </w:r>
      <w:r w:rsidRPr="00443571">
        <w:t xml:space="preserve"> Outcomes for all Matters of National Environmental Significance</w:t>
      </w:r>
      <w:bookmarkEnd w:id="51"/>
    </w:p>
    <w:p w:rsidR="007236F3" w:rsidRPr="00595E90" w:rsidRDefault="007236F3" w:rsidP="00595E90">
      <w:pPr>
        <w:keepNext/>
        <w:keepLines/>
        <w:tabs>
          <w:tab w:val="left" w:pos="1708"/>
        </w:tabs>
        <w:rPr>
          <w:b/>
        </w:rPr>
      </w:pPr>
      <w:r w:rsidRPr="00595E90">
        <w:rPr>
          <w:b/>
        </w:rPr>
        <w:t xml:space="preserve">Outcome: </w:t>
      </w:r>
      <w:r w:rsidRPr="00595E90">
        <w:rPr>
          <w:b/>
          <w:i/>
        </w:rPr>
        <w:t>Matters of National Environmental Significance are protected and conserved.</w:t>
      </w:r>
    </w:p>
    <w:p w:rsidR="007236F3" w:rsidRPr="00A44E49" w:rsidRDefault="007236F3" w:rsidP="007236F3">
      <w:pPr>
        <w:pStyle w:val="Heading4"/>
      </w:pPr>
      <w:r w:rsidRPr="00A44E49">
        <w:t>Standards:</w:t>
      </w:r>
    </w:p>
    <w:p w:rsidR="007236F3" w:rsidRPr="001753FD" w:rsidRDefault="007236F3" w:rsidP="001753FD">
      <w:pPr>
        <w:pStyle w:val="ListParagraph"/>
        <w:numPr>
          <w:ilvl w:val="0"/>
          <w:numId w:val="45"/>
        </w:numPr>
        <w:spacing w:after="120"/>
        <w:rPr>
          <w:b/>
        </w:rPr>
      </w:pPr>
      <w:r>
        <w:t>A</w:t>
      </w:r>
      <w:r w:rsidRPr="001753FD">
        <w:t xml:space="preserve">ctions approved under the authorisation process will not have unacceptable or unsustainable impacts on relevant </w:t>
      </w:r>
      <w:r w:rsidR="00E90B79">
        <w:t>‘matters protected’</w:t>
      </w:r>
      <w:r w:rsidRPr="0082317F">
        <w:rPr>
          <w:rStyle w:val="EndnoteReference"/>
        </w:rPr>
        <w:endnoteReference w:id="19"/>
      </w:r>
      <w:r w:rsidRPr="001753FD">
        <w:t xml:space="preserve"> covered by the agreement.</w:t>
      </w:r>
      <w:r w:rsidRPr="0082317F">
        <w:rPr>
          <w:rStyle w:val="EndnoteReference"/>
        </w:rPr>
        <w:endnoteReference w:id="20"/>
      </w:r>
      <w:r w:rsidRPr="001753FD">
        <w:t xml:space="preserve">  The matters protected are, in general,</w:t>
      </w:r>
      <w:r w:rsidR="00373445">
        <w:t xml:space="preserve"> the values of listed places (</w:t>
      </w:r>
      <w:proofErr w:type="spellStart"/>
      <w:r w:rsidR="00373445">
        <w:t>eg</w:t>
      </w:r>
      <w:proofErr w:type="spellEnd"/>
      <w:r w:rsidRPr="001753FD">
        <w:t xml:space="preserve"> the National Heritage values of a National Heritage Place); a species or ecological community; or in respect of nuclear matters and Commonwealth marine areas, the environment itself.</w:t>
      </w:r>
    </w:p>
    <w:p w:rsidR="007236F3" w:rsidRPr="00A44E49" w:rsidRDefault="007236F3" w:rsidP="0062684F">
      <w:pPr>
        <w:widowControl w:val="0"/>
        <w:spacing w:after="120"/>
        <w:rPr>
          <w:b/>
          <w:i/>
        </w:rPr>
      </w:pPr>
      <w:r w:rsidRPr="00A44E49">
        <w:rPr>
          <w:i/>
        </w:rPr>
        <w:t>Examples of proposals that would have unacceptable or unsustainable impacts on a matter of national environmental significance and could not be approved would include,</w:t>
      </w:r>
      <w:r w:rsidRPr="002F0767">
        <w:rPr>
          <w:rStyle w:val="EndnoteReference"/>
        </w:rPr>
        <w:endnoteReference w:id="21"/>
      </w:r>
      <w:r w:rsidRPr="002F0767">
        <w:rPr>
          <w:i/>
        </w:rPr>
        <w:t xml:space="preserve"> </w:t>
      </w:r>
      <w:r w:rsidRPr="00A44E49">
        <w:rPr>
          <w:i/>
        </w:rPr>
        <w:t>but are not limited to:</w:t>
      </w:r>
    </w:p>
    <w:p w:rsidR="007236F3" w:rsidRPr="00A44E49" w:rsidRDefault="007236F3" w:rsidP="00453A44">
      <w:pPr>
        <w:pStyle w:val="ListParagraph"/>
        <w:widowControl w:val="0"/>
        <w:numPr>
          <w:ilvl w:val="0"/>
          <w:numId w:val="6"/>
        </w:numPr>
        <w:spacing w:after="120"/>
        <w:ind w:left="1134" w:hanging="425"/>
        <w:rPr>
          <w:rFonts w:cstheme="minorHAnsi"/>
          <w:b/>
          <w:bCs/>
          <w:i/>
          <w:szCs w:val="30"/>
        </w:rPr>
      </w:pPr>
      <w:r w:rsidRPr="00A44E49">
        <w:rPr>
          <w:rFonts w:cstheme="minorHAnsi"/>
          <w:i/>
          <w:szCs w:val="30"/>
        </w:rPr>
        <w:t xml:space="preserve">a proposal that would destroy a breeding population of a listed species such that the species is likely to </w:t>
      </w:r>
      <w:r w:rsidR="00155671">
        <w:rPr>
          <w:rFonts w:cstheme="minorHAnsi"/>
          <w:i/>
          <w:szCs w:val="30"/>
        </w:rPr>
        <w:t>be listed in a higher category of endangerment</w:t>
      </w:r>
      <w:r>
        <w:rPr>
          <w:rFonts w:cstheme="minorHAnsi"/>
          <w:i/>
          <w:szCs w:val="30"/>
        </w:rPr>
        <w:t>;</w:t>
      </w:r>
    </w:p>
    <w:p w:rsidR="007236F3" w:rsidRPr="00A44E49" w:rsidRDefault="007236F3" w:rsidP="00453A44">
      <w:pPr>
        <w:pStyle w:val="ListParagraph"/>
        <w:widowControl w:val="0"/>
        <w:numPr>
          <w:ilvl w:val="0"/>
          <w:numId w:val="6"/>
        </w:numPr>
        <w:spacing w:after="120"/>
        <w:ind w:left="1134" w:hanging="425"/>
        <w:rPr>
          <w:rFonts w:cstheme="minorHAnsi"/>
          <w:b/>
          <w:bCs/>
          <w:i/>
          <w:szCs w:val="30"/>
        </w:rPr>
      </w:pPr>
      <w:r w:rsidRPr="00A44E49">
        <w:rPr>
          <w:rFonts w:cstheme="minorHAnsi"/>
          <w:i/>
          <w:szCs w:val="30"/>
        </w:rPr>
        <w:t>a proposal that would cause irreversible loss of a</w:t>
      </w:r>
      <w:r>
        <w:rPr>
          <w:rFonts w:cstheme="minorHAnsi"/>
          <w:i/>
          <w:szCs w:val="30"/>
        </w:rPr>
        <w:t>ny critical part of the</w:t>
      </w:r>
      <w:r w:rsidRPr="00A44E49">
        <w:rPr>
          <w:rFonts w:cstheme="minorHAnsi"/>
          <w:i/>
          <w:szCs w:val="30"/>
        </w:rPr>
        <w:t xml:space="preserve"> ecological character of a </w:t>
      </w:r>
      <w:proofErr w:type="spellStart"/>
      <w:r w:rsidRPr="00A44E49">
        <w:rPr>
          <w:rFonts w:cstheme="minorHAnsi"/>
          <w:i/>
          <w:szCs w:val="30"/>
        </w:rPr>
        <w:t>Ramsar</w:t>
      </w:r>
      <w:proofErr w:type="spellEnd"/>
      <w:r w:rsidRPr="00A44E49">
        <w:rPr>
          <w:rFonts w:cstheme="minorHAnsi"/>
          <w:i/>
          <w:szCs w:val="30"/>
        </w:rPr>
        <w:t xml:space="preserve"> wetland</w:t>
      </w:r>
      <w:r>
        <w:rPr>
          <w:rFonts w:cstheme="minorHAnsi"/>
          <w:i/>
          <w:szCs w:val="30"/>
        </w:rPr>
        <w:t>; or</w:t>
      </w:r>
    </w:p>
    <w:p w:rsidR="007236F3" w:rsidRPr="00A44E49" w:rsidRDefault="007236F3" w:rsidP="001753FD">
      <w:pPr>
        <w:pStyle w:val="ListParagraph"/>
        <w:widowControl w:val="0"/>
        <w:numPr>
          <w:ilvl w:val="0"/>
          <w:numId w:val="6"/>
        </w:numPr>
        <w:spacing w:after="120"/>
        <w:ind w:left="1134" w:hanging="425"/>
        <w:contextualSpacing w:val="0"/>
        <w:rPr>
          <w:rFonts w:cstheme="minorHAnsi"/>
          <w:b/>
          <w:bCs/>
          <w:i/>
          <w:szCs w:val="30"/>
        </w:rPr>
      </w:pPr>
      <w:proofErr w:type="gramStart"/>
      <w:r w:rsidRPr="00A44E49">
        <w:rPr>
          <w:rFonts w:cstheme="minorHAnsi"/>
          <w:i/>
          <w:szCs w:val="30"/>
        </w:rPr>
        <w:t>a</w:t>
      </w:r>
      <w:proofErr w:type="gramEnd"/>
      <w:r w:rsidRPr="00A44E49">
        <w:rPr>
          <w:rFonts w:cstheme="minorHAnsi"/>
          <w:i/>
          <w:szCs w:val="30"/>
        </w:rPr>
        <w:t xml:space="preserve"> proposal that would cause a </w:t>
      </w:r>
      <w:r w:rsidR="00741201">
        <w:rPr>
          <w:rFonts w:cstheme="minorHAnsi"/>
          <w:i/>
          <w:szCs w:val="30"/>
        </w:rPr>
        <w:t>substantial</w:t>
      </w:r>
      <w:r w:rsidR="00155671">
        <w:rPr>
          <w:rFonts w:cstheme="minorHAnsi"/>
          <w:i/>
          <w:szCs w:val="30"/>
        </w:rPr>
        <w:t xml:space="preserve"> </w:t>
      </w:r>
      <w:r w:rsidRPr="00A44E49">
        <w:rPr>
          <w:rFonts w:cstheme="minorHAnsi"/>
          <w:i/>
          <w:szCs w:val="30"/>
        </w:rPr>
        <w:t xml:space="preserve">loss of </w:t>
      </w:r>
      <w:r w:rsidR="00155671">
        <w:rPr>
          <w:rFonts w:cstheme="minorHAnsi"/>
          <w:i/>
          <w:szCs w:val="30"/>
        </w:rPr>
        <w:t xml:space="preserve">any of </w:t>
      </w:r>
      <w:r w:rsidRPr="00A44E49">
        <w:rPr>
          <w:rFonts w:cstheme="minorHAnsi"/>
          <w:i/>
          <w:szCs w:val="30"/>
        </w:rPr>
        <w:t>the values for which a National Heritage Place was listed</w:t>
      </w:r>
      <w:r w:rsidR="00E90B79">
        <w:rPr>
          <w:rFonts w:cstheme="minorHAnsi"/>
          <w:i/>
          <w:szCs w:val="30"/>
        </w:rPr>
        <w:t>.</w:t>
      </w:r>
    </w:p>
    <w:p w:rsidR="007236F3" w:rsidRDefault="007236F3" w:rsidP="001753FD">
      <w:pPr>
        <w:pStyle w:val="ListParagraph"/>
        <w:numPr>
          <w:ilvl w:val="0"/>
          <w:numId w:val="45"/>
        </w:numPr>
        <w:spacing w:after="120"/>
        <w:ind w:left="357" w:hanging="357"/>
        <w:contextualSpacing w:val="0"/>
        <w:rPr>
          <w:b/>
        </w:rPr>
      </w:pPr>
      <w:r>
        <w:t>The Sta</w:t>
      </w:r>
      <w:r w:rsidR="00E90B79">
        <w:t>te or Territory must apply the ‘avoid, mitigate, offset’</w:t>
      </w:r>
      <w:r>
        <w:t xml:space="preserve"> hierarchy of principles for guiding the assessment and approval of actions, to ensure that actions approved will not have unacceptable impacts on protected matters.</w:t>
      </w:r>
      <w:r w:rsidRPr="00A44E49">
        <w:rPr>
          <w:rStyle w:val="EndnoteReference"/>
        </w:rPr>
        <w:endnoteReference w:id="22"/>
      </w:r>
    </w:p>
    <w:p w:rsidR="007236F3" w:rsidRPr="007642C4" w:rsidRDefault="007236F3" w:rsidP="00E42DEB">
      <w:pPr>
        <w:pStyle w:val="ListParagraph"/>
        <w:numPr>
          <w:ilvl w:val="0"/>
          <w:numId w:val="45"/>
        </w:numPr>
        <w:spacing w:after="120"/>
        <w:ind w:left="357" w:hanging="357"/>
        <w:contextualSpacing w:val="0"/>
        <w:rPr>
          <w:b/>
        </w:rPr>
      </w:pPr>
      <w:r>
        <w:t>In relation to coal seam gas and large coa</w:t>
      </w:r>
      <w:r w:rsidR="00E37A45">
        <w:t>l mining developments, decision-</w:t>
      </w:r>
      <w:r>
        <w:t xml:space="preserve">makers will </w:t>
      </w:r>
      <w:r w:rsidRPr="0070596C">
        <w:t xml:space="preserve">seek and </w:t>
      </w:r>
      <w:r>
        <w:t>take into account advice of the Independent Expert Scientific Committee on Coal Seam Gas and Large Coal Mining Developments, in respect to authorising actions that relate to matters of national environmental significance.</w:t>
      </w:r>
      <w:r>
        <w:rPr>
          <w:rStyle w:val="EndnoteReference"/>
        </w:rPr>
        <w:endnoteReference w:id="23"/>
      </w:r>
    </w:p>
    <w:p w:rsidR="007236F3" w:rsidRPr="00A44E49" w:rsidRDefault="007236F3" w:rsidP="007236F3">
      <w:pPr>
        <w:pStyle w:val="Heading4"/>
      </w:pPr>
      <w:r>
        <w:t>C</w:t>
      </w:r>
      <w:r w:rsidRPr="00A44E49">
        <w:t>onsiderations for accreditation:</w:t>
      </w:r>
    </w:p>
    <w:p w:rsidR="007236F3" w:rsidRPr="00993E83" w:rsidRDefault="007236F3" w:rsidP="001753FD">
      <w:pPr>
        <w:pStyle w:val="ListParagraph"/>
        <w:numPr>
          <w:ilvl w:val="0"/>
          <w:numId w:val="45"/>
        </w:numPr>
        <w:spacing w:after="120"/>
        <w:ind w:left="357" w:hanging="357"/>
        <w:contextualSpacing w:val="0"/>
        <w:rPr>
          <w:b/>
        </w:rPr>
      </w:pPr>
      <w:r>
        <w:t xml:space="preserve">The </w:t>
      </w:r>
      <w:r w:rsidR="00E90B79">
        <w:t>‘avoid, mitigate, offset’</w:t>
      </w:r>
      <w:r w:rsidRPr="00A44E49">
        <w:t xml:space="preserve"> hierarchy</w:t>
      </w:r>
      <w:r>
        <w:t xml:space="preserve"> of principles involves, w</w:t>
      </w:r>
      <w:r w:rsidRPr="00993E83">
        <w:t>here an action is likely to have a significa</w:t>
      </w:r>
      <w:r>
        <w:t>nt impact on a matter protected</w:t>
      </w:r>
      <w:r w:rsidRPr="00993E83">
        <w:t>:</w:t>
      </w:r>
    </w:p>
    <w:p w:rsidR="007236F3" w:rsidRPr="002D0B88" w:rsidRDefault="007236F3" w:rsidP="00453A44">
      <w:pPr>
        <w:pStyle w:val="ListParagraph"/>
        <w:numPr>
          <w:ilvl w:val="0"/>
          <w:numId w:val="32"/>
        </w:numPr>
        <w:spacing w:after="120"/>
        <w:ind w:left="714" w:hanging="357"/>
        <w:contextualSpacing w:val="0"/>
        <w:rPr>
          <w:b/>
        </w:rPr>
      </w:pPr>
      <w:r>
        <w:t>a</w:t>
      </w:r>
      <w:r w:rsidRPr="00993E83">
        <w:t>voidance of impacts on protected matters, for example through comprehensive planning and suitable site selection;</w:t>
      </w:r>
    </w:p>
    <w:p w:rsidR="007236F3" w:rsidRPr="002D0B88" w:rsidRDefault="007236F3" w:rsidP="00453A44">
      <w:pPr>
        <w:pStyle w:val="ListParagraph"/>
        <w:numPr>
          <w:ilvl w:val="0"/>
          <w:numId w:val="32"/>
        </w:numPr>
        <w:spacing w:after="120"/>
        <w:ind w:left="714" w:hanging="357"/>
        <w:contextualSpacing w:val="0"/>
        <w:rPr>
          <w:b/>
        </w:rPr>
      </w:pPr>
      <w:proofErr w:type="gramStart"/>
      <w:r>
        <w:t>a</w:t>
      </w:r>
      <w:r w:rsidRPr="00993E83">
        <w:t>fter</w:t>
      </w:r>
      <w:proofErr w:type="gramEnd"/>
      <w:r w:rsidRPr="00993E83">
        <w:t xml:space="preserve"> all reasonable avoidance measures have been put in place, mitigation of remaining impacts. </w:t>
      </w:r>
      <w:r w:rsidR="00273CA9">
        <w:t xml:space="preserve"> </w:t>
      </w:r>
      <w:r w:rsidRPr="00993E83">
        <w:t xml:space="preserve">Avoidance and mitigation can reduce and, in some cases, remove the need for offsets. Offsets should not be considered until all reasonable avoidance and mitigation measures are considered; </w:t>
      </w:r>
    </w:p>
    <w:p w:rsidR="007236F3" w:rsidRDefault="007236F3" w:rsidP="00453A44">
      <w:pPr>
        <w:pStyle w:val="ListParagraph"/>
        <w:numPr>
          <w:ilvl w:val="0"/>
          <w:numId w:val="32"/>
        </w:numPr>
        <w:spacing w:after="120"/>
        <w:ind w:left="714" w:hanging="357"/>
        <w:contextualSpacing w:val="0"/>
        <w:rPr>
          <w:b/>
        </w:rPr>
      </w:pPr>
      <w:r>
        <w:lastRenderedPageBreak/>
        <w:t>a</w:t>
      </w:r>
      <w:r w:rsidRPr="00993E83">
        <w:t>fter all reasonable avoidance and mitigation measure</w:t>
      </w:r>
      <w:r>
        <w:t>s</w:t>
      </w:r>
      <w:r w:rsidRPr="00993E83">
        <w:t xml:space="preserve"> have been considered, an assessment is made of any remaining, or ‘residual’, impacts on matters of national environmental significance, and whether those impacts are acceptable; and </w:t>
      </w:r>
    </w:p>
    <w:p w:rsidR="007236F3" w:rsidRPr="002D0B88" w:rsidRDefault="007236F3" w:rsidP="001753FD">
      <w:pPr>
        <w:pStyle w:val="ListParagraph"/>
        <w:numPr>
          <w:ilvl w:val="0"/>
          <w:numId w:val="32"/>
        </w:numPr>
        <w:spacing w:after="120"/>
        <w:ind w:left="714" w:hanging="357"/>
        <w:contextualSpacing w:val="0"/>
        <w:rPr>
          <w:b/>
        </w:rPr>
      </w:pPr>
      <w:proofErr w:type="gramStart"/>
      <w:r>
        <w:t>o</w:t>
      </w:r>
      <w:r w:rsidRPr="00993E83">
        <w:t>nly</w:t>
      </w:r>
      <w:proofErr w:type="gramEnd"/>
      <w:r w:rsidRPr="00993E83">
        <w:t xml:space="preserve"> after residual impacts have been </w:t>
      </w:r>
      <w:r>
        <w:t>mitigated as far as possible</w:t>
      </w:r>
      <w:r w:rsidRPr="00993E83">
        <w:t xml:space="preserve">, may environmental offsetting measures be considered. </w:t>
      </w:r>
      <w:r w:rsidR="00273CA9">
        <w:t xml:space="preserve"> </w:t>
      </w:r>
      <w:r w:rsidRPr="00993E83">
        <w:t>Offsets must achieve long-term environmental outcomes for matters protected under the EPBC Act and be consistent with either the EPBC Act Environmental Offsets Policy,</w:t>
      </w:r>
      <w:r w:rsidR="00BE6F5B">
        <w:rPr>
          <w:rStyle w:val="EndnoteReference"/>
        </w:rPr>
        <w:endnoteReference w:id="24"/>
      </w:r>
      <w:r w:rsidRPr="00993E83">
        <w:t xml:space="preserve"> or another policy accredited by the Minister as achieving the objects of the EPBC Act to an equivalent or better level.</w:t>
      </w:r>
    </w:p>
    <w:p w:rsidR="007236F3" w:rsidRPr="002D0B88" w:rsidRDefault="006F61F0" w:rsidP="001753FD">
      <w:pPr>
        <w:pStyle w:val="ListParagraph"/>
        <w:numPr>
          <w:ilvl w:val="0"/>
          <w:numId w:val="45"/>
        </w:numPr>
        <w:spacing w:after="120"/>
        <w:ind w:left="357" w:hanging="357"/>
        <w:contextualSpacing w:val="0"/>
        <w:rPr>
          <w:b/>
        </w:rPr>
      </w:pPr>
      <w:r>
        <w:t>The requirement to ‘avoid, mitigate, offset’</w:t>
      </w:r>
      <w:r w:rsidR="007236F3" w:rsidRPr="00A44E49">
        <w:t xml:space="preserve"> can be met, in respect of each matter of national environment</w:t>
      </w:r>
      <w:r w:rsidR="00E90B79">
        <w:t>al significance but at a ‘whole of matter’</w:t>
      </w:r>
      <w:r w:rsidR="007236F3" w:rsidRPr="00A44E49">
        <w:t xml:space="preserve"> level, where the Minister accredits any combination of laws, plans, policies and programs as satisfying the Minister that no unacceptable or unsustainable impact will be approved. </w:t>
      </w:r>
      <w:r w:rsidR="00273CA9">
        <w:t xml:space="preserve"> </w:t>
      </w:r>
      <w:r w:rsidR="007236F3" w:rsidRPr="00A44E49">
        <w:t xml:space="preserve">(See </w:t>
      </w:r>
      <w:r>
        <w:t>the example under Section 3 – A proposed approach to achieving assurance and flexibility</w:t>
      </w:r>
      <w:r w:rsidR="007236F3" w:rsidRPr="00A44E49">
        <w:t>.)</w:t>
      </w:r>
    </w:p>
    <w:p w:rsidR="00AD535F" w:rsidRPr="00A44E49" w:rsidRDefault="00AD535F" w:rsidP="00595E90">
      <w:pPr>
        <w:pStyle w:val="Heading3"/>
        <w:spacing w:before="360"/>
      </w:pPr>
      <w:bookmarkStart w:id="52" w:name="_Toc339368183"/>
      <w:r w:rsidRPr="00A44E49">
        <w:t>Listed threatened species and ecological communities</w:t>
      </w:r>
      <w:bookmarkEnd w:id="52"/>
    </w:p>
    <w:p w:rsidR="00053D3F" w:rsidRPr="00590286" w:rsidRDefault="00053D3F" w:rsidP="00595E90">
      <w:pPr>
        <w:keepNext/>
        <w:keepLines/>
        <w:rPr>
          <w:b/>
        </w:rPr>
      </w:pPr>
      <w:r w:rsidRPr="00590286">
        <w:rPr>
          <w:b/>
        </w:rPr>
        <w:t xml:space="preserve">Outcome: </w:t>
      </w:r>
      <w:r w:rsidRPr="00590286">
        <w:rPr>
          <w:rFonts w:cs="Arial"/>
          <w:b/>
          <w:i/>
        </w:rPr>
        <w:t>The survival and conservation status of listed species and ecological communities is promoted and enhanced, including through the conservation of habitat critical to the survival of a species or community</w:t>
      </w:r>
      <w:r w:rsidRPr="00590286">
        <w:rPr>
          <w:rStyle w:val="EndnoteReference"/>
          <w:rFonts w:cs="Arial"/>
          <w:b/>
        </w:rPr>
        <w:endnoteReference w:id="25"/>
      </w:r>
      <w:r w:rsidRPr="00590286">
        <w:rPr>
          <w:rFonts w:cs="Arial"/>
          <w:b/>
          <w:i/>
        </w:rPr>
        <w:t xml:space="preserve"> and other measures contained in any recovery plans, threat abatement plans or conservation advices.</w:t>
      </w:r>
      <w:r w:rsidRPr="00590286">
        <w:rPr>
          <w:rStyle w:val="EndnoteReference"/>
          <w:rFonts w:cs="Arial"/>
          <w:b/>
        </w:rPr>
        <w:endnoteReference w:id="26"/>
      </w:r>
    </w:p>
    <w:p w:rsidR="00053D3F" w:rsidRPr="00A44E49" w:rsidRDefault="00053D3F" w:rsidP="00053D3F">
      <w:pPr>
        <w:pStyle w:val="Heading4"/>
      </w:pPr>
      <w:r w:rsidRPr="00A44E49">
        <w:t>Standards:</w:t>
      </w:r>
    </w:p>
    <w:p w:rsidR="00053D3F" w:rsidRPr="00A44E49" w:rsidRDefault="00053D3F" w:rsidP="009145A9">
      <w:pPr>
        <w:pStyle w:val="ListParagraph"/>
        <w:numPr>
          <w:ilvl w:val="0"/>
          <w:numId w:val="45"/>
        </w:numPr>
        <w:spacing w:after="120"/>
        <w:ind w:left="357" w:hanging="357"/>
        <w:contextualSpacing w:val="0"/>
        <w:rPr>
          <w:b/>
        </w:rPr>
      </w:pPr>
      <w:r>
        <w:t xml:space="preserve">A bilateral agreement </w:t>
      </w:r>
      <w:r w:rsidRPr="00A44E49">
        <w:t xml:space="preserve">relating to a threatened species or ecological community listed under the EPBC Act </w:t>
      </w:r>
      <w:r>
        <w:t xml:space="preserve">may be entered into </w:t>
      </w:r>
      <w:r w:rsidRPr="00A44E49">
        <w:t>only if:</w:t>
      </w:r>
      <w:r w:rsidRPr="00A44E49">
        <w:rPr>
          <w:rStyle w:val="EndnoteReference"/>
        </w:rPr>
        <w:endnoteReference w:id="27"/>
      </w:r>
    </w:p>
    <w:p w:rsidR="00053D3F" w:rsidRPr="00A44E49" w:rsidRDefault="00053D3F" w:rsidP="009145A9">
      <w:pPr>
        <w:spacing w:after="120"/>
        <w:ind w:left="357"/>
        <w:rPr>
          <w:b/>
        </w:rPr>
      </w:pPr>
      <w:r w:rsidRPr="00A44E49">
        <w:t xml:space="preserve">(a) </w:t>
      </w:r>
      <w:proofErr w:type="gramStart"/>
      <w:r w:rsidRPr="00A44E49">
        <w:t>the</w:t>
      </w:r>
      <w:proofErr w:type="gramEnd"/>
      <w:r w:rsidRPr="00A44E49">
        <w:t xml:space="preserve"> provision is not inconsistent with Australia’s obligations under:</w:t>
      </w:r>
      <w:r w:rsidRPr="00A44E49">
        <w:rPr>
          <w:rStyle w:val="EndnoteReference"/>
        </w:rPr>
        <w:endnoteReference w:id="28"/>
      </w:r>
    </w:p>
    <w:p w:rsidR="00053D3F" w:rsidRPr="00A44E49" w:rsidRDefault="00053D3F" w:rsidP="00453A44">
      <w:pPr>
        <w:pStyle w:val="ListParagraph"/>
        <w:numPr>
          <w:ilvl w:val="0"/>
          <w:numId w:val="1"/>
        </w:numPr>
        <w:spacing w:after="120"/>
        <w:ind w:left="1077" w:hanging="357"/>
        <w:contextualSpacing w:val="0"/>
        <w:rPr>
          <w:b/>
        </w:rPr>
      </w:pPr>
      <w:r w:rsidRPr="00A44E49">
        <w:t>the Convention on Biological Diversity; or</w:t>
      </w:r>
    </w:p>
    <w:p w:rsidR="00053D3F" w:rsidRPr="00A44E49" w:rsidRDefault="00053D3F" w:rsidP="00453A44">
      <w:pPr>
        <w:pStyle w:val="ListParagraph"/>
        <w:numPr>
          <w:ilvl w:val="0"/>
          <w:numId w:val="1"/>
        </w:numPr>
        <w:spacing w:after="120"/>
        <w:ind w:left="1077" w:hanging="357"/>
        <w:contextualSpacing w:val="0"/>
        <w:rPr>
          <w:b/>
        </w:rPr>
      </w:pPr>
      <w:r w:rsidRPr="00A44E49">
        <w:t>the Apia Convention; or</w:t>
      </w:r>
    </w:p>
    <w:p w:rsidR="00053D3F" w:rsidRPr="00DD031A" w:rsidRDefault="00053D3F" w:rsidP="00453A44">
      <w:pPr>
        <w:pStyle w:val="ListParagraph"/>
        <w:numPr>
          <w:ilvl w:val="0"/>
          <w:numId w:val="1"/>
        </w:numPr>
        <w:spacing w:after="120"/>
        <w:ind w:left="1077" w:hanging="357"/>
        <w:contextualSpacing w:val="0"/>
        <w:rPr>
          <w:b/>
        </w:rPr>
      </w:pPr>
      <w:r w:rsidRPr="00A44E49">
        <w:t>Convention on International Trade in Endangered Species of Wild Fauna and Flora (CITES); and</w:t>
      </w:r>
    </w:p>
    <w:p w:rsidR="00053D3F" w:rsidRPr="00A44E49" w:rsidRDefault="00053D3F" w:rsidP="009145A9">
      <w:pPr>
        <w:spacing w:after="120"/>
        <w:ind w:left="357"/>
        <w:rPr>
          <w:b/>
        </w:rPr>
      </w:pPr>
      <w:r w:rsidRPr="00A44E49">
        <w:t xml:space="preserve">(b) </w:t>
      </w:r>
      <w:proofErr w:type="gramStart"/>
      <w:r w:rsidRPr="00A44E49">
        <w:t>the</w:t>
      </w:r>
      <w:proofErr w:type="gramEnd"/>
      <w:r w:rsidRPr="00A44E49">
        <w:t xml:space="preserve"> agreement will promote and/or enhance the conservation status of each relevant species or community listed under the EPBC Act;</w:t>
      </w:r>
    </w:p>
    <w:p w:rsidR="00053D3F" w:rsidRPr="00A44E49" w:rsidRDefault="00053D3F" w:rsidP="009145A9">
      <w:pPr>
        <w:spacing w:after="120"/>
        <w:ind w:left="357"/>
        <w:rPr>
          <w:b/>
        </w:rPr>
      </w:pPr>
      <w:r w:rsidRPr="00A44E49" w:rsidDel="00F627B6">
        <w:t xml:space="preserve"> </w:t>
      </w:r>
      <w:r w:rsidRPr="00A44E49">
        <w:t xml:space="preserve">(c) </w:t>
      </w:r>
      <w:proofErr w:type="gramStart"/>
      <w:r w:rsidRPr="00A44E49">
        <w:t>the</w:t>
      </w:r>
      <w:proofErr w:type="gramEnd"/>
      <w:r w:rsidRPr="00A44E49">
        <w:t xml:space="preserve"> provision is not inconsistent with any recovery plan</w:t>
      </w:r>
      <w:r w:rsidRPr="00A44E49">
        <w:rPr>
          <w:rStyle w:val="EndnoteReference"/>
        </w:rPr>
        <w:endnoteReference w:id="29"/>
      </w:r>
      <w:r w:rsidRPr="00A44E49">
        <w:t xml:space="preserve"> for any relevant species or community listed under the EPBC Act or a threat abatement plan</w:t>
      </w:r>
      <w:r w:rsidRPr="00A44E49">
        <w:rPr>
          <w:rStyle w:val="EndnoteReference"/>
        </w:rPr>
        <w:endnoteReference w:id="30"/>
      </w:r>
      <w:r w:rsidRPr="00A44E49">
        <w:t xml:space="preserve"> under the Act; and</w:t>
      </w:r>
    </w:p>
    <w:p w:rsidR="00053D3F" w:rsidRPr="00A44E49" w:rsidRDefault="00053D3F" w:rsidP="009145A9">
      <w:pPr>
        <w:spacing w:after="120"/>
        <w:ind w:left="357"/>
        <w:rPr>
          <w:b/>
        </w:rPr>
      </w:pPr>
      <w:r w:rsidRPr="00A44E49">
        <w:t xml:space="preserve">(d) </w:t>
      </w:r>
      <w:proofErr w:type="gramStart"/>
      <w:r w:rsidRPr="00A44E49">
        <w:t>regard</w:t>
      </w:r>
      <w:proofErr w:type="gramEnd"/>
      <w:r w:rsidRPr="00A44E49">
        <w:t xml:space="preserve"> </w:t>
      </w:r>
      <w:r>
        <w:t xml:space="preserve">is had </w:t>
      </w:r>
      <w:r w:rsidRPr="00A44E49">
        <w:t>to any approved conservation advice for the relevant species or community listed under the EPBC Act;</w:t>
      </w:r>
      <w:r w:rsidRPr="00A44E49">
        <w:rPr>
          <w:rStyle w:val="EndnoteReference"/>
        </w:rPr>
        <w:endnoteReference w:id="31"/>
      </w:r>
      <w:r w:rsidRPr="00A44E49">
        <w:t xml:space="preserve"> and</w:t>
      </w:r>
    </w:p>
    <w:p w:rsidR="00053D3F" w:rsidRPr="00A44E49" w:rsidRDefault="00053D3F" w:rsidP="009145A9">
      <w:pPr>
        <w:spacing w:after="120"/>
        <w:ind w:left="357"/>
        <w:rPr>
          <w:b/>
        </w:rPr>
      </w:pPr>
      <w:r w:rsidRPr="00A44E49">
        <w:t xml:space="preserve">(e) </w:t>
      </w:r>
      <w:proofErr w:type="gramStart"/>
      <w:r w:rsidRPr="00A44E49">
        <w:t>the</w:t>
      </w:r>
      <w:proofErr w:type="gramEnd"/>
      <w:r w:rsidRPr="00A44E49">
        <w:t xml:space="preserve"> provision meets the requirements prescribed by the regulations.</w:t>
      </w:r>
      <w:r w:rsidRPr="00A44E49">
        <w:rPr>
          <w:rStyle w:val="EndnoteReference"/>
        </w:rPr>
        <w:endnoteReference w:id="32"/>
      </w:r>
    </w:p>
    <w:p w:rsidR="00053D3F" w:rsidRPr="00351A63" w:rsidRDefault="00053D3F" w:rsidP="00053D3F">
      <w:pPr>
        <w:pStyle w:val="Heading4"/>
      </w:pPr>
      <w:r>
        <w:t>C</w:t>
      </w:r>
      <w:r w:rsidRPr="00A44E49">
        <w:t>onsiderations for accreditation:</w:t>
      </w:r>
    </w:p>
    <w:p w:rsidR="00053D3F" w:rsidRPr="000646D7" w:rsidRDefault="00053D3F" w:rsidP="009145A9">
      <w:pPr>
        <w:pStyle w:val="ListParagraph"/>
        <w:numPr>
          <w:ilvl w:val="0"/>
          <w:numId w:val="45"/>
        </w:numPr>
        <w:spacing w:after="120"/>
        <w:ind w:left="357" w:hanging="357"/>
        <w:contextualSpacing w:val="0"/>
        <w:rPr>
          <w:b/>
        </w:rPr>
      </w:pPr>
      <w:r w:rsidRPr="00A44E49">
        <w:t xml:space="preserve">The conservation status of listed threatened species and ecological communities </w:t>
      </w:r>
      <w:r w:rsidR="00E90B79">
        <w:t>is</w:t>
      </w:r>
      <w:r w:rsidRPr="00A44E49">
        <w:t xml:space="preserve"> promoted and/or enhanced through a combination of laws, plans, policies and programs.</w:t>
      </w:r>
      <w:r w:rsidRPr="00A44E49">
        <w:rPr>
          <w:rStyle w:val="EndnoteReference"/>
        </w:rPr>
        <w:endnoteReference w:id="33"/>
      </w:r>
      <w:r>
        <w:t xml:space="preserve"> </w:t>
      </w:r>
    </w:p>
    <w:p w:rsidR="00053D3F" w:rsidRPr="00995C62" w:rsidRDefault="00053D3F" w:rsidP="00995C62">
      <w:pPr>
        <w:spacing w:after="120"/>
        <w:rPr>
          <w:b/>
          <w:bCs/>
          <w:i/>
        </w:rPr>
      </w:pPr>
      <w:r>
        <w:rPr>
          <w:i/>
        </w:rPr>
        <w:lastRenderedPageBreak/>
        <w:t>In the Commonwealth’s view, t</w:t>
      </w:r>
      <w:r w:rsidRPr="00A44E49">
        <w:rPr>
          <w:i/>
        </w:rPr>
        <w:t xml:space="preserve">he </w:t>
      </w:r>
      <w:r>
        <w:rPr>
          <w:i/>
        </w:rPr>
        <w:t xml:space="preserve">draft </w:t>
      </w:r>
      <w:r w:rsidRPr="00A44E49">
        <w:rPr>
          <w:i/>
        </w:rPr>
        <w:t xml:space="preserve">proposal </w:t>
      </w:r>
      <w:r>
        <w:rPr>
          <w:i/>
        </w:rPr>
        <w:t>under development</w:t>
      </w:r>
      <w:r w:rsidRPr="00A44E49">
        <w:rPr>
          <w:i/>
        </w:rPr>
        <w:t xml:space="preserve"> by the COAG Working Group on Environmental Regulation Reform to align threatened species listings would </w:t>
      </w:r>
      <w:r>
        <w:rPr>
          <w:i/>
        </w:rPr>
        <w:t>assist</w:t>
      </w:r>
      <w:r w:rsidRPr="00A44E49">
        <w:rPr>
          <w:i/>
        </w:rPr>
        <w:t xml:space="preserve"> this standard to be met</w:t>
      </w:r>
      <w:r>
        <w:rPr>
          <w:i/>
        </w:rPr>
        <w:t xml:space="preserve"> in an effective way</w:t>
      </w:r>
      <w:r w:rsidRPr="00A44E49">
        <w:rPr>
          <w:i/>
        </w:rPr>
        <w:t>.  The details of the proposal</w:t>
      </w:r>
      <w:r w:rsidR="00995C62">
        <w:rPr>
          <w:i/>
        </w:rPr>
        <w:t xml:space="preserve"> </w:t>
      </w:r>
      <w:r>
        <w:rPr>
          <w:i/>
        </w:rPr>
        <w:t>(in its current form)</w:t>
      </w:r>
      <w:r w:rsidRPr="00A44E49">
        <w:rPr>
          <w:i/>
        </w:rPr>
        <w:t xml:space="preserve"> are set out at </w:t>
      </w:r>
      <w:r w:rsidR="00995C62">
        <w:rPr>
          <w:b/>
          <w:i/>
        </w:rPr>
        <w:t>Attachment C</w:t>
      </w:r>
      <w:r w:rsidRPr="00A44E49">
        <w:rPr>
          <w:i/>
        </w:rPr>
        <w:t>.</w:t>
      </w:r>
    </w:p>
    <w:p w:rsidR="00AD535F" w:rsidRPr="00A44E49" w:rsidRDefault="00AD535F" w:rsidP="00595E90">
      <w:pPr>
        <w:pStyle w:val="Heading3"/>
        <w:spacing w:before="360"/>
      </w:pPr>
      <w:bookmarkStart w:id="53" w:name="_Toc339368184"/>
      <w:r w:rsidRPr="00A44E49">
        <w:t>Listed migratory species</w:t>
      </w:r>
      <w:bookmarkEnd w:id="53"/>
    </w:p>
    <w:p w:rsidR="00053D3F" w:rsidRPr="00590286" w:rsidRDefault="00053D3F" w:rsidP="00595E90">
      <w:pPr>
        <w:rPr>
          <w:b/>
        </w:rPr>
      </w:pPr>
      <w:r w:rsidRPr="00590286">
        <w:rPr>
          <w:b/>
        </w:rPr>
        <w:t xml:space="preserve">Outcome: </w:t>
      </w:r>
      <w:r w:rsidRPr="00590286">
        <w:rPr>
          <w:rFonts w:cs="Arial"/>
          <w:b/>
          <w:i/>
        </w:rPr>
        <w:t>The survival and conservation status of migratory species and their critical habitat is promoted and enhanced, consistent with Australia’s international obligations</w:t>
      </w:r>
      <w:r w:rsidRPr="00590286">
        <w:rPr>
          <w:rFonts w:cs="Arial"/>
          <w:b/>
        </w:rPr>
        <w:t>.</w:t>
      </w:r>
      <w:r w:rsidRPr="00590286">
        <w:rPr>
          <w:rStyle w:val="EndnoteReference"/>
          <w:rFonts w:cs="Arial"/>
          <w:b/>
        </w:rPr>
        <w:endnoteReference w:id="34"/>
      </w:r>
    </w:p>
    <w:p w:rsidR="00053D3F" w:rsidRPr="00A44E49" w:rsidRDefault="00053D3F" w:rsidP="00053D3F">
      <w:pPr>
        <w:pStyle w:val="Heading4"/>
      </w:pPr>
      <w:r w:rsidRPr="00A44E49">
        <w:t>Standards:</w:t>
      </w:r>
    </w:p>
    <w:p w:rsidR="00053D3F" w:rsidRPr="00A44E49" w:rsidRDefault="00053D3F" w:rsidP="009145A9">
      <w:pPr>
        <w:pStyle w:val="ListParagraph"/>
        <w:numPr>
          <w:ilvl w:val="0"/>
          <w:numId w:val="45"/>
        </w:numPr>
        <w:spacing w:after="120"/>
        <w:ind w:left="357" w:hanging="357"/>
        <w:contextualSpacing w:val="0"/>
        <w:rPr>
          <w:b/>
        </w:rPr>
      </w:pPr>
      <w:r>
        <w:t>A</w:t>
      </w:r>
      <w:r w:rsidRPr="00A44E49">
        <w:t xml:space="preserve"> bilateral agreement relating to a listed migratory species</w:t>
      </w:r>
      <w:r>
        <w:t xml:space="preserve"> may be entered into</w:t>
      </w:r>
      <w:r w:rsidRPr="00A44E49">
        <w:t xml:space="preserve"> only if:</w:t>
      </w:r>
      <w:r w:rsidRPr="00A44E49">
        <w:rPr>
          <w:rStyle w:val="EndnoteReference"/>
        </w:rPr>
        <w:endnoteReference w:id="35"/>
      </w:r>
    </w:p>
    <w:p w:rsidR="00053D3F" w:rsidRPr="00A44E49" w:rsidRDefault="00053D3F" w:rsidP="009145A9">
      <w:pPr>
        <w:spacing w:after="120"/>
        <w:ind w:left="357"/>
        <w:rPr>
          <w:b/>
        </w:rPr>
      </w:pPr>
      <w:r w:rsidRPr="00A44E49">
        <w:t xml:space="preserve">(a) </w:t>
      </w:r>
      <w:proofErr w:type="gramStart"/>
      <w:r>
        <w:t>it</w:t>
      </w:r>
      <w:proofErr w:type="gramEnd"/>
      <w:r>
        <w:t xml:space="preserve"> </w:t>
      </w:r>
      <w:r w:rsidRPr="00A44E49">
        <w:t>is not inconsistent with the Commonwealth’s obligations under whichever of the following is relevant for the species:</w:t>
      </w:r>
      <w:r w:rsidRPr="00A44E49">
        <w:rPr>
          <w:rStyle w:val="EndnoteReference"/>
        </w:rPr>
        <w:endnoteReference w:id="36"/>
      </w:r>
    </w:p>
    <w:p w:rsidR="00053D3F" w:rsidRPr="00A44E49" w:rsidRDefault="00053D3F" w:rsidP="00453A44">
      <w:pPr>
        <w:pStyle w:val="ListParagraph"/>
        <w:numPr>
          <w:ilvl w:val="0"/>
          <w:numId w:val="2"/>
        </w:numPr>
        <w:spacing w:after="120"/>
        <w:ind w:left="1077" w:hanging="357"/>
        <w:contextualSpacing w:val="0"/>
        <w:rPr>
          <w:b/>
        </w:rPr>
      </w:pPr>
      <w:r w:rsidRPr="00A44E49">
        <w:t>the Bonn Convention;</w:t>
      </w:r>
    </w:p>
    <w:p w:rsidR="00053D3F" w:rsidRPr="00A44E49" w:rsidRDefault="00155671" w:rsidP="00453A44">
      <w:pPr>
        <w:pStyle w:val="ListParagraph"/>
        <w:numPr>
          <w:ilvl w:val="0"/>
          <w:numId w:val="2"/>
        </w:numPr>
        <w:spacing w:after="120"/>
        <w:ind w:left="1077" w:hanging="357"/>
        <w:contextualSpacing w:val="0"/>
        <w:rPr>
          <w:b/>
        </w:rPr>
      </w:pPr>
      <w:r>
        <w:t>China Australia Migratory Birds Agreement (CAMBA)</w:t>
      </w:r>
      <w:r w:rsidR="00053D3F" w:rsidRPr="00A44E49">
        <w:t xml:space="preserve">; </w:t>
      </w:r>
    </w:p>
    <w:p w:rsidR="00053D3F" w:rsidRPr="00A44E49" w:rsidRDefault="00155671" w:rsidP="00453A44">
      <w:pPr>
        <w:pStyle w:val="ListParagraph"/>
        <w:numPr>
          <w:ilvl w:val="0"/>
          <w:numId w:val="2"/>
        </w:numPr>
        <w:spacing w:after="120"/>
        <w:ind w:left="1077" w:hanging="357"/>
        <w:contextualSpacing w:val="0"/>
        <w:rPr>
          <w:b/>
        </w:rPr>
      </w:pPr>
      <w:r>
        <w:t>Japan Australia Migratory Birds Agreement (JAMBA)</w:t>
      </w:r>
      <w:r w:rsidR="00053D3F" w:rsidRPr="00A44E49">
        <w:t xml:space="preserve">; </w:t>
      </w:r>
    </w:p>
    <w:p w:rsidR="00053D3F" w:rsidRPr="00A44E49" w:rsidRDefault="00155671" w:rsidP="00453A44">
      <w:pPr>
        <w:pStyle w:val="ListParagraph"/>
        <w:numPr>
          <w:ilvl w:val="0"/>
          <w:numId w:val="2"/>
        </w:numPr>
        <w:spacing w:after="120"/>
        <w:ind w:left="1077" w:hanging="357"/>
        <w:contextualSpacing w:val="0"/>
        <w:rPr>
          <w:b/>
        </w:rPr>
      </w:pPr>
      <w:r>
        <w:t>Republic of Korea Australia Migratory Birds Agreement (ROKAMBA)</w:t>
      </w:r>
      <w:r w:rsidR="00053D3F" w:rsidRPr="00A44E49">
        <w:t>;</w:t>
      </w:r>
      <w:r w:rsidR="00053D3F" w:rsidRPr="002F0767">
        <w:rPr>
          <w:rStyle w:val="EndnoteReference"/>
        </w:rPr>
        <w:endnoteReference w:id="37"/>
      </w:r>
      <w:r w:rsidR="00053D3F" w:rsidRPr="002F0767">
        <w:t xml:space="preserve"> </w:t>
      </w:r>
    </w:p>
    <w:p w:rsidR="00053D3F" w:rsidRPr="00A44E49" w:rsidRDefault="00053D3F" w:rsidP="00453A44">
      <w:pPr>
        <w:pStyle w:val="ListParagraph"/>
        <w:numPr>
          <w:ilvl w:val="0"/>
          <w:numId w:val="2"/>
        </w:numPr>
        <w:spacing w:after="120"/>
        <w:ind w:left="1077" w:hanging="357"/>
        <w:contextualSpacing w:val="0"/>
        <w:rPr>
          <w:b/>
        </w:rPr>
      </w:pPr>
      <w:r w:rsidRPr="00A44E49">
        <w:t>an international agreement approved under subsection 209(4) of the EPBC Act; and</w:t>
      </w:r>
    </w:p>
    <w:p w:rsidR="00053D3F" w:rsidRPr="00A44E49" w:rsidRDefault="00053D3F" w:rsidP="0069207A">
      <w:pPr>
        <w:spacing w:after="120"/>
        <w:ind w:left="357"/>
        <w:rPr>
          <w:b/>
        </w:rPr>
      </w:pPr>
      <w:r w:rsidRPr="00A44E49">
        <w:t xml:space="preserve">(b) </w:t>
      </w:r>
      <w:proofErr w:type="gramStart"/>
      <w:r w:rsidRPr="00A44E49">
        <w:t>the</w:t>
      </w:r>
      <w:proofErr w:type="gramEnd"/>
      <w:r w:rsidRPr="00A44E49">
        <w:t xml:space="preserve"> agreement will promote the survival and/or enhance the conservation status of each species to which the provision relates.</w:t>
      </w:r>
    </w:p>
    <w:p w:rsidR="00053D3F" w:rsidRPr="00351A63" w:rsidRDefault="00053D3F" w:rsidP="00053D3F">
      <w:pPr>
        <w:pStyle w:val="Heading4"/>
      </w:pPr>
      <w:r>
        <w:t>C</w:t>
      </w:r>
      <w:r w:rsidRPr="00A44E49">
        <w:t>onsiderations for accreditation:</w:t>
      </w:r>
    </w:p>
    <w:p w:rsidR="00AD535F" w:rsidRPr="00AC4AC9" w:rsidRDefault="00053D3F" w:rsidP="00993E83">
      <w:pPr>
        <w:pStyle w:val="ListParagraph"/>
        <w:numPr>
          <w:ilvl w:val="0"/>
          <w:numId w:val="45"/>
        </w:numPr>
        <w:spacing w:after="120"/>
        <w:ind w:left="357" w:hanging="357"/>
        <w:contextualSpacing w:val="0"/>
        <w:rPr>
          <w:b/>
          <w:bCs/>
        </w:rPr>
      </w:pPr>
      <w:r w:rsidRPr="00A44E49">
        <w:t xml:space="preserve">The conservation status of listed migratory species </w:t>
      </w:r>
      <w:r w:rsidR="00AF5FEB">
        <w:t>is</w:t>
      </w:r>
      <w:r w:rsidRPr="00A44E49">
        <w:t xml:space="preserve"> promoted and/or enhanced through a combination of laws, plans, policies and programs.</w:t>
      </w:r>
      <w:r w:rsidRPr="00A44E49">
        <w:rPr>
          <w:rStyle w:val="EndnoteReference"/>
        </w:rPr>
        <w:endnoteReference w:id="38"/>
      </w:r>
      <w:r>
        <w:t xml:space="preserve"> </w:t>
      </w:r>
    </w:p>
    <w:p w:rsidR="00155671" w:rsidRPr="000B3543" w:rsidRDefault="000B3543" w:rsidP="00AC4AC9">
      <w:pPr>
        <w:spacing w:after="120"/>
        <w:rPr>
          <w:bCs/>
        </w:rPr>
      </w:pPr>
      <w:r>
        <w:rPr>
          <w:bCs/>
          <w:i/>
        </w:rPr>
        <w:t>Endorsed policies and plans might identify and</w:t>
      </w:r>
      <w:r w:rsidRPr="00AC4AC9">
        <w:rPr>
          <w:bCs/>
          <w:i/>
        </w:rPr>
        <w:t xml:space="preserve"> protect </w:t>
      </w:r>
      <w:r w:rsidR="002A370A">
        <w:rPr>
          <w:bCs/>
          <w:i/>
        </w:rPr>
        <w:t>important</w:t>
      </w:r>
      <w:r w:rsidRPr="00AC4AC9">
        <w:rPr>
          <w:bCs/>
          <w:i/>
        </w:rPr>
        <w:t xml:space="preserve"> habitat for migratory species</w:t>
      </w:r>
      <w:r>
        <w:rPr>
          <w:bCs/>
          <w:i/>
        </w:rPr>
        <w:t xml:space="preserve"> such as</w:t>
      </w:r>
      <w:r w:rsidRPr="00AC4AC9">
        <w:rPr>
          <w:bCs/>
          <w:i/>
        </w:rPr>
        <w:t xml:space="preserve"> sea grass beds used by dugongs or </w:t>
      </w:r>
      <w:r w:rsidR="00741201">
        <w:rPr>
          <w:bCs/>
          <w:i/>
        </w:rPr>
        <w:t>feeding or breeding</w:t>
      </w:r>
      <w:r w:rsidRPr="00AC4AC9">
        <w:rPr>
          <w:bCs/>
          <w:i/>
        </w:rPr>
        <w:t xml:space="preserve"> habitat for migratory birds.</w:t>
      </w:r>
    </w:p>
    <w:p w:rsidR="00AD535F" w:rsidRPr="00A44E49" w:rsidRDefault="00AD535F" w:rsidP="00995C62">
      <w:pPr>
        <w:pStyle w:val="Heading3"/>
        <w:spacing w:before="360"/>
      </w:pPr>
      <w:bookmarkStart w:id="54" w:name="_Toc339368185"/>
      <w:r w:rsidRPr="00A44E49">
        <w:t>Wetlands of international importance</w:t>
      </w:r>
      <w:bookmarkEnd w:id="54"/>
    </w:p>
    <w:p w:rsidR="00053D3F" w:rsidRPr="00590286" w:rsidRDefault="00053D3F" w:rsidP="00B829AD">
      <w:pPr>
        <w:keepNext/>
        <w:keepLines/>
        <w:rPr>
          <w:b/>
        </w:rPr>
      </w:pPr>
      <w:r w:rsidRPr="00590286">
        <w:rPr>
          <w:b/>
        </w:rPr>
        <w:t xml:space="preserve">Outcome: </w:t>
      </w:r>
      <w:r w:rsidRPr="00590286">
        <w:rPr>
          <w:b/>
          <w:i/>
        </w:rPr>
        <w:t xml:space="preserve">The ecological character of each </w:t>
      </w:r>
      <w:proofErr w:type="spellStart"/>
      <w:r w:rsidRPr="00590286">
        <w:rPr>
          <w:b/>
          <w:i/>
        </w:rPr>
        <w:t>Ramsar</w:t>
      </w:r>
      <w:proofErr w:type="spellEnd"/>
      <w:r w:rsidRPr="00590286">
        <w:rPr>
          <w:b/>
          <w:i/>
        </w:rPr>
        <w:t xml:space="preserve"> wetland is maintained, and conservation and wise</w:t>
      </w:r>
      <w:r w:rsidRPr="00590286">
        <w:rPr>
          <w:rStyle w:val="EndnoteReference"/>
          <w:b/>
          <w:i/>
        </w:rPr>
        <w:endnoteReference w:id="39"/>
      </w:r>
      <w:r w:rsidRPr="00590286">
        <w:rPr>
          <w:b/>
          <w:i/>
        </w:rPr>
        <w:t xml:space="preserve"> and sustainable use of the wetland is promoted for the benefit of humanity in a way that is compatible with maintenance of the natural properties of the ecosystem. </w:t>
      </w:r>
      <w:r w:rsidR="00D5092A">
        <w:rPr>
          <w:b/>
          <w:i/>
        </w:rPr>
        <w:t xml:space="preserve"> </w:t>
      </w:r>
      <w:r w:rsidRPr="00590286">
        <w:rPr>
          <w:b/>
          <w:i/>
        </w:rPr>
        <w:t>This is to be achieved through the implementation of ecosystem approaches, within the context of sustainable development</w:t>
      </w:r>
      <w:r w:rsidRPr="00590286">
        <w:rPr>
          <w:b/>
        </w:rPr>
        <w:t>.</w:t>
      </w:r>
      <w:r w:rsidRPr="00590286">
        <w:rPr>
          <w:rStyle w:val="EndnoteReference"/>
          <w:b/>
        </w:rPr>
        <w:endnoteReference w:id="40"/>
      </w:r>
    </w:p>
    <w:p w:rsidR="00053D3F" w:rsidRPr="00A44E49" w:rsidRDefault="00053D3F" w:rsidP="00053D3F">
      <w:pPr>
        <w:pStyle w:val="Heading4"/>
      </w:pPr>
      <w:r w:rsidRPr="00A44E49">
        <w:t>Standards:</w:t>
      </w:r>
    </w:p>
    <w:p w:rsidR="00053D3F" w:rsidRPr="00A44E49" w:rsidRDefault="00053D3F" w:rsidP="009145A9">
      <w:pPr>
        <w:pStyle w:val="ListParagraph"/>
        <w:numPr>
          <w:ilvl w:val="0"/>
          <w:numId w:val="45"/>
        </w:numPr>
        <w:spacing w:after="120"/>
        <w:ind w:left="357" w:hanging="357"/>
        <w:contextualSpacing w:val="0"/>
        <w:rPr>
          <w:b/>
        </w:rPr>
      </w:pPr>
      <w:r>
        <w:t>A</w:t>
      </w:r>
      <w:r w:rsidRPr="00A44E49">
        <w:t xml:space="preserve"> bilateral agreement containing a provision relating to a declared </w:t>
      </w:r>
      <w:proofErr w:type="spellStart"/>
      <w:r w:rsidRPr="00A44E49">
        <w:t>Ramsar</w:t>
      </w:r>
      <w:proofErr w:type="spellEnd"/>
      <w:r w:rsidRPr="00A44E49">
        <w:t xml:space="preserve"> wetland </w:t>
      </w:r>
      <w:r>
        <w:t xml:space="preserve">may be entered into </w:t>
      </w:r>
      <w:r w:rsidRPr="00A44E49">
        <w:t>only if:</w:t>
      </w:r>
      <w:r w:rsidRPr="00A44E49">
        <w:rPr>
          <w:rStyle w:val="EndnoteReference"/>
        </w:rPr>
        <w:endnoteReference w:id="41"/>
      </w:r>
    </w:p>
    <w:p w:rsidR="00053D3F" w:rsidRPr="00A44E49" w:rsidRDefault="00053D3F" w:rsidP="009145A9">
      <w:pPr>
        <w:spacing w:after="120"/>
        <w:ind w:left="357"/>
        <w:rPr>
          <w:b/>
        </w:rPr>
      </w:pPr>
      <w:r w:rsidRPr="00A44E49">
        <w:t xml:space="preserve">(a) </w:t>
      </w:r>
      <w:proofErr w:type="gramStart"/>
      <w:r>
        <w:t>it</w:t>
      </w:r>
      <w:proofErr w:type="gramEnd"/>
      <w:r w:rsidRPr="00A44E49">
        <w:t xml:space="preserve"> is not inconsistent with Australia’s obligations under the </w:t>
      </w:r>
      <w:proofErr w:type="spellStart"/>
      <w:r w:rsidRPr="00A44E49">
        <w:t>Ramsar</w:t>
      </w:r>
      <w:proofErr w:type="spellEnd"/>
      <w:r w:rsidRPr="00A44E49">
        <w:t xml:space="preserve"> Convention;</w:t>
      </w:r>
      <w:r w:rsidRPr="00A44E49">
        <w:rPr>
          <w:rStyle w:val="EndnoteReference"/>
        </w:rPr>
        <w:endnoteReference w:id="42"/>
      </w:r>
      <w:r w:rsidRPr="00A44E49">
        <w:t xml:space="preserve"> and </w:t>
      </w:r>
    </w:p>
    <w:p w:rsidR="00053D3F" w:rsidRPr="00A44E49" w:rsidRDefault="00053D3F" w:rsidP="0069207A">
      <w:pPr>
        <w:spacing w:after="120"/>
        <w:ind w:left="357"/>
        <w:rPr>
          <w:b/>
          <w:bCs/>
        </w:rPr>
      </w:pPr>
      <w:r w:rsidRPr="00A44E49">
        <w:t xml:space="preserve">(b) </w:t>
      </w:r>
      <w:proofErr w:type="gramStart"/>
      <w:r w:rsidRPr="00A44E49">
        <w:t>the</w:t>
      </w:r>
      <w:proofErr w:type="gramEnd"/>
      <w:r w:rsidRPr="00A44E49">
        <w:t xml:space="preserve"> agreement will promote the management of the wetland in accordance with the Australian </w:t>
      </w:r>
      <w:proofErr w:type="spellStart"/>
      <w:r w:rsidRPr="00A44E49">
        <w:t>Ramsar</w:t>
      </w:r>
      <w:proofErr w:type="spellEnd"/>
      <w:r w:rsidRPr="00A44E49">
        <w:t xml:space="preserve"> management principles set out at </w:t>
      </w:r>
      <w:r w:rsidR="00995C62">
        <w:rPr>
          <w:b/>
        </w:rPr>
        <w:t>Attachment F</w:t>
      </w:r>
      <w:r w:rsidRPr="00A44E49">
        <w:t>.</w:t>
      </w:r>
      <w:r w:rsidR="00BE6F5B" w:rsidRPr="00BE6F5B">
        <w:rPr>
          <w:rStyle w:val="EndnoteReference"/>
        </w:rPr>
        <w:t xml:space="preserve"> </w:t>
      </w:r>
      <w:r w:rsidR="00BE6F5B" w:rsidRPr="00A44E49">
        <w:rPr>
          <w:rStyle w:val="EndnoteReference"/>
        </w:rPr>
        <w:endnoteReference w:id="43"/>
      </w:r>
    </w:p>
    <w:p w:rsidR="00053D3F" w:rsidRPr="00351A63" w:rsidRDefault="00053D3F" w:rsidP="00053D3F">
      <w:pPr>
        <w:pStyle w:val="Heading4"/>
      </w:pPr>
      <w:r w:rsidRPr="00A44E49">
        <w:lastRenderedPageBreak/>
        <w:t>Considerations for accreditation:</w:t>
      </w:r>
    </w:p>
    <w:p w:rsidR="00053D3F" w:rsidRPr="004B513E" w:rsidRDefault="00053D3F" w:rsidP="009145A9">
      <w:pPr>
        <w:pStyle w:val="ListParagraph"/>
        <w:numPr>
          <w:ilvl w:val="0"/>
          <w:numId w:val="45"/>
        </w:numPr>
        <w:spacing w:after="120"/>
        <w:ind w:left="357" w:hanging="357"/>
        <w:contextualSpacing w:val="0"/>
        <w:rPr>
          <w:b/>
          <w:i/>
        </w:rPr>
      </w:pPr>
      <w:r w:rsidRPr="00A44E49">
        <w:t xml:space="preserve">The ecological character of </w:t>
      </w:r>
      <w:proofErr w:type="spellStart"/>
      <w:r w:rsidRPr="00A44E49">
        <w:t>Ramsar</w:t>
      </w:r>
      <w:proofErr w:type="spellEnd"/>
      <w:r w:rsidRPr="00A44E49">
        <w:t xml:space="preserve"> Wetlands is maintained through a combination of laws, plans, policies and programs.</w:t>
      </w:r>
      <w:r w:rsidRPr="00A44E49">
        <w:rPr>
          <w:rStyle w:val="EndnoteReference"/>
        </w:rPr>
        <w:endnoteReference w:id="44"/>
      </w:r>
      <w:r>
        <w:t xml:space="preserve"> </w:t>
      </w:r>
    </w:p>
    <w:p w:rsidR="00053D3F" w:rsidRPr="00995C62" w:rsidRDefault="00053D3F" w:rsidP="00995C62">
      <w:pPr>
        <w:spacing w:after="120"/>
        <w:rPr>
          <w:b/>
          <w:bCs/>
        </w:rPr>
      </w:pPr>
      <w:r w:rsidRPr="00A44E49">
        <w:rPr>
          <w:i/>
        </w:rPr>
        <w:t xml:space="preserve">National Guidelines for </w:t>
      </w:r>
      <w:proofErr w:type="spellStart"/>
      <w:r w:rsidRPr="00A44E49">
        <w:rPr>
          <w:i/>
        </w:rPr>
        <w:t>Ramsar</w:t>
      </w:r>
      <w:proofErr w:type="spellEnd"/>
      <w:r w:rsidRPr="00A44E49">
        <w:rPr>
          <w:i/>
        </w:rPr>
        <w:t xml:space="preserve"> Wetlands are currently under joint development by the Commonwealth and States</w:t>
      </w:r>
      <w:r w:rsidR="00035430">
        <w:rPr>
          <w:i/>
        </w:rPr>
        <w:t xml:space="preserve"> and Territories</w:t>
      </w:r>
      <w:r w:rsidRPr="00A44E49">
        <w:rPr>
          <w:i/>
        </w:rPr>
        <w:t>.</w:t>
      </w:r>
      <w:r w:rsidRPr="00A44E49">
        <w:rPr>
          <w:rStyle w:val="EndnoteReference"/>
        </w:rPr>
        <w:endnoteReference w:id="45"/>
      </w:r>
      <w:r w:rsidRPr="00A44E49">
        <w:rPr>
          <w:i/>
        </w:rPr>
        <w:t xml:space="preserve">  </w:t>
      </w:r>
      <w:r w:rsidRPr="00FD437F">
        <w:rPr>
          <w:i/>
        </w:rPr>
        <w:t>Guidelines have been published on describing the ecolo</w:t>
      </w:r>
      <w:r>
        <w:rPr>
          <w:i/>
        </w:rPr>
        <w:t xml:space="preserve">gical character of </w:t>
      </w:r>
      <w:proofErr w:type="spellStart"/>
      <w:r>
        <w:rPr>
          <w:i/>
        </w:rPr>
        <w:t>Ramsar</w:t>
      </w:r>
      <w:proofErr w:type="spellEnd"/>
      <w:r>
        <w:rPr>
          <w:i/>
        </w:rPr>
        <w:t xml:space="preserve"> sites</w:t>
      </w:r>
      <w:r w:rsidR="00BE6F5B">
        <w:rPr>
          <w:i/>
        </w:rPr>
        <w:t>,</w:t>
      </w:r>
      <w:r w:rsidR="00BE6F5B" w:rsidRPr="00BE6F5B">
        <w:rPr>
          <w:rStyle w:val="EndnoteReference"/>
          <w:i/>
        </w:rPr>
        <w:t xml:space="preserve"> </w:t>
      </w:r>
      <w:r w:rsidR="00BE6F5B">
        <w:rPr>
          <w:rStyle w:val="EndnoteReference"/>
          <w:i/>
        </w:rPr>
        <w:endnoteReference w:id="46"/>
      </w:r>
      <w:r w:rsidRPr="00FD437F">
        <w:rPr>
          <w:i/>
        </w:rPr>
        <w:t xml:space="preserve"> notifying </w:t>
      </w:r>
      <w:r>
        <w:rPr>
          <w:i/>
        </w:rPr>
        <w:t>change in ecological character</w:t>
      </w:r>
      <w:r>
        <w:rPr>
          <w:rStyle w:val="EndnoteReference"/>
          <w:i/>
        </w:rPr>
        <w:endnoteReference w:id="47"/>
      </w:r>
      <w:r>
        <w:rPr>
          <w:i/>
        </w:rPr>
        <w:t xml:space="preserve"> and mapping wetlands</w:t>
      </w:r>
      <w:r w:rsidR="00BE6F5B">
        <w:rPr>
          <w:i/>
        </w:rPr>
        <w:t>.</w:t>
      </w:r>
      <w:r w:rsidR="00BE6F5B">
        <w:rPr>
          <w:rStyle w:val="EndnoteReference"/>
          <w:i/>
        </w:rPr>
        <w:endnoteReference w:id="48"/>
      </w:r>
      <w:r w:rsidRPr="00FD437F">
        <w:rPr>
          <w:i/>
        </w:rPr>
        <w:t xml:space="preserve"> Additional guidelines may be published in the series.</w:t>
      </w:r>
      <w:r>
        <w:rPr>
          <w:i/>
        </w:rPr>
        <w:t xml:space="preserve"> </w:t>
      </w:r>
      <w:r w:rsidRPr="00FD437F">
        <w:rPr>
          <w:i/>
        </w:rPr>
        <w:t xml:space="preserve"> These guidelines are designed to facilitate improved management of </w:t>
      </w:r>
      <w:proofErr w:type="spellStart"/>
      <w:r w:rsidRPr="00FD437F">
        <w:rPr>
          <w:i/>
        </w:rPr>
        <w:t>Ramsar</w:t>
      </w:r>
      <w:proofErr w:type="spellEnd"/>
      <w:r w:rsidRPr="00FD437F">
        <w:rPr>
          <w:i/>
        </w:rPr>
        <w:t xml:space="preserve"> sites and maintenance of their ecological character, in line with commitments under the </w:t>
      </w:r>
      <w:proofErr w:type="spellStart"/>
      <w:r w:rsidRPr="00FD437F">
        <w:rPr>
          <w:i/>
        </w:rPr>
        <w:t>Ramsar</w:t>
      </w:r>
      <w:proofErr w:type="spellEnd"/>
      <w:r w:rsidRPr="00FD437F">
        <w:rPr>
          <w:i/>
        </w:rPr>
        <w:t xml:space="preserve"> Convention and responsibilities under the Environment Protection and Bio</w:t>
      </w:r>
      <w:r>
        <w:rPr>
          <w:i/>
        </w:rPr>
        <w:t>diversity Conservation Act 1999.</w:t>
      </w:r>
    </w:p>
    <w:p w:rsidR="00AD535F" w:rsidRPr="00A44E49" w:rsidRDefault="00AD535F" w:rsidP="00995C62">
      <w:pPr>
        <w:pStyle w:val="Heading3"/>
        <w:spacing w:before="360"/>
      </w:pPr>
      <w:bookmarkStart w:id="55" w:name="_Toc339368186"/>
      <w:r w:rsidRPr="00A44E49">
        <w:t>National Heritage</w:t>
      </w:r>
      <w:bookmarkEnd w:id="55"/>
      <w:r w:rsidRPr="00A44E49">
        <w:t xml:space="preserve"> </w:t>
      </w:r>
    </w:p>
    <w:p w:rsidR="00053D3F" w:rsidRPr="00590286" w:rsidRDefault="00053D3F" w:rsidP="00053D3F">
      <w:pPr>
        <w:rPr>
          <w:b/>
        </w:rPr>
      </w:pPr>
      <w:r w:rsidRPr="00590286">
        <w:rPr>
          <w:b/>
        </w:rPr>
        <w:t xml:space="preserve">Outcome: </w:t>
      </w:r>
      <w:r w:rsidRPr="00590286">
        <w:rPr>
          <w:rFonts w:cs="Arial"/>
          <w:b/>
          <w:i/>
        </w:rPr>
        <w:t>The outstanding value to the nation of National Heritage properties is identified, protected, conserved, presented and transmitted to future generations of Australians</w:t>
      </w:r>
      <w:r w:rsidRPr="00590286">
        <w:rPr>
          <w:rFonts w:cs="Arial"/>
          <w:b/>
        </w:rPr>
        <w:t>.</w:t>
      </w:r>
      <w:r w:rsidRPr="00590286">
        <w:rPr>
          <w:rStyle w:val="EndnoteReference"/>
          <w:rFonts w:cs="Arial"/>
          <w:b/>
        </w:rPr>
        <w:endnoteReference w:id="49"/>
      </w:r>
    </w:p>
    <w:p w:rsidR="00053D3F" w:rsidRPr="00A44E49" w:rsidRDefault="00053D3F" w:rsidP="00053D3F">
      <w:pPr>
        <w:pStyle w:val="Heading4"/>
      </w:pPr>
      <w:r w:rsidRPr="00A44E49">
        <w:t>Standards:</w:t>
      </w:r>
    </w:p>
    <w:p w:rsidR="00053D3F" w:rsidRPr="00A44E49" w:rsidRDefault="00053D3F" w:rsidP="009145A9">
      <w:pPr>
        <w:pStyle w:val="ListParagraph"/>
        <w:numPr>
          <w:ilvl w:val="0"/>
          <w:numId w:val="45"/>
        </w:numPr>
        <w:spacing w:after="120"/>
        <w:ind w:left="357" w:hanging="357"/>
        <w:contextualSpacing w:val="0"/>
        <w:rPr>
          <w:b/>
        </w:rPr>
      </w:pPr>
      <w:r>
        <w:t>A</w:t>
      </w:r>
      <w:r w:rsidRPr="00A44E49">
        <w:t xml:space="preserve"> bilateral agreement containing a provision relating to a National Heritage place</w:t>
      </w:r>
      <w:r>
        <w:t xml:space="preserve"> may be entered into</w:t>
      </w:r>
      <w:r w:rsidRPr="00A44E49">
        <w:t xml:space="preserve"> only if:</w:t>
      </w:r>
      <w:r w:rsidRPr="00A44E49">
        <w:rPr>
          <w:rStyle w:val="EndnoteReference"/>
        </w:rPr>
        <w:t xml:space="preserve"> </w:t>
      </w:r>
      <w:r w:rsidRPr="00A44E49">
        <w:rPr>
          <w:rStyle w:val="EndnoteReference"/>
        </w:rPr>
        <w:endnoteReference w:id="50"/>
      </w:r>
    </w:p>
    <w:p w:rsidR="00053D3F" w:rsidRPr="00A44E49" w:rsidRDefault="00053D3F" w:rsidP="009145A9">
      <w:pPr>
        <w:spacing w:after="120"/>
        <w:ind w:left="357"/>
        <w:rPr>
          <w:b/>
        </w:rPr>
      </w:pPr>
      <w:r w:rsidRPr="00A44E49">
        <w:t xml:space="preserve">(a) the agreement will promote the management of the place in accordance with the National Heritage management principles set out at </w:t>
      </w:r>
      <w:r w:rsidR="00995C62">
        <w:rPr>
          <w:b/>
        </w:rPr>
        <w:t>Attachment G</w:t>
      </w:r>
      <w:r w:rsidRPr="00A44E49">
        <w:t>;</w:t>
      </w:r>
      <w:r w:rsidR="00BE6F5B" w:rsidRPr="00BE6F5B">
        <w:rPr>
          <w:rStyle w:val="EndnoteReference"/>
        </w:rPr>
        <w:t xml:space="preserve"> </w:t>
      </w:r>
      <w:r w:rsidR="00BE6F5B" w:rsidRPr="00A44E49">
        <w:rPr>
          <w:rStyle w:val="EndnoteReference"/>
        </w:rPr>
        <w:endnoteReference w:id="51"/>
      </w:r>
      <w:r w:rsidRPr="00A44E49">
        <w:t xml:space="preserve"> and</w:t>
      </w:r>
    </w:p>
    <w:p w:rsidR="00053D3F" w:rsidRDefault="00053D3F" w:rsidP="009145A9">
      <w:pPr>
        <w:spacing w:after="120"/>
        <w:ind w:left="357"/>
        <w:rPr>
          <w:b/>
          <w:bCs/>
        </w:rPr>
      </w:pPr>
      <w:r w:rsidRPr="00A44E49">
        <w:t>(b)</w:t>
      </w:r>
      <w:r>
        <w:t xml:space="preserve"> </w:t>
      </w:r>
      <w:proofErr w:type="gramStart"/>
      <w:r>
        <w:t>where</w:t>
      </w:r>
      <w:proofErr w:type="gramEnd"/>
      <w:r w:rsidRPr="00A44E49">
        <w:t xml:space="preserve"> the bilateral agreement provides for the accreditation of a management plan for a declared National Heritage place, the bilateral meets the requirements prescribed </w:t>
      </w:r>
      <w:r>
        <w:t>in</w:t>
      </w:r>
      <w:r w:rsidRPr="00A44E49">
        <w:t xml:space="preserve"> Part 2B of the EPBC Regulations, set out at </w:t>
      </w:r>
      <w:r w:rsidR="005309FE">
        <w:rPr>
          <w:b/>
        </w:rPr>
        <w:t>Attachment H</w:t>
      </w:r>
      <w:r w:rsidRPr="00A44E49">
        <w:t>.</w:t>
      </w:r>
      <w:r w:rsidRPr="00A44E49">
        <w:rPr>
          <w:rStyle w:val="EndnoteReference"/>
        </w:rPr>
        <w:endnoteReference w:id="52"/>
      </w:r>
      <w:r w:rsidRPr="00A44E49">
        <w:t xml:space="preserve"> </w:t>
      </w:r>
    </w:p>
    <w:p w:rsidR="00053D3F" w:rsidRPr="00C07720" w:rsidRDefault="00053D3F" w:rsidP="00707CB8">
      <w:pPr>
        <w:pStyle w:val="ListParagraph"/>
        <w:numPr>
          <w:ilvl w:val="0"/>
          <w:numId w:val="45"/>
        </w:numPr>
        <w:spacing w:after="120"/>
        <w:ind w:left="357" w:hanging="357"/>
        <w:contextualSpacing w:val="0"/>
        <w:rPr>
          <w:b/>
          <w:bCs/>
        </w:rPr>
      </w:pPr>
      <w:r>
        <w:t>The bilateral agreement must provide for the accreditation of a management plan or suitable alternative (such as a strategic assessment) for the National Heritage Place that sets out the process for authorising future actions relating to the place</w:t>
      </w:r>
      <w:r w:rsidRPr="00A44E49">
        <w:t>.</w:t>
      </w:r>
      <w:r>
        <w:rPr>
          <w:rStyle w:val="EndnoteReference"/>
        </w:rPr>
        <w:endnoteReference w:id="53"/>
      </w:r>
    </w:p>
    <w:p w:rsidR="00053D3F" w:rsidRPr="00BB322A" w:rsidRDefault="00053D3F" w:rsidP="00053D3F">
      <w:pPr>
        <w:pStyle w:val="Heading4"/>
      </w:pPr>
      <w:r w:rsidRPr="00A44E49">
        <w:t>Considerations for accreditation:</w:t>
      </w:r>
    </w:p>
    <w:p w:rsidR="00053D3F" w:rsidRPr="00995C62" w:rsidRDefault="00053D3F" w:rsidP="00053D3F">
      <w:pPr>
        <w:pStyle w:val="ListParagraph"/>
        <w:numPr>
          <w:ilvl w:val="0"/>
          <w:numId w:val="45"/>
        </w:numPr>
        <w:spacing w:after="120"/>
        <w:ind w:left="357" w:hanging="357"/>
        <w:contextualSpacing w:val="0"/>
        <w:rPr>
          <w:b/>
          <w:bCs/>
        </w:rPr>
      </w:pPr>
      <w:r w:rsidRPr="00A44E49">
        <w:t>The National Heritage values of National Heritage places are protected and conserved through a combination of laws, plans, policies and programs.</w:t>
      </w:r>
      <w:r w:rsidRPr="00A44E49">
        <w:rPr>
          <w:rStyle w:val="EndnoteReference"/>
        </w:rPr>
        <w:endnoteReference w:id="54"/>
      </w:r>
      <w:r>
        <w:t xml:space="preserve">  </w:t>
      </w:r>
    </w:p>
    <w:p w:rsidR="00AD535F" w:rsidRPr="00A44E49" w:rsidRDefault="00E01E86" w:rsidP="00995C62">
      <w:pPr>
        <w:pStyle w:val="Heading3"/>
        <w:spacing w:before="360"/>
      </w:pPr>
      <w:bookmarkStart w:id="56" w:name="_Toc339368187"/>
      <w:r>
        <w:t>World Heritage p</w:t>
      </w:r>
      <w:r w:rsidR="00AD535F" w:rsidRPr="00A44E49">
        <w:t>roperties</w:t>
      </w:r>
      <w:bookmarkEnd w:id="56"/>
    </w:p>
    <w:p w:rsidR="00053D3F" w:rsidRPr="00590286" w:rsidRDefault="00053D3F" w:rsidP="00B829AD">
      <w:pPr>
        <w:keepNext/>
        <w:keepLines/>
        <w:rPr>
          <w:b/>
        </w:rPr>
      </w:pPr>
      <w:r w:rsidRPr="00590286">
        <w:rPr>
          <w:b/>
        </w:rPr>
        <w:t xml:space="preserve">Outcomes: </w:t>
      </w:r>
      <w:r w:rsidRPr="00590286">
        <w:rPr>
          <w:rFonts w:cs="Arial"/>
          <w:b/>
          <w:i/>
        </w:rPr>
        <w:t>The outstanding universal value of World Heritage properties must be identified, protected, conserved, presented and transmitted to future generations.</w:t>
      </w:r>
      <w:r w:rsidRPr="00590286">
        <w:rPr>
          <w:rStyle w:val="EndnoteReference"/>
          <w:rFonts w:cs="Arial"/>
          <w:b/>
        </w:rPr>
        <w:endnoteReference w:id="55"/>
      </w:r>
      <w:r w:rsidRPr="00590286">
        <w:rPr>
          <w:rFonts w:cs="Arial"/>
          <w:b/>
          <w:i/>
        </w:rPr>
        <w:t xml:space="preserve">  </w:t>
      </w:r>
    </w:p>
    <w:p w:rsidR="00053D3F" w:rsidRPr="00590286" w:rsidRDefault="00053D3F" w:rsidP="00B829AD">
      <w:pPr>
        <w:keepNext/>
        <w:keepLines/>
        <w:rPr>
          <w:rFonts w:cs="Arial"/>
          <w:b/>
          <w:i/>
        </w:rPr>
      </w:pPr>
      <w:r w:rsidRPr="00590286">
        <w:rPr>
          <w:rFonts w:cs="Arial"/>
          <w:b/>
          <w:i/>
        </w:rPr>
        <w:t xml:space="preserve">Australia’s World Heritage properties must be managed to ensure that Australia is not subject to international sanction, none of the properties </w:t>
      </w:r>
      <w:proofErr w:type="gramStart"/>
      <w:r w:rsidRPr="00590286">
        <w:rPr>
          <w:rFonts w:cs="Arial"/>
          <w:b/>
          <w:i/>
        </w:rPr>
        <w:t>are</w:t>
      </w:r>
      <w:proofErr w:type="gramEnd"/>
      <w:r w:rsidRPr="00590286">
        <w:rPr>
          <w:rFonts w:cs="Arial"/>
          <w:b/>
          <w:i/>
        </w:rPr>
        <w:t xml:space="preserve"> placed on the ‘in danger’ list and none are delisted.</w:t>
      </w:r>
      <w:r w:rsidRPr="00590286">
        <w:rPr>
          <w:rStyle w:val="EndnoteReference"/>
          <w:rFonts w:cs="Arial"/>
          <w:b/>
        </w:rPr>
        <w:endnoteReference w:id="56"/>
      </w:r>
    </w:p>
    <w:p w:rsidR="00053D3F" w:rsidRPr="00A44E49" w:rsidRDefault="00053D3F" w:rsidP="00053D3F">
      <w:pPr>
        <w:pStyle w:val="Heading4"/>
      </w:pPr>
      <w:r w:rsidRPr="00A44E49">
        <w:t>Standards:</w:t>
      </w:r>
    </w:p>
    <w:p w:rsidR="00053D3F" w:rsidRPr="00A44E49" w:rsidRDefault="00053D3F" w:rsidP="009145A9">
      <w:pPr>
        <w:pStyle w:val="ListParagraph"/>
        <w:numPr>
          <w:ilvl w:val="0"/>
          <w:numId w:val="45"/>
        </w:numPr>
        <w:spacing w:after="120"/>
        <w:ind w:left="357" w:hanging="357"/>
        <w:contextualSpacing w:val="0"/>
        <w:rPr>
          <w:b/>
        </w:rPr>
      </w:pPr>
      <w:r>
        <w:t>A</w:t>
      </w:r>
      <w:r w:rsidRPr="00A44E49">
        <w:t xml:space="preserve"> bilateral agreement containing a provision relating to a declared World Heritage property </w:t>
      </w:r>
      <w:r>
        <w:t xml:space="preserve">may be entered into </w:t>
      </w:r>
      <w:r w:rsidRPr="00A44E49">
        <w:t>only if:</w:t>
      </w:r>
      <w:r w:rsidRPr="00A44E49">
        <w:rPr>
          <w:rStyle w:val="EndnoteReference"/>
        </w:rPr>
        <w:t xml:space="preserve"> </w:t>
      </w:r>
      <w:r w:rsidRPr="00A44E49">
        <w:rPr>
          <w:rStyle w:val="EndnoteReference"/>
        </w:rPr>
        <w:endnoteReference w:id="57"/>
      </w:r>
    </w:p>
    <w:p w:rsidR="00053D3F" w:rsidRPr="00A44E49" w:rsidRDefault="00053D3F" w:rsidP="009145A9">
      <w:pPr>
        <w:spacing w:after="120"/>
        <w:ind w:left="357"/>
        <w:rPr>
          <w:b/>
        </w:rPr>
      </w:pPr>
      <w:r w:rsidRPr="00A44E49">
        <w:t xml:space="preserve">(a) </w:t>
      </w:r>
      <w:proofErr w:type="gramStart"/>
      <w:r>
        <w:t>it</w:t>
      </w:r>
      <w:proofErr w:type="gramEnd"/>
      <w:r>
        <w:t xml:space="preserve"> </w:t>
      </w:r>
      <w:r w:rsidRPr="00A44E49">
        <w:t>is not inconsistent with Australia’s obligations under the World Heritage Convention;</w:t>
      </w:r>
      <w:r w:rsidRPr="00A44E49">
        <w:rPr>
          <w:rStyle w:val="EndnoteReference"/>
        </w:rPr>
        <w:endnoteReference w:id="58"/>
      </w:r>
      <w:r w:rsidRPr="00A44E49">
        <w:t xml:space="preserve"> and</w:t>
      </w:r>
    </w:p>
    <w:p w:rsidR="00053D3F" w:rsidRPr="00A44E49" w:rsidRDefault="00053D3F" w:rsidP="009145A9">
      <w:pPr>
        <w:spacing w:after="120"/>
        <w:ind w:left="357"/>
        <w:rPr>
          <w:b/>
        </w:rPr>
      </w:pPr>
      <w:r w:rsidRPr="00A44E49">
        <w:lastRenderedPageBreak/>
        <w:t xml:space="preserve">(b) the agreement will promote the management of the property in accordance with the Australian World Heritage management principles set out at </w:t>
      </w:r>
      <w:r w:rsidR="005309FE">
        <w:rPr>
          <w:b/>
        </w:rPr>
        <w:t>Attachment J</w:t>
      </w:r>
      <w:r w:rsidRPr="00A44E49">
        <w:t>;</w:t>
      </w:r>
      <w:r w:rsidR="00BE6F5B" w:rsidRPr="00A44E49">
        <w:rPr>
          <w:rStyle w:val="EndnoteReference"/>
        </w:rPr>
        <w:endnoteReference w:id="59"/>
      </w:r>
      <w:r w:rsidRPr="00A44E49">
        <w:t xml:space="preserve"> and</w:t>
      </w:r>
    </w:p>
    <w:p w:rsidR="00053D3F" w:rsidRPr="004B513E" w:rsidRDefault="00053D3F" w:rsidP="009145A9">
      <w:pPr>
        <w:spacing w:after="120"/>
        <w:ind w:left="357"/>
        <w:rPr>
          <w:b/>
        </w:rPr>
      </w:pPr>
      <w:r w:rsidRPr="00A44E49">
        <w:t xml:space="preserve">(c) </w:t>
      </w:r>
      <w:proofErr w:type="gramStart"/>
      <w:r>
        <w:t>where</w:t>
      </w:r>
      <w:proofErr w:type="gramEnd"/>
      <w:r>
        <w:t xml:space="preserve"> </w:t>
      </w:r>
      <w:r w:rsidRPr="00A44E49">
        <w:t>the bilateral provides for the accreditation of a management plan for a declared World Heritage property, the bilateral meets the requirements of Part 2B of the EPBC Regulations</w:t>
      </w:r>
      <w:r w:rsidRPr="00A44E49">
        <w:rPr>
          <w:rStyle w:val="EndnoteReference"/>
        </w:rPr>
        <w:endnoteReference w:id="60"/>
      </w:r>
      <w:r w:rsidRPr="00A44E49">
        <w:t xml:space="preserve"> set out at </w:t>
      </w:r>
      <w:r w:rsidR="005309FE">
        <w:rPr>
          <w:b/>
        </w:rPr>
        <w:t>Attachment H</w:t>
      </w:r>
      <w:r w:rsidRPr="00A44E49">
        <w:t xml:space="preserve">. </w:t>
      </w:r>
    </w:p>
    <w:p w:rsidR="00053D3F" w:rsidRPr="00A44E49" w:rsidRDefault="00053D3F" w:rsidP="009145A9">
      <w:pPr>
        <w:pStyle w:val="ListParagraph"/>
        <w:numPr>
          <w:ilvl w:val="0"/>
          <w:numId w:val="45"/>
        </w:numPr>
        <w:spacing w:after="120"/>
        <w:ind w:left="357" w:hanging="357"/>
        <w:contextualSpacing w:val="0"/>
        <w:rPr>
          <w:b/>
        </w:rPr>
      </w:pPr>
      <w:r w:rsidRPr="00A44E49">
        <w:t xml:space="preserve">The State or Territory acts in accordance with the </w:t>
      </w:r>
      <w:r w:rsidRPr="00A44E49">
        <w:rPr>
          <w:i/>
        </w:rPr>
        <w:t>Operational Guidelines for the Implementation of the World Heritage Convention</w:t>
      </w:r>
      <w:r w:rsidRPr="00A44E49">
        <w:t>, including providing the Commonwealth with any information related to reporting or review requirements of the Operational Guidelines or other requirements related to the operation of the World Heritage Convention.</w:t>
      </w:r>
      <w:r>
        <w:rPr>
          <w:rStyle w:val="EndnoteReference"/>
        </w:rPr>
        <w:endnoteReference w:id="61"/>
      </w:r>
      <w:r w:rsidRPr="00A44E49">
        <w:t xml:space="preserve"> </w:t>
      </w:r>
    </w:p>
    <w:p w:rsidR="00053D3F" w:rsidRPr="007B4D47" w:rsidRDefault="00053D3F" w:rsidP="006F4FA2">
      <w:pPr>
        <w:pStyle w:val="ListParagraph"/>
        <w:numPr>
          <w:ilvl w:val="0"/>
          <w:numId w:val="45"/>
        </w:numPr>
        <w:spacing w:after="120"/>
        <w:ind w:left="357" w:hanging="357"/>
        <w:contextualSpacing w:val="0"/>
        <w:rPr>
          <w:b/>
          <w:bCs/>
        </w:rPr>
      </w:pPr>
      <w:r>
        <w:t>The bilateral agreement must provide for the accreditation of a management plan or suitable alternative (such as a strategic assessment) for the World Heritage property that sets out the process for authorising future actions relating to the property</w:t>
      </w:r>
      <w:r w:rsidRPr="00A44E49">
        <w:t>.</w:t>
      </w:r>
      <w:r>
        <w:rPr>
          <w:rStyle w:val="EndnoteReference"/>
        </w:rPr>
        <w:endnoteReference w:id="62"/>
      </w:r>
    </w:p>
    <w:p w:rsidR="00053D3F" w:rsidRPr="00BB322A" w:rsidRDefault="00053D3F" w:rsidP="00053D3F">
      <w:pPr>
        <w:pStyle w:val="Heading4"/>
      </w:pPr>
      <w:r w:rsidRPr="00A44E49">
        <w:t>Considerations for accreditation:</w:t>
      </w:r>
      <w:r w:rsidRPr="00BB322A">
        <w:tab/>
      </w:r>
    </w:p>
    <w:p w:rsidR="00053D3F" w:rsidRPr="00995C62" w:rsidRDefault="00053D3F" w:rsidP="00053D3F">
      <w:pPr>
        <w:pStyle w:val="ListParagraph"/>
        <w:numPr>
          <w:ilvl w:val="0"/>
          <w:numId w:val="45"/>
        </w:numPr>
        <w:spacing w:after="120"/>
        <w:ind w:left="357" w:hanging="357"/>
        <w:contextualSpacing w:val="0"/>
        <w:rPr>
          <w:b/>
        </w:rPr>
      </w:pPr>
      <w:r w:rsidRPr="00A44E49">
        <w:t xml:space="preserve">The </w:t>
      </w:r>
      <w:r w:rsidRPr="00841D6B">
        <w:t xml:space="preserve">outstanding universal values </w:t>
      </w:r>
      <w:r w:rsidRPr="00A44E49">
        <w:t>of World Heritage properties are protected and conserved through a combination of laws, plans, policies and programs.</w:t>
      </w:r>
      <w:r w:rsidRPr="00A44E49">
        <w:rPr>
          <w:rStyle w:val="EndnoteReference"/>
        </w:rPr>
        <w:endnoteReference w:id="63"/>
      </w:r>
      <w:r>
        <w:t xml:space="preserve">  </w:t>
      </w:r>
    </w:p>
    <w:p w:rsidR="00AD535F" w:rsidRPr="00A44E49" w:rsidRDefault="00AD535F" w:rsidP="00995C62">
      <w:pPr>
        <w:pStyle w:val="Heading3"/>
        <w:spacing w:before="360"/>
      </w:pPr>
      <w:bookmarkStart w:id="57" w:name="_Toc339368188"/>
      <w:r w:rsidRPr="00A44E49">
        <w:t>Protection of the environment from nuclear actions</w:t>
      </w:r>
      <w:bookmarkEnd w:id="57"/>
    </w:p>
    <w:p w:rsidR="00053D3F" w:rsidRPr="00590286" w:rsidRDefault="00053D3F" w:rsidP="00053D3F">
      <w:pPr>
        <w:rPr>
          <w:b/>
        </w:rPr>
      </w:pPr>
      <w:r w:rsidRPr="00590286">
        <w:rPr>
          <w:b/>
        </w:rPr>
        <w:t xml:space="preserve">Outcome: </w:t>
      </w:r>
      <w:r w:rsidR="00373445">
        <w:rPr>
          <w:rFonts w:cs="Arial"/>
          <w:b/>
          <w:i/>
        </w:rPr>
        <w:t>Nuclear actions (</w:t>
      </w:r>
      <w:proofErr w:type="spellStart"/>
      <w:r w:rsidR="00373445">
        <w:rPr>
          <w:rFonts w:cs="Arial"/>
          <w:b/>
          <w:i/>
        </w:rPr>
        <w:t>eg</w:t>
      </w:r>
      <w:proofErr w:type="spellEnd"/>
      <w:r w:rsidRPr="00590286">
        <w:rPr>
          <w:rFonts w:cs="Arial"/>
          <w:b/>
          <w:i/>
        </w:rPr>
        <w:t xml:space="preserve"> uranium mining and radioactive waste management) are undertaken in a manner that protects the community and the environment.</w:t>
      </w:r>
      <w:r w:rsidRPr="00590286">
        <w:rPr>
          <w:rStyle w:val="EndnoteReference"/>
          <w:rFonts w:cs="Arial"/>
          <w:b/>
        </w:rPr>
        <w:endnoteReference w:id="64"/>
      </w:r>
    </w:p>
    <w:p w:rsidR="00053D3F" w:rsidRPr="00A44E49" w:rsidRDefault="00053D3F" w:rsidP="00053D3F">
      <w:pPr>
        <w:pStyle w:val="Heading4"/>
      </w:pPr>
      <w:r w:rsidRPr="00A44E49">
        <w:t>Standards:</w:t>
      </w:r>
    </w:p>
    <w:p w:rsidR="00053D3F" w:rsidRPr="00A44E49" w:rsidRDefault="00053D3F" w:rsidP="009145A9">
      <w:pPr>
        <w:pStyle w:val="ListParagraph"/>
        <w:numPr>
          <w:ilvl w:val="0"/>
          <w:numId w:val="45"/>
        </w:numPr>
        <w:spacing w:after="120"/>
        <w:ind w:left="357" w:hanging="357"/>
        <w:contextualSpacing w:val="0"/>
        <w:rPr>
          <w:b/>
        </w:rPr>
      </w:pPr>
      <w:r>
        <w:t>A</w:t>
      </w:r>
      <w:r w:rsidRPr="00A44E49">
        <w:t xml:space="preserve"> bilateral agreement, or accredit</w:t>
      </w:r>
      <w:r w:rsidR="000D0DC4">
        <w:t>ed</w:t>
      </w:r>
      <w:r w:rsidRPr="00A44E49">
        <w:t xml:space="preserve"> management arrangement or authorisation process,</w:t>
      </w:r>
      <w:r>
        <w:t xml:space="preserve"> must not </w:t>
      </w:r>
      <w:r w:rsidRPr="00A44E49">
        <w:t>contain a provision that:</w:t>
      </w:r>
      <w:r w:rsidRPr="00A44E49">
        <w:rPr>
          <w:rStyle w:val="EndnoteReference"/>
        </w:rPr>
        <w:endnoteReference w:id="65"/>
      </w:r>
    </w:p>
    <w:p w:rsidR="00053D3F" w:rsidRPr="00A44E49" w:rsidRDefault="00053D3F" w:rsidP="009145A9">
      <w:pPr>
        <w:spacing w:after="120"/>
        <w:ind w:left="357"/>
        <w:rPr>
          <w:b/>
        </w:rPr>
      </w:pPr>
      <w:r w:rsidRPr="00A44E49">
        <w:t xml:space="preserve">(a) </w:t>
      </w:r>
      <w:proofErr w:type="gramStart"/>
      <w:r w:rsidRPr="00A44E49">
        <w:t>relates</w:t>
      </w:r>
      <w:proofErr w:type="gramEnd"/>
      <w:r w:rsidRPr="00A44E49">
        <w:t xml:space="preserve"> to a nuclear action; and </w:t>
      </w:r>
    </w:p>
    <w:p w:rsidR="00053D3F" w:rsidRPr="00A44E49" w:rsidRDefault="00053D3F" w:rsidP="009145A9">
      <w:pPr>
        <w:spacing w:after="120"/>
        <w:ind w:left="357"/>
        <w:rPr>
          <w:b/>
        </w:rPr>
      </w:pPr>
      <w:r w:rsidRPr="00A44E49">
        <w:t xml:space="preserve">(b) </w:t>
      </w:r>
      <w:proofErr w:type="gramStart"/>
      <w:r w:rsidRPr="00A44E49">
        <w:t>has</w:t>
      </w:r>
      <w:proofErr w:type="gramEnd"/>
      <w:r w:rsidRPr="00A44E49">
        <w:t xml:space="preserve"> the effect of giving preference to one State or part of a State o</w:t>
      </w:r>
      <w:r w:rsidR="000D0DC4">
        <w:t>ver another State or part of a S</w:t>
      </w:r>
      <w:r w:rsidRPr="00A44E49">
        <w:t>tate for nuclear actions taken:</w:t>
      </w:r>
    </w:p>
    <w:p w:rsidR="00053D3F" w:rsidRPr="00A44E49" w:rsidRDefault="00053D3F" w:rsidP="00453A44">
      <w:pPr>
        <w:pStyle w:val="ListParagraph"/>
        <w:numPr>
          <w:ilvl w:val="0"/>
          <w:numId w:val="3"/>
        </w:numPr>
        <w:spacing w:after="120"/>
        <w:ind w:left="1077" w:hanging="357"/>
        <w:contextualSpacing w:val="0"/>
        <w:rPr>
          <w:b/>
        </w:rPr>
      </w:pPr>
      <w:r w:rsidRPr="00A44E49">
        <w:t>for the purposes of trade or commerce between Australia and another country or between two States; or</w:t>
      </w:r>
    </w:p>
    <w:p w:rsidR="00053D3F" w:rsidRPr="00A44E49" w:rsidRDefault="00053D3F" w:rsidP="00453A44">
      <w:pPr>
        <w:pStyle w:val="ListParagraph"/>
        <w:numPr>
          <w:ilvl w:val="0"/>
          <w:numId w:val="3"/>
        </w:numPr>
        <w:spacing w:after="120"/>
        <w:ind w:left="1077" w:hanging="357"/>
        <w:contextualSpacing w:val="0"/>
        <w:rPr>
          <w:b/>
        </w:rPr>
      </w:pPr>
      <w:proofErr w:type="gramStart"/>
      <w:r w:rsidRPr="00A44E49">
        <w:t>by</w:t>
      </w:r>
      <w:proofErr w:type="gramEnd"/>
      <w:r w:rsidRPr="00A44E49">
        <w:t xml:space="preserve"> a constitutional corporation.</w:t>
      </w:r>
    </w:p>
    <w:p w:rsidR="00053D3F" w:rsidRPr="00A44E49" w:rsidRDefault="00053D3F" w:rsidP="009145A9">
      <w:pPr>
        <w:pStyle w:val="ListParagraph"/>
        <w:numPr>
          <w:ilvl w:val="0"/>
          <w:numId w:val="45"/>
        </w:numPr>
        <w:spacing w:after="120"/>
        <w:ind w:left="357" w:hanging="357"/>
        <w:contextualSpacing w:val="0"/>
        <w:rPr>
          <w:b/>
        </w:rPr>
      </w:pPr>
      <w:r w:rsidRPr="00A44E49">
        <w:t>A bilateral agreement must not allow for the approval of an action relating to the construction or operation of:</w:t>
      </w:r>
    </w:p>
    <w:p w:rsidR="00053D3F" w:rsidRPr="00A44E49" w:rsidRDefault="00053D3F" w:rsidP="00053D3F">
      <w:pPr>
        <w:pStyle w:val="ListParagraph"/>
        <w:numPr>
          <w:ilvl w:val="0"/>
          <w:numId w:val="54"/>
        </w:numPr>
        <w:spacing w:after="120"/>
        <w:contextualSpacing w:val="0"/>
        <w:rPr>
          <w:b/>
        </w:rPr>
      </w:pPr>
      <w:r w:rsidRPr="00A44E49">
        <w:t>a nuclear fuel fabrication plant;</w:t>
      </w:r>
    </w:p>
    <w:p w:rsidR="00053D3F" w:rsidRPr="00A44E49" w:rsidRDefault="00053D3F" w:rsidP="00053D3F">
      <w:pPr>
        <w:pStyle w:val="ListParagraph"/>
        <w:numPr>
          <w:ilvl w:val="0"/>
          <w:numId w:val="54"/>
        </w:numPr>
        <w:spacing w:after="120"/>
        <w:ind w:left="1077" w:hanging="357"/>
        <w:contextualSpacing w:val="0"/>
        <w:rPr>
          <w:b/>
        </w:rPr>
      </w:pPr>
      <w:r w:rsidRPr="00A44E49">
        <w:t>a nuclear power plant;</w:t>
      </w:r>
    </w:p>
    <w:p w:rsidR="00053D3F" w:rsidRPr="00A44E49" w:rsidRDefault="00053D3F" w:rsidP="00053D3F">
      <w:pPr>
        <w:pStyle w:val="ListParagraph"/>
        <w:numPr>
          <w:ilvl w:val="0"/>
          <w:numId w:val="54"/>
        </w:numPr>
        <w:spacing w:after="120"/>
        <w:ind w:left="1077" w:hanging="357"/>
        <w:contextualSpacing w:val="0"/>
        <w:rPr>
          <w:b/>
        </w:rPr>
      </w:pPr>
      <w:r w:rsidRPr="00A44E49">
        <w:t>an enrichment plant; or</w:t>
      </w:r>
    </w:p>
    <w:p w:rsidR="00053D3F" w:rsidRPr="00A44E49" w:rsidRDefault="00053D3F" w:rsidP="00053D3F">
      <w:pPr>
        <w:pStyle w:val="ListParagraph"/>
        <w:numPr>
          <w:ilvl w:val="0"/>
          <w:numId w:val="54"/>
        </w:numPr>
        <w:spacing w:after="120"/>
        <w:ind w:left="1077" w:hanging="357"/>
        <w:contextualSpacing w:val="0"/>
        <w:rPr>
          <w:b/>
        </w:rPr>
      </w:pPr>
      <w:proofErr w:type="gramStart"/>
      <w:r w:rsidRPr="00A44E49">
        <w:t>a</w:t>
      </w:r>
      <w:proofErr w:type="gramEnd"/>
      <w:r w:rsidRPr="00A44E49">
        <w:t xml:space="preserve"> reprocessing facility.</w:t>
      </w:r>
      <w:r w:rsidRPr="00A44E49">
        <w:rPr>
          <w:rStyle w:val="EndnoteReference"/>
        </w:rPr>
        <w:endnoteReference w:id="66"/>
      </w:r>
    </w:p>
    <w:p w:rsidR="00053D3F" w:rsidRPr="00046A90" w:rsidRDefault="00053D3F" w:rsidP="00053D3F">
      <w:pPr>
        <w:pStyle w:val="Heading4"/>
      </w:pPr>
      <w:r w:rsidRPr="00A44E49">
        <w:t>Considerations for accreditation:</w:t>
      </w:r>
    </w:p>
    <w:p w:rsidR="00AD535F" w:rsidRPr="00AC4AC9" w:rsidRDefault="00053D3F" w:rsidP="00203F6E">
      <w:pPr>
        <w:pStyle w:val="ListParagraph"/>
        <w:numPr>
          <w:ilvl w:val="0"/>
          <w:numId w:val="45"/>
        </w:numPr>
        <w:spacing w:after="120"/>
        <w:ind w:left="357" w:hanging="357"/>
        <w:contextualSpacing w:val="0"/>
        <w:rPr>
          <w:b/>
        </w:rPr>
      </w:pPr>
      <w:r w:rsidRPr="00A44E49">
        <w:t>The community and the environment</w:t>
      </w:r>
      <w:r>
        <w:rPr>
          <w:rStyle w:val="EndnoteReference"/>
        </w:rPr>
        <w:endnoteReference w:id="67"/>
      </w:r>
      <w:r w:rsidRPr="00A44E49">
        <w:t xml:space="preserve"> are protected from impacts of nuclear actions through a combination of laws, plans, policies and programs.</w:t>
      </w:r>
      <w:r w:rsidRPr="00A44E49">
        <w:rPr>
          <w:rStyle w:val="EndnoteReference"/>
        </w:rPr>
        <w:endnoteReference w:id="68"/>
      </w:r>
    </w:p>
    <w:p w:rsidR="000B3543" w:rsidRPr="00995C62" w:rsidRDefault="00DE2BBF" w:rsidP="00203F6E">
      <w:pPr>
        <w:pStyle w:val="ListParagraph"/>
        <w:numPr>
          <w:ilvl w:val="0"/>
          <w:numId w:val="45"/>
        </w:numPr>
        <w:spacing w:after="120"/>
        <w:ind w:left="357" w:hanging="357"/>
        <w:contextualSpacing w:val="0"/>
        <w:rPr>
          <w:b/>
        </w:rPr>
      </w:pPr>
      <w:r>
        <w:lastRenderedPageBreak/>
        <w:t xml:space="preserve">The Commonwealth </w:t>
      </w:r>
      <w:r w:rsidR="00741201">
        <w:t>anticipates</w:t>
      </w:r>
      <w:r>
        <w:t xml:space="preserve"> b</w:t>
      </w:r>
      <w:r w:rsidR="000B3543">
        <w:t xml:space="preserve">ilateral agreements </w:t>
      </w:r>
      <w:r>
        <w:t>that</w:t>
      </w:r>
      <w:r w:rsidR="000B3543">
        <w:t xml:space="preserve"> provide for the assessment of </w:t>
      </w:r>
      <w:r>
        <w:t xml:space="preserve">uranium mining </w:t>
      </w:r>
      <w:r w:rsidR="00741201">
        <w:t>rather than</w:t>
      </w:r>
      <w:r>
        <w:t xml:space="preserve"> approvals for this activity</w:t>
      </w:r>
      <w:r w:rsidR="000B3543">
        <w:t>.</w:t>
      </w:r>
    </w:p>
    <w:p w:rsidR="00AD535F" w:rsidRPr="00A44E49" w:rsidRDefault="00AD535F" w:rsidP="00995C62">
      <w:pPr>
        <w:pStyle w:val="Heading3"/>
        <w:spacing w:before="360"/>
      </w:pPr>
      <w:bookmarkStart w:id="58" w:name="_Toc339368189"/>
      <w:r w:rsidRPr="00A44E49">
        <w:t>Commonwealth marine environment</w:t>
      </w:r>
      <w:bookmarkEnd w:id="58"/>
    </w:p>
    <w:p w:rsidR="00053D3F" w:rsidRPr="00590286" w:rsidRDefault="00053D3F" w:rsidP="00212687">
      <w:pPr>
        <w:keepNext/>
        <w:keepLines/>
        <w:rPr>
          <w:b/>
        </w:rPr>
      </w:pPr>
      <w:r w:rsidRPr="00590286">
        <w:rPr>
          <w:b/>
        </w:rPr>
        <w:t>Outcome:</w:t>
      </w:r>
      <w:r w:rsidR="00590286" w:rsidRPr="00590286">
        <w:rPr>
          <w:b/>
        </w:rPr>
        <w:t xml:space="preserve"> </w:t>
      </w:r>
      <w:r w:rsidRPr="00590286">
        <w:rPr>
          <w:rFonts w:cs="Arial"/>
          <w:b/>
          <w:i/>
        </w:rPr>
        <w:t>The ecosystem functioning and integrity of Commonwealth marine waters are maintained or enhanced in full conformity with relevant marine bioregional plans.</w:t>
      </w:r>
      <w:r w:rsidRPr="00590286">
        <w:rPr>
          <w:rStyle w:val="EndnoteReference"/>
          <w:rFonts w:cs="Arial"/>
          <w:b/>
        </w:rPr>
        <w:endnoteReference w:id="69"/>
      </w:r>
    </w:p>
    <w:p w:rsidR="00053D3F" w:rsidRPr="00A44E49" w:rsidRDefault="00053D3F" w:rsidP="00053D3F">
      <w:pPr>
        <w:pStyle w:val="Heading4"/>
      </w:pPr>
      <w:r w:rsidRPr="00A44E49">
        <w:t>Standards:</w:t>
      </w:r>
    </w:p>
    <w:p w:rsidR="00053D3F" w:rsidRPr="00A44E49" w:rsidRDefault="00053D3F" w:rsidP="009145A9">
      <w:pPr>
        <w:pStyle w:val="ListParagraph"/>
        <w:numPr>
          <w:ilvl w:val="0"/>
          <w:numId w:val="45"/>
        </w:numPr>
        <w:spacing w:after="120"/>
        <w:ind w:left="357" w:hanging="357"/>
        <w:contextualSpacing w:val="0"/>
        <w:rPr>
          <w:b/>
        </w:rPr>
      </w:pPr>
      <w:r w:rsidRPr="00A44E49">
        <w:t>Approval decisions for proposed actions affecting the Commonwealth marine environment must not contravene any management plans under the EPBC Act for relevant marine reserves.</w:t>
      </w:r>
      <w:r w:rsidR="00620872">
        <w:rPr>
          <w:rStyle w:val="EndnoteReference"/>
        </w:rPr>
        <w:endnoteReference w:id="70"/>
      </w:r>
      <w:r w:rsidRPr="002F0767">
        <w:t xml:space="preserve"> </w:t>
      </w:r>
      <w:r w:rsidRPr="00A44E49">
        <w:t xml:space="preserve"> </w:t>
      </w:r>
    </w:p>
    <w:p w:rsidR="00053D3F" w:rsidRPr="00222F2E" w:rsidRDefault="00053D3F" w:rsidP="009145A9">
      <w:pPr>
        <w:pStyle w:val="ListParagraph"/>
        <w:numPr>
          <w:ilvl w:val="0"/>
          <w:numId w:val="45"/>
        </w:numPr>
        <w:spacing w:after="120"/>
        <w:ind w:left="357" w:hanging="357"/>
        <w:contextualSpacing w:val="0"/>
        <w:rPr>
          <w:b/>
        </w:rPr>
      </w:pPr>
      <w:r w:rsidRPr="00222F2E">
        <w:t xml:space="preserve">Approval decisions for proposed actions affecting the Commonwealth marine environment conform </w:t>
      </w:r>
      <w:proofErr w:type="gramStart"/>
      <w:r w:rsidRPr="00222F2E">
        <w:t>with</w:t>
      </w:r>
      <w:proofErr w:type="gramEnd"/>
      <w:r w:rsidRPr="00222F2E">
        <w:t xml:space="preserve"> any relevant bioregional plans made under the EPBC Act.</w:t>
      </w:r>
      <w:r w:rsidRPr="00222F2E">
        <w:rPr>
          <w:rStyle w:val="EndnoteReference"/>
        </w:rPr>
        <w:endnoteReference w:id="71"/>
      </w:r>
    </w:p>
    <w:p w:rsidR="00053D3F" w:rsidRPr="00A44E49" w:rsidRDefault="00053D3F" w:rsidP="00735289">
      <w:pPr>
        <w:spacing w:after="120"/>
        <w:rPr>
          <w:b/>
          <w:i/>
        </w:rPr>
      </w:pPr>
      <w:r w:rsidRPr="00A44E49">
        <w:rPr>
          <w:i/>
        </w:rPr>
        <w:t xml:space="preserve">Requirements for threatened and migratory species that are also marine species are addressed in outcomes 2.4 and 2.5.  Migratory species are often one of the key issues for assessment in the marine environment, </w:t>
      </w:r>
      <w:proofErr w:type="spellStart"/>
      <w:r w:rsidRPr="00A44E49">
        <w:rPr>
          <w:i/>
        </w:rPr>
        <w:t>eg</w:t>
      </w:r>
      <w:proofErr w:type="spellEnd"/>
      <w:r w:rsidRPr="00A44E49">
        <w:rPr>
          <w:i/>
        </w:rPr>
        <w:t xml:space="preserve"> whales and other cetaceans.</w:t>
      </w:r>
    </w:p>
    <w:p w:rsidR="00053D3F" w:rsidRPr="00A44E49" w:rsidRDefault="00053D3F" w:rsidP="00053D3F">
      <w:pPr>
        <w:pStyle w:val="Heading4"/>
      </w:pPr>
      <w:r w:rsidRPr="00A44E49">
        <w:t>Considerations for accreditation:</w:t>
      </w:r>
    </w:p>
    <w:p w:rsidR="00053D3F" w:rsidRDefault="00053D3F" w:rsidP="009145A9">
      <w:pPr>
        <w:pStyle w:val="ListParagraph"/>
        <w:numPr>
          <w:ilvl w:val="0"/>
          <w:numId w:val="45"/>
        </w:numPr>
        <w:spacing w:after="120"/>
        <w:ind w:left="357" w:hanging="357"/>
        <w:contextualSpacing w:val="0"/>
        <w:rPr>
          <w:b/>
        </w:rPr>
      </w:pPr>
      <w:r w:rsidRPr="00A44E49">
        <w:t>The Commonwealth marine environment is maintained or enhanced through a combination of laws, plans, policies and programs.</w:t>
      </w:r>
      <w:r w:rsidRPr="00A44E49">
        <w:rPr>
          <w:rStyle w:val="EndnoteReference"/>
        </w:rPr>
        <w:endnoteReference w:id="72"/>
      </w:r>
      <w:r>
        <w:t xml:space="preserve">  </w:t>
      </w:r>
    </w:p>
    <w:p w:rsidR="00053D3F" w:rsidRPr="00995C62" w:rsidRDefault="00053D3F" w:rsidP="00995C62">
      <w:pPr>
        <w:spacing w:after="120"/>
        <w:rPr>
          <w:i/>
        </w:rPr>
      </w:pPr>
      <w:r w:rsidRPr="00590286">
        <w:rPr>
          <w:i/>
        </w:rPr>
        <w:t xml:space="preserve">In this respect, the Commonwealth anticipates that a bilateral agreement will only relate to actions </w:t>
      </w:r>
      <w:r w:rsidR="00DE2BBF">
        <w:rPr>
          <w:i/>
        </w:rPr>
        <w:t xml:space="preserve">within State or Territory jurisdiction </w:t>
      </w:r>
      <w:r w:rsidRPr="00590286">
        <w:rPr>
          <w:i/>
        </w:rPr>
        <w:t>which</w:t>
      </w:r>
      <w:r w:rsidR="00166413">
        <w:rPr>
          <w:i/>
        </w:rPr>
        <w:t xml:space="preserve"> may have a significant</w:t>
      </w:r>
      <w:r w:rsidRPr="00590286">
        <w:rPr>
          <w:i/>
        </w:rPr>
        <w:t xml:space="preserve"> impact on the Commonwealth marine environment</w:t>
      </w:r>
      <w:r w:rsidR="00DE2BBF">
        <w:rPr>
          <w:i/>
        </w:rPr>
        <w:t xml:space="preserve">, for example, </w:t>
      </w:r>
      <w:r w:rsidR="00166413">
        <w:rPr>
          <w:i/>
        </w:rPr>
        <w:t>ocean outfall from</w:t>
      </w:r>
      <w:r w:rsidR="00DE2BBF">
        <w:rPr>
          <w:i/>
        </w:rPr>
        <w:t xml:space="preserve"> a </w:t>
      </w:r>
      <w:r w:rsidR="00166413">
        <w:rPr>
          <w:i/>
        </w:rPr>
        <w:t xml:space="preserve">major </w:t>
      </w:r>
      <w:r w:rsidR="00DE2BBF">
        <w:rPr>
          <w:i/>
        </w:rPr>
        <w:t>coastal industrial facility.</w:t>
      </w:r>
    </w:p>
    <w:p w:rsidR="00AD535F" w:rsidRPr="00A44E49" w:rsidRDefault="00AD535F" w:rsidP="00995C62">
      <w:pPr>
        <w:pStyle w:val="Heading3"/>
        <w:spacing w:before="360"/>
      </w:pPr>
      <w:bookmarkStart w:id="59" w:name="_Toc339368190"/>
      <w:r w:rsidRPr="00A44E49">
        <w:t>Great Barrier Reef Marine Park</w:t>
      </w:r>
      <w:bookmarkEnd w:id="59"/>
    </w:p>
    <w:p w:rsidR="00AD535F" w:rsidRPr="00A44E49" w:rsidRDefault="00AD535F" w:rsidP="00590286">
      <w:pPr>
        <w:pStyle w:val="ListParagraph"/>
        <w:numPr>
          <w:ilvl w:val="0"/>
          <w:numId w:val="45"/>
        </w:numPr>
        <w:spacing w:after="120"/>
        <w:ind w:left="357" w:hanging="357"/>
        <w:contextualSpacing w:val="0"/>
      </w:pPr>
      <w:r w:rsidRPr="00256EE4">
        <w:rPr>
          <w:bCs/>
        </w:rPr>
        <w:t>The</w:t>
      </w:r>
      <w:r w:rsidRPr="00A44E49">
        <w:t xml:space="preserve"> Great Barrier Reef Marine Park has a special status, as it is the substantial part of a World Heritage area and a separate matter of national environmental significance in its own right.  The Marine Park contains both Commonwealth and State waters.  The Commonwealth and Queensland governments are working together to undertake a comprehensive strategic assessment of the Great Barrier Reef World Heritage Area and the adjacent coastal zone.  </w:t>
      </w:r>
    </w:p>
    <w:p w:rsidR="00AD535F" w:rsidRPr="0088052B" w:rsidRDefault="00AD535F" w:rsidP="00590286">
      <w:pPr>
        <w:pStyle w:val="ListParagraph"/>
        <w:numPr>
          <w:ilvl w:val="0"/>
          <w:numId w:val="45"/>
        </w:numPr>
        <w:spacing w:after="120"/>
        <w:ind w:left="357" w:hanging="357"/>
        <w:contextualSpacing w:val="0"/>
      </w:pPr>
      <w:r w:rsidRPr="00A44E49">
        <w:t xml:space="preserve">The Commonwealth proposes that the strategic assessment continue to its conclusion and that the bilateral </w:t>
      </w:r>
      <w:r w:rsidR="001C3D39">
        <w:t xml:space="preserve">agreement </w:t>
      </w:r>
      <w:r w:rsidRPr="00A44E49">
        <w:t xml:space="preserve">address other matters </w:t>
      </w:r>
      <w:r>
        <w:t xml:space="preserve">in ways that are complementary to </w:t>
      </w:r>
      <w:r w:rsidRPr="00A44E49">
        <w:t xml:space="preserve">the strategic assessment. Information about the strategic assessment is at: </w:t>
      </w:r>
      <w:hyperlink r:id="rId22" w:history="1">
        <w:r w:rsidRPr="0088052B">
          <w:t>http://environment.gov.au/epbc/notices/assessments/great-barrier-reef.html</w:t>
        </w:r>
      </w:hyperlink>
      <w:r>
        <w:t>.</w:t>
      </w:r>
    </w:p>
    <w:p w:rsidR="00053D3F" w:rsidRPr="00590286" w:rsidRDefault="00053D3F" w:rsidP="00212687">
      <w:pPr>
        <w:keepNext/>
        <w:keepLines/>
        <w:rPr>
          <w:b/>
        </w:rPr>
      </w:pPr>
      <w:r w:rsidRPr="00590286">
        <w:rPr>
          <w:b/>
        </w:rPr>
        <w:lastRenderedPageBreak/>
        <w:t xml:space="preserve">Outcomes: </w:t>
      </w:r>
      <w:r w:rsidRPr="00590286">
        <w:rPr>
          <w:rFonts w:cs="Arial"/>
          <w:b/>
          <w:i/>
        </w:rPr>
        <w:t>The outstanding universal value of the Great Barrier Reef Marine Park, as a World Heritage property, must be identified, protected, conserved, presented and transmitted to future generations.</w:t>
      </w:r>
      <w:r w:rsidRPr="00590286">
        <w:rPr>
          <w:rStyle w:val="EndnoteReference"/>
          <w:rFonts w:cs="Arial"/>
          <w:b/>
        </w:rPr>
        <w:endnoteReference w:id="73"/>
      </w:r>
      <w:r w:rsidRPr="00590286">
        <w:rPr>
          <w:rFonts w:cs="Arial"/>
          <w:b/>
          <w:i/>
        </w:rPr>
        <w:t xml:space="preserve">  </w:t>
      </w:r>
    </w:p>
    <w:p w:rsidR="00053D3F" w:rsidRPr="00590286" w:rsidRDefault="00053D3F" w:rsidP="00212687">
      <w:pPr>
        <w:keepNext/>
        <w:keepLines/>
        <w:rPr>
          <w:rFonts w:cs="Arial"/>
          <w:b/>
        </w:rPr>
      </w:pPr>
      <w:r w:rsidRPr="00590286">
        <w:rPr>
          <w:rFonts w:cs="Arial"/>
          <w:b/>
          <w:i/>
        </w:rPr>
        <w:t>The environmental, biodiversity and heritage values of the Great Barrier Reef Marine Park are protected and conserved for the long term, consistent with the objects of the Great Barrier Reef Marine Park Act 1975.</w:t>
      </w:r>
      <w:r w:rsidRPr="00590286">
        <w:rPr>
          <w:rStyle w:val="EndnoteReference"/>
          <w:rFonts w:cs="Arial"/>
          <w:b/>
        </w:rPr>
        <w:endnoteReference w:id="74"/>
      </w:r>
    </w:p>
    <w:p w:rsidR="00053D3F" w:rsidRPr="00A44E49" w:rsidRDefault="00053D3F" w:rsidP="00053D3F">
      <w:pPr>
        <w:pStyle w:val="Heading4"/>
      </w:pPr>
      <w:r w:rsidRPr="00A44E49">
        <w:t>Standards:</w:t>
      </w:r>
    </w:p>
    <w:p w:rsidR="00053D3F" w:rsidRDefault="00053D3F" w:rsidP="00590286">
      <w:pPr>
        <w:pStyle w:val="ListParagraph"/>
        <w:numPr>
          <w:ilvl w:val="0"/>
          <w:numId w:val="45"/>
        </w:numPr>
        <w:spacing w:after="120"/>
        <w:ind w:left="357" w:hanging="357"/>
        <w:contextualSpacing w:val="0"/>
        <w:rPr>
          <w:b/>
        </w:rPr>
      </w:pPr>
      <w:r w:rsidRPr="00A44E49">
        <w:t xml:space="preserve">Approval decisions for proposed actions </w:t>
      </w:r>
      <w:r>
        <w:t xml:space="preserve">outside </w:t>
      </w:r>
      <w:r w:rsidRPr="00A44E49">
        <w:t xml:space="preserve">the Great Barrier Reef Marine Park </w:t>
      </w:r>
      <w:r w:rsidRPr="00BB122E">
        <w:t xml:space="preserve">likely to affect </w:t>
      </w:r>
      <w:r>
        <w:t xml:space="preserve">the </w:t>
      </w:r>
      <w:r w:rsidRPr="00BB122E">
        <w:t>environment in the Marine Park</w:t>
      </w:r>
      <w:r w:rsidRPr="00A44E49">
        <w:t xml:space="preserve"> must not contravene any zoning or other plans under the </w:t>
      </w:r>
      <w:r w:rsidRPr="00A44E49">
        <w:rPr>
          <w:i/>
        </w:rPr>
        <w:t>Great Barrier Reef Marine Park Act 1975</w:t>
      </w:r>
      <w:r w:rsidRPr="00A44E49">
        <w:t>.</w:t>
      </w:r>
    </w:p>
    <w:p w:rsidR="00053D3F" w:rsidRPr="007B4D47" w:rsidRDefault="00053D3F" w:rsidP="00735289">
      <w:pPr>
        <w:spacing w:after="120"/>
        <w:rPr>
          <w:b/>
          <w:i/>
        </w:rPr>
      </w:pPr>
      <w:r>
        <w:rPr>
          <w:i/>
        </w:rPr>
        <w:t>S</w:t>
      </w:r>
      <w:r w:rsidRPr="00A44E49">
        <w:rPr>
          <w:i/>
        </w:rPr>
        <w:t xml:space="preserve">tandards applicable to the Great Barrier Reef Marine Park will be </w:t>
      </w:r>
      <w:r>
        <w:rPr>
          <w:i/>
        </w:rPr>
        <w:t xml:space="preserve">developed and </w:t>
      </w:r>
      <w:r w:rsidRPr="00A44E49">
        <w:rPr>
          <w:i/>
        </w:rPr>
        <w:t>met through the strategic assessment currently in progress</w:t>
      </w:r>
      <w:r>
        <w:rPr>
          <w:i/>
        </w:rPr>
        <w:t xml:space="preserve"> relating to the Marine Park and the adjacent Queensland coast</w:t>
      </w:r>
      <w:r w:rsidRPr="00A44E49">
        <w:rPr>
          <w:i/>
        </w:rPr>
        <w:t xml:space="preserve">. </w:t>
      </w:r>
      <w:r w:rsidRPr="007B4D47">
        <w:rPr>
          <w:i/>
        </w:rPr>
        <w:t xml:space="preserve">The Marine Park itself is managed by the Great Barrier Reef Marine Park Authority. </w:t>
      </w:r>
    </w:p>
    <w:p w:rsidR="00053D3F" w:rsidRPr="00A44E49" w:rsidRDefault="00053D3F" w:rsidP="00735289">
      <w:pPr>
        <w:spacing w:after="120"/>
        <w:rPr>
          <w:b/>
          <w:i/>
        </w:rPr>
      </w:pPr>
      <w:r w:rsidRPr="00A44E49">
        <w:rPr>
          <w:i/>
        </w:rPr>
        <w:t>Requirements for the Commonwealth marine area are addressed under outcome 2.7.  Requirements for World Heritage and National Heritage are addressed under out</w:t>
      </w:r>
      <w:r w:rsidR="00CD2ACA">
        <w:rPr>
          <w:i/>
        </w:rPr>
        <w:t xml:space="preserve">comes 2.1 and 2.2 respectively.  </w:t>
      </w:r>
      <w:r w:rsidRPr="00A44E49">
        <w:rPr>
          <w:i/>
        </w:rPr>
        <w:t>These requirements will almost always be also relevant to actions relating to the Great Barrier Reef Marine Park.</w:t>
      </w:r>
    </w:p>
    <w:p w:rsidR="00053D3F" w:rsidRPr="00A44E49" w:rsidRDefault="00053D3F" w:rsidP="00053D3F">
      <w:pPr>
        <w:pStyle w:val="Heading4"/>
      </w:pPr>
      <w:r w:rsidRPr="00A44E49">
        <w:t>Considerations for accreditation:</w:t>
      </w:r>
    </w:p>
    <w:p w:rsidR="00053D3F" w:rsidRPr="00A44E49" w:rsidRDefault="00053D3F" w:rsidP="00735289">
      <w:pPr>
        <w:spacing w:after="120"/>
        <w:rPr>
          <w:b/>
          <w:i/>
        </w:rPr>
      </w:pPr>
      <w:r>
        <w:rPr>
          <w:i/>
        </w:rPr>
        <w:t>See above – standards relating to the Marine Park will be developed and met through a strategic assessment</w:t>
      </w:r>
      <w:r w:rsidRPr="00A44E49">
        <w:rPr>
          <w:i/>
        </w:rPr>
        <w:t xml:space="preserve">. </w:t>
      </w:r>
    </w:p>
    <w:p w:rsidR="00AD535F" w:rsidRDefault="00AD535F" w:rsidP="008A241A">
      <w:pPr>
        <w:pStyle w:val="Heading4"/>
      </w:pPr>
    </w:p>
    <w:p w:rsidR="00AD535F" w:rsidRPr="00A44E49" w:rsidRDefault="00AD535F" w:rsidP="008A241A">
      <w:pPr>
        <w:pStyle w:val="Heading2"/>
      </w:pPr>
      <w:bookmarkStart w:id="60" w:name="_Toc339368191"/>
      <w:bookmarkEnd w:id="48"/>
      <w:bookmarkEnd w:id="49"/>
      <w:r w:rsidRPr="00A44E49">
        <w:t xml:space="preserve">System </w:t>
      </w:r>
      <w:r>
        <w:t>S</w:t>
      </w:r>
      <w:r w:rsidRPr="00A44E49">
        <w:t>tandards</w:t>
      </w:r>
      <w:bookmarkEnd w:id="60"/>
      <w:r>
        <w:t xml:space="preserve"> </w:t>
      </w:r>
    </w:p>
    <w:p w:rsidR="00AD535F" w:rsidRPr="00A44E49" w:rsidRDefault="00AD535F" w:rsidP="00590286">
      <w:pPr>
        <w:pStyle w:val="ListParagraph"/>
        <w:numPr>
          <w:ilvl w:val="0"/>
          <w:numId w:val="45"/>
        </w:numPr>
        <w:spacing w:after="120"/>
        <w:ind w:left="357" w:hanging="357"/>
        <w:contextualSpacing w:val="0"/>
      </w:pPr>
      <w:r w:rsidRPr="00A44E49">
        <w:t>The overarching system outcome from this reform is:</w:t>
      </w:r>
    </w:p>
    <w:p w:rsidR="00AD535F" w:rsidRPr="00A44E49" w:rsidRDefault="00AD535F" w:rsidP="008A241A">
      <w:pPr>
        <w:widowControl w:val="0"/>
        <w:ind w:left="720"/>
        <w:rPr>
          <w:i/>
        </w:rPr>
      </w:pPr>
      <w:r w:rsidRPr="00A44E49">
        <w:rPr>
          <w:i/>
        </w:rPr>
        <w:t>The community has confidence that systems will deliver certainty, efficiency, transparency, appropriate opportunities for public engagement and legally robust decisions.</w:t>
      </w:r>
      <w:r w:rsidRPr="00A44E49">
        <w:rPr>
          <w:rStyle w:val="EndnoteReference"/>
          <w:i/>
        </w:rPr>
        <w:endnoteReference w:id="75"/>
      </w:r>
    </w:p>
    <w:p w:rsidR="00053D3F" w:rsidRPr="00A44E49" w:rsidRDefault="00AD535F" w:rsidP="00995C62">
      <w:pPr>
        <w:pStyle w:val="ListParagraph"/>
        <w:numPr>
          <w:ilvl w:val="0"/>
          <w:numId w:val="45"/>
        </w:numPr>
        <w:spacing w:after="120"/>
        <w:ind w:left="357" w:hanging="357"/>
        <w:contextualSpacing w:val="0"/>
      </w:pPr>
      <w:bookmarkStart w:id="61" w:name="_Toc327807496"/>
      <w:bookmarkStart w:id="62" w:name="_Toc327900138"/>
      <w:r w:rsidRPr="00A44E49">
        <w:t xml:space="preserve">The section below sets out outcomes and related standards that go towards delivering overarching system outcomes. </w:t>
      </w:r>
    </w:p>
    <w:p w:rsidR="00AD535F" w:rsidRPr="00A44E49" w:rsidRDefault="00AD535F" w:rsidP="00995C62">
      <w:pPr>
        <w:pStyle w:val="Heading3"/>
        <w:spacing w:before="360"/>
      </w:pPr>
      <w:bookmarkStart w:id="63" w:name="_Toc327807497"/>
      <w:bookmarkStart w:id="64" w:name="_Toc339368192"/>
      <w:bookmarkEnd w:id="61"/>
      <w:bookmarkEnd w:id="62"/>
      <w:r w:rsidRPr="00A44E49">
        <w:t xml:space="preserve">Identifying </w:t>
      </w:r>
      <w:bookmarkEnd w:id="63"/>
      <w:r w:rsidRPr="00A44E49">
        <w:t>Matters of National Environmental Significance</w:t>
      </w:r>
      <w:bookmarkEnd w:id="64"/>
    </w:p>
    <w:p w:rsidR="00053D3F" w:rsidRPr="00590286" w:rsidRDefault="00053D3F" w:rsidP="000C1741">
      <w:pPr>
        <w:keepNext/>
        <w:keepLines/>
        <w:spacing w:after="120"/>
        <w:rPr>
          <w:b/>
          <w:i/>
        </w:rPr>
      </w:pPr>
      <w:r w:rsidRPr="00590286">
        <w:rPr>
          <w:b/>
        </w:rPr>
        <w:t xml:space="preserve">Outcome: </w:t>
      </w:r>
      <w:r w:rsidRPr="00590286">
        <w:rPr>
          <w:b/>
          <w:i/>
        </w:rPr>
        <w:t>Deliver certainty and efficiency by systematically identifying actions that are likely to have a significant impact on a matter of national environmental significance.</w:t>
      </w:r>
    </w:p>
    <w:p w:rsidR="00053D3F" w:rsidRPr="00A44E49" w:rsidRDefault="00053D3F" w:rsidP="00053D3F">
      <w:pPr>
        <w:pStyle w:val="Heading4"/>
      </w:pPr>
      <w:r w:rsidRPr="00A44E49">
        <w:t>Standards:</w:t>
      </w:r>
    </w:p>
    <w:p w:rsidR="00053D3F" w:rsidRPr="00576E30" w:rsidRDefault="00053D3F" w:rsidP="009145A9">
      <w:pPr>
        <w:pStyle w:val="ListParagraph"/>
        <w:numPr>
          <w:ilvl w:val="0"/>
          <w:numId w:val="45"/>
        </w:numPr>
        <w:spacing w:after="120"/>
        <w:ind w:left="357" w:hanging="357"/>
        <w:contextualSpacing w:val="0"/>
        <w:rPr>
          <w:b/>
        </w:rPr>
      </w:pPr>
      <w:r w:rsidRPr="00A44E49">
        <w:t>The accredited process</w:t>
      </w:r>
      <w:r w:rsidR="006A6118">
        <w:t xml:space="preserve"> or arrangement</w:t>
      </w:r>
      <w:r w:rsidRPr="00A44E49">
        <w:t xml:space="preserve"> </w:t>
      </w:r>
      <w:r>
        <w:t xml:space="preserve">for identifying matters of national environmental significance </w:t>
      </w:r>
      <w:r w:rsidRPr="00A44E49">
        <w:t>must be set out in</w:t>
      </w:r>
      <w:r w:rsidR="006A6118">
        <w:t>, or in force under,</w:t>
      </w:r>
      <w:r w:rsidRPr="00A44E49">
        <w:t xml:space="preserve"> a law of the State or </w:t>
      </w:r>
      <w:r w:rsidRPr="00576E30">
        <w:t>Territory.</w:t>
      </w:r>
      <w:r w:rsidRPr="00576E30">
        <w:rPr>
          <w:rStyle w:val="EndnoteReference"/>
        </w:rPr>
        <w:endnoteReference w:id="76"/>
      </w:r>
      <w:r w:rsidRPr="00576E30">
        <w:t xml:space="preserve">   </w:t>
      </w:r>
    </w:p>
    <w:p w:rsidR="00053D3F" w:rsidRDefault="00053D3F" w:rsidP="006C77B3">
      <w:pPr>
        <w:pStyle w:val="ListParagraph"/>
        <w:numPr>
          <w:ilvl w:val="0"/>
          <w:numId w:val="45"/>
        </w:numPr>
        <w:spacing w:after="120"/>
        <w:ind w:left="357" w:hanging="357"/>
        <w:contextualSpacing w:val="0"/>
        <w:rPr>
          <w:b/>
        </w:rPr>
      </w:pPr>
      <w:r w:rsidRPr="00A44E49">
        <w:t xml:space="preserve">There </w:t>
      </w:r>
      <w:r>
        <w:t xml:space="preserve">must be </w:t>
      </w:r>
      <w:r w:rsidRPr="00A44E49">
        <w:t>a</w:t>
      </w:r>
      <w:r>
        <w:t>n auditable</w:t>
      </w:r>
      <w:r w:rsidRPr="00A44E49">
        <w:t xml:space="preserve"> system to </w:t>
      </w:r>
      <w:r w:rsidRPr="00A44E49">
        <w:rPr>
          <w:rFonts w:cs="Arial"/>
        </w:rPr>
        <w:t>identify</w:t>
      </w:r>
      <w:r w:rsidRPr="00A44E49">
        <w:t xml:space="preserve"> whether proposed actions are likely to have a significant impact on a matter of nati</w:t>
      </w:r>
      <w:r>
        <w:t>onal environmental significance, including:</w:t>
      </w:r>
    </w:p>
    <w:p w:rsidR="00053D3F" w:rsidRDefault="00053D3F" w:rsidP="006C77B3">
      <w:pPr>
        <w:pStyle w:val="ListParagraph"/>
        <w:numPr>
          <w:ilvl w:val="0"/>
          <w:numId w:val="47"/>
        </w:numPr>
        <w:spacing w:after="120"/>
        <w:contextualSpacing w:val="0"/>
        <w:rPr>
          <w:b/>
        </w:rPr>
      </w:pPr>
      <w:r w:rsidRPr="009145A9">
        <w:t>on each species or ecological community;</w:t>
      </w:r>
    </w:p>
    <w:p w:rsidR="00053D3F" w:rsidRPr="006C77B3" w:rsidRDefault="00053D3F" w:rsidP="006C77B3">
      <w:pPr>
        <w:pStyle w:val="ListParagraph"/>
        <w:numPr>
          <w:ilvl w:val="0"/>
          <w:numId w:val="47"/>
        </w:numPr>
        <w:spacing w:after="120"/>
        <w:contextualSpacing w:val="0"/>
        <w:rPr>
          <w:b/>
        </w:rPr>
      </w:pPr>
      <w:r w:rsidRPr="006C77B3">
        <w:lastRenderedPageBreak/>
        <w:t>on each migratory species;</w:t>
      </w:r>
    </w:p>
    <w:p w:rsidR="00053D3F" w:rsidRPr="009145A9" w:rsidRDefault="00053D3F" w:rsidP="006C77B3">
      <w:pPr>
        <w:pStyle w:val="ListParagraph"/>
        <w:numPr>
          <w:ilvl w:val="0"/>
          <w:numId w:val="47"/>
        </w:numPr>
        <w:spacing w:after="120"/>
        <w:contextualSpacing w:val="0"/>
        <w:rPr>
          <w:b/>
        </w:rPr>
      </w:pPr>
      <w:r w:rsidRPr="009145A9">
        <w:t>on each National Heritage place;</w:t>
      </w:r>
    </w:p>
    <w:p w:rsidR="00053D3F" w:rsidRPr="009145A9" w:rsidRDefault="00053D3F" w:rsidP="006C77B3">
      <w:pPr>
        <w:pStyle w:val="ListParagraph"/>
        <w:numPr>
          <w:ilvl w:val="0"/>
          <w:numId w:val="47"/>
        </w:numPr>
        <w:spacing w:after="120"/>
        <w:contextualSpacing w:val="0"/>
        <w:rPr>
          <w:b/>
        </w:rPr>
      </w:pPr>
      <w:r w:rsidRPr="009145A9">
        <w:t>on each World Heritage property;</w:t>
      </w:r>
    </w:p>
    <w:p w:rsidR="00053D3F" w:rsidRPr="009145A9" w:rsidRDefault="00053D3F" w:rsidP="006C77B3">
      <w:pPr>
        <w:pStyle w:val="ListParagraph"/>
        <w:numPr>
          <w:ilvl w:val="0"/>
          <w:numId w:val="47"/>
        </w:numPr>
        <w:spacing w:after="120"/>
        <w:contextualSpacing w:val="0"/>
        <w:rPr>
          <w:b/>
        </w:rPr>
      </w:pPr>
      <w:r w:rsidRPr="009145A9">
        <w:t xml:space="preserve">on each </w:t>
      </w:r>
      <w:proofErr w:type="spellStart"/>
      <w:r w:rsidRPr="009145A9">
        <w:t>Ramsar</w:t>
      </w:r>
      <w:proofErr w:type="spellEnd"/>
      <w:r w:rsidRPr="009145A9">
        <w:t xml:space="preserve"> wetland;</w:t>
      </w:r>
    </w:p>
    <w:p w:rsidR="00053D3F" w:rsidRPr="009145A9" w:rsidRDefault="00053D3F" w:rsidP="006C77B3">
      <w:pPr>
        <w:pStyle w:val="ListParagraph"/>
        <w:numPr>
          <w:ilvl w:val="0"/>
          <w:numId w:val="47"/>
        </w:numPr>
        <w:spacing w:after="120"/>
        <w:contextualSpacing w:val="0"/>
        <w:rPr>
          <w:b/>
        </w:rPr>
      </w:pPr>
      <w:r w:rsidRPr="009145A9">
        <w:t>on the environment (for nuclear actions or actions in, on impacting on, the Commonwealth marine environment; and</w:t>
      </w:r>
    </w:p>
    <w:p w:rsidR="00053D3F" w:rsidRPr="00FE65E5" w:rsidRDefault="00053D3F" w:rsidP="00FE65E5">
      <w:pPr>
        <w:pStyle w:val="ListParagraph"/>
        <w:numPr>
          <w:ilvl w:val="0"/>
          <w:numId w:val="47"/>
        </w:numPr>
        <w:spacing w:after="120"/>
        <w:contextualSpacing w:val="0"/>
        <w:rPr>
          <w:b/>
        </w:rPr>
      </w:pPr>
      <w:proofErr w:type="gramStart"/>
      <w:r>
        <w:t>o</w:t>
      </w:r>
      <w:r w:rsidRPr="009145A9">
        <w:t>n</w:t>
      </w:r>
      <w:proofErr w:type="gramEnd"/>
      <w:r w:rsidRPr="009145A9">
        <w:t xml:space="preserve"> the Great Barrier Reef Marine Park</w:t>
      </w:r>
      <w:r>
        <w:t>.</w:t>
      </w:r>
      <w:r w:rsidR="001055C3" w:rsidRPr="000A339D">
        <w:rPr>
          <w:rStyle w:val="EndnoteReference"/>
        </w:rPr>
        <w:endnoteReference w:id="77"/>
      </w:r>
    </w:p>
    <w:p w:rsidR="00053D3F" w:rsidRPr="00576E30" w:rsidRDefault="00053D3F" w:rsidP="009145A9">
      <w:pPr>
        <w:pStyle w:val="ListParagraph"/>
        <w:numPr>
          <w:ilvl w:val="0"/>
          <w:numId w:val="45"/>
        </w:numPr>
        <w:spacing w:after="120"/>
        <w:ind w:left="357" w:hanging="357"/>
        <w:contextualSpacing w:val="0"/>
        <w:rPr>
          <w:b/>
        </w:rPr>
      </w:pPr>
      <w:r>
        <w:t>T</w:t>
      </w:r>
      <w:r w:rsidRPr="00A44E49">
        <w:t>here has been or will be adequate assessment of the impacts (the EPBC Act defines impact broadly to include direct, indirect and facilitated impacts</w:t>
      </w:r>
      <w:r w:rsidRPr="00B23097">
        <w:rPr>
          <w:rStyle w:val="EndnoteReference"/>
        </w:rPr>
        <w:endnoteReference w:id="78"/>
      </w:r>
      <w:r w:rsidRPr="00B23097">
        <w:t>)</w:t>
      </w:r>
      <w:r w:rsidRPr="00A44E49">
        <w:t xml:space="preserve"> on matters of national environmental significance covered by the </w:t>
      </w:r>
      <w:r w:rsidRPr="00576E30">
        <w:t>agreement.</w:t>
      </w:r>
      <w:r w:rsidRPr="00576E30">
        <w:rPr>
          <w:rStyle w:val="EndnoteReference"/>
        </w:rPr>
        <w:endnoteReference w:id="79"/>
      </w:r>
    </w:p>
    <w:p w:rsidR="00053D3F" w:rsidRDefault="00053D3F" w:rsidP="00256EE4">
      <w:pPr>
        <w:pStyle w:val="ListParagraph"/>
        <w:numPr>
          <w:ilvl w:val="0"/>
          <w:numId w:val="45"/>
        </w:numPr>
        <w:spacing w:after="120"/>
        <w:ind w:left="357" w:hanging="357"/>
        <w:contextualSpacing w:val="0"/>
        <w:rPr>
          <w:b/>
        </w:rPr>
      </w:pPr>
      <w:r w:rsidRPr="00A44E49">
        <w:t xml:space="preserve">In relation to World Heritage properties, an assessment process should identify the </w:t>
      </w:r>
      <w:r>
        <w:t xml:space="preserve">outstanding universal </w:t>
      </w:r>
      <w:r w:rsidRPr="00A44E49">
        <w:t xml:space="preserve">values of the </w:t>
      </w:r>
      <w:r w:rsidRPr="00B8725A">
        <w:t>property likely to be affected by the action.</w:t>
      </w:r>
      <w:r w:rsidRPr="00B8725A">
        <w:rPr>
          <w:rStyle w:val="EndnoteReference"/>
        </w:rPr>
        <w:endnoteReference w:id="80"/>
      </w:r>
      <w:r w:rsidRPr="006A258A">
        <w:t xml:space="preserve"> </w:t>
      </w:r>
    </w:p>
    <w:p w:rsidR="00053D3F" w:rsidRPr="00590286" w:rsidRDefault="00053D3F" w:rsidP="00256EE4">
      <w:pPr>
        <w:pStyle w:val="ListParagraph"/>
        <w:numPr>
          <w:ilvl w:val="0"/>
          <w:numId w:val="45"/>
        </w:numPr>
        <w:spacing w:after="120"/>
        <w:ind w:left="357" w:hanging="357"/>
        <w:contextualSpacing w:val="0"/>
        <w:rPr>
          <w:b/>
        </w:rPr>
      </w:pPr>
      <w:r w:rsidRPr="006A258A">
        <w:t xml:space="preserve">In relation to </w:t>
      </w:r>
      <w:proofErr w:type="spellStart"/>
      <w:r w:rsidRPr="00A44E49">
        <w:t>Ramsar</w:t>
      </w:r>
      <w:proofErr w:type="spellEnd"/>
      <w:r w:rsidRPr="00A44E49">
        <w:t xml:space="preserve"> wetlands, an assessment process should identify the parts of the ecological character of the wetland likely to be affected by the action.</w:t>
      </w:r>
      <w:r w:rsidRPr="000A339D">
        <w:rPr>
          <w:rStyle w:val="EndnoteReference"/>
        </w:rPr>
        <w:endnoteReference w:id="81"/>
      </w:r>
    </w:p>
    <w:p w:rsidR="00053D3F" w:rsidRPr="00A44E49" w:rsidRDefault="00053D3F" w:rsidP="00053D3F">
      <w:pPr>
        <w:pStyle w:val="Heading4"/>
      </w:pPr>
      <w:r w:rsidRPr="00A44E49">
        <w:t>Considerations for accreditation:</w:t>
      </w:r>
    </w:p>
    <w:p w:rsidR="00053D3F" w:rsidRPr="00A44E49" w:rsidRDefault="00053D3F" w:rsidP="009145A9">
      <w:pPr>
        <w:pStyle w:val="ListParagraph"/>
        <w:numPr>
          <w:ilvl w:val="0"/>
          <w:numId w:val="45"/>
        </w:numPr>
        <w:spacing w:after="120"/>
        <w:ind w:left="357" w:hanging="357"/>
        <w:contextualSpacing w:val="0"/>
        <w:rPr>
          <w:b/>
        </w:rPr>
      </w:pPr>
      <w:r w:rsidRPr="00A44E49">
        <w:t>Proponents are required to refer screening documentation about the proposed action to the State or Territory decision-maker for determination as to whether a proposal is likely to have a significant impact on a matter of national environmental significance.</w:t>
      </w:r>
      <w:r w:rsidRPr="000A339D">
        <w:rPr>
          <w:rStyle w:val="EndnoteReference"/>
        </w:rPr>
        <w:endnoteReference w:id="82"/>
      </w:r>
      <w:r w:rsidRPr="00A44E49">
        <w:t xml:space="preserve"> </w:t>
      </w:r>
    </w:p>
    <w:p w:rsidR="00053D3F" w:rsidRPr="00A44E49" w:rsidRDefault="00053D3F" w:rsidP="009145A9">
      <w:pPr>
        <w:pStyle w:val="ListParagraph"/>
        <w:numPr>
          <w:ilvl w:val="0"/>
          <w:numId w:val="45"/>
        </w:numPr>
        <w:spacing w:after="120"/>
        <w:ind w:left="357" w:hanging="357"/>
        <w:contextualSpacing w:val="0"/>
        <w:rPr>
          <w:b/>
        </w:rPr>
      </w:pPr>
      <w:r w:rsidRPr="00A44E49">
        <w:t>If screening documentation has not been referred, decision-makers are able to require that it be referred if the proposed action is likely to have a significant impact on a matter of national environmental significance</w:t>
      </w:r>
      <w:r w:rsidRPr="000A339D">
        <w:t>.</w:t>
      </w:r>
      <w:r w:rsidRPr="000A339D">
        <w:rPr>
          <w:rStyle w:val="EndnoteReference"/>
        </w:rPr>
        <w:endnoteReference w:id="83"/>
      </w:r>
      <w:r w:rsidRPr="00A44E49">
        <w:t xml:space="preserve">  </w:t>
      </w:r>
    </w:p>
    <w:p w:rsidR="00053D3F" w:rsidRPr="00A44E49" w:rsidRDefault="00053D3F" w:rsidP="009145A9">
      <w:pPr>
        <w:pStyle w:val="ListParagraph"/>
        <w:numPr>
          <w:ilvl w:val="0"/>
          <w:numId w:val="45"/>
        </w:numPr>
        <w:spacing w:after="120"/>
        <w:ind w:left="357" w:hanging="357"/>
        <w:contextualSpacing w:val="0"/>
        <w:rPr>
          <w:b/>
        </w:rPr>
      </w:pPr>
      <w:r w:rsidRPr="00A44E49">
        <w:t>A Commonwealth agency may refer a proposal by a third party to the State or Territory decision</w:t>
      </w:r>
      <w:r w:rsidRPr="00A44E49">
        <w:noBreakHyphen/>
      </w:r>
      <w:proofErr w:type="spellStart"/>
      <w:r w:rsidRPr="00A44E49">
        <w:t>maker</w:t>
      </w:r>
      <w:proofErr w:type="spellEnd"/>
      <w:r w:rsidRPr="00A44E49">
        <w:t xml:space="preserve"> for a decision on whether it requires assessment for its likely impacts on matters of national environmental significance.</w:t>
      </w:r>
      <w:r w:rsidRPr="000A339D">
        <w:rPr>
          <w:rStyle w:val="EndnoteReference"/>
        </w:rPr>
        <w:endnoteReference w:id="84"/>
      </w:r>
    </w:p>
    <w:p w:rsidR="00053D3F" w:rsidRPr="00A44E49" w:rsidRDefault="00053D3F" w:rsidP="009145A9">
      <w:pPr>
        <w:pStyle w:val="ListParagraph"/>
        <w:numPr>
          <w:ilvl w:val="0"/>
          <w:numId w:val="45"/>
        </w:numPr>
        <w:spacing w:after="120"/>
        <w:ind w:left="357" w:hanging="357"/>
        <w:contextualSpacing w:val="0"/>
        <w:rPr>
          <w:b/>
        </w:rPr>
      </w:pPr>
      <w:r w:rsidRPr="00A44E49">
        <w:t>Screening documentation includes sufficient information to identify all likely impacts on matters of national environmental significance.</w:t>
      </w:r>
      <w:r w:rsidRPr="000A339D">
        <w:rPr>
          <w:rStyle w:val="EndnoteReference"/>
        </w:rPr>
        <w:endnoteReference w:id="85"/>
      </w:r>
    </w:p>
    <w:p w:rsidR="00053D3F" w:rsidRPr="00453A44" w:rsidRDefault="00053D3F" w:rsidP="009145A9">
      <w:pPr>
        <w:pStyle w:val="ListParagraph"/>
        <w:numPr>
          <w:ilvl w:val="0"/>
          <w:numId w:val="45"/>
        </w:numPr>
        <w:spacing w:after="120"/>
        <w:ind w:left="357" w:hanging="357"/>
        <w:contextualSpacing w:val="0"/>
        <w:rPr>
          <w:b/>
        </w:rPr>
      </w:pPr>
      <w:r w:rsidRPr="00A44E49">
        <w:t>To ensure that propone</w:t>
      </w:r>
      <w:r w:rsidR="00E90B79">
        <w:t>nts do not avoid assessment by ‘splitting’</w:t>
      </w:r>
      <w:r w:rsidRPr="00A44E49">
        <w:t xml:space="preserve"> projects, decision-makers consider whether proposed actions are part of a larger action. </w:t>
      </w:r>
      <w:r>
        <w:t xml:space="preserve"> </w:t>
      </w:r>
      <w:r w:rsidR="00CD2ACA">
        <w:t xml:space="preserve"> </w:t>
      </w:r>
      <w:r w:rsidRPr="00A44E49">
        <w:t>Where proposed actions are part of a larger action, the decision-maker requires that it be assessed as part of the larger action.</w:t>
      </w:r>
      <w:r w:rsidRPr="000A339D">
        <w:rPr>
          <w:rStyle w:val="EndnoteReference"/>
        </w:rPr>
        <w:endnoteReference w:id="86"/>
      </w:r>
    </w:p>
    <w:p w:rsidR="00053D3F" w:rsidRPr="00A44E49" w:rsidRDefault="00053D3F" w:rsidP="009145A9">
      <w:pPr>
        <w:pStyle w:val="ListParagraph"/>
        <w:numPr>
          <w:ilvl w:val="0"/>
          <w:numId w:val="45"/>
        </w:numPr>
        <w:spacing w:after="120"/>
        <w:ind w:left="357" w:hanging="357"/>
        <w:contextualSpacing w:val="0"/>
        <w:rPr>
          <w:b/>
        </w:rPr>
      </w:pPr>
      <w:r w:rsidRPr="00A44E49">
        <w:t>When determining whether an action is likely to have a significant impact on matters of national environmental significance, decision-makers consider information in screening documentation and public comments received</w:t>
      </w:r>
      <w:r w:rsidRPr="000A339D">
        <w:rPr>
          <w:rStyle w:val="EndnoteReference"/>
        </w:rPr>
        <w:endnoteReference w:id="87"/>
      </w:r>
      <w:r w:rsidRPr="00A44E49">
        <w:t xml:space="preserve"> on those documents.</w:t>
      </w:r>
      <w:r w:rsidRPr="000A339D">
        <w:rPr>
          <w:rStyle w:val="EndnoteReference"/>
        </w:rPr>
        <w:endnoteReference w:id="88"/>
      </w:r>
      <w:r w:rsidRPr="00A44E49">
        <w:t xml:space="preserve"> </w:t>
      </w:r>
    </w:p>
    <w:p w:rsidR="00053D3F" w:rsidRPr="00995C62" w:rsidRDefault="00053D3F" w:rsidP="00995C62">
      <w:pPr>
        <w:pStyle w:val="ListParagraph"/>
        <w:numPr>
          <w:ilvl w:val="0"/>
          <w:numId w:val="45"/>
        </w:numPr>
        <w:spacing w:after="120"/>
        <w:ind w:left="357" w:hanging="357"/>
        <w:contextualSpacing w:val="0"/>
        <w:rPr>
          <w:b/>
        </w:rPr>
      </w:pPr>
      <w:r w:rsidRPr="00A44E49">
        <w:t>If an action assessed as having significant impacts on a matter of national environmental significance is approved, conditions of approval relating to matters protected under the EPBC Act are identified as such.</w:t>
      </w:r>
      <w:r w:rsidRPr="000A339D">
        <w:rPr>
          <w:rStyle w:val="EndnoteReference"/>
        </w:rPr>
        <w:endnoteReference w:id="89"/>
      </w:r>
      <w:r w:rsidRPr="00BB322A">
        <w:rPr>
          <w:rStyle w:val="EndnoteReference"/>
        </w:rPr>
        <w:t xml:space="preserve"> </w:t>
      </w:r>
    </w:p>
    <w:p w:rsidR="00CF5600" w:rsidRDefault="00CF5600">
      <w:pPr>
        <w:rPr>
          <w:rFonts w:asciiTheme="majorHAnsi" w:eastAsiaTheme="majorEastAsia" w:hAnsiTheme="majorHAnsi" w:cstheme="majorBidi"/>
          <w:b/>
          <w:bCs/>
          <w:color w:val="4F81BD" w:themeColor="accent1"/>
        </w:rPr>
      </w:pPr>
      <w:bookmarkStart w:id="65" w:name="_Toc327807498"/>
      <w:r>
        <w:br w:type="page"/>
      </w:r>
    </w:p>
    <w:p w:rsidR="00AD535F" w:rsidRPr="00A44E49" w:rsidRDefault="00AD535F" w:rsidP="00995C62">
      <w:pPr>
        <w:pStyle w:val="Heading3"/>
        <w:spacing w:before="360"/>
      </w:pPr>
      <w:bookmarkStart w:id="66" w:name="_Toc339368193"/>
      <w:r w:rsidRPr="00A44E49">
        <w:lastRenderedPageBreak/>
        <w:t>Risk-based assessment</w:t>
      </w:r>
      <w:bookmarkEnd w:id="65"/>
      <w:bookmarkEnd w:id="66"/>
    </w:p>
    <w:p w:rsidR="00053D3F" w:rsidRPr="00590286" w:rsidRDefault="00053D3F" w:rsidP="008A241A">
      <w:pPr>
        <w:widowControl w:val="0"/>
        <w:spacing w:after="240"/>
        <w:rPr>
          <w:b/>
          <w:i/>
        </w:rPr>
      </w:pPr>
      <w:r w:rsidRPr="00590286">
        <w:rPr>
          <w:b/>
        </w:rPr>
        <w:t xml:space="preserve">Outcome: </w:t>
      </w:r>
      <w:r w:rsidRPr="00590286">
        <w:rPr>
          <w:b/>
          <w:i/>
        </w:rPr>
        <w:t>Deliver efficiency and transparency by employing assessment approaches that reflect the risk of the proposed action and provide sufficient information for a decision-maker to make an informed decision.</w:t>
      </w:r>
    </w:p>
    <w:p w:rsidR="00053D3F" w:rsidRPr="00A44E49" w:rsidRDefault="00053D3F" w:rsidP="00053D3F">
      <w:pPr>
        <w:pStyle w:val="Heading4"/>
      </w:pPr>
      <w:r w:rsidRPr="00A44E49">
        <w:t>Standards:</w:t>
      </w:r>
    </w:p>
    <w:p w:rsidR="00053D3F" w:rsidRPr="00A44E49" w:rsidRDefault="00053D3F" w:rsidP="009145A9">
      <w:pPr>
        <w:pStyle w:val="ListParagraph"/>
        <w:numPr>
          <w:ilvl w:val="0"/>
          <w:numId w:val="45"/>
        </w:numPr>
        <w:spacing w:after="120"/>
        <w:ind w:left="357" w:hanging="357"/>
        <w:contextualSpacing w:val="0"/>
        <w:rPr>
          <w:b/>
        </w:rPr>
      </w:pPr>
      <w:r w:rsidRPr="00A44E49">
        <w:t>The accredited process</w:t>
      </w:r>
      <w:r w:rsidR="006A6118">
        <w:t xml:space="preserve"> or arrangement</w:t>
      </w:r>
      <w:r w:rsidRPr="00A44E49">
        <w:t xml:space="preserve"> must be set out in</w:t>
      </w:r>
      <w:r w:rsidR="006A6118">
        <w:t>, or in force under,</w:t>
      </w:r>
      <w:r w:rsidRPr="00A44E49">
        <w:t xml:space="preserve"> a law of the State or Territory.</w:t>
      </w:r>
      <w:r w:rsidRPr="00904AD1">
        <w:rPr>
          <w:rStyle w:val="EndnoteReference"/>
        </w:rPr>
        <w:endnoteReference w:id="90"/>
      </w:r>
      <w:r w:rsidRPr="00A44E49">
        <w:t xml:space="preserve">   </w:t>
      </w:r>
    </w:p>
    <w:p w:rsidR="00053D3F" w:rsidRDefault="00053D3F" w:rsidP="009145A9">
      <w:pPr>
        <w:pStyle w:val="ListParagraph"/>
        <w:numPr>
          <w:ilvl w:val="0"/>
          <w:numId w:val="45"/>
        </w:numPr>
        <w:spacing w:after="120"/>
        <w:ind w:left="357" w:hanging="357"/>
        <w:contextualSpacing w:val="0"/>
        <w:rPr>
          <w:b/>
        </w:rPr>
      </w:pPr>
      <w:r>
        <w:t>T</w:t>
      </w:r>
      <w:r w:rsidRPr="00A44E49">
        <w:t>here has been or will be adequate assessment of the impacts on matters of national environmental significance covered by the agreement.</w:t>
      </w:r>
      <w:r w:rsidRPr="00904AD1">
        <w:rPr>
          <w:rStyle w:val="EndnoteReference"/>
        </w:rPr>
        <w:endnoteReference w:id="91"/>
      </w:r>
      <w:r w:rsidRPr="00904AD1">
        <w:t xml:space="preserve"> </w:t>
      </w:r>
    </w:p>
    <w:p w:rsidR="00053D3F" w:rsidRPr="00A44E49" w:rsidRDefault="00053D3F" w:rsidP="009145A9">
      <w:pPr>
        <w:pStyle w:val="ListParagraph"/>
        <w:numPr>
          <w:ilvl w:val="0"/>
          <w:numId w:val="45"/>
        </w:numPr>
        <w:spacing w:after="120"/>
        <w:ind w:left="357" w:hanging="357"/>
        <w:contextualSpacing w:val="0"/>
        <w:rPr>
          <w:b/>
        </w:rPr>
      </w:pPr>
      <w:r w:rsidRPr="00A44E49">
        <w:t>Assessment approaches (</w:t>
      </w:r>
      <w:proofErr w:type="spellStart"/>
      <w:r w:rsidRPr="00A44E49">
        <w:t>ie</w:t>
      </w:r>
      <w:proofErr w:type="spellEnd"/>
      <w:r w:rsidRPr="00A44E49">
        <w:t xml:space="preserve"> the level of environmental assessment, however described) reflect the level of risk of the proposed action to matters of national environmental significance and the amount of information available at the commencement of assessment.</w:t>
      </w:r>
      <w:r w:rsidRPr="00904AD1">
        <w:rPr>
          <w:rStyle w:val="EndnoteReference"/>
        </w:rPr>
        <w:endnoteReference w:id="92"/>
      </w:r>
      <w:r w:rsidRPr="00A44E49">
        <w:t xml:space="preserve"> </w:t>
      </w:r>
    </w:p>
    <w:p w:rsidR="00053D3F" w:rsidRPr="00A44E49" w:rsidRDefault="00053D3F" w:rsidP="00053D3F">
      <w:pPr>
        <w:pStyle w:val="Heading4"/>
      </w:pPr>
      <w:r w:rsidRPr="00A44E49">
        <w:t>Considerations for accreditation:</w:t>
      </w:r>
    </w:p>
    <w:p w:rsidR="00053D3F" w:rsidRDefault="00053D3F" w:rsidP="009145A9">
      <w:pPr>
        <w:pStyle w:val="ListParagraph"/>
        <w:numPr>
          <w:ilvl w:val="0"/>
          <w:numId w:val="45"/>
        </w:numPr>
        <w:spacing w:after="120"/>
        <w:ind w:left="357" w:hanging="357"/>
        <w:contextualSpacing w:val="0"/>
        <w:rPr>
          <w:b/>
        </w:rPr>
      </w:pPr>
      <w:r w:rsidRPr="00A44E49">
        <w:t>In determining the assessment approach for a proposed action, the decision-maker decides on a form of assessment that will allow the decision-maker to have sufficient information to make an informed decision whether or not to approve the proposed action and, if so, under what conditions.</w:t>
      </w:r>
      <w:r w:rsidRPr="00904AD1">
        <w:rPr>
          <w:rStyle w:val="EndnoteReference"/>
        </w:rPr>
        <w:endnoteReference w:id="93"/>
      </w:r>
    </w:p>
    <w:p w:rsidR="00053D3F" w:rsidRPr="00575E18" w:rsidRDefault="00125D23" w:rsidP="00453A44">
      <w:pPr>
        <w:spacing w:after="120"/>
        <w:rPr>
          <w:b/>
          <w:i/>
        </w:rPr>
      </w:pPr>
      <w:r>
        <w:rPr>
          <w:i/>
        </w:rPr>
        <w:t>Examples of risk-</w:t>
      </w:r>
      <w:r w:rsidR="00053D3F" w:rsidRPr="00575E18">
        <w:rPr>
          <w:i/>
        </w:rPr>
        <w:t>based approaches to assessment</w:t>
      </w:r>
      <w:r w:rsidR="00053D3F">
        <w:rPr>
          <w:i/>
        </w:rPr>
        <w:t>,</w:t>
      </w:r>
      <w:r w:rsidR="00053D3F" w:rsidRPr="00575E18">
        <w:rPr>
          <w:i/>
        </w:rPr>
        <w:t xml:space="preserve"> based on requirements under the EPBC Act</w:t>
      </w:r>
      <w:r w:rsidR="00053D3F">
        <w:rPr>
          <w:i/>
        </w:rPr>
        <w:t>,</w:t>
      </w:r>
      <w:r w:rsidR="00053D3F" w:rsidRPr="00575E18">
        <w:rPr>
          <w:i/>
        </w:rPr>
        <w:t xml:space="preserve"> could include:</w:t>
      </w:r>
      <w:r w:rsidR="00053D3F" w:rsidRPr="00904AD1">
        <w:rPr>
          <w:rStyle w:val="EndnoteReference"/>
          <w:i/>
        </w:rPr>
        <w:endnoteReference w:id="94"/>
      </w:r>
    </w:p>
    <w:p w:rsidR="00053D3F" w:rsidRPr="00A44E49" w:rsidRDefault="00053D3F" w:rsidP="00453A44">
      <w:pPr>
        <w:pStyle w:val="ListParagraph"/>
        <w:widowControl w:val="0"/>
        <w:numPr>
          <w:ilvl w:val="0"/>
          <w:numId w:val="7"/>
        </w:numPr>
        <w:spacing w:after="120"/>
        <w:ind w:left="714" w:hanging="357"/>
        <w:rPr>
          <w:b/>
          <w:i/>
        </w:rPr>
      </w:pPr>
      <w:r w:rsidRPr="00A44E49">
        <w:rPr>
          <w:i/>
        </w:rPr>
        <w:t>Assessment on the basis of initial screening documentation provided by the proponent.</w:t>
      </w:r>
      <w:r w:rsidRPr="00904AD1">
        <w:rPr>
          <w:rStyle w:val="EndnoteReference"/>
        </w:rPr>
        <w:endnoteReference w:id="95"/>
      </w:r>
      <w:r w:rsidRPr="00A44E49">
        <w:rPr>
          <w:i/>
        </w:rPr>
        <w:t xml:space="preserve"> </w:t>
      </w:r>
      <w:r>
        <w:rPr>
          <w:i/>
        </w:rPr>
        <w:br/>
      </w:r>
      <w:r w:rsidRPr="00A44E49">
        <w:rPr>
          <w:i/>
        </w:rPr>
        <w:t>This approach may be used when environmental risk and the degree of public concern are low, the impacts are expected to be manageable and the level of information about the scale and nature of the impacts is high.</w:t>
      </w:r>
      <w:r w:rsidRPr="00904AD1">
        <w:rPr>
          <w:rStyle w:val="EndnoteReference"/>
        </w:rPr>
        <w:endnoteReference w:id="96"/>
      </w:r>
    </w:p>
    <w:p w:rsidR="00053D3F" w:rsidRPr="00A44E49" w:rsidRDefault="00053D3F" w:rsidP="00453A44">
      <w:pPr>
        <w:pStyle w:val="ListParagraph"/>
        <w:widowControl w:val="0"/>
        <w:numPr>
          <w:ilvl w:val="0"/>
          <w:numId w:val="7"/>
        </w:numPr>
        <w:spacing w:after="120"/>
        <w:ind w:left="714" w:hanging="357"/>
        <w:rPr>
          <w:b/>
          <w:i/>
        </w:rPr>
      </w:pPr>
      <w:r w:rsidRPr="00A44E49">
        <w:rPr>
          <w:i/>
        </w:rPr>
        <w:t>Assessment on initial screening documentation and further supplementary information provided by the proponent.</w:t>
      </w:r>
      <w:r w:rsidRPr="00904AD1">
        <w:rPr>
          <w:rStyle w:val="EndnoteReference"/>
        </w:rPr>
        <w:endnoteReference w:id="97"/>
      </w:r>
      <w:r w:rsidRPr="00A44E49">
        <w:rPr>
          <w:i/>
        </w:rPr>
        <w:t xml:space="preserve"> This approach may be used when the environmental risk is low to medium and the impacts are expected to be manageable, but further information of a defined nature is required to enable an informed decision.</w:t>
      </w:r>
    </w:p>
    <w:p w:rsidR="00053D3F" w:rsidRPr="00A44E49" w:rsidRDefault="00053D3F" w:rsidP="00453A44">
      <w:pPr>
        <w:pStyle w:val="ListParagraph"/>
        <w:widowControl w:val="0"/>
        <w:numPr>
          <w:ilvl w:val="0"/>
          <w:numId w:val="7"/>
        </w:numPr>
        <w:spacing w:after="120"/>
        <w:ind w:left="714" w:hanging="357"/>
        <w:rPr>
          <w:b/>
          <w:i/>
        </w:rPr>
      </w:pPr>
      <w:r w:rsidRPr="00A44E49">
        <w:rPr>
          <w:i/>
        </w:rPr>
        <w:t>Assessment by environmental impact statement, public environment report or equivalent form of comprehensive report.</w:t>
      </w:r>
      <w:r w:rsidRPr="00904AD1">
        <w:rPr>
          <w:rStyle w:val="EndnoteReference"/>
        </w:rPr>
        <w:endnoteReference w:id="98"/>
      </w:r>
      <w:r w:rsidRPr="00A44E49">
        <w:rPr>
          <w:i/>
        </w:rPr>
        <w:t xml:space="preserve"> This approach may be used when the environmental risk is medium to high with uncertain or complex impacts.</w:t>
      </w:r>
    </w:p>
    <w:p w:rsidR="00590286" w:rsidRPr="00995C62" w:rsidRDefault="00053D3F" w:rsidP="00053D3F">
      <w:pPr>
        <w:pStyle w:val="ListParagraph"/>
        <w:widowControl w:val="0"/>
        <w:numPr>
          <w:ilvl w:val="0"/>
          <w:numId w:val="7"/>
        </w:numPr>
        <w:spacing w:after="120"/>
        <w:rPr>
          <w:b/>
          <w:bCs/>
          <w:i/>
        </w:rPr>
      </w:pPr>
      <w:r w:rsidRPr="00A44E49">
        <w:rPr>
          <w:i/>
        </w:rPr>
        <w:t>Assessment by public inquiry.</w:t>
      </w:r>
      <w:r w:rsidRPr="00904AD1">
        <w:rPr>
          <w:rStyle w:val="EndnoteReference"/>
        </w:rPr>
        <w:endnoteReference w:id="99"/>
      </w:r>
      <w:r w:rsidRPr="00A44E49">
        <w:rPr>
          <w:i/>
        </w:rPr>
        <w:t xml:space="preserve"> This approach may be appropriate where the environmental risk is high and the impacts are uncertain or complex.</w:t>
      </w:r>
      <w:bookmarkStart w:id="67" w:name="_Toc327807499"/>
    </w:p>
    <w:p w:rsidR="00AD535F" w:rsidRPr="00A44E49" w:rsidRDefault="00AD535F" w:rsidP="00995C62">
      <w:pPr>
        <w:pStyle w:val="Heading3"/>
        <w:spacing w:before="360"/>
      </w:pPr>
      <w:bookmarkStart w:id="68" w:name="_Toc339368194"/>
      <w:r w:rsidRPr="00A44E49">
        <w:t>Adequate environmental assessment</w:t>
      </w:r>
      <w:bookmarkEnd w:id="67"/>
      <w:r w:rsidRPr="00A44E49">
        <w:t xml:space="preserve"> and approvals based on good policy</w:t>
      </w:r>
      <w:bookmarkEnd w:id="68"/>
    </w:p>
    <w:p w:rsidR="00053D3F" w:rsidRPr="00590286" w:rsidRDefault="00053D3F" w:rsidP="000C1741">
      <w:pPr>
        <w:rPr>
          <w:b/>
          <w:i/>
        </w:rPr>
      </w:pPr>
      <w:r w:rsidRPr="00590286">
        <w:rPr>
          <w:b/>
        </w:rPr>
        <w:t xml:space="preserve">Outcome: </w:t>
      </w:r>
      <w:r w:rsidRPr="00590286">
        <w:rPr>
          <w:b/>
          <w:i/>
        </w:rPr>
        <w:t>Deliver certainty, transparency and legally robust decisions by undertaking</w:t>
      </w:r>
      <w:r w:rsidRPr="00590286">
        <w:rPr>
          <w:b/>
        </w:rPr>
        <w:t xml:space="preserve"> </w:t>
      </w:r>
      <w:r w:rsidRPr="00590286">
        <w:rPr>
          <w:b/>
          <w:i/>
        </w:rPr>
        <w:t>environmental assessment that adequately addresses all matters of national environmental</w:t>
      </w:r>
      <w:r w:rsidRPr="00590286">
        <w:rPr>
          <w:b/>
        </w:rPr>
        <w:t xml:space="preserve"> </w:t>
      </w:r>
      <w:r w:rsidRPr="00590286">
        <w:rPr>
          <w:b/>
          <w:i/>
        </w:rPr>
        <w:t>significance and making approval decisions based on recognised principles of environmental policy, as set out in the Intergovernmental Agreement on the Environment, 1992.</w:t>
      </w:r>
      <w:r w:rsidRPr="00590286">
        <w:rPr>
          <w:rStyle w:val="EndnoteReference"/>
          <w:b/>
        </w:rPr>
        <w:endnoteReference w:id="100"/>
      </w:r>
    </w:p>
    <w:p w:rsidR="00053D3F" w:rsidRPr="00A44E49" w:rsidRDefault="00053D3F" w:rsidP="00053D3F">
      <w:pPr>
        <w:pStyle w:val="Heading4"/>
      </w:pPr>
      <w:r w:rsidRPr="00A44E49">
        <w:lastRenderedPageBreak/>
        <w:t>Standards:</w:t>
      </w:r>
    </w:p>
    <w:p w:rsidR="00053D3F" w:rsidRPr="00A44E49" w:rsidRDefault="00053D3F" w:rsidP="009145A9">
      <w:pPr>
        <w:pStyle w:val="ListParagraph"/>
        <w:numPr>
          <w:ilvl w:val="0"/>
          <w:numId w:val="45"/>
        </w:numPr>
        <w:spacing w:after="120"/>
        <w:ind w:left="357" w:hanging="357"/>
        <w:contextualSpacing w:val="0"/>
        <w:rPr>
          <w:b/>
        </w:rPr>
      </w:pPr>
      <w:r w:rsidRPr="00A44E49">
        <w:t xml:space="preserve">The accredited process </w:t>
      </w:r>
      <w:r w:rsidR="006A6118">
        <w:t xml:space="preserve">or arrangement </w:t>
      </w:r>
      <w:r w:rsidRPr="00A44E49">
        <w:t>must be set out in</w:t>
      </w:r>
      <w:r w:rsidR="006A6118">
        <w:t>, or in force under,</w:t>
      </w:r>
      <w:r w:rsidRPr="00A44E49">
        <w:t xml:space="preserve"> a law of the State or Territory.</w:t>
      </w:r>
      <w:r w:rsidRPr="00904AD1">
        <w:rPr>
          <w:rStyle w:val="EndnoteReference"/>
        </w:rPr>
        <w:endnoteReference w:id="101"/>
      </w:r>
      <w:r w:rsidRPr="00904AD1">
        <w:t xml:space="preserve"> </w:t>
      </w:r>
      <w:r w:rsidRPr="00A44E49">
        <w:t xml:space="preserve">  </w:t>
      </w:r>
    </w:p>
    <w:p w:rsidR="00053D3F" w:rsidRPr="00A44E49" w:rsidRDefault="00053D3F" w:rsidP="009145A9">
      <w:pPr>
        <w:pStyle w:val="ListParagraph"/>
        <w:numPr>
          <w:ilvl w:val="0"/>
          <w:numId w:val="45"/>
        </w:numPr>
        <w:spacing w:after="120"/>
        <w:ind w:left="357" w:hanging="357"/>
        <w:contextualSpacing w:val="0"/>
        <w:rPr>
          <w:b/>
        </w:rPr>
      </w:pPr>
      <w:r>
        <w:t xml:space="preserve">There </w:t>
      </w:r>
      <w:r w:rsidRPr="00A44E49">
        <w:t>has been or will be adequate assessment of the impacts on matters of national environmental significance covered by the agreement.</w:t>
      </w:r>
      <w:r w:rsidRPr="00904AD1">
        <w:rPr>
          <w:rStyle w:val="EndnoteReference"/>
        </w:rPr>
        <w:endnoteReference w:id="102"/>
      </w:r>
    </w:p>
    <w:p w:rsidR="00053D3F" w:rsidRPr="00A44E49" w:rsidRDefault="001055C3" w:rsidP="009145A9">
      <w:pPr>
        <w:pStyle w:val="ListParagraph"/>
        <w:numPr>
          <w:ilvl w:val="0"/>
          <w:numId w:val="45"/>
        </w:numPr>
        <w:spacing w:after="120"/>
        <w:ind w:left="357" w:hanging="357"/>
        <w:contextualSpacing w:val="0"/>
        <w:rPr>
          <w:b/>
        </w:rPr>
      </w:pPr>
      <w:r>
        <w:t xml:space="preserve">A </w:t>
      </w:r>
      <w:r w:rsidR="00053D3F" w:rsidRPr="00A44E49">
        <w:t>bilateral agreement must include an undertaking by the State or Territory to ensure that the environmental impacts that the following actions will have or are likely to have on the environment (other than on matters of national environmental significance) are assessed to the greatest extent practicable:</w:t>
      </w:r>
    </w:p>
    <w:p w:rsidR="00053D3F" w:rsidRPr="00A44E49" w:rsidRDefault="00053D3F" w:rsidP="009145A9">
      <w:pPr>
        <w:pStyle w:val="ListParagraph"/>
        <w:numPr>
          <w:ilvl w:val="0"/>
          <w:numId w:val="48"/>
        </w:numPr>
        <w:spacing w:after="120"/>
        <w:contextualSpacing w:val="0"/>
        <w:rPr>
          <w:b/>
        </w:rPr>
      </w:pPr>
      <w:r w:rsidRPr="00A44E49">
        <w:t>actions taken by a constitutional corporation;</w:t>
      </w:r>
    </w:p>
    <w:p w:rsidR="00053D3F" w:rsidRPr="00A44E49" w:rsidRDefault="00053D3F" w:rsidP="009145A9">
      <w:pPr>
        <w:pStyle w:val="ListParagraph"/>
        <w:numPr>
          <w:ilvl w:val="0"/>
          <w:numId w:val="48"/>
        </w:numPr>
        <w:spacing w:after="120"/>
        <w:contextualSpacing w:val="0"/>
        <w:rPr>
          <w:b/>
        </w:rPr>
      </w:pPr>
      <w:r w:rsidRPr="00A44E49">
        <w:t xml:space="preserve">actions for the purposes of trade or commerce between Australia and another country, or between the States and Territories; </w:t>
      </w:r>
    </w:p>
    <w:p w:rsidR="00053D3F" w:rsidRPr="00A44E49" w:rsidRDefault="00053D3F" w:rsidP="009145A9">
      <w:pPr>
        <w:pStyle w:val="ListParagraph"/>
        <w:numPr>
          <w:ilvl w:val="0"/>
          <w:numId w:val="48"/>
        </w:numPr>
        <w:spacing w:after="120"/>
        <w:contextualSpacing w:val="0"/>
        <w:rPr>
          <w:b/>
        </w:rPr>
      </w:pPr>
      <w:r w:rsidRPr="00A44E49">
        <w:t>actions that are taken in the State or Territory which are actions whose regulation is appropriate and adapted to give effect to Australia’s obligations under an agreement with one or more other countries; and</w:t>
      </w:r>
    </w:p>
    <w:p w:rsidR="00053D3F" w:rsidRPr="00A44E49" w:rsidRDefault="00053D3F" w:rsidP="009145A9">
      <w:pPr>
        <w:pStyle w:val="ListParagraph"/>
        <w:numPr>
          <w:ilvl w:val="0"/>
          <w:numId w:val="48"/>
        </w:numPr>
        <w:spacing w:after="120"/>
        <w:contextualSpacing w:val="0"/>
        <w:rPr>
          <w:b/>
        </w:rPr>
      </w:pPr>
      <w:proofErr w:type="gramStart"/>
      <w:r w:rsidRPr="00A44E49">
        <w:t>actions</w:t>
      </w:r>
      <w:proofErr w:type="gramEnd"/>
      <w:r w:rsidRPr="00A44E49">
        <w:t xml:space="preserve"> taken in the Territory (if applicable).</w:t>
      </w:r>
      <w:r w:rsidRPr="00A44E49">
        <w:rPr>
          <w:rStyle w:val="EndnoteReference"/>
        </w:rPr>
        <w:endnoteReference w:id="103"/>
      </w:r>
    </w:p>
    <w:p w:rsidR="00053D3F" w:rsidRPr="00904AD1" w:rsidRDefault="00053D3F" w:rsidP="009145A9">
      <w:pPr>
        <w:pStyle w:val="ListParagraph"/>
        <w:numPr>
          <w:ilvl w:val="0"/>
          <w:numId w:val="45"/>
        </w:numPr>
        <w:spacing w:after="120"/>
        <w:ind w:left="357" w:hanging="357"/>
        <w:contextualSpacing w:val="0"/>
        <w:rPr>
          <w:b/>
        </w:rPr>
      </w:pPr>
      <w:r w:rsidRPr="00A44E49">
        <w:rPr>
          <w:rFonts w:cstheme="minorHAnsi"/>
        </w:rPr>
        <w:t>In relation to World Heritage, the likely impact</w:t>
      </w:r>
      <w:r>
        <w:rPr>
          <w:rFonts w:cstheme="minorHAnsi"/>
        </w:rPr>
        <w:t>s</w:t>
      </w:r>
      <w:r w:rsidRPr="00A44E49">
        <w:rPr>
          <w:rFonts w:cstheme="minorHAnsi"/>
        </w:rPr>
        <w:t xml:space="preserve"> of an action on the </w:t>
      </w:r>
      <w:r>
        <w:rPr>
          <w:rFonts w:cstheme="minorHAnsi"/>
        </w:rPr>
        <w:t xml:space="preserve">outstanding universal </w:t>
      </w:r>
      <w:r w:rsidRPr="00A44E49">
        <w:rPr>
          <w:rFonts w:cstheme="minorHAnsi"/>
        </w:rPr>
        <w:t xml:space="preserve">values of a property are assessed under a statutory environmental impact assessment and approval process. </w:t>
      </w:r>
      <w:r w:rsidR="00CD2ACA">
        <w:rPr>
          <w:rFonts w:cstheme="minorHAnsi"/>
        </w:rPr>
        <w:t xml:space="preserve"> </w:t>
      </w:r>
      <w:r w:rsidRPr="00A44E49">
        <w:rPr>
          <w:rFonts w:cstheme="minorHAnsi"/>
        </w:rPr>
        <w:t xml:space="preserve">The assessment process examines how the </w:t>
      </w:r>
      <w:r>
        <w:rPr>
          <w:rFonts w:cstheme="minorHAnsi"/>
        </w:rPr>
        <w:t xml:space="preserve">outstanding universal </w:t>
      </w:r>
      <w:r w:rsidRPr="00A44E49">
        <w:rPr>
          <w:rFonts w:cstheme="minorHAnsi"/>
        </w:rPr>
        <w:t xml:space="preserve">values of the property might be affected and any approval of the action should be subject to conditions that are necessary to ensure protection, conservation, presentation or transmission to future generations of the </w:t>
      </w:r>
      <w:r>
        <w:rPr>
          <w:rFonts w:cstheme="minorHAnsi"/>
        </w:rPr>
        <w:t xml:space="preserve">outstanding universal </w:t>
      </w:r>
      <w:r w:rsidRPr="00A44E49">
        <w:rPr>
          <w:rFonts w:cstheme="minorHAnsi"/>
        </w:rPr>
        <w:t>values of the property</w:t>
      </w:r>
      <w:r w:rsidRPr="00904AD1">
        <w:rPr>
          <w:rFonts w:cstheme="minorHAnsi"/>
        </w:rPr>
        <w:t>.</w:t>
      </w:r>
      <w:r w:rsidRPr="00904AD1">
        <w:rPr>
          <w:rStyle w:val="EndnoteReference"/>
        </w:rPr>
        <w:endnoteReference w:id="104"/>
      </w:r>
    </w:p>
    <w:p w:rsidR="00053D3F" w:rsidRPr="00A44E49" w:rsidRDefault="00053D3F" w:rsidP="009145A9">
      <w:pPr>
        <w:pStyle w:val="ListParagraph"/>
        <w:numPr>
          <w:ilvl w:val="0"/>
          <w:numId w:val="45"/>
        </w:numPr>
        <w:spacing w:after="120"/>
        <w:ind w:left="357" w:hanging="357"/>
        <w:contextualSpacing w:val="0"/>
        <w:rPr>
          <w:rFonts w:cstheme="minorHAnsi"/>
          <w:b/>
        </w:rPr>
      </w:pPr>
      <w:r w:rsidRPr="00A44E49">
        <w:rPr>
          <w:rFonts w:cstheme="minorHAnsi"/>
        </w:rPr>
        <w:t xml:space="preserve">In relation to </w:t>
      </w:r>
      <w:proofErr w:type="spellStart"/>
      <w:r w:rsidRPr="00A44E49">
        <w:rPr>
          <w:rFonts w:cstheme="minorHAnsi"/>
        </w:rPr>
        <w:t>Ramsar</w:t>
      </w:r>
      <w:proofErr w:type="spellEnd"/>
      <w:r w:rsidRPr="00A44E49">
        <w:rPr>
          <w:rFonts w:cstheme="minorHAnsi"/>
        </w:rPr>
        <w:t xml:space="preserve"> wetlands, the likely impact of an action on the wetland’s ecological character is assessed under a statutory environmental impact assessment and approval process. </w:t>
      </w:r>
      <w:r>
        <w:rPr>
          <w:rFonts w:cstheme="minorHAnsi"/>
        </w:rPr>
        <w:t xml:space="preserve"> </w:t>
      </w:r>
      <w:r w:rsidRPr="00A44E49">
        <w:rPr>
          <w:rFonts w:cstheme="minorHAnsi"/>
        </w:rPr>
        <w:t>The assessment process examines how the ecological character of the wetland might be affected and any approval of the action should be subject to conditions, if necessary, to ensure that the ecological character of the wetland is maintained.</w:t>
      </w:r>
      <w:r w:rsidRPr="00A44E49">
        <w:rPr>
          <w:rStyle w:val="EndnoteReference"/>
          <w:rFonts w:cstheme="minorHAnsi"/>
        </w:rPr>
        <w:endnoteReference w:id="105"/>
      </w:r>
    </w:p>
    <w:p w:rsidR="00053D3F" w:rsidRDefault="00053D3F" w:rsidP="00256EE4">
      <w:pPr>
        <w:pStyle w:val="ListParagraph"/>
        <w:numPr>
          <w:ilvl w:val="0"/>
          <w:numId w:val="45"/>
        </w:numPr>
        <w:spacing w:after="120"/>
        <w:ind w:left="357" w:hanging="357"/>
        <w:contextualSpacing w:val="0"/>
        <w:rPr>
          <w:rFonts w:cstheme="minorHAnsi"/>
          <w:b/>
        </w:rPr>
      </w:pPr>
      <w:r w:rsidRPr="00A44E49">
        <w:rPr>
          <w:rFonts w:cstheme="minorHAnsi"/>
        </w:rPr>
        <w:t>In relation to National Heritage, Indigenous peoples are recognised in the assessment and approval processes as the primary source of information on the value of their heritage.</w:t>
      </w:r>
      <w:r w:rsidRPr="00904AD1">
        <w:rPr>
          <w:rStyle w:val="EndnoteReference"/>
        </w:rPr>
        <w:endnoteReference w:id="106"/>
      </w:r>
    </w:p>
    <w:p w:rsidR="00053D3F" w:rsidRPr="00256EE4" w:rsidRDefault="00053D3F" w:rsidP="00256EE4">
      <w:pPr>
        <w:pStyle w:val="ListParagraph"/>
        <w:numPr>
          <w:ilvl w:val="0"/>
          <w:numId w:val="45"/>
        </w:numPr>
        <w:spacing w:after="120"/>
        <w:ind w:left="357" w:hanging="357"/>
        <w:contextualSpacing w:val="0"/>
        <w:rPr>
          <w:rFonts w:cstheme="minorHAnsi"/>
          <w:b/>
        </w:rPr>
      </w:pPr>
      <w:r w:rsidRPr="00256EE4">
        <w:t>All relevant impacts on matters of national environmental significance are identified separately in the assessment, not simply in the context of impacts on the environment generally.</w:t>
      </w:r>
      <w:r w:rsidRPr="00256EE4">
        <w:rPr>
          <w:rStyle w:val="EndnoteReference"/>
        </w:rPr>
        <w:endnoteReference w:id="107"/>
      </w:r>
      <w:r w:rsidRPr="00256EE4">
        <w:t xml:space="preserve">  This means that impacts are explicitly assessed for each matter of national environmental significance.  Relevant impacts include likely indirect or facilitated impacts</w:t>
      </w:r>
      <w:r w:rsidR="002F00F1">
        <w:t>,</w:t>
      </w:r>
      <w:r w:rsidRPr="00256EE4">
        <w:rPr>
          <w:rStyle w:val="EndnoteReference"/>
        </w:rPr>
        <w:endnoteReference w:id="108"/>
      </w:r>
      <w:r w:rsidR="002F00F1">
        <w:t xml:space="preserve"> and cumulative impacts.</w:t>
      </w:r>
      <w:r w:rsidR="002F00F1">
        <w:rPr>
          <w:rStyle w:val="EndnoteReference"/>
        </w:rPr>
        <w:endnoteReference w:id="109"/>
      </w:r>
    </w:p>
    <w:p w:rsidR="00053D3F" w:rsidRPr="00256EE4" w:rsidRDefault="00053D3F" w:rsidP="00256EE4">
      <w:pPr>
        <w:pStyle w:val="ListParagraph"/>
        <w:numPr>
          <w:ilvl w:val="0"/>
          <w:numId w:val="45"/>
        </w:numPr>
        <w:spacing w:after="120"/>
        <w:ind w:left="357" w:hanging="357"/>
        <w:contextualSpacing w:val="0"/>
        <w:rPr>
          <w:rFonts w:cstheme="minorHAnsi"/>
          <w:b/>
        </w:rPr>
      </w:pPr>
      <w:r w:rsidRPr="00256EE4">
        <w:t>After an assessment, a recommendation report (or equivalent) is prepared by a government body independent of the proponent fo</w:t>
      </w:r>
      <w:r w:rsidR="00E37A45">
        <w:t>r consideration by the decision-</w:t>
      </w:r>
      <w:r w:rsidRPr="00256EE4">
        <w:t xml:space="preserve">maker.  </w:t>
      </w:r>
    </w:p>
    <w:p w:rsidR="00053D3F" w:rsidRPr="00A44E49" w:rsidRDefault="00053D3F" w:rsidP="00053D3F">
      <w:pPr>
        <w:pStyle w:val="Heading4"/>
      </w:pPr>
      <w:r w:rsidRPr="00A44E49">
        <w:t>Considerations for accreditation:</w:t>
      </w:r>
    </w:p>
    <w:p w:rsidR="00053D3F" w:rsidRPr="00A44E49" w:rsidRDefault="00053D3F" w:rsidP="009145A9">
      <w:pPr>
        <w:pStyle w:val="ListParagraph"/>
        <w:numPr>
          <w:ilvl w:val="0"/>
          <w:numId w:val="45"/>
        </w:numPr>
        <w:spacing w:after="120"/>
        <w:ind w:left="357" w:hanging="357"/>
        <w:contextualSpacing w:val="0"/>
        <w:rPr>
          <w:b/>
        </w:rPr>
      </w:pPr>
      <w:r w:rsidRPr="00A44E49">
        <w:t xml:space="preserve">To define the matters that must be assessed, terms of reference or guidelines (or equivalent) are issued for each environmental impact statement, public environment report or other equivalent </w:t>
      </w:r>
      <w:r w:rsidRPr="00A44E49">
        <w:lastRenderedPageBreak/>
        <w:t xml:space="preserve">report. </w:t>
      </w:r>
      <w:r>
        <w:t xml:space="preserve"> </w:t>
      </w:r>
      <w:r w:rsidRPr="00A44E49">
        <w:t>They should seek to ensure that the report will contain enough information about the action and its relevant impacts to allow the decision-maker to make an informed decision whether or not to approve the taking of the action.</w:t>
      </w:r>
      <w:r w:rsidRPr="004744BC">
        <w:rPr>
          <w:rStyle w:val="EndnoteReference"/>
        </w:rPr>
        <w:endnoteReference w:id="110"/>
      </w:r>
      <w:r w:rsidRPr="00925A29">
        <w:rPr>
          <w:rStyle w:val="EndnoteReference"/>
        </w:rPr>
        <w:t xml:space="preserve"> </w:t>
      </w:r>
    </w:p>
    <w:p w:rsidR="00053D3F" w:rsidRPr="00A44E49" w:rsidRDefault="00053D3F" w:rsidP="009145A9">
      <w:pPr>
        <w:pStyle w:val="ListParagraph"/>
        <w:numPr>
          <w:ilvl w:val="0"/>
          <w:numId w:val="45"/>
        </w:numPr>
        <w:spacing w:after="120"/>
        <w:ind w:left="357" w:hanging="357"/>
        <w:contextualSpacing w:val="0"/>
        <w:rPr>
          <w:b/>
        </w:rPr>
      </w:pPr>
      <w:r w:rsidRPr="00A44E49">
        <w:t xml:space="preserve">The guidelines or terms of reference for an assessment report detail requirements for: </w:t>
      </w:r>
    </w:p>
    <w:p w:rsidR="00053D3F" w:rsidRPr="00A44E49" w:rsidRDefault="00053D3F" w:rsidP="009145A9">
      <w:pPr>
        <w:pStyle w:val="ListParagraph"/>
        <w:numPr>
          <w:ilvl w:val="0"/>
          <w:numId w:val="49"/>
        </w:numPr>
        <w:spacing w:after="120"/>
        <w:contextualSpacing w:val="0"/>
        <w:rPr>
          <w:b/>
        </w:rPr>
      </w:pPr>
      <w:r w:rsidRPr="00A44E49">
        <w:t xml:space="preserve">providing sufficient information about the existing environment, the action and its relevant impacts on matters of national environmental significance; </w:t>
      </w:r>
    </w:p>
    <w:p w:rsidR="00053D3F" w:rsidRPr="00A44E49" w:rsidRDefault="00053D3F" w:rsidP="009145A9">
      <w:pPr>
        <w:pStyle w:val="ListParagraph"/>
        <w:numPr>
          <w:ilvl w:val="0"/>
          <w:numId w:val="49"/>
        </w:numPr>
        <w:spacing w:after="120"/>
        <w:contextualSpacing w:val="0"/>
        <w:rPr>
          <w:b/>
        </w:rPr>
      </w:pPr>
      <w:r w:rsidRPr="00A44E49">
        <w:t xml:space="preserve">any feasible alternatives to the proposed action; </w:t>
      </w:r>
    </w:p>
    <w:p w:rsidR="00053D3F" w:rsidRPr="00A44E49" w:rsidRDefault="00053D3F" w:rsidP="009145A9">
      <w:pPr>
        <w:pStyle w:val="ListParagraph"/>
        <w:numPr>
          <w:ilvl w:val="0"/>
          <w:numId w:val="49"/>
        </w:numPr>
        <w:spacing w:after="120"/>
        <w:contextualSpacing w:val="0"/>
        <w:rPr>
          <w:b/>
        </w:rPr>
      </w:pPr>
      <w:r w:rsidRPr="00A44E49">
        <w:t xml:space="preserve">proposed safeguards and mitigation measures; </w:t>
      </w:r>
    </w:p>
    <w:p w:rsidR="00053D3F" w:rsidRPr="00A44E49" w:rsidRDefault="00053D3F" w:rsidP="009145A9">
      <w:pPr>
        <w:pStyle w:val="ListParagraph"/>
        <w:numPr>
          <w:ilvl w:val="0"/>
          <w:numId w:val="49"/>
        </w:numPr>
        <w:spacing w:after="120"/>
        <w:contextualSpacing w:val="0"/>
        <w:rPr>
          <w:b/>
        </w:rPr>
      </w:pPr>
      <w:r w:rsidRPr="00A44E49">
        <w:t xml:space="preserve">providing sufficient information about the environmental record of the proponent; and </w:t>
      </w:r>
    </w:p>
    <w:p w:rsidR="00053D3F" w:rsidRPr="00A44E49" w:rsidRDefault="00053D3F" w:rsidP="009145A9">
      <w:pPr>
        <w:pStyle w:val="ListParagraph"/>
        <w:numPr>
          <w:ilvl w:val="0"/>
          <w:numId w:val="49"/>
        </w:numPr>
        <w:spacing w:after="120"/>
        <w:contextualSpacing w:val="0"/>
        <w:rPr>
          <w:b/>
        </w:rPr>
      </w:pPr>
      <w:proofErr w:type="gramStart"/>
      <w:r w:rsidRPr="00A44E49">
        <w:t>any</w:t>
      </w:r>
      <w:proofErr w:type="gramEnd"/>
      <w:r w:rsidRPr="00A44E49">
        <w:t xml:space="preserve"> other relevant information.</w:t>
      </w:r>
      <w:r w:rsidRPr="004744BC">
        <w:rPr>
          <w:rStyle w:val="EndnoteReference"/>
        </w:rPr>
        <w:endnoteReference w:id="111"/>
      </w:r>
    </w:p>
    <w:p w:rsidR="00053D3F" w:rsidRPr="00A44E49" w:rsidRDefault="00053D3F" w:rsidP="009145A9">
      <w:pPr>
        <w:pStyle w:val="ListParagraph"/>
        <w:numPr>
          <w:ilvl w:val="0"/>
          <w:numId w:val="45"/>
        </w:numPr>
        <w:spacing w:after="120"/>
        <w:ind w:left="357" w:hanging="357"/>
        <w:contextualSpacing w:val="0"/>
        <w:rPr>
          <w:b/>
        </w:rPr>
      </w:pPr>
      <w:r w:rsidRPr="00A44E49">
        <w:t>Where a public inquiry is being conducted, Commissioners or panel members conducting the inquiry have sufficient powers to ensure they can obtain the necessary information to enable comprehensive assessment of matters of national environmental significance.  These may include powers to call witnesses, obtain documents etc.</w:t>
      </w:r>
      <w:r w:rsidRPr="004744BC">
        <w:rPr>
          <w:rStyle w:val="EndnoteReference"/>
        </w:rPr>
        <w:endnoteReference w:id="112"/>
      </w:r>
    </w:p>
    <w:p w:rsidR="00053D3F" w:rsidRPr="00A44E49" w:rsidRDefault="00053D3F" w:rsidP="009145A9">
      <w:pPr>
        <w:pStyle w:val="ListParagraph"/>
        <w:numPr>
          <w:ilvl w:val="0"/>
          <w:numId w:val="45"/>
        </w:numPr>
        <w:spacing w:after="120"/>
        <w:ind w:left="357" w:hanging="357"/>
        <w:contextualSpacing w:val="0"/>
        <w:rPr>
          <w:b/>
        </w:rPr>
      </w:pPr>
      <w:r w:rsidRPr="00A44E49">
        <w:t xml:space="preserve">Proposed actions undergoing assessment </w:t>
      </w:r>
      <w:r>
        <w:t>are</w:t>
      </w:r>
      <w:r w:rsidRPr="00A44E49">
        <w:t xml:space="preserve"> only varied if the variation is substantially the same character as the original action.</w:t>
      </w:r>
      <w:r w:rsidRPr="004744BC">
        <w:rPr>
          <w:rStyle w:val="EndnoteReference"/>
        </w:rPr>
        <w:endnoteReference w:id="113"/>
      </w:r>
    </w:p>
    <w:p w:rsidR="00053D3F" w:rsidRPr="00A44E49" w:rsidRDefault="00053D3F" w:rsidP="009145A9">
      <w:pPr>
        <w:pStyle w:val="ListParagraph"/>
        <w:numPr>
          <w:ilvl w:val="0"/>
          <w:numId w:val="45"/>
        </w:numPr>
        <w:spacing w:after="120"/>
        <w:ind w:left="357" w:hanging="357"/>
        <w:contextualSpacing w:val="0"/>
        <w:rPr>
          <w:b/>
        </w:rPr>
      </w:pPr>
      <w:r w:rsidRPr="00A44E49">
        <w:t xml:space="preserve">The </w:t>
      </w:r>
      <w:r>
        <w:t xml:space="preserve">recommendation </w:t>
      </w:r>
      <w:r w:rsidRPr="00A44E49">
        <w:t>report evaluate</w:t>
      </w:r>
      <w:r>
        <w:t>s</w:t>
      </w:r>
      <w:r w:rsidRPr="00A44E49">
        <w:t xml:space="preserve"> the environmental impact assessment (or equivalent) and provide</w:t>
      </w:r>
      <w:r>
        <w:t>s</w:t>
      </w:r>
      <w:r w:rsidRPr="00A44E49">
        <w:t xml:space="preserve"> recommendations to the decision-maker on whether the proposed action should be approved and, if so, whether any conditions should be attached to the approval.</w:t>
      </w:r>
      <w:r w:rsidRPr="00904AD1">
        <w:rPr>
          <w:rStyle w:val="EndnoteReference"/>
        </w:rPr>
        <w:endnoteReference w:id="114"/>
      </w:r>
    </w:p>
    <w:p w:rsidR="00053D3F" w:rsidRPr="00A44E49" w:rsidRDefault="00053D3F" w:rsidP="009145A9">
      <w:pPr>
        <w:pStyle w:val="ListParagraph"/>
        <w:numPr>
          <w:ilvl w:val="0"/>
          <w:numId w:val="45"/>
        </w:numPr>
        <w:spacing w:after="120"/>
        <w:ind w:left="357" w:hanging="357"/>
        <w:contextualSpacing w:val="0"/>
        <w:rPr>
          <w:b/>
        </w:rPr>
      </w:pPr>
      <w:r w:rsidRPr="00A44E49">
        <w:t>Matters of national environmental significance are dealt with separately and comprehensively in the recommendation report (or equivalent).</w:t>
      </w:r>
      <w:r w:rsidRPr="00904AD1">
        <w:rPr>
          <w:rStyle w:val="EndnoteReference"/>
        </w:rPr>
        <w:endnoteReference w:id="115"/>
      </w:r>
    </w:p>
    <w:p w:rsidR="00053D3F" w:rsidRPr="00A44E49" w:rsidRDefault="00053D3F" w:rsidP="009145A9">
      <w:pPr>
        <w:pStyle w:val="ListParagraph"/>
        <w:numPr>
          <w:ilvl w:val="0"/>
          <w:numId w:val="45"/>
        </w:numPr>
        <w:spacing w:after="120"/>
        <w:ind w:left="357" w:hanging="357"/>
        <w:contextualSpacing w:val="0"/>
        <w:rPr>
          <w:b/>
        </w:rPr>
      </w:pPr>
      <w:r w:rsidRPr="00A44E49">
        <w:t xml:space="preserve">If assessment documentation does not contain sufficient information on the relevant impacts on matters of national environmental significance, decision-makers </w:t>
      </w:r>
      <w:r>
        <w:t xml:space="preserve">are </w:t>
      </w:r>
      <w:r w:rsidRPr="00A44E49">
        <w:t>able to request further information.</w:t>
      </w:r>
      <w:r w:rsidRPr="00904AD1">
        <w:rPr>
          <w:rStyle w:val="EndnoteReference"/>
        </w:rPr>
        <w:endnoteReference w:id="116"/>
      </w:r>
    </w:p>
    <w:p w:rsidR="00053D3F" w:rsidRPr="00A44E49" w:rsidRDefault="00053D3F" w:rsidP="009145A9">
      <w:pPr>
        <w:pStyle w:val="ListParagraph"/>
        <w:numPr>
          <w:ilvl w:val="0"/>
          <w:numId w:val="45"/>
        </w:numPr>
        <w:spacing w:after="120"/>
        <w:ind w:left="357" w:hanging="357"/>
        <w:contextualSpacing w:val="0"/>
        <w:rPr>
          <w:rFonts w:cstheme="minorHAnsi"/>
          <w:b/>
        </w:rPr>
      </w:pPr>
      <w:r w:rsidRPr="00A44E49">
        <w:rPr>
          <w:rFonts w:cstheme="minorHAnsi"/>
        </w:rPr>
        <w:t>Decisions are made on the basis of all relevant information.</w:t>
      </w:r>
      <w:r w:rsidRPr="00904AD1">
        <w:rPr>
          <w:rStyle w:val="EndnoteReference"/>
        </w:rPr>
        <w:endnoteReference w:id="117"/>
      </w:r>
    </w:p>
    <w:p w:rsidR="00053D3F" w:rsidRPr="00A44E49" w:rsidRDefault="00053D3F" w:rsidP="00453A44">
      <w:pPr>
        <w:spacing w:after="120"/>
        <w:rPr>
          <w:rFonts w:cstheme="minorHAnsi"/>
          <w:b/>
          <w:i/>
        </w:rPr>
      </w:pPr>
      <w:r w:rsidRPr="00A44E49">
        <w:rPr>
          <w:rFonts w:cstheme="minorHAnsi"/>
          <w:i/>
        </w:rPr>
        <w:t>Relevant information under the EPBC Act includes:</w:t>
      </w:r>
    </w:p>
    <w:p w:rsidR="00053D3F" w:rsidRPr="00A44E49" w:rsidRDefault="00053D3F" w:rsidP="00453A44">
      <w:pPr>
        <w:pStyle w:val="ListParagraph"/>
        <w:widowControl w:val="0"/>
        <w:numPr>
          <w:ilvl w:val="0"/>
          <w:numId w:val="6"/>
        </w:numPr>
        <w:spacing w:after="120"/>
        <w:ind w:left="1134" w:hanging="425"/>
        <w:contextualSpacing w:val="0"/>
        <w:rPr>
          <w:b/>
          <w:i/>
        </w:rPr>
      </w:pPr>
      <w:r w:rsidRPr="00A44E49">
        <w:rPr>
          <w:i/>
        </w:rPr>
        <w:t>the assessment documentation;</w:t>
      </w:r>
    </w:p>
    <w:p w:rsidR="00053D3F" w:rsidRDefault="00053D3F" w:rsidP="00453A44">
      <w:pPr>
        <w:pStyle w:val="ListParagraph"/>
        <w:widowControl w:val="0"/>
        <w:numPr>
          <w:ilvl w:val="0"/>
          <w:numId w:val="6"/>
        </w:numPr>
        <w:spacing w:after="120"/>
        <w:ind w:left="1134" w:hanging="425"/>
        <w:contextualSpacing w:val="0"/>
        <w:rPr>
          <w:b/>
          <w:i/>
        </w:rPr>
      </w:pPr>
      <w:r w:rsidRPr="00A44E49">
        <w:rPr>
          <w:i/>
        </w:rPr>
        <w:t>a recommendation report (or equivalent) from the government agency supervising the preparation of the assessment documentation</w:t>
      </w:r>
      <w:r>
        <w:rPr>
          <w:i/>
        </w:rPr>
        <w:t>, including information about economic and social matters</w:t>
      </w:r>
      <w:r w:rsidRPr="00A44E49">
        <w:rPr>
          <w:i/>
        </w:rPr>
        <w:t>;</w:t>
      </w:r>
    </w:p>
    <w:p w:rsidR="00053D3F" w:rsidRPr="00A44E49" w:rsidRDefault="00053D3F" w:rsidP="00453A44">
      <w:pPr>
        <w:pStyle w:val="ListParagraph"/>
        <w:widowControl w:val="0"/>
        <w:numPr>
          <w:ilvl w:val="0"/>
          <w:numId w:val="6"/>
        </w:numPr>
        <w:spacing w:after="120"/>
        <w:ind w:left="1134" w:hanging="425"/>
        <w:contextualSpacing w:val="0"/>
        <w:rPr>
          <w:b/>
          <w:bCs/>
          <w:i/>
        </w:rPr>
      </w:pPr>
      <w:proofErr w:type="gramStart"/>
      <w:r w:rsidRPr="00A44E49">
        <w:rPr>
          <w:i/>
        </w:rPr>
        <w:t>any</w:t>
      </w:r>
      <w:proofErr w:type="gramEnd"/>
      <w:r w:rsidRPr="00A44E49">
        <w:rPr>
          <w:i/>
        </w:rPr>
        <w:t xml:space="preserve"> other available and relevant information regarding the impacts the proposed action may have on relevant matters of national environmental significance, such as an expert report commissioned on behalf of the decision-maker.</w:t>
      </w:r>
      <w:r w:rsidRPr="00904AD1">
        <w:rPr>
          <w:rStyle w:val="EndnoteReference"/>
        </w:rPr>
        <w:endnoteReference w:id="118"/>
      </w:r>
    </w:p>
    <w:p w:rsidR="00053D3F" w:rsidRPr="00A44E49" w:rsidRDefault="00053D3F" w:rsidP="009145A9">
      <w:pPr>
        <w:pStyle w:val="ListParagraph"/>
        <w:numPr>
          <w:ilvl w:val="0"/>
          <w:numId w:val="45"/>
        </w:numPr>
        <w:spacing w:after="120"/>
        <w:ind w:left="357" w:hanging="357"/>
        <w:contextualSpacing w:val="0"/>
        <w:rPr>
          <w:rFonts w:cstheme="minorHAnsi"/>
          <w:b/>
          <w:bCs/>
        </w:rPr>
      </w:pPr>
      <w:r w:rsidRPr="00A44E49">
        <w:rPr>
          <w:rFonts w:cstheme="minorHAnsi"/>
        </w:rPr>
        <w:t xml:space="preserve">The decision-maker has regard to the principles of ecologically sustainable development, including the integration of economic, environmental and social </w:t>
      </w:r>
      <w:proofErr w:type="gramStart"/>
      <w:r w:rsidRPr="00A44E49">
        <w:rPr>
          <w:rFonts w:cstheme="minorHAnsi"/>
        </w:rPr>
        <w:t>considerations,</w:t>
      </w:r>
      <w:proofErr w:type="gramEnd"/>
      <w:r w:rsidRPr="00A44E49">
        <w:rPr>
          <w:rFonts w:cstheme="minorHAnsi"/>
        </w:rPr>
        <w:t xml:space="preserve"> the precautionary principle</w:t>
      </w:r>
      <w:r w:rsidRPr="00D771F5">
        <w:rPr>
          <w:rStyle w:val="EndnoteReference"/>
        </w:rPr>
        <w:endnoteReference w:id="119"/>
      </w:r>
      <w:r w:rsidRPr="00A44E49">
        <w:rPr>
          <w:rFonts w:cstheme="minorHAnsi"/>
        </w:rPr>
        <w:t xml:space="preserve"> and the principle that the conservation of biological diversity and </w:t>
      </w:r>
      <w:r w:rsidRPr="00A44E49">
        <w:rPr>
          <w:rFonts w:cstheme="minorHAnsi"/>
        </w:rPr>
        <w:lastRenderedPageBreak/>
        <w:t>ecological integrity should be a fundamental consideration</w:t>
      </w:r>
      <w:r w:rsidRPr="00904AD1">
        <w:rPr>
          <w:rStyle w:val="EndnoteReference"/>
        </w:rPr>
        <w:endnoteReference w:id="120"/>
      </w:r>
      <w:r w:rsidRPr="00A44E49">
        <w:rPr>
          <w:rFonts w:cstheme="minorHAnsi"/>
        </w:rPr>
        <w:t xml:space="preserve"> (see the extract from the Intergovernmental Agreement on the Environment set out at </w:t>
      </w:r>
      <w:r w:rsidRPr="005309FE">
        <w:rPr>
          <w:rFonts w:cstheme="minorHAnsi"/>
          <w:b/>
        </w:rPr>
        <w:t>Attachment K</w:t>
      </w:r>
      <w:r w:rsidRPr="00A44E49">
        <w:rPr>
          <w:rFonts w:cstheme="minorHAnsi"/>
        </w:rPr>
        <w:t>).</w:t>
      </w:r>
    </w:p>
    <w:p w:rsidR="00053D3F" w:rsidRPr="00A44E49" w:rsidRDefault="00053D3F" w:rsidP="009145A9">
      <w:pPr>
        <w:pStyle w:val="ListParagraph"/>
        <w:numPr>
          <w:ilvl w:val="0"/>
          <w:numId w:val="45"/>
        </w:numPr>
        <w:spacing w:after="120"/>
        <w:ind w:left="357" w:hanging="357"/>
        <w:contextualSpacing w:val="0"/>
        <w:rPr>
          <w:rFonts w:cstheme="minorHAnsi"/>
          <w:b/>
          <w:bCs/>
        </w:rPr>
      </w:pPr>
      <w:r w:rsidRPr="00A44E49">
        <w:rPr>
          <w:rFonts w:cstheme="minorHAnsi"/>
        </w:rPr>
        <w:t xml:space="preserve">The decision-maker may consider the environmental history of a person when deciding whether to </w:t>
      </w:r>
      <w:r w:rsidRPr="00A44E49">
        <w:t>grant</w:t>
      </w:r>
      <w:r w:rsidRPr="00A44E49">
        <w:rPr>
          <w:rFonts w:cstheme="minorHAnsi"/>
        </w:rPr>
        <w:t xml:space="preserve"> an approval and attach conditions.</w:t>
      </w:r>
      <w:r w:rsidRPr="00904AD1">
        <w:rPr>
          <w:rStyle w:val="EndnoteReference"/>
        </w:rPr>
        <w:endnoteReference w:id="121"/>
      </w:r>
    </w:p>
    <w:p w:rsidR="00053D3F" w:rsidRPr="00A44E49" w:rsidRDefault="00053D3F" w:rsidP="009145A9">
      <w:pPr>
        <w:pStyle w:val="ListParagraph"/>
        <w:numPr>
          <w:ilvl w:val="0"/>
          <w:numId w:val="45"/>
        </w:numPr>
        <w:spacing w:after="120"/>
        <w:ind w:left="357" w:hanging="357"/>
        <w:contextualSpacing w:val="0"/>
        <w:rPr>
          <w:rFonts w:cstheme="minorHAnsi"/>
          <w:b/>
          <w:bCs/>
        </w:rPr>
      </w:pPr>
      <w:r w:rsidRPr="00A44E49">
        <w:rPr>
          <w:rFonts w:cstheme="minorHAnsi"/>
        </w:rPr>
        <w:t>The decision-maker attaches conditions to an approval if they are necessary or convenient to protect a matter of national environmental significance from avoidable harm or to repair or mitigate damage likely to be caused to a matter of national environmental significance as a result of the action.</w:t>
      </w:r>
      <w:r w:rsidRPr="00904AD1">
        <w:rPr>
          <w:rStyle w:val="EndnoteReference"/>
        </w:rPr>
        <w:endnoteReference w:id="122"/>
      </w:r>
    </w:p>
    <w:p w:rsidR="00053D3F" w:rsidRPr="00A44E49" w:rsidRDefault="00053D3F" w:rsidP="009145A9">
      <w:pPr>
        <w:pStyle w:val="ListParagraph"/>
        <w:numPr>
          <w:ilvl w:val="0"/>
          <w:numId w:val="45"/>
        </w:numPr>
        <w:spacing w:after="120"/>
        <w:ind w:left="357" w:hanging="357"/>
        <w:contextualSpacing w:val="0"/>
        <w:rPr>
          <w:b/>
        </w:rPr>
      </w:pPr>
      <w:r w:rsidRPr="00A44E49">
        <w:t xml:space="preserve">If a proposed variation to an approval </w:t>
      </w:r>
      <w:r w:rsidRPr="00A44E49">
        <w:rPr>
          <w:rFonts w:cstheme="minorHAnsi"/>
        </w:rPr>
        <w:t>would result in a substantial increase or change in the nature of the adverse impacts of the action, the proposed variation will be assessed at an appropriate level as a new proposal.</w:t>
      </w:r>
      <w:r w:rsidRPr="00904AD1">
        <w:rPr>
          <w:rStyle w:val="EndnoteReference"/>
        </w:rPr>
        <w:endnoteReference w:id="123"/>
      </w:r>
    </w:p>
    <w:p w:rsidR="00053D3F" w:rsidRDefault="00053D3F" w:rsidP="00053D3F">
      <w:pPr>
        <w:pStyle w:val="Heading3"/>
      </w:pPr>
      <w:bookmarkStart w:id="69" w:name="_Toc327807501"/>
    </w:p>
    <w:p w:rsidR="00AD535F" w:rsidRPr="00A44E49" w:rsidRDefault="00AD535F" w:rsidP="00053D3F">
      <w:pPr>
        <w:pStyle w:val="Heading3"/>
      </w:pPr>
      <w:bookmarkStart w:id="70" w:name="_Toc339368195"/>
      <w:r w:rsidRPr="00A44E49">
        <w:t>Transparent processes and decisions</w:t>
      </w:r>
      <w:bookmarkEnd w:id="69"/>
      <w:bookmarkEnd w:id="70"/>
    </w:p>
    <w:p w:rsidR="00053D3F" w:rsidRPr="00590286" w:rsidRDefault="00053D3F" w:rsidP="00053D3F">
      <w:pPr>
        <w:keepNext/>
        <w:keepLines/>
        <w:spacing w:after="120"/>
        <w:rPr>
          <w:b/>
          <w:i/>
        </w:rPr>
      </w:pPr>
      <w:r w:rsidRPr="00590286">
        <w:rPr>
          <w:b/>
        </w:rPr>
        <w:t xml:space="preserve">Outcome: </w:t>
      </w:r>
      <w:r w:rsidRPr="00590286">
        <w:rPr>
          <w:b/>
          <w:i/>
        </w:rPr>
        <w:t>Systems are transparent and offer appropriate opportunities for public engagement, and decisions are legally robust.</w:t>
      </w:r>
    </w:p>
    <w:p w:rsidR="00053D3F" w:rsidRPr="00A44E49" w:rsidRDefault="00053D3F" w:rsidP="00053D3F">
      <w:pPr>
        <w:pStyle w:val="Heading4"/>
      </w:pPr>
      <w:r w:rsidRPr="00A44E49">
        <w:t>Standards:</w:t>
      </w:r>
    </w:p>
    <w:p w:rsidR="00053D3F" w:rsidRPr="00925A29" w:rsidRDefault="00053D3F" w:rsidP="009145A9">
      <w:pPr>
        <w:pStyle w:val="ListParagraph"/>
        <w:numPr>
          <w:ilvl w:val="0"/>
          <w:numId w:val="45"/>
        </w:numPr>
        <w:spacing w:after="120"/>
        <w:ind w:left="357" w:hanging="357"/>
        <w:contextualSpacing w:val="0"/>
        <w:rPr>
          <w:b/>
        </w:rPr>
      </w:pPr>
      <w:r w:rsidRPr="00925A29">
        <w:t xml:space="preserve">The accredited process </w:t>
      </w:r>
      <w:r w:rsidR="006A6118">
        <w:t xml:space="preserve">or arrangement </w:t>
      </w:r>
      <w:r w:rsidRPr="00925A29">
        <w:t>must be set out in</w:t>
      </w:r>
      <w:r w:rsidR="006A6118">
        <w:t>, or in force under,</w:t>
      </w:r>
      <w:r w:rsidRPr="00925A29">
        <w:t xml:space="preserve"> a law of the State or Territory.</w:t>
      </w:r>
      <w:r w:rsidRPr="00925A29">
        <w:rPr>
          <w:rStyle w:val="EndnoteReference"/>
        </w:rPr>
        <w:endnoteReference w:id="124"/>
      </w:r>
      <w:r w:rsidRPr="00925A29">
        <w:t xml:space="preserve">   </w:t>
      </w:r>
    </w:p>
    <w:p w:rsidR="00053D3F" w:rsidRPr="00925A29" w:rsidRDefault="00053D3F" w:rsidP="009145A9">
      <w:pPr>
        <w:pStyle w:val="ListParagraph"/>
        <w:numPr>
          <w:ilvl w:val="0"/>
          <w:numId w:val="45"/>
        </w:numPr>
        <w:spacing w:after="120"/>
        <w:ind w:left="357" w:hanging="357"/>
        <w:contextualSpacing w:val="0"/>
        <w:rPr>
          <w:b/>
        </w:rPr>
      </w:pPr>
      <w:r>
        <w:t xml:space="preserve">There </w:t>
      </w:r>
      <w:r w:rsidRPr="00925A29">
        <w:t xml:space="preserve">has been or will be adequate assessment of the impacts on matters of national environmental significance covered by the </w:t>
      </w:r>
      <w:r w:rsidR="00273CA9">
        <w:t xml:space="preserve">bilateral </w:t>
      </w:r>
      <w:r w:rsidRPr="00925A29">
        <w:t>agreement.</w:t>
      </w:r>
      <w:r w:rsidRPr="00925A29">
        <w:rPr>
          <w:rStyle w:val="EndnoteReference"/>
        </w:rPr>
        <w:endnoteReference w:id="125"/>
      </w:r>
    </w:p>
    <w:p w:rsidR="00053D3F" w:rsidRPr="00A44E49" w:rsidRDefault="00053D3F" w:rsidP="009145A9">
      <w:pPr>
        <w:pStyle w:val="ListParagraph"/>
        <w:numPr>
          <w:ilvl w:val="0"/>
          <w:numId w:val="45"/>
        </w:numPr>
        <w:spacing w:after="120"/>
        <w:ind w:left="357" w:hanging="357"/>
        <w:contextualSpacing w:val="0"/>
        <w:rPr>
          <w:b/>
        </w:rPr>
      </w:pPr>
      <w:r w:rsidRPr="00A44E49">
        <w:t>Assessments and decision-making processes engage all stakeholders including governments, t</w:t>
      </w:r>
      <w:r w:rsidR="00AA159B">
        <w:t>he community, land-holders and i</w:t>
      </w:r>
      <w:r w:rsidRPr="00A44E49">
        <w:t>ndigenous peoples.</w:t>
      </w:r>
      <w:r w:rsidRPr="004744BC">
        <w:rPr>
          <w:rStyle w:val="EndnoteReference"/>
        </w:rPr>
        <w:endnoteReference w:id="126"/>
      </w:r>
    </w:p>
    <w:p w:rsidR="000D20CA" w:rsidRPr="000D20CA" w:rsidRDefault="000D20CA" w:rsidP="000D20CA">
      <w:pPr>
        <w:pStyle w:val="ListParagraph"/>
        <w:numPr>
          <w:ilvl w:val="0"/>
          <w:numId w:val="45"/>
        </w:numPr>
        <w:spacing w:after="120"/>
        <w:rPr>
          <w:b/>
        </w:rPr>
      </w:pPr>
      <w:r>
        <w:t>Assessments and decisions recog</w:t>
      </w:r>
      <w:r w:rsidR="00AA159B">
        <w:t>nise the role and interests of i</w:t>
      </w:r>
      <w:r>
        <w:t>ndigenous peoples</w:t>
      </w:r>
      <w:r>
        <w:rPr>
          <w:rStyle w:val="EndnoteReference"/>
        </w:rPr>
        <w:endnoteReference w:id="127"/>
      </w:r>
      <w:r>
        <w:t xml:space="preserve"> in promoting the conservation and ecologically sustainable use of natural resources and p</w:t>
      </w:r>
      <w:r w:rsidR="00AA159B">
        <w:t>romote the co-operative use of i</w:t>
      </w:r>
      <w:r>
        <w:t>ndigenous peoples</w:t>
      </w:r>
      <w:r w:rsidR="004B6EE5">
        <w:t>’</w:t>
      </w:r>
      <w:r>
        <w:t xml:space="preserve"> knowledge of biodiversity</w:t>
      </w:r>
      <w:r>
        <w:rPr>
          <w:rStyle w:val="EndnoteReference"/>
        </w:rPr>
        <w:endnoteReference w:id="128"/>
      </w:r>
      <w:r>
        <w:t xml:space="preserve"> and indigenous heritage.</w:t>
      </w:r>
      <w:r>
        <w:rPr>
          <w:rStyle w:val="EndnoteReference"/>
        </w:rPr>
        <w:endnoteReference w:id="129"/>
      </w:r>
      <w:r>
        <w:t xml:space="preserve"> </w:t>
      </w:r>
    </w:p>
    <w:p w:rsidR="000D20CA" w:rsidRDefault="000D20CA" w:rsidP="000D20CA">
      <w:pPr>
        <w:pStyle w:val="ListParagraph"/>
        <w:spacing w:after="120"/>
        <w:ind w:left="360"/>
        <w:rPr>
          <w:b/>
        </w:rPr>
      </w:pPr>
    </w:p>
    <w:p w:rsidR="00053D3F" w:rsidRDefault="00053D3F" w:rsidP="009145A9">
      <w:pPr>
        <w:pStyle w:val="ListParagraph"/>
        <w:numPr>
          <w:ilvl w:val="0"/>
          <w:numId w:val="45"/>
        </w:numPr>
        <w:spacing w:after="120"/>
        <w:ind w:left="357" w:hanging="357"/>
        <w:contextualSpacing w:val="0"/>
        <w:rPr>
          <w:b/>
        </w:rPr>
      </w:pPr>
      <w:r w:rsidRPr="00A44E49">
        <w:t xml:space="preserve">Decisions are </w:t>
      </w:r>
      <w:r>
        <w:t xml:space="preserve">free from bias, </w:t>
      </w:r>
      <w:r w:rsidRPr="00A44E49">
        <w:t>transparent, consistent and subject to review</w:t>
      </w:r>
      <w:r>
        <w:t xml:space="preserve"> by a court</w:t>
      </w:r>
      <w:r w:rsidRPr="00A44E49">
        <w:t>.</w:t>
      </w:r>
      <w:r w:rsidRPr="00A44E49">
        <w:rPr>
          <w:rStyle w:val="EndnoteReference"/>
        </w:rPr>
        <w:endnoteReference w:id="130"/>
      </w:r>
    </w:p>
    <w:p w:rsidR="00053D3F" w:rsidRPr="00707CB8" w:rsidRDefault="00053D3F" w:rsidP="006F4FA2">
      <w:pPr>
        <w:pStyle w:val="ListParagraph"/>
        <w:numPr>
          <w:ilvl w:val="0"/>
          <w:numId w:val="45"/>
        </w:numPr>
        <w:spacing w:after="120"/>
        <w:contextualSpacing w:val="0"/>
        <w:rPr>
          <w:b/>
        </w:rPr>
      </w:pPr>
      <w:r w:rsidRPr="00A44E49">
        <w:t>There is adequate opportunity for public consultation throughout the assessment and approval process.</w:t>
      </w:r>
      <w:r w:rsidRPr="00B23097">
        <w:rPr>
          <w:rStyle w:val="EndnoteReference"/>
        </w:rPr>
        <w:endnoteReference w:id="131"/>
      </w:r>
      <w:r>
        <w:t xml:space="preserve"> </w:t>
      </w:r>
    </w:p>
    <w:p w:rsidR="00053D3F" w:rsidRPr="00A44E49" w:rsidRDefault="00053D3F" w:rsidP="00053D3F">
      <w:pPr>
        <w:pStyle w:val="Heading4"/>
      </w:pPr>
      <w:r w:rsidRPr="00A44E49">
        <w:t>Considerations for accreditation:</w:t>
      </w:r>
    </w:p>
    <w:p w:rsidR="00053D3F" w:rsidRPr="00A44E49" w:rsidRDefault="00053D3F" w:rsidP="00590286">
      <w:pPr>
        <w:spacing w:after="0"/>
        <w:rPr>
          <w:rFonts w:cstheme="minorHAnsi"/>
          <w:b/>
          <w:i/>
        </w:rPr>
      </w:pPr>
      <w:r w:rsidRPr="00A44E49">
        <w:rPr>
          <w:rFonts w:cstheme="minorHAnsi"/>
          <w:i/>
        </w:rPr>
        <w:t>Independent statutory decision-maker</w:t>
      </w:r>
    </w:p>
    <w:p w:rsidR="00053D3F" w:rsidRPr="00A44E49" w:rsidRDefault="00053D3F" w:rsidP="009145A9">
      <w:pPr>
        <w:pStyle w:val="ListParagraph"/>
        <w:numPr>
          <w:ilvl w:val="0"/>
          <w:numId w:val="45"/>
        </w:numPr>
        <w:spacing w:after="120"/>
        <w:ind w:left="357" w:hanging="357"/>
        <w:contextualSpacing w:val="0"/>
        <w:rPr>
          <w:rFonts w:cstheme="minorHAnsi"/>
          <w:b/>
          <w:bCs/>
        </w:rPr>
      </w:pPr>
      <w:r w:rsidRPr="00A44E49">
        <w:t>The</w:t>
      </w:r>
      <w:r w:rsidRPr="00A44E49">
        <w:rPr>
          <w:rFonts w:cstheme="minorHAnsi"/>
        </w:rPr>
        <w:t xml:space="preserve"> decision-maker makes an independent, statutory decision whether to approve a proposed action based on statutory criteria.</w:t>
      </w:r>
      <w:r w:rsidRPr="00D771F5">
        <w:rPr>
          <w:rStyle w:val="EndnoteReference"/>
        </w:rPr>
        <w:endnoteReference w:id="132"/>
      </w:r>
      <w:r>
        <w:rPr>
          <w:rFonts w:cstheme="minorHAnsi"/>
        </w:rPr>
        <w:t xml:space="preserve"> </w:t>
      </w:r>
      <w:r w:rsidRPr="002C4B72">
        <w:rPr>
          <w:rStyle w:val="EndnoteReference"/>
        </w:rPr>
        <w:t xml:space="preserve"> </w:t>
      </w:r>
      <w:r w:rsidRPr="00A44E49">
        <w:rPr>
          <w:rFonts w:cstheme="minorHAnsi"/>
        </w:rPr>
        <w:t xml:space="preserve"> </w:t>
      </w:r>
    </w:p>
    <w:p w:rsidR="00053D3F" w:rsidRPr="00A44E49" w:rsidRDefault="00053D3F" w:rsidP="00053D3F">
      <w:pPr>
        <w:spacing w:before="240" w:after="0"/>
        <w:rPr>
          <w:b/>
          <w:i/>
        </w:rPr>
      </w:pPr>
      <w:r w:rsidRPr="00A44E49">
        <w:rPr>
          <w:i/>
        </w:rPr>
        <w:t>Public consultation</w:t>
      </w:r>
    </w:p>
    <w:p w:rsidR="00053D3F" w:rsidRPr="00A44E49" w:rsidRDefault="00053D3F" w:rsidP="009145A9">
      <w:pPr>
        <w:pStyle w:val="ListParagraph"/>
        <w:numPr>
          <w:ilvl w:val="0"/>
          <w:numId w:val="45"/>
        </w:numPr>
        <w:spacing w:after="120"/>
        <w:ind w:left="357" w:hanging="357"/>
        <w:contextualSpacing w:val="0"/>
        <w:rPr>
          <w:b/>
        </w:rPr>
      </w:pPr>
      <w:r w:rsidRPr="00A44E49">
        <w:t>The public has access to a comprehensive range of documentation relating to the proposed action.</w:t>
      </w:r>
      <w:r w:rsidRPr="004744BC">
        <w:rPr>
          <w:rStyle w:val="EndnoteReference"/>
        </w:rPr>
        <w:endnoteReference w:id="133"/>
      </w:r>
      <w:r w:rsidRPr="002C4B72">
        <w:rPr>
          <w:rStyle w:val="EndnoteReference"/>
        </w:rPr>
        <w:t xml:space="preserve"> </w:t>
      </w:r>
      <w:r>
        <w:t xml:space="preserve"> </w:t>
      </w:r>
      <w:r w:rsidRPr="00A44E49">
        <w:t>To ensure that documentation relating to matters of national environmental significance is free and easily accessible by all members of the Australian community:</w:t>
      </w:r>
    </w:p>
    <w:p w:rsidR="00053D3F" w:rsidRPr="00453A44" w:rsidRDefault="00053D3F" w:rsidP="009145A9">
      <w:pPr>
        <w:pStyle w:val="ListParagraph"/>
        <w:numPr>
          <w:ilvl w:val="0"/>
          <w:numId w:val="50"/>
        </w:numPr>
        <w:spacing w:after="120"/>
        <w:contextualSpacing w:val="0"/>
        <w:rPr>
          <w:b/>
        </w:rPr>
      </w:pPr>
      <w:r w:rsidRPr="00453A44">
        <w:lastRenderedPageBreak/>
        <w:t>States and Territories publish this documentation on the Internet; and</w:t>
      </w:r>
    </w:p>
    <w:p w:rsidR="00053D3F" w:rsidRPr="00453A44" w:rsidRDefault="00053D3F" w:rsidP="009145A9">
      <w:pPr>
        <w:pStyle w:val="ListParagraph"/>
        <w:numPr>
          <w:ilvl w:val="0"/>
          <w:numId w:val="50"/>
        </w:numPr>
        <w:spacing w:after="120"/>
        <w:contextualSpacing w:val="0"/>
        <w:rPr>
          <w:b/>
        </w:rPr>
      </w:pPr>
      <w:proofErr w:type="gramStart"/>
      <w:r w:rsidRPr="00453A44">
        <w:t>the</w:t>
      </w:r>
      <w:proofErr w:type="gramEnd"/>
      <w:r w:rsidRPr="00453A44">
        <w:t xml:space="preserve"> documentation is also published by the Commonwealth on an appropriate national site.</w:t>
      </w:r>
    </w:p>
    <w:p w:rsidR="00053D3F" w:rsidRPr="00A44E49" w:rsidRDefault="00053D3F" w:rsidP="00453A44">
      <w:pPr>
        <w:spacing w:after="120"/>
        <w:rPr>
          <w:b/>
        </w:rPr>
      </w:pPr>
      <w:r w:rsidRPr="00A44E49">
        <w:rPr>
          <w:i/>
        </w:rPr>
        <w:t>Examples of documentation that may be provided for public consultation include:</w:t>
      </w:r>
    </w:p>
    <w:p w:rsidR="00053D3F" w:rsidRPr="00A44E49" w:rsidRDefault="00053D3F" w:rsidP="00847143">
      <w:pPr>
        <w:pStyle w:val="ListParagraph"/>
        <w:widowControl w:val="0"/>
        <w:numPr>
          <w:ilvl w:val="0"/>
          <w:numId w:val="5"/>
        </w:numPr>
        <w:spacing w:after="120"/>
        <w:ind w:left="714" w:hanging="357"/>
        <w:contextualSpacing w:val="0"/>
        <w:rPr>
          <w:b/>
          <w:i/>
        </w:rPr>
      </w:pPr>
      <w:r w:rsidRPr="00A44E49">
        <w:rPr>
          <w:i/>
        </w:rPr>
        <w:t>initial screening or referral documentation;</w:t>
      </w:r>
      <w:r w:rsidRPr="004744BC">
        <w:rPr>
          <w:rStyle w:val="EndnoteReference"/>
        </w:rPr>
        <w:endnoteReference w:id="134"/>
      </w:r>
    </w:p>
    <w:p w:rsidR="00053D3F" w:rsidRPr="00A44E49" w:rsidRDefault="00053D3F" w:rsidP="00453A44">
      <w:pPr>
        <w:pStyle w:val="ListParagraph"/>
        <w:widowControl w:val="0"/>
        <w:numPr>
          <w:ilvl w:val="0"/>
          <w:numId w:val="5"/>
        </w:numPr>
        <w:spacing w:after="120"/>
        <w:ind w:left="714" w:hanging="357"/>
        <w:contextualSpacing w:val="0"/>
        <w:rPr>
          <w:b/>
          <w:i/>
        </w:rPr>
      </w:pPr>
      <w:r w:rsidRPr="00A44E49">
        <w:rPr>
          <w:i/>
        </w:rPr>
        <w:t>draft guidelines or terms of reference (if applicable);</w:t>
      </w:r>
      <w:r w:rsidRPr="004744BC">
        <w:rPr>
          <w:rStyle w:val="EndnoteReference"/>
        </w:rPr>
        <w:endnoteReference w:id="135"/>
      </w:r>
    </w:p>
    <w:p w:rsidR="00053D3F" w:rsidRPr="00A44E49" w:rsidRDefault="00053D3F" w:rsidP="00453A44">
      <w:pPr>
        <w:pStyle w:val="ListParagraph"/>
        <w:widowControl w:val="0"/>
        <w:numPr>
          <w:ilvl w:val="0"/>
          <w:numId w:val="5"/>
        </w:numPr>
        <w:spacing w:after="120"/>
        <w:ind w:left="714" w:hanging="357"/>
        <w:contextualSpacing w:val="0"/>
        <w:rPr>
          <w:b/>
          <w:i/>
        </w:rPr>
      </w:pPr>
      <w:r w:rsidRPr="00A44E49">
        <w:rPr>
          <w:i/>
        </w:rPr>
        <w:t>assessment documentation (such as draft public environment reports and environmental impact statements);</w:t>
      </w:r>
      <w:r w:rsidR="001055C3" w:rsidRPr="004744BC">
        <w:rPr>
          <w:rStyle w:val="EndnoteReference"/>
        </w:rPr>
        <w:endnoteReference w:id="136"/>
      </w:r>
      <w:r>
        <w:rPr>
          <w:i/>
        </w:rPr>
        <w:t xml:space="preserve"> and</w:t>
      </w:r>
    </w:p>
    <w:p w:rsidR="00053D3F" w:rsidRPr="00A44E49" w:rsidRDefault="00053D3F" w:rsidP="00847143">
      <w:pPr>
        <w:pStyle w:val="ListParagraph"/>
        <w:widowControl w:val="0"/>
        <w:numPr>
          <w:ilvl w:val="0"/>
          <w:numId w:val="5"/>
        </w:numPr>
        <w:spacing w:after="120"/>
        <w:ind w:left="714" w:hanging="357"/>
        <w:contextualSpacing w:val="0"/>
        <w:rPr>
          <w:b/>
          <w:i/>
        </w:rPr>
      </w:pPr>
      <w:proofErr w:type="gramStart"/>
      <w:r w:rsidRPr="00A44E49">
        <w:rPr>
          <w:i/>
        </w:rPr>
        <w:t>proposed</w:t>
      </w:r>
      <w:proofErr w:type="gramEnd"/>
      <w:r w:rsidRPr="00A44E49">
        <w:rPr>
          <w:i/>
        </w:rPr>
        <w:t xml:space="preserve"> approval decisions and conditions.</w:t>
      </w:r>
      <w:r w:rsidRPr="004744BC">
        <w:rPr>
          <w:rStyle w:val="EndnoteReference"/>
        </w:rPr>
        <w:endnoteReference w:id="137"/>
      </w:r>
    </w:p>
    <w:p w:rsidR="00053D3F" w:rsidRPr="00A44E49" w:rsidRDefault="00053D3F" w:rsidP="009145A9">
      <w:pPr>
        <w:pStyle w:val="ListParagraph"/>
        <w:numPr>
          <w:ilvl w:val="0"/>
          <w:numId w:val="45"/>
        </w:numPr>
        <w:spacing w:after="120"/>
        <w:ind w:left="357" w:hanging="357"/>
        <w:contextualSpacing w:val="0"/>
        <w:rPr>
          <w:b/>
        </w:rPr>
      </w:pPr>
      <w:r w:rsidRPr="00A44E49">
        <w:t>Special provision is made for groups with particular communication needs.</w:t>
      </w:r>
      <w:r w:rsidRPr="004744BC">
        <w:rPr>
          <w:rStyle w:val="EndnoteReference"/>
        </w:rPr>
        <w:endnoteReference w:id="138"/>
      </w:r>
    </w:p>
    <w:p w:rsidR="00053D3F" w:rsidRPr="00A44E49" w:rsidRDefault="00053D3F" w:rsidP="009145A9">
      <w:pPr>
        <w:pStyle w:val="ListParagraph"/>
        <w:numPr>
          <w:ilvl w:val="0"/>
          <w:numId w:val="45"/>
        </w:numPr>
        <w:spacing w:after="120"/>
        <w:ind w:left="357" w:hanging="357"/>
        <w:contextualSpacing w:val="0"/>
        <w:rPr>
          <w:b/>
        </w:rPr>
      </w:pPr>
      <w:r w:rsidRPr="00A44E49">
        <w:t xml:space="preserve">The public </w:t>
      </w:r>
      <w:r w:rsidR="00CD2ACA">
        <w:t>is</w:t>
      </w:r>
      <w:r w:rsidRPr="00A44E49">
        <w:t xml:space="preserve"> given sufficient time to provide comment on the documentation.</w:t>
      </w:r>
      <w:r w:rsidRPr="004744BC">
        <w:rPr>
          <w:rStyle w:val="EndnoteReference"/>
        </w:rPr>
        <w:endnoteReference w:id="139"/>
      </w:r>
    </w:p>
    <w:p w:rsidR="00053D3F" w:rsidRPr="00A44E49" w:rsidRDefault="00053D3F" w:rsidP="009145A9">
      <w:pPr>
        <w:pStyle w:val="ListParagraph"/>
        <w:numPr>
          <w:ilvl w:val="0"/>
          <w:numId w:val="45"/>
        </w:numPr>
        <w:spacing w:after="120"/>
        <w:ind w:left="357" w:hanging="357"/>
        <w:contextualSpacing w:val="0"/>
        <w:rPr>
          <w:b/>
        </w:rPr>
      </w:pPr>
      <w:r w:rsidRPr="00A44E49">
        <w:t>Public comments are incorporated into the assessment and considered by the decision</w:t>
      </w:r>
      <w:r w:rsidRPr="00A44E49">
        <w:noBreakHyphen/>
      </w:r>
      <w:proofErr w:type="spellStart"/>
      <w:r w:rsidRPr="00A44E49">
        <w:t>maker</w:t>
      </w:r>
      <w:proofErr w:type="spellEnd"/>
      <w:r w:rsidRPr="00A44E49">
        <w:t>.</w:t>
      </w:r>
      <w:r w:rsidRPr="004744BC">
        <w:rPr>
          <w:rStyle w:val="EndnoteReference"/>
        </w:rPr>
        <w:endnoteReference w:id="140"/>
      </w:r>
      <w:r w:rsidRPr="00A44E49">
        <w:t xml:space="preserve"> </w:t>
      </w:r>
    </w:p>
    <w:p w:rsidR="00053D3F" w:rsidRPr="00053D3F" w:rsidRDefault="00053D3F" w:rsidP="00053D3F">
      <w:pPr>
        <w:pStyle w:val="ListParagraph"/>
        <w:numPr>
          <w:ilvl w:val="0"/>
          <w:numId w:val="45"/>
        </w:numPr>
        <w:spacing w:after="120"/>
        <w:ind w:left="357" w:hanging="357"/>
        <w:contextualSpacing w:val="0"/>
        <w:rPr>
          <w:b/>
        </w:rPr>
      </w:pPr>
      <w:r w:rsidRPr="0082317F">
        <w:rPr>
          <w:rFonts w:cstheme="minorHAnsi"/>
        </w:rPr>
        <w:t>States</w:t>
      </w:r>
      <w:r w:rsidRPr="00A44E49">
        <w:t xml:space="preserve"> and Territories have appropriate mechanisms for engaging with Indigenous peoples regarding assessment and approval of proposed actions.</w:t>
      </w:r>
      <w:r w:rsidRPr="004744BC">
        <w:rPr>
          <w:rStyle w:val="EndnoteReference"/>
        </w:rPr>
        <w:endnoteReference w:id="141"/>
      </w:r>
    </w:p>
    <w:p w:rsidR="00053D3F" w:rsidRPr="00A44E49" w:rsidRDefault="00053D3F" w:rsidP="00053D3F">
      <w:pPr>
        <w:spacing w:before="240" w:after="0"/>
        <w:rPr>
          <w:b/>
          <w:i/>
        </w:rPr>
      </w:pPr>
      <w:r w:rsidRPr="00A44E49">
        <w:rPr>
          <w:i/>
        </w:rPr>
        <w:t>Transparency of decision-making</w:t>
      </w:r>
    </w:p>
    <w:p w:rsidR="00053D3F" w:rsidRPr="00A44E49" w:rsidRDefault="00053D3F" w:rsidP="009145A9">
      <w:pPr>
        <w:pStyle w:val="ListParagraph"/>
        <w:numPr>
          <w:ilvl w:val="0"/>
          <w:numId w:val="45"/>
        </w:numPr>
        <w:spacing w:after="120"/>
        <w:ind w:left="357" w:hanging="357"/>
        <w:contextualSpacing w:val="0"/>
        <w:rPr>
          <w:b/>
        </w:rPr>
      </w:pPr>
      <w:r w:rsidRPr="00A44E49">
        <w:t xml:space="preserve">All decisions and the material on which they are based are published on the Internet as soon as practicable after being made and are also published by the Commonwealth on an appropriate national </w:t>
      </w:r>
      <w:r w:rsidR="00272E65">
        <w:t>web</w:t>
      </w:r>
      <w:r w:rsidRPr="00A44E49">
        <w:t>site.</w:t>
      </w:r>
      <w:r w:rsidRPr="004744BC">
        <w:rPr>
          <w:rStyle w:val="EndnoteReference"/>
        </w:rPr>
        <w:endnoteReference w:id="142"/>
      </w:r>
    </w:p>
    <w:p w:rsidR="00053D3F" w:rsidRPr="00A44E49" w:rsidRDefault="00053D3F" w:rsidP="009145A9">
      <w:pPr>
        <w:pStyle w:val="ListParagraph"/>
        <w:numPr>
          <w:ilvl w:val="0"/>
          <w:numId w:val="45"/>
        </w:numPr>
        <w:spacing w:after="120"/>
        <w:ind w:left="357" w:hanging="357"/>
        <w:contextualSpacing w:val="0"/>
        <w:rPr>
          <w:b/>
        </w:rPr>
      </w:pPr>
      <w:r w:rsidRPr="00A44E49">
        <w:t>Statements of reasons are made available, on request from an aggrieved party, for:</w:t>
      </w:r>
    </w:p>
    <w:p w:rsidR="00053D3F" w:rsidRPr="00A44E49" w:rsidRDefault="00053D3F" w:rsidP="009145A9">
      <w:pPr>
        <w:pStyle w:val="ListParagraph"/>
        <w:numPr>
          <w:ilvl w:val="0"/>
          <w:numId w:val="51"/>
        </w:numPr>
        <w:spacing w:after="120"/>
        <w:contextualSpacing w:val="0"/>
        <w:rPr>
          <w:b/>
        </w:rPr>
      </w:pPr>
      <w:r w:rsidRPr="00A44E49">
        <w:t>decisions on whether a proposed action is likely to have a significant impact on a matter of national environmental significance; and</w:t>
      </w:r>
    </w:p>
    <w:p w:rsidR="00053D3F" w:rsidRPr="0002375F" w:rsidRDefault="00053D3F" w:rsidP="009145A9">
      <w:pPr>
        <w:pStyle w:val="ListParagraph"/>
        <w:numPr>
          <w:ilvl w:val="0"/>
          <w:numId w:val="51"/>
        </w:numPr>
        <w:spacing w:after="120"/>
        <w:contextualSpacing w:val="0"/>
        <w:rPr>
          <w:b/>
        </w:rPr>
      </w:pPr>
      <w:proofErr w:type="gramStart"/>
      <w:r w:rsidRPr="00A44E49">
        <w:t>decisions</w:t>
      </w:r>
      <w:proofErr w:type="gramEnd"/>
      <w:r w:rsidRPr="00A44E49">
        <w:t xml:space="preserve"> on whether actions should be approved and, if so, what conditions should be attached.</w:t>
      </w:r>
      <w:r w:rsidRPr="004744BC">
        <w:rPr>
          <w:rStyle w:val="EndnoteReference"/>
        </w:rPr>
        <w:endnoteReference w:id="143"/>
      </w:r>
    </w:p>
    <w:p w:rsidR="00053D3F" w:rsidRPr="00A44E49" w:rsidRDefault="00053D3F" w:rsidP="009145A9">
      <w:pPr>
        <w:pStyle w:val="ListParagraph"/>
        <w:numPr>
          <w:ilvl w:val="0"/>
          <w:numId w:val="45"/>
        </w:numPr>
        <w:spacing w:after="120"/>
        <w:ind w:left="357" w:hanging="357"/>
        <w:contextualSpacing w:val="0"/>
      </w:pPr>
      <w:r w:rsidRPr="00A44E49">
        <w:t xml:space="preserve">Policy documents informing decision-makers </w:t>
      </w:r>
      <w:r>
        <w:t>are</w:t>
      </w:r>
      <w:r w:rsidRPr="00A44E49">
        <w:t xml:space="preserve"> published.</w:t>
      </w:r>
      <w:r w:rsidRPr="004744BC">
        <w:rPr>
          <w:rStyle w:val="EndnoteReference"/>
        </w:rPr>
        <w:endnoteReference w:id="144"/>
      </w:r>
    </w:p>
    <w:p w:rsidR="00053D3F" w:rsidRPr="00A44E49" w:rsidRDefault="00053D3F" w:rsidP="00053D3F">
      <w:pPr>
        <w:spacing w:before="240" w:after="0"/>
        <w:rPr>
          <w:b/>
          <w:i/>
        </w:rPr>
      </w:pPr>
      <w:r>
        <w:rPr>
          <w:i/>
        </w:rPr>
        <w:t>R</w:t>
      </w:r>
      <w:r w:rsidRPr="00A44E49">
        <w:rPr>
          <w:i/>
        </w:rPr>
        <w:t>eview</w:t>
      </w:r>
      <w:r>
        <w:rPr>
          <w:i/>
        </w:rPr>
        <w:t xml:space="preserve"> by courts</w:t>
      </w:r>
    </w:p>
    <w:p w:rsidR="00053D3F" w:rsidRPr="00A44E49" w:rsidRDefault="00053D3F" w:rsidP="002558DF">
      <w:pPr>
        <w:pStyle w:val="ListParagraph"/>
        <w:numPr>
          <w:ilvl w:val="0"/>
          <w:numId w:val="45"/>
        </w:numPr>
        <w:spacing w:after="120"/>
        <w:ind w:left="357" w:hanging="357"/>
        <w:contextualSpacing w:val="0"/>
        <w:rPr>
          <w:b/>
        </w:rPr>
      </w:pPr>
      <w:r w:rsidRPr="00A44E49">
        <w:t xml:space="preserve">There are rights of </w:t>
      </w:r>
      <w:r>
        <w:t>review by courts together with</w:t>
      </w:r>
      <w:r w:rsidRPr="00A44E49">
        <w:t xml:space="preserve"> extended standing under State or Territory law </w:t>
      </w:r>
      <w:r>
        <w:t xml:space="preserve">at least </w:t>
      </w:r>
      <w:r w:rsidRPr="00A44E49">
        <w:t>equivalent to those existing for decisions under the EPBC Act.</w:t>
      </w:r>
      <w:r w:rsidRPr="004744BC">
        <w:rPr>
          <w:rStyle w:val="EndnoteReference"/>
        </w:rPr>
        <w:endnoteReference w:id="145"/>
      </w:r>
    </w:p>
    <w:p w:rsidR="00AD535F" w:rsidRPr="00A44E49" w:rsidRDefault="00AD535F" w:rsidP="009145A9">
      <w:pPr>
        <w:pStyle w:val="Heading1"/>
        <w:numPr>
          <w:ilvl w:val="0"/>
          <w:numId w:val="43"/>
        </w:numPr>
        <w:spacing w:after="240"/>
      </w:pPr>
      <w:bookmarkStart w:id="71" w:name="_Toc328503767"/>
      <w:bookmarkStart w:id="72" w:name="_Toc327900139"/>
      <w:bookmarkStart w:id="73" w:name="_Toc327274256"/>
      <w:bookmarkStart w:id="74" w:name="_Toc327807503"/>
      <w:bookmarkStart w:id="75" w:name="_Toc339368196"/>
      <w:r>
        <w:t>Standards for a</w:t>
      </w:r>
      <w:r w:rsidRPr="00A44E49">
        <w:t>ssurance</w:t>
      </w:r>
      <w:bookmarkEnd w:id="71"/>
      <w:bookmarkEnd w:id="72"/>
      <w:bookmarkEnd w:id="73"/>
      <w:bookmarkEnd w:id="74"/>
      <w:bookmarkEnd w:id="75"/>
    </w:p>
    <w:p w:rsidR="00AD535F" w:rsidRPr="00A44E49" w:rsidRDefault="00AD535F" w:rsidP="00590286">
      <w:pPr>
        <w:pStyle w:val="ListParagraph"/>
        <w:numPr>
          <w:ilvl w:val="0"/>
          <w:numId w:val="45"/>
        </w:numPr>
        <w:spacing w:after="120"/>
        <w:ind w:left="357" w:hanging="357"/>
        <w:contextualSpacing w:val="0"/>
      </w:pPr>
      <w:r w:rsidRPr="00A44E49">
        <w:t xml:space="preserve">Robust assurance mechanisms are important to give the Commonwealth Government and the Australian public confidence in the capacity of bilateral arrangements to </w:t>
      </w:r>
      <w:r w:rsidR="00273CA9">
        <w:t xml:space="preserve">achieve their stated outcomes. </w:t>
      </w:r>
      <w:r w:rsidR="00272E65">
        <w:t xml:space="preserve"> </w:t>
      </w:r>
      <w:r w:rsidRPr="00A44E49">
        <w:t>These mechanisms include monitoring, reporting, compliance</w:t>
      </w:r>
      <w:r>
        <w:t xml:space="preserve"> and</w:t>
      </w:r>
      <w:r w:rsidRPr="00A44E49">
        <w:t xml:space="preserve"> review, together with processes under the EPBC Act for revo</w:t>
      </w:r>
      <w:r w:rsidR="00273CA9">
        <w:t xml:space="preserve">king or suspending agreements. </w:t>
      </w:r>
      <w:r w:rsidR="00272E65">
        <w:t xml:space="preserve"> </w:t>
      </w:r>
      <w:r w:rsidRPr="00A44E49">
        <w:t xml:space="preserve">Assurance can also be supported through exchange of data, shared analysis and joint development of responses to adverse trends.  </w:t>
      </w:r>
    </w:p>
    <w:p w:rsidR="00AD535F" w:rsidRPr="00A44E49" w:rsidRDefault="00AD535F" w:rsidP="00590286">
      <w:pPr>
        <w:pStyle w:val="ListParagraph"/>
        <w:numPr>
          <w:ilvl w:val="0"/>
          <w:numId w:val="45"/>
        </w:numPr>
        <w:spacing w:after="120"/>
        <w:ind w:left="357" w:hanging="357"/>
        <w:contextualSpacing w:val="0"/>
      </w:pPr>
      <w:r w:rsidRPr="00A44E49">
        <w:lastRenderedPageBreak/>
        <w:t>The standards below should be read in the context of the Commonwealth’s proposals for ‘</w:t>
      </w:r>
      <w:r>
        <w:t xml:space="preserve">Approach to </w:t>
      </w:r>
      <w:r w:rsidRPr="00A44E49">
        <w:t xml:space="preserve">Standards for Accreditation’ in section 3 above.  </w:t>
      </w:r>
    </w:p>
    <w:p w:rsidR="00053D3F" w:rsidRDefault="00995C62" w:rsidP="00995C62">
      <w:pPr>
        <w:pStyle w:val="Heading3"/>
        <w:spacing w:before="360"/>
      </w:pPr>
      <w:bookmarkStart w:id="76" w:name="_Toc339368197"/>
      <w:r>
        <w:t>Assurance</w:t>
      </w:r>
      <w:bookmarkEnd w:id="76"/>
    </w:p>
    <w:p w:rsidR="00053D3F" w:rsidRPr="00590286" w:rsidRDefault="00273CA9" w:rsidP="00053D3F">
      <w:pPr>
        <w:rPr>
          <w:b/>
        </w:rPr>
      </w:pPr>
      <w:r>
        <w:rPr>
          <w:b/>
        </w:rPr>
        <w:t xml:space="preserve">Outcome: </w:t>
      </w:r>
      <w:r w:rsidR="00053D3F" w:rsidRPr="00590286">
        <w:rPr>
          <w:rFonts w:cs="Arial"/>
          <w:b/>
          <w:i/>
        </w:rPr>
        <w:t xml:space="preserve">The bilateral agreement must include assurance mechanisms so that governments and the community will know that the standards for accreditation, together with environmental outcomes, are maintained. </w:t>
      </w:r>
    </w:p>
    <w:p w:rsidR="00053D3F" w:rsidRPr="00A44E49" w:rsidRDefault="00053D3F" w:rsidP="00053D3F">
      <w:pPr>
        <w:pStyle w:val="Heading4"/>
      </w:pPr>
      <w:r w:rsidRPr="00A44E49">
        <w:t>Standards:</w:t>
      </w:r>
    </w:p>
    <w:p w:rsidR="00053D3F" w:rsidRDefault="00053D3F" w:rsidP="00590286">
      <w:pPr>
        <w:spacing w:after="0"/>
        <w:rPr>
          <w:b/>
          <w:i/>
        </w:rPr>
      </w:pPr>
      <w:r w:rsidRPr="00A44E49">
        <w:rPr>
          <w:i/>
        </w:rPr>
        <w:t>Review and audit</w:t>
      </w:r>
    </w:p>
    <w:p w:rsidR="00053D3F" w:rsidRPr="00A44E49" w:rsidRDefault="00053D3F" w:rsidP="009145A9">
      <w:pPr>
        <w:pStyle w:val="ListParagraph"/>
        <w:numPr>
          <w:ilvl w:val="0"/>
          <w:numId w:val="45"/>
        </w:numPr>
        <w:spacing w:after="120"/>
        <w:ind w:left="357" w:hanging="357"/>
        <w:contextualSpacing w:val="0"/>
        <w:rPr>
          <w:b/>
        </w:rPr>
      </w:pPr>
      <w:r w:rsidRPr="00A44E49">
        <w:t>A bilateral agreement must be reviewed at least once every 5 years while it is in effect</w:t>
      </w:r>
      <w:r w:rsidRPr="004744BC">
        <w:rPr>
          <w:rStyle w:val="EndnoteReference"/>
        </w:rPr>
        <w:endnoteReference w:id="146"/>
      </w:r>
      <w:r w:rsidRPr="00A44E49">
        <w:t xml:space="preserve"> and may include provisions for review of all or part of the agreement.</w:t>
      </w:r>
      <w:r w:rsidRPr="004744BC">
        <w:rPr>
          <w:rStyle w:val="EndnoteReference"/>
        </w:rPr>
        <w:endnoteReference w:id="147"/>
      </w:r>
    </w:p>
    <w:p w:rsidR="00053D3F" w:rsidRPr="00A44E49" w:rsidRDefault="00053D3F" w:rsidP="009145A9">
      <w:pPr>
        <w:pStyle w:val="ListParagraph"/>
        <w:numPr>
          <w:ilvl w:val="0"/>
          <w:numId w:val="45"/>
        </w:numPr>
        <w:spacing w:after="120"/>
        <w:ind w:left="357" w:hanging="357"/>
        <w:contextualSpacing w:val="0"/>
        <w:rPr>
          <w:b/>
        </w:rPr>
      </w:pPr>
      <w:r w:rsidRPr="00A44E49">
        <w:t>Bilateral agreements m</w:t>
      </w:r>
      <w:r>
        <w:t>ust</w:t>
      </w:r>
      <w:r w:rsidRPr="00A44E49">
        <w:t xml:space="preserve"> include provisions for auditing and monitoring on the operation and effectiveness of all or part of the agreement</w:t>
      </w:r>
      <w:r w:rsidRPr="004744BC">
        <w:rPr>
          <w:rStyle w:val="EndnoteReference"/>
        </w:rPr>
        <w:endnoteReference w:id="148"/>
      </w:r>
      <w:r w:rsidRPr="002C4B72">
        <w:rPr>
          <w:rStyle w:val="EndnoteReference"/>
        </w:rPr>
        <w:t xml:space="preserve"> </w:t>
      </w:r>
      <w:r w:rsidRPr="00A44E49">
        <w:t xml:space="preserve">and must include a provision recognising that, under the </w:t>
      </w:r>
      <w:r w:rsidRPr="00A44E49">
        <w:rPr>
          <w:i/>
        </w:rPr>
        <w:t xml:space="preserve">Auditor-General Act 1997 </w:t>
      </w:r>
      <w:r w:rsidRPr="00A44E49">
        <w:t>(</w:t>
      </w:r>
      <w:proofErr w:type="spellStart"/>
      <w:r w:rsidRPr="00A44E49">
        <w:t>Cth</w:t>
      </w:r>
      <w:proofErr w:type="spellEnd"/>
      <w:r w:rsidRPr="00A44E49">
        <w:t>), the Auditor-General may audit the operations of the Commonwealth public sector.</w:t>
      </w:r>
      <w:r w:rsidRPr="004744BC">
        <w:rPr>
          <w:rStyle w:val="EndnoteReference"/>
        </w:rPr>
        <w:endnoteReference w:id="149"/>
      </w:r>
    </w:p>
    <w:p w:rsidR="00053D3F" w:rsidRPr="00A44E49" w:rsidRDefault="00053D3F" w:rsidP="00053D3F">
      <w:pPr>
        <w:spacing w:before="240" w:after="0"/>
        <w:rPr>
          <w:b/>
          <w:i/>
        </w:rPr>
      </w:pPr>
      <w:r w:rsidRPr="00A44E49">
        <w:rPr>
          <w:i/>
        </w:rPr>
        <w:t>Reporting</w:t>
      </w:r>
    </w:p>
    <w:p w:rsidR="00053D3F" w:rsidRPr="00A44E49" w:rsidRDefault="00053D3F" w:rsidP="009145A9">
      <w:pPr>
        <w:pStyle w:val="ListParagraph"/>
        <w:numPr>
          <w:ilvl w:val="0"/>
          <w:numId w:val="45"/>
        </w:numPr>
        <w:spacing w:after="120"/>
        <w:ind w:left="357" w:hanging="357"/>
        <w:contextualSpacing w:val="0"/>
        <w:rPr>
          <w:b/>
        </w:rPr>
      </w:pPr>
      <w:r w:rsidRPr="00A44E49">
        <w:t>A report of the reviews required under the EPBC Act must be provided to the relevant Minister of the State or Territory, and must be published.</w:t>
      </w:r>
      <w:r w:rsidRPr="004744BC">
        <w:rPr>
          <w:rStyle w:val="EndnoteReference"/>
        </w:rPr>
        <w:endnoteReference w:id="150"/>
      </w:r>
      <w:r w:rsidRPr="002C4B72">
        <w:rPr>
          <w:rStyle w:val="EndnoteReference"/>
        </w:rPr>
        <w:t xml:space="preserve"> </w:t>
      </w:r>
      <w:r w:rsidRPr="00A44E49">
        <w:t xml:space="preserve"> </w:t>
      </w:r>
    </w:p>
    <w:p w:rsidR="00053D3F" w:rsidRPr="00A44E49" w:rsidRDefault="00053D3F" w:rsidP="009145A9">
      <w:pPr>
        <w:pStyle w:val="ListParagraph"/>
        <w:numPr>
          <w:ilvl w:val="0"/>
          <w:numId w:val="45"/>
        </w:numPr>
        <w:spacing w:after="120"/>
        <w:ind w:left="357" w:hanging="357"/>
        <w:contextualSpacing w:val="0"/>
        <w:rPr>
          <w:b/>
        </w:rPr>
      </w:pPr>
      <w:r w:rsidRPr="00A44E49">
        <w:t>The States and Territories provide information to allow the Commonwealth to meet its annual reporting obligations under the EPBC Act,</w:t>
      </w:r>
      <w:r w:rsidRPr="00887B4B">
        <w:rPr>
          <w:rStyle w:val="EndnoteReference"/>
        </w:rPr>
        <w:endnoteReference w:id="151"/>
      </w:r>
      <w:r w:rsidRPr="00A44E49">
        <w:t xml:space="preserve"> including an analysis of how bilateral agreements have </w:t>
      </w:r>
      <w:r>
        <w:t>been implemented</w:t>
      </w:r>
      <w:r w:rsidRPr="00A44E49">
        <w:t>.</w:t>
      </w:r>
      <w:r w:rsidRPr="004744BC">
        <w:rPr>
          <w:rStyle w:val="EndnoteReference"/>
        </w:rPr>
        <w:endnoteReference w:id="152"/>
      </w:r>
    </w:p>
    <w:p w:rsidR="00053D3F" w:rsidRPr="00A44E49" w:rsidRDefault="00053D3F" w:rsidP="00053D3F">
      <w:pPr>
        <w:spacing w:before="240" w:after="0"/>
        <w:rPr>
          <w:b/>
          <w:i/>
        </w:rPr>
      </w:pPr>
      <w:r w:rsidRPr="00A44E49">
        <w:rPr>
          <w:i/>
        </w:rPr>
        <w:t>Information exchange</w:t>
      </w:r>
    </w:p>
    <w:p w:rsidR="00053D3F" w:rsidRDefault="00053D3F" w:rsidP="009145A9">
      <w:pPr>
        <w:pStyle w:val="ListParagraph"/>
        <w:numPr>
          <w:ilvl w:val="0"/>
          <w:numId w:val="45"/>
        </w:numPr>
        <w:spacing w:after="120"/>
        <w:ind w:left="357" w:hanging="357"/>
        <w:contextualSpacing w:val="0"/>
        <w:rPr>
          <w:b/>
        </w:rPr>
      </w:pPr>
      <w:r w:rsidRPr="00A44E49">
        <w:t>Bilateral agreements include provisions for the provision of information by one party to the other.</w:t>
      </w:r>
      <w:r w:rsidRPr="004744BC">
        <w:rPr>
          <w:rStyle w:val="EndnoteReference"/>
        </w:rPr>
        <w:endnoteReference w:id="153"/>
      </w:r>
      <w:r w:rsidRPr="00A44E49">
        <w:t xml:space="preserve"> </w:t>
      </w:r>
    </w:p>
    <w:p w:rsidR="00053D3F" w:rsidRPr="003C553B" w:rsidRDefault="00053D3F" w:rsidP="00053D3F">
      <w:pPr>
        <w:spacing w:before="240" w:after="0"/>
        <w:rPr>
          <w:b/>
          <w:i/>
        </w:rPr>
      </w:pPr>
      <w:r w:rsidRPr="004D59D2">
        <w:rPr>
          <w:i/>
        </w:rPr>
        <w:t>Compliance Role of States and Territories</w:t>
      </w:r>
    </w:p>
    <w:p w:rsidR="00053D3F" w:rsidRPr="00A44E49" w:rsidRDefault="00053D3F" w:rsidP="009145A9">
      <w:pPr>
        <w:pStyle w:val="ListParagraph"/>
        <w:numPr>
          <w:ilvl w:val="0"/>
          <w:numId w:val="45"/>
        </w:numPr>
        <w:spacing w:after="120"/>
        <w:ind w:left="357" w:hanging="357"/>
        <w:contextualSpacing w:val="0"/>
        <w:rPr>
          <w:b/>
        </w:rPr>
      </w:pPr>
      <w:r w:rsidRPr="00A44E49">
        <w:t>States and Territories maintain an appropriate system to ensure compliance by proponents with conditions of approval that relate to matters of national environmental significance.</w:t>
      </w:r>
    </w:p>
    <w:p w:rsidR="00053D3F" w:rsidRPr="00870976" w:rsidRDefault="00053D3F" w:rsidP="00053D3F">
      <w:pPr>
        <w:spacing w:before="240" w:after="0"/>
        <w:rPr>
          <w:b/>
          <w:bCs/>
        </w:rPr>
      </w:pPr>
      <w:r w:rsidRPr="00A44E49">
        <w:rPr>
          <w:i/>
        </w:rPr>
        <w:t>Suspension or revocation</w:t>
      </w:r>
    </w:p>
    <w:p w:rsidR="00053D3F" w:rsidRPr="00A44E49" w:rsidRDefault="00053D3F" w:rsidP="009145A9">
      <w:pPr>
        <w:pStyle w:val="ListParagraph"/>
        <w:numPr>
          <w:ilvl w:val="0"/>
          <w:numId w:val="45"/>
        </w:numPr>
        <w:spacing w:after="120"/>
        <w:ind w:left="357" w:hanging="357"/>
        <w:contextualSpacing w:val="0"/>
        <w:rPr>
          <w:b/>
          <w:lang w:eastAsia="en-AU"/>
        </w:rPr>
      </w:pPr>
      <w:r w:rsidRPr="00A44E49">
        <w:rPr>
          <w:lang w:eastAsia="en-AU"/>
        </w:rPr>
        <w:t>Agreements include proportional measures to escalate and resolve non-compliance with the agreement, and disputes arising under the agreement.</w:t>
      </w:r>
      <w:r>
        <w:rPr>
          <w:rStyle w:val="EndnoteReference"/>
          <w:lang w:eastAsia="en-AU"/>
        </w:rPr>
        <w:endnoteReference w:id="154"/>
      </w:r>
    </w:p>
    <w:p w:rsidR="00053D3F" w:rsidRPr="00A44E49" w:rsidRDefault="00053D3F" w:rsidP="00053D3F">
      <w:pPr>
        <w:pStyle w:val="Heading4"/>
      </w:pPr>
      <w:r>
        <w:t>C</w:t>
      </w:r>
      <w:r w:rsidRPr="00A44E49">
        <w:t>onsiderations for accreditation:</w:t>
      </w:r>
    </w:p>
    <w:p w:rsidR="00053D3F" w:rsidRPr="00A44E49" w:rsidRDefault="00053D3F" w:rsidP="00590286">
      <w:pPr>
        <w:spacing w:after="0"/>
        <w:rPr>
          <w:b/>
          <w:i/>
        </w:rPr>
      </w:pPr>
      <w:r w:rsidRPr="00A44E49">
        <w:rPr>
          <w:i/>
        </w:rPr>
        <w:t>Review and audit</w:t>
      </w:r>
    </w:p>
    <w:p w:rsidR="00053D3F" w:rsidRPr="00A44E49" w:rsidRDefault="00053D3F" w:rsidP="009145A9">
      <w:pPr>
        <w:pStyle w:val="ListParagraph"/>
        <w:numPr>
          <w:ilvl w:val="0"/>
          <w:numId w:val="45"/>
        </w:numPr>
        <w:spacing w:after="120"/>
        <w:ind w:left="357" w:hanging="357"/>
        <w:contextualSpacing w:val="0"/>
        <w:rPr>
          <w:b/>
        </w:rPr>
      </w:pPr>
      <w:r w:rsidRPr="00A44E49">
        <w:t>Administrative arrangements coordinate efficient implementation of the agreement and allow for early discussion regarding implementation.</w:t>
      </w:r>
      <w:r w:rsidRPr="004744BC">
        <w:rPr>
          <w:rStyle w:val="EndnoteReference"/>
        </w:rPr>
        <w:endnoteReference w:id="155"/>
      </w:r>
    </w:p>
    <w:p w:rsidR="00053D3F" w:rsidRPr="00847143" w:rsidRDefault="00053D3F" w:rsidP="009145A9">
      <w:pPr>
        <w:pStyle w:val="ListParagraph"/>
        <w:numPr>
          <w:ilvl w:val="0"/>
          <w:numId w:val="45"/>
        </w:numPr>
        <w:spacing w:after="120"/>
        <w:ind w:left="357" w:hanging="357"/>
        <w:contextualSpacing w:val="0"/>
        <w:rPr>
          <w:b/>
          <w:i/>
        </w:rPr>
      </w:pPr>
      <w:r w:rsidRPr="00A44E49">
        <w:t xml:space="preserve">Agreements provide for review in the first 5 years of operation.  </w:t>
      </w:r>
      <w:r w:rsidRPr="00A44E49">
        <w:rPr>
          <w:i/>
        </w:rPr>
        <w:t xml:space="preserve">For example, agreements could be jointly reviewed 12 months after commencement, to ensure the system is implemented and working effectively. </w:t>
      </w:r>
      <w:r>
        <w:rPr>
          <w:i/>
        </w:rPr>
        <w:t xml:space="preserve"> </w:t>
      </w:r>
      <w:r w:rsidRPr="00A44E49">
        <w:rPr>
          <w:i/>
        </w:rPr>
        <w:t>Agreements could also be reviewed 3 years after commencement, involvi</w:t>
      </w:r>
      <w:r>
        <w:rPr>
          <w:i/>
        </w:rPr>
        <w:t>ng possible third party review.</w:t>
      </w:r>
    </w:p>
    <w:p w:rsidR="00053D3F" w:rsidRPr="00053D3F" w:rsidRDefault="00053D3F" w:rsidP="00053D3F">
      <w:pPr>
        <w:pStyle w:val="ListParagraph"/>
        <w:numPr>
          <w:ilvl w:val="0"/>
          <w:numId w:val="45"/>
        </w:numPr>
        <w:spacing w:after="120"/>
        <w:ind w:left="357" w:hanging="357"/>
        <w:contextualSpacing w:val="0"/>
        <w:rPr>
          <w:b/>
        </w:rPr>
      </w:pPr>
      <w:r w:rsidRPr="00A44E49">
        <w:lastRenderedPageBreak/>
        <w:t>Bilateral agreements provide for regular ongoing review, with provision for review by inde</w:t>
      </w:r>
      <w:r>
        <w:t xml:space="preserve">pendent reviewers or auditors. </w:t>
      </w:r>
    </w:p>
    <w:p w:rsidR="00053D3F" w:rsidRPr="00A44E49" w:rsidRDefault="00053D3F" w:rsidP="00053D3F">
      <w:pPr>
        <w:spacing w:before="240" w:after="0"/>
        <w:rPr>
          <w:i/>
        </w:rPr>
      </w:pPr>
      <w:r w:rsidRPr="00053D3F">
        <w:rPr>
          <w:rFonts w:cstheme="minorHAnsi"/>
          <w:i/>
        </w:rPr>
        <w:t>Information</w:t>
      </w:r>
      <w:r w:rsidRPr="00A44E49">
        <w:rPr>
          <w:i/>
        </w:rPr>
        <w:t xml:space="preserve"> exchange</w:t>
      </w:r>
      <w:r w:rsidRPr="00887B4B">
        <w:rPr>
          <w:rStyle w:val="EndnoteReference"/>
        </w:rPr>
        <w:endnoteReference w:id="156"/>
      </w:r>
    </w:p>
    <w:p w:rsidR="00053D3F" w:rsidRPr="00A44E49" w:rsidRDefault="00053D3F" w:rsidP="009145A9">
      <w:pPr>
        <w:pStyle w:val="ListParagraph"/>
        <w:numPr>
          <w:ilvl w:val="0"/>
          <w:numId w:val="45"/>
        </w:numPr>
        <w:spacing w:after="120"/>
        <w:ind w:left="357" w:hanging="357"/>
        <w:contextualSpacing w:val="0"/>
        <w:rPr>
          <w:b/>
          <w:i/>
        </w:rPr>
      </w:pPr>
      <w:r w:rsidRPr="00A44E49">
        <w:t xml:space="preserve">Agreements provide for a comprehensive exchange of data, including data held generally by government and data obtained through environmental assessment or through compliance with conditions of approval for individual projects. </w:t>
      </w:r>
      <w:r>
        <w:t xml:space="preserve"> </w:t>
      </w:r>
      <w:r w:rsidRPr="00A44E49">
        <w:t>This provides a common information base for the parties to jointly:</w:t>
      </w:r>
    </w:p>
    <w:p w:rsidR="00053D3F" w:rsidRPr="00A44E49" w:rsidRDefault="00053D3F" w:rsidP="009145A9">
      <w:pPr>
        <w:pStyle w:val="ListParagraph"/>
        <w:numPr>
          <w:ilvl w:val="0"/>
          <w:numId w:val="52"/>
        </w:numPr>
        <w:spacing w:after="120"/>
        <w:contextualSpacing w:val="0"/>
        <w:rPr>
          <w:rFonts w:cs="Arial"/>
          <w:b/>
        </w:rPr>
      </w:pPr>
      <w:r w:rsidRPr="00A44E49">
        <w:rPr>
          <w:rFonts w:cs="Arial"/>
        </w:rPr>
        <w:t>understand the condition of the environment, particularly the conservation status of matters of national environmental significance and how that condition is changing in light of both approved actions and natural events; and</w:t>
      </w:r>
    </w:p>
    <w:p w:rsidR="00053D3F" w:rsidRPr="00A44E49" w:rsidRDefault="00053D3F" w:rsidP="009145A9">
      <w:pPr>
        <w:pStyle w:val="ListParagraph"/>
        <w:numPr>
          <w:ilvl w:val="0"/>
          <w:numId w:val="52"/>
        </w:numPr>
        <w:spacing w:after="120"/>
        <w:contextualSpacing w:val="0"/>
        <w:rPr>
          <w:rFonts w:cs="Arial"/>
          <w:b/>
        </w:rPr>
      </w:pPr>
      <w:proofErr w:type="gramStart"/>
      <w:r w:rsidRPr="00A44E49">
        <w:rPr>
          <w:rFonts w:cs="Arial"/>
        </w:rPr>
        <w:t>co-operate</w:t>
      </w:r>
      <w:proofErr w:type="gramEnd"/>
      <w:r w:rsidRPr="00A44E49">
        <w:rPr>
          <w:rFonts w:cs="Arial"/>
        </w:rPr>
        <w:t xml:space="preserve"> in responding to pressures on the environment, for example by changing standards or investing in recovery action.</w:t>
      </w:r>
    </w:p>
    <w:p w:rsidR="00053D3F" w:rsidRPr="00A44E49" w:rsidRDefault="00053D3F" w:rsidP="009145A9">
      <w:pPr>
        <w:pStyle w:val="ListParagraph"/>
        <w:numPr>
          <w:ilvl w:val="0"/>
          <w:numId w:val="45"/>
        </w:numPr>
        <w:spacing w:after="120"/>
        <w:ind w:left="357" w:hanging="357"/>
        <w:contextualSpacing w:val="0"/>
        <w:rPr>
          <w:b/>
        </w:rPr>
      </w:pPr>
      <w:r w:rsidRPr="00A44E49">
        <w:t>Agreed standards for data collection and storage are to be developed to facilitate data sharing and analysis.</w:t>
      </w:r>
      <w:r>
        <w:t xml:space="preserve"> </w:t>
      </w:r>
      <w:r w:rsidRPr="00A44E49">
        <w:t xml:space="preserve"> Data collected by proponents under conditions of approval are in a form able to be shared and combined with other sources, including national databases. </w:t>
      </w:r>
    </w:p>
    <w:p w:rsidR="00053D3F" w:rsidRPr="00A44E49" w:rsidRDefault="00053D3F" w:rsidP="009145A9">
      <w:pPr>
        <w:pStyle w:val="ListParagraph"/>
        <w:numPr>
          <w:ilvl w:val="0"/>
          <w:numId w:val="45"/>
        </w:numPr>
        <w:spacing w:after="120"/>
        <w:ind w:left="357" w:hanging="357"/>
        <w:contextualSpacing w:val="0"/>
        <w:rPr>
          <w:b/>
        </w:rPr>
      </w:pPr>
      <w:r w:rsidRPr="00A44E49">
        <w:t xml:space="preserve">States and Territories (as relevant) and the Commonwealth inform each other of actions </w:t>
      </w:r>
      <w:r w:rsidR="00DD3288">
        <w:t>that</w:t>
      </w:r>
      <w:r w:rsidRPr="00A44E49">
        <w:t xml:space="preserve"> have </w:t>
      </w:r>
      <w:r w:rsidR="00DD3288">
        <w:t>resulted</w:t>
      </w:r>
      <w:r w:rsidRPr="00A44E49">
        <w:t xml:space="preserve"> or </w:t>
      </w:r>
      <w:r w:rsidR="00DD3288">
        <w:t xml:space="preserve">are likely to result in </w:t>
      </w:r>
      <w:r w:rsidRPr="00A44E49">
        <w:t xml:space="preserve">serious or irreversible damage to matters of national environmental significance.  </w:t>
      </w:r>
    </w:p>
    <w:p w:rsidR="00053D3F" w:rsidRPr="00A44E49" w:rsidRDefault="00053D3F" w:rsidP="00053D3F">
      <w:pPr>
        <w:spacing w:before="240" w:after="0"/>
        <w:rPr>
          <w:b/>
          <w:i/>
        </w:rPr>
      </w:pPr>
      <w:r w:rsidRPr="00A44E49">
        <w:rPr>
          <w:i/>
        </w:rPr>
        <w:t>Reporting</w:t>
      </w:r>
    </w:p>
    <w:p w:rsidR="00053D3F" w:rsidRPr="00A44E49" w:rsidRDefault="00053D3F" w:rsidP="009145A9">
      <w:pPr>
        <w:pStyle w:val="ListParagraph"/>
        <w:numPr>
          <w:ilvl w:val="0"/>
          <w:numId w:val="45"/>
        </w:numPr>
        <w:spacing w:after="120"/>
        <w:ind w:left="357" w:hanging="357"/>
        <w:contextualSpacing w:val="0"/>
        <w:rPr>
          <w:b/>
        </w:rPr>
      </w:pPr>
      <w:r w:rsidRPr="00A44E49">
        <w:t>States and Territories respond to reasonable requests from the Commonweal</w:t>
      </w:r>
      <w:r>
        <w:t>th to supply information relating</w:t>
      </w:r>
      <w:r w:rsidRPr="00A44E49">
        <w:t xml:space="preserve"> to accredited assessments and/or approvals covered by bilateral agreements.</w:t>
      </w:r>
      <w:r w:rsidRPr="00887B4B">
        <w:rPr>
          <w:rStyle w:val="EndnoteReference"/>
        </w:rPr>
        <w:endnoteReference w:id="157"/>
      </w:r>
    </w:p>
    <w:p w:rsidR="00053D3F" w:rsidRPr="007B26C3" w:rsidRDefault="00053D3F" w:rsidP="009145A9">
      <w:pPr>
        <w:pStyle w:val="ListParagraph"/>
        <w:numPr>
          <w:ilvl w:val="0"/>
          <w:numId w:val="45"/>
        </w:numPr>
        <w:spacing w:after="120"/>
        <w:ind w:left="357" w:hanging="357"/>
        <w:contextualSpacing w:val="0"/>
        <w:rPr>
          <w:rFonts w:cs="Arial"/>
          <w:b/>
          <w:sz w:val="20"/>
          <w:szCs w:val="20"/>
        </w:rPr>
      </w:pPr>
      <w:r w:rsidRPr="00A44E49">
        <w:t>Reports of reviews, including audits, are published.</w:t>
      </w:r>
      <w:r w:rsidRPr="00887B4B">
        <w:rPr>
          <w:rStyle w:val="EndnoteReference"/>
        </w:rPr>
        <w:endnoteReference w:id="158"/>
      </w:r>
    </w:p>
    <w:p w:rsidR="007B26C3" w:rsidRPr="007B26C3" w:rsidRDefault="007B26C3" w:rsidP="007B26C3">
      <w:pPr>
        <w:spacing w:after="120"/>
        <w:rPr>
          <w:b/>
        </w:rPr>
      </w:pPr>
      <w:r w:rsidRPr="007B26C3">
        <w:rPr>
          <w:i/>
        </w:rPr>
        <w:t>For example, annual reporting may include matters such as the number and nature of proposals assessed involving matters protected under the EPBC Act; the controlling provisions involved in such projects; the types of assessment methods applied; outcomes of the assessment and conditions applied; and environmental outcomes achieved for the reporting period and in relation to particular projects</w:t>
      </w:r>
      <w:r w:rsidRPr="00A44E49">
        <w:t xml:space="preserve">. </w:t>
      </w:r>
    </w:p>
    <w:p w:rsidR="00053D3F" w:rsidRPr="00A44E49" w:rsidRDefault="00053D3F" w:rsidP="00053D3F">
      <w:pPr>
        <w:spacing w:before="240" w:after="0"/>
        <w:rPr>
          <w:i/>
        </w:rPr>
      </w:pPr>
      <w:r w:rsidRPr="00A44E49">
        <w:rPr>
          <w:i/>
        </w:rPr>
        <w:t>Compliance role of States and Territories</w:t>
      </w:r>
      <w:r w:rsidRPr="00887B4B">
        <w:rPr>
          <w:rStyle w:val="EndnoteReference"/>
        </w:rPr>
        <w:endnoteReference w:id="159"/>
      </w:r>
    </w:p>
    <w:p w:rsidR="00053D3F" w:rsidRPr="00A44E49" w:rsidRDefault="00053D3F" w:rsidP="009145A9">
      <w:pPr>
        <w:pStyle w:val="ListParagraph"/>
        <w:numPr>
          <w:ilvl w:val="0"/>
          <w:numId w:val="45"/>
        </w:numPr>
        <w:spacing w:after="120"/>
        <w:ind w:left="357" w:hanging="357"/>
        <w:contextualSpacing w:val="0"/>
        <w:rPr>
          <w:b/>
        </w:rPr>
      </w:pPr>
      <w:r w:rsidRPr="00A44E49">
        <w:t>Findings of audits and other appropriate informatio</w:t>
      </w:r>
      <w:r w:rsidR="00373445">
        <w:t>n (</w:t>
      </w:r>
      <w:proofErr w:type="spellStart"/>
      <w:r w:rsidR="00373445">
        <w:t>eg</w:t>
      </w:r>
      <w:proofErr w:type="spellEnd"/>
      <w:r>
        <w:t xml:space="preserve"> </w:t>
      </w:r>
      <w:r w:rsidRPr="00A44E49">
        <w:t>monitoring data), including management, mitigation or offset</w:t>
      </w:r>
      <w:r w:rsidR="00D5092A">
        <w:t>s</w:t>
      </w:r>
      <w:r w:rsidRPr="00A44E49">
        <w:t xml:space="preserve"> plans relating to matters of national environmental significance are published.</w:t>
      </w:r>
      <w:r w:rsidRPr="00887B4B">
        <w:rPr>
          <w:rStyle w:val="EndnoteReference"/>
        </w:rPr>
        <w:endnoteReference w:id="160"/>
      </w:r>
      <w:r w:rsidRPr="00A44E49">
        <w:t xml:space="preserve"> </w:t>
      </w:r>
    </w:p>
    <w:p w:rsidR="00053D3F" w:rsidRPr="00A44E49" w:rsidRDefault="00053D3F" w:rsidP="009145A9">
      <w:pPr>
        <w:pStyle w:val="ListParagraph"/>
        <w:numPr>
          <w:ilvl w:val="0"/>
          <w:numId w:val="45"/>
        </w:numPr>
        <w:spacing w:after="120"/>
        <w:ind w:left="357" w:hanging="357"/>
        <w:contextualSpacing w:val="0"/>
        <w:rPr>
          <w:b/>
        </w:rPr>
      </w:pPr>
      <w:r w:rsidRPr="00A44E49">
        <w:t>In relation to approved projects relating to matters of national environmental significance, States and Territories have a robust range of enforcement and compliance options, injunctive and investigatory powers, capacity for audits, appropriate remediation orders and appropriate civil and criminal penalties.</w:t>
      </w:r>
      <w:r w:rsidRPr="00506C34">
        <w:rPr>
          <w:rStyle w:val="EndnoteReference"/>
        </w:rPr>
        <w:endnoteReference w:id="161"/>
      </w:r>
      <w:r w:rsidRPr="002C4B72">
        <w:rPr>
          <w:rStyle w:val="EndnoteReference"/>
        </w:rPr>
        <w:t xml:space="preserve"> </w:t>
      </w:r>
      <w:r w:rsidRPr="00A44E49">
        <w:t xml:space="preserve"> States and Territories provide for civil penalties and criminal liability of executive officers of corporations.</w:t>
      </w:r>
      <w:r w:rsidRPr="00887B4B">
        <w:rPr>
          <w:rStyle w:val="EndnoteReference"/>
        </w:rPr>
        <w:endnoteReference w:id="162"/>
      </w:r>
    </w:p>
    <w:p w:rsidR="00053D3F" w:rsidRPr="00870976" w:rsidRDefault="00053D3F" w:rsidP="00CF5600">
      <w:pPr>
        <w:keepNext/>
        <w:spacing w:before="240" w:after="0"/>
        <w:rPr>
          <w:b/>
          <w:bCs/>
        </w:rPr>
      </w:pPr>
      <w:r w:rsidRPr="00A44E49">
        <w:rPr>
          <w:i/>
        </w:rPr>
        <w:lastRenderedPageBreak/>
        <w:t>Suspension or revocation</w:t>
      </w:r>
    </w:p>
    <w:p w:rsidR="00053D3F" w:rsidRDefault="00053D3F" w:rsidP="009145A9">
      <w:pPr>
        <w:pStyle w:val="ListParagraph"/>
        <w:numPr>
          <w:ilvl w:val="0"/>
          <w:numId w:val="45"/>
        </w:numPr>
        <w:spacing w:after="120"/>
        <w:ind w:left="357" w:hanging="357"/>
        <w:contextualSpacing w:val="0"/>
        <w:rPr>
          <w:b/>
        </w:rPr>
      </w:pPr>
      <w:r w:rsidRPr="00A44E49">
        <w:t xml:space="preserve">Agreements recognise that the Minister may suspend or revoke an agreement if </w:t>
      </w:r>
      <w:r w:rsidR="002E3F39">
        <w:t>he or she</w:t>
      </w:r>
      <w:r w:rsidRPr="00A44E49">
        <w:t xml:space="preserve"> is not satisfied that the State or Territory has complied or will comply with the agreement.</w:t>
      </w:r>
      <w:r w:rsidRPr="00887B4B">
        <w:rPr>
          <w:rStyle w:val="EndnoteReference"/>
        </w:rPr>
        <w:endnoteReference w:id="163"/>
      </w:r>
      <w:r w:rsidRPr="00A44E49">
        <w:t xml:space="preserve"> </w:t>
      </w:r>
      <w:r>
        <w:t xml:space="preserve"> </w:t>
      </w:r>
      <w:r w:rsidRPr="00A44E49">
        <w:t xml:space="preserve">The </w:t>
      </w:r>
      <w:r w:rsidR="003D040D">
        <w:t>EPBC </w:t>
      </w:r>
      <w:r w:rsidRPr="00A44E49">
        <w:t>Act includes provisions for emergency suspension if the Minister is satisfied that the relevant State or Territory is not complying with the agreement, or will not comply with it.</w:t>
      </w:r>
      <w:r w:rsidRPr="00887B4B">
        <w:rPr>
          <w:rStyle w:val="EndnoteReference"/>
        </w:rPr>
        <w:endnoteReference w:id="164"/>
      </w:r>
      <w:r w:rsidRPr="00577DF3">
        <w:t xml:space="preserve"> </w:t>
      </w:r>
    </w:p>
    <w:p w:rsidR="00053D3F" w:rsidRPr="00A44E49" w:rsidRDefault="00053D3F" w:rsidP="009145A9">
      <w:pPr>
        <w:pStyle w:val="ListParagraph"/>
        <w:numPr>
          <w:ilvl w:val="0"/>
          <w:numId w:val="45"/>
        </w:numPr>
        <w:spacing w:after="120"/>
        <w:ind w:left="357" w:hanging="357"/>
        <w:contextualSpacing w:val="0"/>
        <w:rPr>
          <w:b/>
        </w:rPr>
      </w:pPr>
      <w:r w:rsidRPr="00577DF3">
        <w:t>Agreements provide for the Commonwealth Environment Minister to determine that a particular action</w:t>
      </w:r>
      <w:r w:rsidR="002F2577">
        <w:t xml:space="preserve"> or class of actions</w:t>
      </w:r>
      <w:r w:rsidRPr="00577DF3">
        <w:t xml:space="preserve"> is not covered by the bilateral</w:t>
      </w:r>
      <w:r>
        <w:rPr>
          <w:rStyle w:val="EndnoteReference"/>
        </w:rPr>
        <w:endnoteReference w:id="165"/>
      </w:r>
      <w:r w:rsidRPr="00577DF3">
        <w:t xml:space="preserve"> agreement where the Commonwealth Environment Minister considers that there has, or is likely to be, significant non-compliance with the bilateral agreement </w:t>
      </w:r>
      <w:r>
        <w:t>in relation to the action</w:t>
      </w:r>
      <w:r w:rsidRPr="00577DF3">
        <w:t xml:space="preserve"> and that </w:t>
      </w:r>
      <w:r>
        <w:t>the action</w:t>
      </w:r>
      <w:r w:rsidRPr="00577DF3">
        <w:t xml:space="preserve"> has</w:t>
      </w:r>
      <w:r>
        <w:t xml:space="preserve"> resulted</w:t>
      </w:r>
      <w:r w:rsidRPr="00577DF3">
        <w:t>, or is likely to result</w:t>
      </w:r>
      <w:r>
        <w:t>,</w:t>
      </w:r>
      <w:r w:rsidRPr="00577DF3">
        <w:t xml:space="preserve"> in serious or irreversible environmental damage.</w:t>
      </w:r>
    </w:p>
    <w:p w:rsidR="00AD535F" w:rsidRPr="00A44E49" w:rsidRDefault="00AD535F" w:rsidP="002F2577">
      <w:pPr>
        <w:pStyle w:val="Heading1"/>
      </w:pPr>
      <w:bookmarkStart w:id="77" w:name="_Toc339368198"/>
      <w:r w:rsidRPr="00A44E49">
        <w:t>Facilitating evolution of law and policy under bilateral agreements</w:t>
      </w:r>
      <w:bookmarkEnd w:id="77"/>
    </w:p>
    <w:p w:rsidR="00AD535F" w:rsidRPr="00A44E49" w:rsidRDefault="00AD535F" w:rsidP="00995C62">
      <w:pPr>
        <w:pStyle w:val="ListParagraph"/>
        <w:numPr>
          <w:ilvl w:val="0"/>
          <w:numId w:val="45"/>
        </w:numPr>
        <w:spacing w:after="120"/>
        <w:ind w:left="357" w:hanging="357"/>
        <w:contextualSpacing w:val="0"/>
      </w:pPr>
      <w:r w:rsidRPr="00A44E49">
        <w:t xml:space="preserve">To ensure that the reforms continue to deliver good outcomes over time, the Commonwealth and States will need to work cooperatively to continuously improve arrangements for the protection of matters of national environmental significance. </w:t>
      </w:r>
      <w:r>
        <w:t xml:space="preserve"> </w:t>
      </w:r>
      <w:r w:rsidRPr="00A44E49">
        <w:t>This continual improvement will include updating standards, policies and approaches as new scientific information becomes available, as environmental conditions change and as we collectively increase knowledge and experience.</w:t>
      </w:r>
      <w:r>
        <w:t xml:space="preserve"> </w:t>
      </w:r>
      <w:r w:rsidR="00272E65">
        <w:t xml:space="preserve"> </w:t>
      </w:r>
      <w:r>
        <w:t xml:space="preserve">The Commonwealth proposes discussion with the States and Territories on appropriate ways to ensure continuous improvement of accredited arrangements. </w:t>
      </w:r>
    </w:p>
    <w:p w:rsidR="00AD535F" w:rsidRDefault="00AD535F" w:rsidP="00995C62">
      <w:pPr>
        <w:pStyle w:val="ListParagraph"/>
        <w:numPr>
          <w:ilvl w:val="0"/>
          <w:numId w:val="45"/>
        </w:numPr>
        <w:spacing w:after="120"/>
        <w:ind w:left="357" w:hanging="357"/>
        <w:contextualSpacing w:val="0"/>
      </w:pPr>
      <w:r w:rsidRPr="00A44E49">
        <w:t xml:space="preserve">Bilateral agreements should also be responsive to changes in both Commonwealth and State legislation, consistent with maintenance of high environmental standards. </w:t>
      </w:r>
      <w:r>
        <w:t xml:space="preserve"> </w:t>
      </w:r>
      <w:r w:rsidRPr="00A44E49">
        <w:t xml:space="preserve">Cooperation and consultation should be the centrepiece of these arrangements. </w:t>
      </w:r>
      <w:r>
        <w:t xml:space="preserve"> </w:t>
      </w:r>
      <w:r w:rsidRPr="00A44E49">
        <w:t>To facilitate legislative evolution under the bilateral agreements, it is proposed that parties undertake to notify and consult one another in the event of proposed amendment.</w:t>
      </w:r>
      <w:r>
        <w:t xml:space="preserve"> </w:t>
      </w:r>
      <w:r w:rsidRPr="00A44E49">
        <w:t xml:space="preserve"> As far as possible, administrative arrangements should ensure that the impact of legislative amendment on bilateral arrangements is dealt with in a cooperative manner</w:t>
      </w:r>
      <w:r w:rsidR="00217F55">
        <w:t xml:space="preserve"> consistent with agreed timeframes</w:t>
      </w:r>
      <w:r w:rsidRPr="00A44E49">
        <w:t>.</w:t>
      </w:r>
    </w:p>
    <w:p w:rsidR="00AD535F" w:rsidRPr="00A44E49" w:rsidRDefault="00217F55" w:rsidP="0069347B">
      <w:pPr>
        <w:pStyle w:val="ListParagraph"/>
        <w:numPr>
          <w:ilvl w:val="0"/>
          <w:numId w:val="45"/>
        </w:numPr>
        <w:spacing w:after="120"/>
        <w:ind w:left="357" w:hanging="357"/>
        <w:contextualSpacing w:val="0"/>
      </w:pPr>
      <w:r>
        <w:t>For example, i</w:t>
      </w:r>
      <w:r w:rsidR="002F2577" w:rsidRPr="00A44E49">
        <w:t xml:space="preserve">n response to recommendations of the Independent Review of the EPBC Act, the Commonwealth proposes to amend the EPBC Act in 2012. </w:t>
      </w:r>
      <w:r w:rsidR="002F2577">
        <w:t xml:space="preserve"> </w:t>
      </w:r>
      <w:r w:rsidR="002F2577" w:rsidRPr="00A44E49">
        <w:t xml:space="preserve">The amendments, if passed by Parliament, may be relevant to </w:t>
      </w:r>
      <w:r>
        <w:t>the scope and operation</w:t>
      </w:r>
      <w:r w:rsidR="002F2577" w:rsidRPr="00A44E49">
        <w:t xml:space="preserve"> of </w:t>
      </w:r>
      <w:r w:rsidR="002F2577">
        <w:t xml:space="preserve">bilateral </w:t>
      </w:r>
      <w:r w:rsidR="002F2577" w:rsidRPr="00A44E49">
        <w:t>arrangements</w:t>
      </w:r>
      <w:r>
        <w:t xml:space="preserve"> and would be the subject of consultation and amendment of bilateral agreements where appropriate.</w:t>
      </w:r>
    </w:p>
    <w:p w:rsidR="00AD535F" w:rsidRPr="00A44E49" w:rsidRDefault="00AD535F" w:rsidP="00445BF2">
      <w:pPr>
        <w:sectPr w:rsidR="00AD535F" w:rsidRPr="00A44E49" w:rsidSect="00CD3279">
          <w:endnotePr>
            <w:numFmt w:val="decimal"/>
          </w:endnotePr>
          <w:type w:val="continuous"/>
          <w:pgSz w:w="11906" w:h="16838"/>
          <w:pgMar w:top="1440" w:right="1440" w:bottom="1440" w:left="1440" w:header="709" w:footer="709" w:gutter="0"/>
          <w:cols w:space="708"/>
          <w:docGrid w:linePitch="360"/>
        </w:sectPr>
      </w:pPr>
    </w:p>
    <w:p w:rsidR="00053D3F" w:rsidRPr="00A44E49" w:rsidRDefault="00053D3F" w:rsidP="00053D3F">
      <w:pPr>
        <w:pStyle w:val="Heading1"/>
        <w:spacing w:after="240"/>
      </w:pPr>
      <w:bookmarkStart w:id="78" w:name="_Toc328503769"/>
      <w:bookmarkStart w:id="79" w:name="_Toc339368199"/>
      <w:bookmarkStart w:id="80" w:name="_Toc306962784"/>
      <w:bookmarkStart w:id="81" w:name="_Toc306962402"/>
      <w:r w:rsidRPr="00A44E49">
        <w:lastRenderedPageBreak/>
        <w:t xml:space="preserve">Attachment </w:t>
      </w:r>
      <w:proofErr w:type="gramStart"/>
      <w:r w:rsidRPr="00A44E49">
        <w:t>A</w:t>
      </w:r>
      <w:proofErr w:type="gramEnd"/>
      <w:r w:rsidRPr="00A44E49">
        <w:t xml:space="preserve"> - Tools to deliver conservation outcomes for matters of national environmental significance</w:t>
      </w:r>
      <w:bookmarkEnd w:id="78"/>
      <w:bookmarkEnd w:id="79"/>
    </w:p>
    <w:tbl>
      <w:tblPr>
        <w:tblStyle w:val="TableGrid"/>
        <w:tblW w:w="14499" w:type="dxa"/>
        <w:tblLook w:val="04A0"/>
      </w:tblPr>
      <w:tblGrid>
        <w:gridCol w:w="2800"/>
        <w:gridCol w:w="3262"/>
        <w:gridCol w:w="4678"/>
        <w:gridCol w:w="3759"/>
      </w:tblGrid>
      <w:tr w:rsidR="00053D3F" w:rsidRPr="00A44E49" w:rsidTr="00053D3F">
        <w:tc>
          <w:tcPr>
            <w:tcW w:w="2800" w:type="dxa"/>
            <w:shd w:val="clear" w:color="auto" w:fill="B8CCE4" w:themeFill="accent1" w:themeFillTint="66"/>
          </w:tcPr>
          <w:p w:rsidR="00053D3F" w:rsidRPr="00A44E49" w:rsidRDefault="00053D3F" w:rsidP="00053D3F">
            <w:pPr>
              <w:rPr>
                <w:b/>
              </w:rPr>
            </w:pPr>
            <w:bookmarkStart w:id="82" w:name="_Toc328503770"/>
            <w:r w:rsidRPr="00A44E49">
              <w:rPr>
                <w:b/>
              </w:rPr>
              <w:t>MNES</w:t>
            </w:r>
            <w:bookmarkEnd w:id="82"/>
          </w:p>
        </w:tc>
        <w:tc>
          <w:tcPr>
            <w:tcW w:w="3262" w:type="dxa"/>
            <w:shd w:val="clear" w:color="auto" w:fill="B8CCE4" w:themeFill="accent1" w:themeFillTint="66"/>
          </w:tcPr>
          <w:p w:rsidR="00053D3F" w:rsidRPr="00A44E49" w:rsidRDefault="00053D3F" w:rsidP="00053D3F">
            <w:pPr>
              <w:rPr>
                <w:b/>
              </w:rPr>
            </w:pPr>
            <w:bookmarkStart w:id="83" w:name="_Toc328503771"/>
            <w:r w:rsidRPr="00A44E49">
              <w:rPr>
                <w:b/>
              </w:rPr>
              <w:t>Plans under EPBC Act</w:t>
            </w:r>
            <w:bookmarkEnd w:id="83"/>
          </w:p>
        </w:tc>
        <w:tc>
          <w:tcPr>
            <w:tcW w:w="4678" w:type="dxa"/>
            <w:shd w:val="clear" w:color="auto" w:fill="B8CCE4" w:themeFill="accent1" w:themeFillTint="66"/>
          </w:tcPr>
          <w:p w:rsidR="00053D3F" w:rsidRPr="00A44E49" w:rsidRDefault="00053D3F" w:rsidP="00053D3F">
            <w:pPr>
              <w:rPr>
                <w:b/>
              </w:rPr>
            </w:pPr>
            <w:bookmarkStart w:id="84" w:name="_Toc328503772"/>
            <w:r w:rsidRPr="00A44E49">
              <w:rPr>
                <w:b/>
              </w:rPr>
              <w:t>EPBC Act policy approaches</w:t>
            </w:r>
            <w:bookmarkEnd w:id="84"/>
          </w:p>
        </w:tc>
        <w:tc>
          <w:tcPr>
            <w:tcW w:w="3759" w:type="dxa"/>
            <w:shd w:val="clear" w:color="auto" w:fill="B8CCE4" w:themeFill="accent1" w:themeFillTint="66"/>
          </w:tcPr>
          <w:p w:rsidR="00053D3F" w:rsidRPr="00A44E49" w:rsidRDefault="00053D3F" w:rsidP="00053D3F">
            <w:pPr>
              <w:rPr>
                <w:b/>
              </w:rPr>
            </w:pPr>
            <w:bookmarkStart w:id="85" w:name="_Toc328503773"/>
            <w:r w:rsidRPr="00A44E49">
              <w:rPr>
                <w:b/>
              </w:rPr>
              <w:t>Programs</w:t>
            </w:r>
            <w:bookmarkEnd w:id="85"/>
          </w:p>
        </w:tc>
      </w:tr>
      <w:tr w:rsidR="00053D3F" w:rsidRPr="00A44E49" w:rsidTr="00053D3F">
        <w:tc>
          <w:tcPr>
            <w:tcW w:w="2800" w:type="dxa"/>
          </w:tcPr>
          <w:p w:rsidR="00053D3F" w:rsidRPr="00A44E49" w:rsidRDefault="00053D3F" w:rsidP="00053D3F">
            <w:pPr>
              <w:rPr>
                <w:rFonts w:cstheme="minorHAnsi"/>
              </w:rPr>
            </w:pPr>
            <w:r w:rsidRPr="00A44E49">
              <w:rPr>
                <w:rFonts w:cstheme="minorHAnsi"/>
              </w:rPr>
              <w:t>All (</w:t>
            </w:r>
            <w:proofErr w:type="spellStart"/>
            <w:r w:rsidRPr="00A44E49">
              <w:rPr>
                <w:rFonts w:cstheme="minorHAnsi"/>
              </w:rPr>
              <w:t>ie</w:t>
            </w:r>
            <w:proofErr w:type="spellEnd"/>
            <w:r w:rsidRPr="00A44E49">
              <w:rPr>
                <w:rFonts w:cstheme="minorHAnsi"/>
              </w:rPr>
              <w:t xml:space="preserve"> general)</w:t>
            </w:r>
          </w:p>
        </w:tc>
        <w:tc>
          <w:tcPr>
            <w:tcW w:w="3262" w:type="dxa"/>
          </w:tcPr>
          <w:p w:rsidR="00053D3F" w:rsidRPr="00A44E49" w:rsidRDefault="00053D3F" w:rsidP="00053D3F">
            <w:pPr>
              <w:pStyle w:val="ListParagraph"/>
              <w:numPr>
                <w:ilvl w:val="0"/>
                <w:numId w:val="26"/>
              </w:numPr>
              <w:ind w:left="327" w:hanging="284"/>
              <w:rPr>
                <w:rFonts w:cstheme="minorHAnsi"/>
              </w:rPr>
            </w:pPr>
            <w:r w:rsidRPr="00A44E49">
              <w:rPr>
                <w:rFonts w:cstheme="minorHAnsi"/>
              </w:rPr>
              <w:t>Bioregional plans (regional environment plans)</w:t>
            </w:r>
          </w:p>
          <w:p w:rsidR="00053D3F" w:rsidRPr="00A44E49" w:rsidRDefault="00053D3F" w:rsidP="00053D3F">
            <w:pPr>
              <w:pStyle w:val="ListParagraph"/>
              <w:rPr>
                <w:rFonts w:cstheme="minorHAnsi"/>
              </w:rPr>
            </w:pPr>
          </w:p>
        </w:tc>
        <w:tc>
          <w:tcPr>
            <w:tcW w:w="4678" w:type="dxa"/>
          </w:tcPr>
          <w:p w:rsidR="00053D3F" w:rsidRPr="00A44E49" w:rsidRDefault="00053D3F" w:rsidP="00053D3F">
            <w:pPr>
              <w:pStyle w:val="ListParagraph"/>
              <w:numPr>
                <w:ilvl w:val="0"/>
                <w:numId w:val="26"/>
              </w:numPr>
              <w:ind w:left="327" w:hanging="284"/>
              <w:rPr>
                <w:rFonts w:cstheme="minorHAnsi"/>
              </w:rPr>
            </w:pPr>
            <w:r w:rsidRPr="00A44E49">
              <w:rPr>
                <w:rFonts w:cstheme="minorHAnsi"/>
              </w:rPr>
              <w:t>Conservation agreements</w:t>
            </w:r>
          </w:p>
          <w:p w:rsidR="00053D3F" w:rsidRPr="00A44E49" w:rsidRDefault="00053D3F" w:rsidP="00053D3F">
            <w:pPr>
              <w:pStyle w:val="ListParagraph"/>
              <w:numPr>
                <w:ilvl w:val="0"/>
                <w:numId w:val="26"/>
              </w:numPr>
              <w:ind w:left="327" w:hanging="284"/>
              <w:rPr>
                <w:rFonts w:cstheme="minorHAnsi"/>
              </w:rPr>
            </w:pPr>
            <w:r w:rsidRPr="00A44E49">
              <w:rPr>
                <w:rFonts w:cstheme="minorHAnsi"/>
              </w:rPr>
              <w:t xml:space="preserve">General policies, </w:t>
            </w:r>
            <w:proofErr w:type="spellStart"/>
            <w:r w:rsidRPr="00A44E49">
              <w:rPr>
                <w:rFonts w:cstheme="minorHAnsi"/>
              </w:rPr>
              <w:t>eg</w:t>
            </w:r>
            <w:proofErr w:type="spellEnd"/>
          </w:p>
          <w:p w:rsidR="00053D3F" w:rsidRPr="00A44E49" w:rsidRDefault="00053D3F" w:rsidP="00053D3F">
            <w:pPr>
              <w:pStyle w:val="ListParagraph"/>
              <w:numPr>
                <w:ilvl w:val="0"/>
                <w:numId w:val="25"/>
              </w:numPr>
              <w:rPr>
                <w:rFonts w:cstheme="minorHAnsi"/>
              </w:rPr>
            </w:pPr>
            <w:r w:rsidRPr="00A44E49">
              <w:rPr>
                <w:rFonts w:cstheme="minorHAnsi"/>
              </w:rPr>
              <w:t>Significant impact Guidelines</w:t>
            </w:r>
          </w:p>
          <w:p w:rsidR="00053D3F" w:rsidRPr="00A44E49" w:rsidRDefault="00053D3F" w:rsidP="00053D3F">
            <w:pPr>
              <w:pStyle w:val="ListParagraph"/>
              <w:numPr>
                <w:ilvl w:val="0"/>
                <w:numId w:val="26"/>
              </w:numPr>
              <w:ind w:left="327" w:hanging="284"/>
              <w:rPr>
                <w:rFonts w:cstheme="minorHAnsi"/>
              </w:rPr>
            </w:pPr>
            <w:r w:rsidRPr="00A44E49">
              <w:rPr>
                <w:rFonts w:cstheme="minorHAnsi"/>
              </w:rPr>
              <w:t>Industry Guidelines</w:t>
            </w:r>
          </w:p>
          <w:p w:rsidR="00053D3F" w:rsidRPr="00A44E49" w:rsidRDefault="00053D3F" w:rsidP="00053D3F">
            <w:pPr>
              <w:pStyle w:val="ListParagraph"/>
              <w:numPr>
                <w:ilvl w:val="0"/>
                <w:numId w:val="26"/>
              </w:numPr>
              <w:ind w:left="327" w:hanging="284"/>
              <w:rPr>
                <w:rFonts w:cstheme="minorHAnsi"/>
              </w:rPr>
            </w:pPr>
            <w:r w:rsidRPr="00A44E49">
              <w:rPr>
                <w:rFonts w:cstheme="minorHAnsi"/>
              </w:rPr>
              <w:t>Commonwealth Offsets Policy</w:t>
            </w:r>
          </w:p>
          <w:p w:rsidR="00053D3F" w:rsidRPr="00A44E49" w:rsidRDefault="00053D3F" w:rsidP="00053D3F">
            <w:pPr>
              <w:pStyle w:val="ListParagraph"/>
              <w:rPr>
                <w:rFonts w:cstheme="minorHAnsi"/>
              </w:rPr>
            </w:pPr>
          </w:p>
        </w:tc>
        <w:tc>
          <w:tcPr>
            <w:tcW w:w="3759" w:type="dxa"/>
          </w:tcPr>
          <w:p w:rsidR="00053D3F" w:rsidRPr="00A44E49" w:rsidRDefault="00053D3F" w:rsidP="00053D3F">
            <w:pPr>
              <w:pStyle w:val="ListParagraph"/>
              <w:numPr>
                <w:ilvl w:val="0"/>
                <w:numId w:val="26"/>
              </w:numPr>
              <w:ind w:left="327" w:hanging="284"/>
              <w:rPr>
                <w:rFonts w:cstheme="minorHAnsi"/>
              </w:rPr>
            </w:pPr>
            <w:r w:rsidRPr="00A44E49">
              <w:rPr>
                <w:rFonts w:cstheme="minorHAnsi"/>
              </w:rPr>
              <w:t>Existing commonwealth programs</w:t>
            </w:r>
          </w:p>
          <w:p w:rsidR="00053D3F" w:rsidRPr="00A44E49" w:rsidRDefault="00053D3F" w:rsidP="00053D3F">
            <w:pPr>
              <w:pStyle w:val="ListParagraph"/>
              <w:numPr>
                <w:ilvl w:val="0"/>
                <w:numId w:val="25"/>
              </w:numPr>
              <w:rPr>
                <w:rFonts w:cstheme="minorHAnsi"/>
              </w:rPr>
            </w:pPr>
            <w:r w:rsidRPr="00A44E49">
              <w:rPr>
                <w:rFonts w:cstheme="minorHAnsi"/>
              </w:rPr>
              <w:t>Caring for our Country</w:t>
            </w:r>
          </w:p>
          <w:p w:rsidR="00053D3F" w:rsidRPr="00A44E49" w:rsidRDefault="00053D3F" w:rsidP="00053D3F">
            <w:pPr>
              <w:pStyle w:val="ListParagraph"/>
              <w:numPr>
                <w:ilvl w:val="0"/>
                <w:numId w:val="25"/>
              </w:numPr>
              <w:rPr>
                <w:rFonts w:cstheme="minorHAnsi"/>
              </w:rPr>
            </w:pPr>
            <w:r w:rsidRPr="00A44E49">
              <w:rPr>
                <w:rFonts w:cstheme="minorHAnsi"/>
              </w:rPr>
              <w:t>Biodiversity Fund</w:t>
            </w:r>
          </w:p>
        </w:tc>
      </w:tr>
      <w:tr w:rsidR="00053D3F" w:rsidRPr="00A44E49" w:rsidTr="00053D3F">
        <w:tc>
          <w:tcPr>
            <w:tcW w:w="2800" w:type="dxa"/>
          </w:tcPr>
          <w:p w:rsidR="00053D3F" w:rsidRPr="00A44E49" w:rsidRDefault="00053D3F" w:rsidP="00053D3F">
            <w:pPr>
              <w:rPr>
                <w:rFonts w:cstheme="minorHAnsi"/>
              </w:rPr>
            </w:pPr>
            <w:r w:rsidRPr="00A44E49">
              <w:rPr>
                <w:rFonts w:cstheme="minorHAnsi"/>
              </w:rPr>
              <w:t>Threatened Species and Ecological Communities</w:t>
            </w:r>
          </w:p>
        </w:tc>
        <w:tc>
          <w:tcPr>
            <w:tcW w:w="3262" w:type="dxa"/>
          </w:tcPr>
          <w:p w:rsidR="00053D3F" w:rsidRPr="00A44E49" w:rsidRDefault="00053D3F" w:rsidP="00053D3F">
            <w:pPr>
              <w:pStyle w:val="ListParagraph"/>
              <w:numPr>
                <w:ilvl w:val="0"/>
                <w:numId w:val="26"/>
              </w:numPr>
              <w:ind w:left="327" w:hanging="284"/>
              <w:rPr>
                <w:rFonts w:cstheme="minorHAnsi"/>
              </w:rPr>
            </w:pPr>
            <w:r w:rsidRPr="00A44E49">
              <w:rPr>
                <w:rFonts w:cstheme="minorHAnsi"/>
              </w:rPr>
              <w:t>Recovery plans</w:t>
            </w:r>
          </w:p>
          <w:p w:rsidR="00053D3F" w:rsidRPr="00A44E49" w:rsidRDefault="00053D3F" w:rsidP="00053D3F">
            <w:pPr>
              <w:pStyle w:val="ListParagraph"/>
              <w:numPr>
                <w:ilvl w:val="0"/>
                <w:numId w:val="26"/>
              </w:numPr>
              <w:ind w:left="327" w:hanging="284"/>
              <w:rPr>
                <w:rFonts w:cstheme="minorHAnsi"/>
              </w:rPr>
            </w:pPr>
            <w:r w:rsidRPr="00A44E49">
              <w:rPr>
                <w:rFonts w:cstheme="minorHAnsi"/>
              </w:rPr>
              <w:t>Threat abatement plans</w:t>
            </w:r>
          </w:p>
        </w:tc>
        <w:tc>
          <w:tcPr>
            <w:tcW w:w="4678" w:type="dxa"/>
          </w:tcPr>
          <w:p w:rsidR="00053D3F" w:rsidRPr="00A44E49" w:rsidRDefault="00053D3F" w:rsidP="00053D3F">
            <w:pPr>
              <w:pStyle w:val="ListParagraph"/>
              <w:numPr>
                <w:ilvl w:val="0"/>
                <w:numId w:val="26"/>
              </w:numPr>
              <w:ind w:left="327" w:hanging="284"/>
              <w:rPr>
                <w:rFonts w:cstheme="minorHAnsi"/>
              </w:rPr>
            </w:pPr>
            <w:r w:rsidRPr="00A44E49">
              <w:rPr>
                <w:rFonts w:cstheme="minorHAnsi"/>
              </w:rPr>
              <w:t>Listing advice</w:t>
            </w:r>
          </w:p>
          <w:p w:rsidR="00053D3F" w:rsidRPr="00A44E49" w:rsidRDefault="00053D3F" w:rsidP="00053D3F">
            <w:pPr>
              <w:pStyle w:val="ListParagraph"/>
              <w:numPr>
                <w:ilvl w:val="0"/>
                <w:numId w:val="26"/>
              </w:numPr>
              <w:ind w:left="327" w:hanging="284"/>
              <w:rPr>
                <w:rFonts w:cstheme="minorHAnsi"/>
              </w:rPr>
            </w:pPr>
            <w:r w:rsidRPr="00A44E49">
              <w:rPr>
                <w:rFonts w:cstheme="minorHAnsi"/>
              </w:rPr>
              <w:t>Conservation advice</w:t>
            </w:r>
          </w:p>
          <w:p w:rsidR="00053D3F" w:rsidRPr="00A44E49" w:rsidRDefault="00053D3F" w:rsidP="00053D3F">
            <w:pPr>
              <w:pStyle w:val="ListParagraph"/>
              <w:numPr>
                <w:ilvl w:val="0"/>
                <w:numId w:val="26"/>
              </w:numPr>
              <w:ind w:left="327" w:hanging="284"/>
              <w:rPr>
                <w:rFonts w:cstheme="minorHAnsi"/>
              </w:rPr>
            </w:pPr>
            <w:r w:rsidRPr="00A44E49">
              <w:rPr>
                <w:rFonts w:cstheme="minorHAnsi"/>
              </w:rPr>
              <w:t>Policy statements for individual nationally threatened species and ecological communities, including thresholds for impact of individual developments</w:t>
            </w:r>
          </w:p>
          <w:p w:rsidR="00053D3F" w:rsidRPr="00A44E49" w:rsidRDefault="00053D3F" w:rsidP="00053D3F">
            <w:pPr>
              <w:pStyle w:val="ListParagraph"/>
              <w:numPr>
                <w:ilvl w:val="0"/>
                <w:numId w:val="26"/>
              </w:numPr>
              <w:ind w:left="327" w:hanging="284"/>
              <w:rPr>
                <w:rFonts w:cstheme="minorHAnsi"/>
              </w:rPr>
            </w:pPr>
            <w:r w:rsidRPr="00A44E49">
              <w:rPr>
                <w:rFonts w:cstheme="minorHAnsi"/>
              </w:rPr>
              <w:t>Survey Guidelines for Nationally Threatened Species</w:t>
            </w:r>
          </w:p>
        </w:tc>
        <w:tc>
          <w:tcPr>
            <w:tcW w:w="3759" w:type="dxa"/>
          </w:tcPr>
          <w:p w:rsidR="00053D3F" w:rsidRPr="00A44E49" w:rsidRDefault="00053D3F" w:rsidP="00053D3F">
            <w:pPr>
              <w:pStyle w:val="ListParagraph"/>
              <w:rPr>
                <w:rFonts w:cstheme="minorHAnsi"/>
              </w:rPr>
            </w:pPr>
          </w:p>
        </w:tc>
      </w:tr>
      <w:tr w:rsidR="00053D3F" w:rsidRPr="00A44E49" w:rsidTr="00053D3F">
        <w:tc>
          <w:tcPr>
            <w:tcW w:w="2800" w:type="dxa"/>
          </w:tcPr>
          <w:p w:rsidR="00053D3F" w:rsidRPr="00A44E49" w:rsidRDefault="00053D3F" w:rsidP="00053D3F">
            <w:pPr>
              <w:rPr>
                <w:rFonts w:cstheme="minorHAnsi"/>
              </w:rPr>
            </w:pPr>
            <w:r w:rsidRPr="00A44E49">
              <w:rPr>
                <w:rFonts w:cstheme="minorHAnsi"/>
              </w:rPr>
              <w:t>Migratory Species</w:t>
            </w:r>
          </w:p>
        </w:tc>
        <w:tc>
          <w:tcPr>
            <w:tcW w:w="3262" w:type="dxa"/>
          </w:tcPr>
          <w:p w:rsidR="00053D3F" w:rsidRPr="00A44E49" w:rsidRDefault="00053D3F" w:rsidP="00053D3F">
            <w:pPr>
              <w:pStyle w:val="ListParagraph"/>
              <w:numPr>
                <w:ilvl w:val="0"/>
                <w:numId w:val="26"/>
              </w:numPr>
              <w:ind w:left="327" w:hanging="284"/>
              <w:rPr>
                <w:rFonts w:cstheme="minorHAnsi"/>
              </w:rPr>
            </w:pPr>
            <w:r w:rsidRPr="00A44E49">
              <w:rPr>
                <w:rFonts w:cstheme="minorHAnsi"/>
              </w:rPr>
              <w:t>Wildlife conservation plans (</w:t>
            </w:r>
            <w:proofErr w:type="spellStart"/>
            <w:r w:rsidRPr="00A44E49">
              <w:rPr>
                <w:rFonts w:cstheme="minorHAnsi"/>
              </w:rPr>
              <w:t>eg</w:t>
            </w:r>
            <w:proofErr w:type="spellEnd"/>
            <w:r w:rsidRPr="00A44E49">
              <w:rPr>
                <w:rFonts w:cstheme="minorHAnsi"/>
              </w:rPr>
              <w:t xml:space="preserve"> for Migratory Shorebirds)</w:t>
            </w:r>
          </w:p>
          <w:p w:rsidR="00053D3F" w:rsidRPr="00A44E49" w:rsidRDefault="00053D3F" w:rsidP="00053D3F">
            <w:pPr>
              <w:rPr>
                <w:rFonts w:cstheme="minorHAnsi"/>
              </w:rPr>
            </w:pPr>
          </w:p>
        </w:tc>
        <w:tc>
          <w:tcPr>
            <w:tcW w:w="4678" w:type="dxa"/>
          </w:tcPr>
          <w:p w:rsidR="00053D3F" w:rsidRPr="00A44E49" w:rsidRDefault="00053D3F" w:rsidP="00053D3F">
            <w:pPr>
              <w:pStyle w:val="ListParagraph"/>
              <w:numPr>
                <w:ilvl w:val="0"/>
                <w:numId w:val="26"/>
              </w:numPr>
              <w:ind w:left="327" w:hanging="284"/>
              <w:rPr>
                <w:rFonts w:cstheme="minorHAnsi"/>
              </w:rPr>
            </w:pPr>
            <w:r w:rsidRPr="00A44E49">
              <w:rPr>
                <w:rFonts w:cstheme="minorHAnsi"/>
              </w:rPr>
              <w:t>Listing advice</w:t>
            </w:r>
          </w:p>
          <w:p w:rsidR="00053D3F" w:rsidRPr="00A44E49" w:rsidRDefault="00053D3F" w:rsidP="00053D3F">
            <w:pPr>
              <w:pStyle w:val="ListParagraph"/>
              <w:numPr>
                <w:ilvl w:val="0"/>
                <w:numId w:val="26"/>
              </w:numPr>
              <w:ind w:left="327" w:hanging="284"/>
              <w:rPr>
                <w:rFonts w:cstheme="minorHAnsi"/>
              </w:rPr>
            </w:pPr>
            <w:r w:rsidRPr="00A44E49">
              <w:rPr>
                <w:rFonts w:cstheme="minorHAnsi"/>
              </w:rPr>
              <w:t>Conservation advice</w:t>
            </w:r>
          </w:p>
          <w:p w:rsidR="00053D3F" w:rsidRPr="00A44E49" w:rsidRDefault="00053D3F" w:rsidP="00053D3F">
            <w:pPr>
              <w:pStyle w:val="ListParagraph"/>
              <w:numPr>
                <w:ilvl w:val="0"/>
                <w:numId w:val="26"/>
              </w:numPr>
              <w:ind w:left="327" w:hanging="284"/>
              <w:rPr>
                <w:rFonts w:cstheme="minorHAnsi"/>
              </w:rPr>
            </w:pPr>
            <w:r w:rsidRPr="00A44E49">
              <w:rPr>
                <w:rFonts w:cstheme="minorHAnsi"/>
              </w:rPr>
              <w:t>Policy statements for individual nationally threatened species and ecological communities</w:t>
            </w:r>
          </w:p>
          <w:p w:rsidR="00053D3F" w:rsidRPr="00A44E49" w:rsidRDefault="00053D3F" w:rsidP="00053D3F">
            <w:pPr>
              <w:pStyle w:val="ListParagraph"/>
              <w:numPr>
                <w:ilvl w:val="0"/>
                <w:numId w:val="26"/>
              </w:numPr>
              <w:ind w:left="327" w:hanging="284"/>
              <w:rPr>
                <w:rFonts w:cstheme="minorHAnsi"/>
              </w:rPr>
            </w:pPr>
            <w:r w:rsidRPr="00A44E49">
              <w:rPr>
                <w:rFonts w:cstheme="minorHAnsi"/>
              </w:rPr>
              <w:t>Survey Guidelines for Nationally Threatened Species</w:t>
            </w:r>
          </w:p>
        </w:tc>
        <w:tc>
          <w:tcPr>
            <w:tcW w:w="3759" w:type="dxa"/>
          </w:tcPr>
          <w:p w:rsidR="00053D3F" w:rsidRPr="00A44E49" w:rsidRDefault="00053D3F" w:rsidP="00053D3F">
            <w:pPr>
              <w:pStyle w:val="ListParagraph"/>
              <w:rPr>
                <w:rFonts w:cstheme="minorHAnsi"/>
              </w:rPr>
            </w:pPr>
          </w:p>
        </w:tc>
      </w:tr>
      <w:tr w:rsidR="00053D3F" w:rsidRPr="00A44E49" w:rsidTr="00053D3F">
        <w:tc>
          <w:tcPr>
            <w:tcW w:w="2800" w:type="dxa"/>
          </w:tcPr>
          <w:p w:rsidR="00053D3F" w:rsidRPr="00A44E49" w:rsidRDefault="00053D3F" w:rsidP="00053D3F">
            <w:pPr>
              <w:rPr>
                <w:rFonts w:cstheme="minorHAnsi"/>
              </w:rPr>
            </w:pPr>
            <w:r w:rsidRPr="00A44E49">
              <w:rPr>
                <w:rFonts w:cstheme="minorHAnsi"/>
              </w:rPr>
              <w:t>World Heritage</w:t>
            </w:r>
          </w:p>
        </w:tc>
        <w:tc>
          <w:tcPr>
            <w:tcW w:w="3262" w:type="dxa"/>
          </w:tcPr>
          <w:p w:rsidR="00053D3F" w:rsidRPr="00A44E49" w:rsidRDefault="00053D3F" w:rsidP="00053D3F">
            <w:pPr>
              <w:pStyle w:val="ListParagraph"/>
              <w:numPr>
                <w:ilvl w:val="0"/>
                <w:numId w:val="26"/>
              </w:numPr>
              <w:ind w:left="327" w:hanging="284"/>
              <w:rPr>
                <w:rFonts w:cstheme="minorHAnsi"/>
              </w:rPr>
            </w:pPr>
            <w:r w:rsidRPr="00A44E49">
              <w:rPr>
                <w:rFonts w:cstheme="minorHAnsi"/>
              </w:rPr>
              <w:t>Management plan/arrangements</w:t>
            </w:r>
          </w:p>
          <w:p w:rsidR="00053D3F" w:rsidRPr="00A44E49" w:rsidRDefault="00053D3F" w:rsidP="00053D3F">
            <w:pPr>
              <w:pStyle w:val="ListParagraph"/>
              <w:rPr>
                <w:rFonts w:cstheme="minorHAnsi"/>
              </w:rPr>
            </w:pPr>
          </w:p>
        </w:tc>
        <w:tc>
          <w:tcPr>
            <w:tcW w:w="4678" w:type="dxa"/>
          </w:tcPr>
          <w:p w:rsidR="00053D3F" w:rsidRPr="00A44E49" w:rsidRDefault="00053D3F" w:rsidP="00053D3F">
            <w:pPr>
              <w:pStyle w:val="ListParagraph"/>
              <w:numPr>
                <w:ilvl w:val="0"/>
                <w:numId w:val="26"/>
              </w:numPr>
              <w:ind w:left="327" w:hanging="284"/>
              <w:rPr>
                <w:rFonts w:cstheme="minorHAnsi"/>
              </w:rPr>
            </w:pPr>
            <w:r w:rsidRPr="00A44E49">
              <w:rPr>
                <w:rFonts w:cstheme="minorHAnsi"/>
              </w:rPr>
              <w:t>Policy statements for individual sites</w:t>
            </w:r>
          </w:p>
        </w:tc>
        <w:tc>
          <w:tcPr>
            <w:tcW w:w="3759" w:type="dxa"/>
          </w:tcPr>
          <w:p w:rsidR="00053D3F" w:rsidRPr="00A44E49" w:rsidRDefault="00053D3F" w:rsidP="00053D3F">
            <w:pPr>
              <w:rPr>
                <w:rFonts w:cstheme="minorHAnsi"/>
              </w:rPr>
            </w:pPr>
          </w:p>
        </w:tc>
      </w:tr>
      <w:tr w:rsidR="00053D3F" w:rsidRPr="00A44E49" w:rsidTr="00053D3F">
        <w:tc>
          <w:tcPr>
            <w:tcW w:w="2800" w:type="dxa"/>
          </w:tcPr>
          <w:p w:rsidR="00053D3F" w:rsidRPr="00A44E49" w:rsidRDefault="00053D3F" w:rsidP="00053D3F">
            <w:pPr>
              <w:rPr>
                <w:rFonts w:cstheme="minorHAnsi"/>
              </w:rPr>
            </w:pPr>
            <w:r w:rsidRPr="00A44E49">
              <w:rPr>
                <w:rFonts w:cstheme="minorHAnsi"/>
              </w:rPr>
              <w:t>National Heritage</w:t>
            </w:r>
          </w:p>
        </w:tc>
        <w:tc>
          <w:tcPr>
            <w:tcW w:w="3262" w:type="dxa"/>
          </w:tcPr>
          <w:p w:rsidR="00053D3F" w:rsidRPr="00A44E49" w:rsidRDefault="00053D3F" w:rsidP="00053D3F">
            <w:pPr>
              <w:pStyle w:val="ListParagraph"/>
              <w:numPr>
                <w:ilvl w:val="0"/>
                <w:numId w:val="26"/>
              </w:numPr>
              <w:ind w:left="327" w:hanging="284"/>
              <w:rPr>
                <w:rFonts w:cstheme="minorHAnsi"/>
              </w:rPr>
            </w:pPr>
            <w:r w:rsidRPr="00A44E49">
              <w:rPr>
                <w:rFonts w:cstheme="minorHAnsi"/>
              </w:rPr>
              <w:t>Management plan/arrangements</w:t>
            </w:r>
          </w:p>
        </w:tc>
        <w:tc>
          <w:tcPr>
            <w:tcW w:w="4678" w:type="dxa"/>
          </w:tcPr>
          <w:p w:rsidR="00053D3F" w:rsidRPr="00A44E49" w:rsidRDefault="00053D3F" w:rsidP="00053D3F">
            <w:pPr>
              <w:pStyle w:val="ListParagraph"/>
              <w:numPr>
                <w:ilvl w:val="0"/>
                <w:numId w:val="26"/>
              </w:numPr>
              <w:ind w:left="327" w:hanging="284"/>
              <w:rPr>
                <w:rFonts w:cstheme="minorHAnsi"/>
              </w:rPr>
            </w:pPr>
            <w:r w:rsidRPr="00A44E49">
              <w:rPr>
                <w:rFonts w:cstheme="minorHAnsi"/>
              </w:rPr>
              <w:t>Policy statements for individual sites</w:t>
            </w:r>
          </w:p>
        </w:tc>
        <w:tc>
          <w:tcPr>
            <w:tcW w:w="3759" w:type="dxa"/>
          </w:tcPr>
          <w:p w:rsidR="00053D3F" w:rsidRPr="00A44E49" w:rsidRDefault="00053D3F" w:rsidP="00053D3F">
            <w:pPr>
              <w:rPr>
                <w:rFonts w:cstheme="minorHAnsi"/>
              </w:rPr>
            </w:pPr>
          </w:p>
        </w:tc>
      </w:tr>
      <w:tr w:rsidR="00053D3F" w:rsidRPr="00A44E49" w:rsidTr="00053D3F">
        <w:tc>
          <w:tcPr>
            <w:tcW w:w="2800" w:type="dxa"/>
          </w:tcPr>
          <w:p w:rsidR="00053D3F" w:rsidRPr="00A44E49" w:rsidRDefault="00053D3F" w:rsidP="00053D3F">
            <w:pPr>
              <w:rPr>
                <w:rFonts w:cstheme="minorHAnsi"/>
              </w:rPr>
            </w:pPr>
            <w:proofErr w:type="spellStart"/>
            <w:r w:rsidRPr="00A44E49">
              <w:rPr>
                <w:rFonts w:cstheme="minorHAnsi"/>
              </w:rPr>
              <w:t>Ramsar</w:t>
            </w:r>
            <w:proofErr w:type="spellEnd"/>
            <w:r w:rsidRPr="00A44E49">
              <w:rPr>
                <w:rFonts w:cstheme="minorHAnsi"/>
              </w:rPr>
              <w:t xml:space="preserve"> wetlands</w:t>
            </w:r>
          </w:p>
        </w:tc>
        <w:tc>
          <w:tcPr>
            <w:tcW w:w="3262" w:type="dxa"/>
          </w:tcPr>
          <w:p w:rsidR="00053D3F" w:rsidRPr="00A44E49" w:rsidRDefault="00053D3F" w:rsidP="00053D3F">
            <w:pPr>
              <w:pStyle w:val="ListParagraph"/>
              <w:numPr>
                <w:ilvl w:val="0"/>
                <w:numId w:val="26"/>
              </w:numPr>
              <w:ind w:left="327" w:hanging="284"/>
              <w:rPr>
                <w:rFonts w:cstheme="minorHAnsi"/>
              </w:rPr>
            </w:pPr>
            <w:r w:rsidRPr="00A44E49">
              <w:rPr>
                <w:rFonts w:cstheme="minorHAnsi"/>
              </w:rPr>
              <w:t>Management plan/arrangements</w:t>
            </w:r>
          </w:p>
        </w:tc>
        <w:tc>
          <w:tcPr>
            <w:tcW w:w="4678" w:type="dxa"/>
          </w:tcPr>
          <w:p w:rsidR="00053D3F" w:rsidRPr="00A44E49" w:rsidRDefault="00053D3F" w:rsidP="00053D3F">
            <w:pPr>
              <w:pStyle w:val="ListParagraph"/>
              <w:numPr>
                <w:ilvl w:val="0"/>
                <w:numId w:val="26"/>
              </w:numPr>
              <w:ind w:left="327" w:hanging="284"/>
              <w:rPr>
                <w:rFonts w:cstheme="minorHAnsi"/>
              </w:rPr>
            </w:pPr>
            <w:r>
              <w:rPr>
                <w:rFonts w:cstheme="minorHAnsi"/>
              </w:rPr>
              <w:t>Ecological character descriptions</w:t>
            </w:r>
            <w:r w:rsidRPr="00A44E49">
              <w:rPr>
                <w:rFonts w:cstheme="minorHAnsi"/>
              </w:rPr>
              <w:t xml:space="preserve"> for individual sites</w:t>
            </w:r>
          </w:p>
        </w:tc>
        <w:tc>
          <w:tcPr>
            <w:tcW w:w="3759" w:type="dxa"/>
          </w:tcPr>
          <w:p w:rsidR="00053D3F" w:rsidRPr="00A44E49" w:rsidRDefault="00373445" w:rsidP="00053D3F">
            <w:pPr>
              <w:rPr>
                <w:rFonts w:cstheme="minorHAnsi"/>
              </w:rPr>
            </w:pPr>
            <w:proofErr w:type="spellStart"/>
            <w:r>
              <w:rPr>
                <w:rFonts w:cstheme="minorHAnsi"/>
              </w:rPr>
              <w:t>eg</w:t>
            </w:r>
            <w:proofErr w:type="spellEnd"/>
            <w:r w:rsidR="00053D3F">
              <w:rPr>
                <w:rFonts w:cstheme="minorHAnsi"/>
              </w:rPr>
              <w:t xml:space="preserve"> Queensland Wetlands Program</w:t>
            </w:r>
          </w:p>
        </w:tc>
      </w:tr>
      <w:tr w:rsidR="00053D3F" w:rsidRPr="00A44E49" w:rsidTr="00053D3F">
        <w:tc>
          <w:tcPr>
            <w:tcW w:w="2800" w:type="dxa"/>
          </w:tcPr>
          <w:p w:rsidR="00053D3F" w:rsidRPr="00A44E49" w:rsidRDefault="00053D3F" w:rsidP="00053D3F">
            <w:pPr>
              <w:rPr>
                <w:rFonts w:cstheme="minorHAnsi"/>
              </w:rPr>
            </w:pPr>
            <w:r w:rsidRPr="00A44E49">
              <w:rPr>
                <w:rFonts w:cstheme="minorHAnsi"/>
              </w:rPr>
              <w:lastRenderedPageBreak/>
              <w:t>Nuclear Actions</w:t>
            </w:r>
          </w:p>
        </w:tc>
        <w:tc>
          <w:tcPr>
            <w:tcW w:w="3262" w:type="dxa"/>
          </w:tcPr>
          <w:p w:rsidR="00053D3F" w:rsidRPr="00A44E49" w:rsidRDefault="00053D3F" w:rsidP="00053D3F">
            <w:pPr>
              <w:pStyle w:val="ListParagraph"/>
              <w:numPr>
                <w:ilvl w:val="0"/>
                <w:numId w:val="26"/>
              </w:numPr>
              <w:ind w:left="327" w:hanging="284"/>
              <w:rPr>
                <w:rFonts w:cstheme="minorHAnsi"/>
              </w:rPr>
            </w:pPr>
            <w:r w:rsidRPr="00A44E49">
              <w:rPr>
                <w:rFonts w:cstheme="minorHAnsi"/>
              </w:rPr>
              <w:t xml:space="preserve">Conservation agreement </w:t>
            </w:r>
          </w:p>
        </w:tc>
        <w:tc>
          <w:tcPr>
            <w:tcW w:w="4678" w:type="dxa"/>
          </w:tcPr>
          <w:p w:rsidR="00053D3F" w:rsidRPr="00A44E49" w:rsidRDefault="00053D3F" w:rsidP="00053D3F">
            <w:pPr>
              <w:pStyle w:val="ListParagraph"/>
              <w:numPr>
                <w:ilvl w:val="0"/>
                <w:numId w:val="26"/>
              </w:numPr>
              <w:ind w:left="327" w:hanging="284"/>
              <w:rPr>
                <w:rFonts w:cstheme="minorHAnsi"/>
              </w:rPr>
            </w:pPr>
            <w:r w:rsidRPr="00A44E49">
              <w:rPr>
                <w:rFonts w:cstheme="minorHAnsi"/>
              </w:rPr>
              <w:t>Policy statements to guide requirements for whole of environment assessment and approval under the EPBC Act</w:t>
            </w:r>
          </w:p>
        </w:tc>
        <w:tc>
          <w:tcPr>
            <w:tcW w:w="3759" w:type="dxa"/>
          </w:tcPr>
          <w:p w:rsidR="00053D3F" w:rsidRPr="00A44E49" w:rsidRDefault="00053D3F" w:rsidP="00053D3F">
            <w:pPr>
              <w:rPr>
                <w:rFonts w:cstheme="minorHAnsi"/>
              </w:rPr>
            </w:pPr>
          </w:p>
        </w:tc>
      </w:tr>
      <w:tr w:rsidR="00053D3F" w:rsidRPr="00A44E49" w:rsidTr="00053D3F">
        <w:tc>
          <w:tcPr>
            <w:tcW w:w="2800" w:type="dxa"/>
          </w:tcPr>
          <w:p w:rsidR="00053D3F" w:rsidRPr="00A44E49" w:rsidRDefault="00053D3F" w:rsidP="00053D3F">
            <w:pPr>
              <w:rPr>
                <w:rFonts w:cstheme="minorHAnsi"/>
              </w:rPr>
            </w:pPr>
            <w:r w:rsidRPr="00A44E49">
              <w:rPr>
                <w:rFonts w:cstheme="minorHAnsi"/>
              </w:rPr>
              <w:t>Commonwealth Marine</w:t>
            </w:r>
          </w:p>
        </w:tc>
        <w:tc>
          <w:tcPr>
            <w:tcW w:w="3262" w:type="dxa"/>
          </w:tcPr>
          <w:p w:rsidR="00053D3F" w:rsidRPr="00A44E49" w:rsidRDefault="00053D3F" w:rsidP="00053D3F">
            <w:pPr>
              <w:pStyle w:val="ListParagraph"/>
              <w:numPr>
                <w:ilvl w:val="0"/>
                <w:numId w:val="26"/>
              </w:numPr>
              <w:ind w:left="327" w:hanging="284"/>
              <w:rPr>
                <w:rFonts w:cstheme="minorHAnsi"/>
              </w:rPr>
            </w:pPr>
            <w:r w:rsidRPr="00A44E49">
              <w:rPr>
                <w:rFonts w:cstheme="minorHAnsi"/>
              </w:rPr>
              <w:t>Bioregional plan</w:t>
            </w:r>
          </w:p>
          <w:p w:rsidR="00053D3F" w:rsidRPr="00A44E49" w:rsidRDefault="00053D3F" w:rsidP="00053D3F">
            <w:pPr>
              <w:pStyle w:val="ListParagraph"/>
              <w:numPr>
                <w:ilvl w:val="0"/>
                <w:numId w:val="26"/>
              </w:numPr>
              <w:ind w:left="327" w:hanging="284"/>
              <w:rPr>
                <w:rFonts w:cstheme="minorHAnsi"/>
              </w:rPr>
            </w:pPr>
            <w:r w:rsidRPr="00A44E49">
              <w:rPr>
                <w:rFonts w:cstheme="minorHAnsi"/>
              </w:rPr>
              <w:t>Wildlife conservation plans (</w:t>
            </w:r>
            <w:proofErr w:type="spellStart"/>
            <w:r w:rsidRPr="00A44E49">
              <w:rPr>
                <w:rFonts w:cstheme="minorHAnsi"/>
              </w:rPr>
              <w:t>eg</w:t>
            </w:r>
            <w:proofErr w:type="spellEnd"/>
            <w:r w:rsidRPr="00A44E49">
              <w:rPr>
                <w:rFonts w:cstheme="minorHAnsi"/>
              </w:rPr>
              <w:t xml:space="preserve"> for Migratory Shorebirds)</w:t>
            </w:r>
          </w:p>
        </w:tc>
        <w:tc>
          <w:tcPr>
            <w:tcW w:w="4678" w:type="dxa"/>
          </w:tcPr>
          <w:p w:rsidR="00053D3F" w:rsidRPr="00A44E49" w:rsidRDefault="00053D3F" w:rsidP="00053D3F">
            <w:pPr>
              <w:pStyle w:val="ListParagraph"/>
              <w:numPr>
                <w:ilvl w:val="0"/>
                <w:numId w:val="26"/>
              </w:numPr>
              <w:ind w:left="327" w:hanging="284"/>
              <w:rPr>
                <w:rFonts w:cstheme="minorHAnsi"/>
              </w:rPr>
            </w:pPr>
            <w:r w:rsidRPr="00A44E49">
              <w:rPr>
                <w:rFonts w:cstheme="minorHAnsi"/>
              </w:rPr>
              <w:t>Policy statements to guide requirements for whole of environment assessment and approval under the EPBC Act</w:t>
            </w:r>
          </w:p>
        </w:tc>
        <w:tc>
          <w:tcPr>
            <w:tcW w:w="3759" w:type="dxa"/>
          </w:tcPr>
          <w:p w:rsidR="00053D3F" w:rsidRPr="00A44E49" w:rsidRDefault="00053D3F" w:rsidP="00053D3F">
            <w:pPr>
              <w:rPr>
                <w:rFonts w:cstheme="minorHAnsi"/>
              </w:rPr>
            </w:pPr>
          </w:p>
        </w:tc>
      </w:tr>
      <w:tr w:rsidR="00053D3F" w:rsidRPr="00A44E49" w:rsidTr="00053D3F">
        <w:tc>
          <w:tcPr>
            <w:tcW w:w="2800" w:type="dxa"/>
          </w:tcPr>
          <w:p w:rsidR="00053D3F" w:rsidRPr="00A44E49" w:rsidRDefault="00053D3F" w:rsidP="00053D3F">
            <w:pPr>
              <w:rPr>
                <w:rFonts w:cstheme="minorHAnsi"/>
              </w:rPr>
            </w:pPr>
            <w:r w:rsidRPr="00A44E49">
              <w:rPr>
                <w:rFonts w:cstheme="minorHAnsi"/>
              </w:rPr>
              <w:t>GBR Marine Park</w:t>
            </w:r>
          </w:p>
        </w:tc>
        <w:tc>
          <w:tcPr>
            <w:tcW w:w="3262" w:type="dxa"/>
          </w:tcPr>
          <w:p w:rsidR="00053D3F" w:rsidRPr="00A44E49" w:rsidRDefault="00053D3F" w:rsidP="00053D3F">
            <w:pPr>
              <w:pStyle w:val="ListParagraph"/>
              <w:numPr>
                <w:ilvl w:val="0"/>
                <w:numId w:val="26"/>
              </w:numPr>
              <w:ind w:left="327" w:hanging="284"/>
              <w:rPr>
                <w:rFonts w:cstheme="minorHAnsi"/>
              </w:rPr>
            </w:pPr>
            <w:r w:rsidRPr="00A44E49">
              <w:rPr>
                <w:rFonts w:cstheme="minorHAnsi"/>
              </w:rPr>
              <w:t xml:space="preserve">Plan of management under the </w:t>
            </w:r>
            <w:r w:rsidRPr="00A44E49">
              <w:rPr>
                <w:rFonts w:cstheme="minorHAnsi"/>
                <w:i/>
              </w:rPr>
              <w:t>Great Barrier Reef Marine Park Act 1975</w:t>
            </w:r>
          </w:p>
        </w:tc>
        <w:tc>
          <w:tcPr>
            <w:tcW w:w="4678" w:type="dxa"/>
          </w:tcPr>
          <w:p w:rsidR="00053D3F" w:rsidRPr="00A44E49" w:rsidRDefault="00053D3F" w:rsidP="00053D3F">
            <w:pPr>
              <w:pStyle w:val="ListParagraph"/>
              <w:numPr>
                <w:ilvl w:val="0"/>
                <w:numId w:val="26"/>
              </w:numPr>
              <w:ind w:left="327" w:hanging="284"/>
              <w:rPr>
                <w:rFonts w:cstheme="minorHAnsi"/>
              </w:rPr>
            </w:pPr>
            <w:r w:rsidRPr="00A44E49">
              <w:rPr>
                <w:rFonts w:cstheme="minorHAnsi"/>
              </w:rPr>
              <w:t>Policy statements for specific activities, areas or matters of national environmental significance</w:t>
            </w:r>
          </w:p>
        </w:tc>
        <w:tc>
          <w:tcPr>
            <w:tcW w:w="3759" w:type="dxa"/>
          </w:tcPr>
          <w:p w:rsidR="00053D3F" w:rsidRPr="00A44E49" w:rsidRDefault="00053D3F" w:rsidP="00053D3F">
            <w:pPr>
              <w:pStyle w:val="ListParagraph"/>
              <w:numPr>
                <w:ilvl w:val="0"/>
                <w:numId w:val="26"/>
              </w:numPr>
              <w:ind w:left="327" w:hanging="284"/>
              <w:rPr>
                <w:rFonts w:cstheme="minorHAnsi"/>
              </w:rPr>
            </w:pPr>
            <w:r w:rsidRPr="00A44E49">
              <w:rPr>
                <w:rFonts w:cstheme="minorHAnsi"/>
              </w:rPr>
              <w:t>Program for strategic assessment</w:t>
            </w:r>
          </w:p>
          <w:p w:rsidR="00053D3F" w:rsidRPr="00A44E49" w:rsidRDefault="00053D3F" w:rsidP="00053D3F">
            <w:pPr>
              <w:rPr>
                <w:rFonts w:cstheme="minorHAnsi"/>
              </w:rPr>
            </w:pPr>
          </w:p>
        </w:tc>
      </w:tr>
    </w:tbl>
    <w:p w:rsidR="00053D3F" w:rsidRPr="00A44E49" w:rsidRDefault="00053D3F" w:rsidP="00053D3F"/>
    <w:p w:rsidR="00053D3F" w:rsidRPr="00A44E49" w:rsidRDefault="00053D3F" w:rsidP="00053D3F">
      <w:pPr>
        <w:pStyle w:val="Heading2"/>
        <w:sectPr w:rsidR="00053D3F" w:rsidRPr="00A44E49" w:rsidSect="00443571">
          <w:footerReference w:type="default" r:id="rId23"/>
          <w:pgSz w:w="16838" w:h="11906" w:orient="landscape"/>
          <w:pgMar w:top="1440" w:right="1440" w:bottom="1440" w:left="1440" w:header="708" w:footer="708" w:gutter="0"/>
          <w:cols w:space="708"/>
          <w:docGrid w:linePitch="360"/>
        </w:sectPr>
      </w:pPr>
    </w:p>
    <w:p w:rsidR="00053D3F" w:rsidRPr="00A44E49" w:rsidRDefault="00053D3F" w:rsidP="00053D3F">
      <w:pPr>
        <w:pStyle w:val="Heading1"/>
        <w:spacing w:after="120"/>
      </w:pPr>
      <w:bookmarkStart w:id="86" w:name="_Toc328503786"/>
      <w:bookmarkStart w:id="87" w:name="_Toc339368200"/>
      <w:bookmarkStart w:id="88" w:name="_Toc328503774"/>
      <w:r>
        <w:lastRenderedPageBreak/>
        <w:t>Attachment B</w:t>
      </w:r>
      <w:r w:rsidRPr="00A44E49">
        <w:t xml:space="preserve"> – International obligations for listed threatened species and ecological communities</w:t>
      </w:r>
      <w:bookmarkEnd w:id="86"/>
      <w:bookmarkEnd w:id="87"/>
    </w:p>
    <w:p w:rsidR="00053D3F" w:rsidRPr="00A44E49" w:rsidRDefault="00053D3F" w:rsidP="00053D3F">
      <w:pPr>
        <w:pStyle w:val="Heading3"/>
      </w:pPr>
      <w:bookmarkStart w:id="89" w:name="_Toc328503787"/>
      <w:bookmarkStart w:id="90" w:name="_Toc339368201"/>
      <w:r w:rsidRPr="00A44E49">
        <w:t>Extracts from the Biodiversity Convention</w:t>
      </w:r>
      <w:bookmarkEnd w:id="89"/>
      <w:bookmarkEnd w:id="90"/>
    </w:p>
    <w:p w:rsidR="002F4E41" w:rsidRPr="00A44E49" w:rsidRDefault="00053D3F" w:rsidP="00053D3F">
      <w:r w:rsidRPr="00A44E49">
        <w:t>‘Biodiversity Convention’ means the Convention on Biological Diversity done at Rio de Janeiro on 5 June 1992.</w:t>
      </w:r>
      <w:r w:rsidR="002F4E41" w:rsidRPr="00A44E49">
        <w:rPr>
          <w:rStyle w:val="EndnoteReference"/>
        </w:rPr>
        <w:endnoteReference w:id="166"/>
      </w:r>
    </w:p>
    <w:p w:rsidR="00053D3F" w:rsidRPr="00A44E49" w:rsidRDefault="00053D3F" w:rsidP="00053D3F">
      <w:pPr>
        <w:pStyle w:val="Heading4"/>
      </w:pPr>
      <w:r w:rsidRPr="00A44E49">
        <w:t>Preamble</w:t>
      </w:r>
    </w:p>
    <w:p w:rsidR="00053D3F" w:rsidRPr="00A44E49" w:rsidRDefault="00053D3F" w:rsidP="00053D3F">
      <w:r w:rsidRPr="00A44E49">
        <w:t>The Contracting Parties,</w:t>
      </w:r>
    </w:p>
    <w:p w:rsidR="00053D3F" w:rsidRPr="00A44E49" w:rsidRDefault="00053D3F" w:rsidP="00053D3F">
      <w:proofErr w:type="gramStart"/>
      <w:r w:rsidRPr="00A44E49">
        <w:rPr>
          <w:i/>
        </w:rPr>
        <w:t>Conscious</w:t>
      </w:r>
      <w:r w:rsidRPr="00A44E49">
        <w:t xml:space="preserve"> of the intrinsic value of biological diversity and of the ecological, genetic, social, economic, scientific, educational, cultural, recreational and aesthetic values of biological diversity and its components.</w:t>
      </w:r>
      <w:proofErr w:type="gramEnd"/>
    </w:p>
    <w:p w:rsidR="00053D3F" w:rsidRPr="00A44E49" w:rsidRDefault="00053D3F" w:rsidP="00053D3F">
      <w:r w:rsidRPr="00A44E49">
        <w:rPr>
          <w:i/>
        </w:rPr>
        <w:t>Conscious</w:t>
      </w:r>
      <w:r w:rsidRPr="00A44E49">
        <w:t xml:space="preserve"> </w:t>
      </w:r>
      <w:r w:rsidRPr="00A44E49">
        <w:rPr>
          <w:i/>
        </w:rPr>
        <w:t>also</w:t>
      </w:r>
      <w:r w:rsidRPr="00A44E49">
        <w:t xml:space="preserve"> of the importance of biological diversity for evolution and for maintaining life sustaining systems of the biosphere,</w:t>
      </w:r>
    </w:p>
    <w:p w:rsidR="00053D3F" w:rsidRPr="00A44E49" w:rsidRDefault="00053D3F" w:rsidP="00053D3F">
      <w:r w:rsidRPr="00A44E49">
        <w:rPr>
          <w:i/>
        </w:rPr>
        <w:t>Affirming</w:t>
      </w:r>
      <w:r w:rsidRPr="00A44E49">
        <w:t xml:space="preserve"> that the conservation of biological diversity is a common concern of humankind,</w:t>
      </w:r>
    </w:p>
    <w:p w:rsidR="00053D3F" w:rsidRPr="00A44E49" w:rsidRDefault="00053D3F" w:rsidP="00053D3F">
      <w:proofErr w:type="gramStart"/>
      <w:r w:rsidRPr="00A44E49">
        <w:rPr>
          <w:i/>
        </w:rPr>
        <w:t>Reaffirming</w:t>
      </w:r>
      <w:r w:rsidRPr="00A44E49">
        <w:t xml:space="preserve"> that States have sovereign rights over their own biological resources.</w:t>
      </w:r>
      <w:proofErr w:type="gramEnd"/>
    </w:p>
    <w:p w:rsidR="00053D3F" w:rsidRPr="00A44E49" w:rsidRDefault="00053D3F" w:rsidP="00053D3F">
      <w:r w:rsidRPr="00A44E49">
        <w:rPr>
          <w:i/>
        </w:rPr>
        <w:t>Reaffirming</w:t>
      </w:r>
      <w:r w:rsidRPr="00A44E49">
        <w:t xml:space="preserve"> </w:t>
      </w:r>
      <w:r w:rsidRPr="00A44E49">
        <w:rPr>
          <w:i/>
        </w:rPr>
        <w:t>also</w:t>
      </w:r>
      <w:r w:rsidRPr="00A44E49">
        <w:t xml:space="preserve"> that States are responsible for conserving their biological diversity and for using their biological resources in a sustainable manner,</w:t>
      </w:r>
    </w:p>
    <w:p w:rsidR="00053D3F" w:rsidRPr="00A44E49" w:rsidRDefault="00053D3F" w:rsidP="00053D3F">
      <w:r w:rsidRPr="00A44E49">
        <w:rPr>
          <w:i/>
        </w:rPr>
        <w:t>Concerned</w:t>
      </w:r>
      <w:r w:rsidRPr="00A44E49">
        <w:t xml:space="preserve"> that biological diversity is being significantly reduced by certain human activities.</w:t>
      </w:r>
    </w:p>
    <w:p w:rsidR="00053D3F" w:rsidRPr="00A44E49" w:rsidRDefault="00053D3F" w:rsidP="00053D3F">
      <w:r w:rsidRPr="00A44E49">
        <w:rPr>
          <w:i/>
        </w:rPr>
        <w:t>Aware of</w:t>
      </w:r>
      <w:r w:rsidRPr="00A44E49">
        <w:t xml:space="preserve"> the general lack of information and knowledge regarding biological diversity and of the urgent need to develop scientific, technical and institutional capacities to provide the basic understanding upon which to plan and implement appropriate measures,</w:t>
      </w:r>
    </w:p>
    <w:p w:rsidR="00053D3F" w:rsidRPr="00A44E49" w:rsidRDefault="00053D3F" w:rsidP="00053D3F">
      <w:r w:rsidRPr="00A44E49">
        <w:rPr>
          <w:i/>
        </w:rPr>
        <w:t>Noting</w:t>
      </w:r>
      <w:r w:rsidRPr="00A44E49">
        <w:t xml:space="preserve"> that it is vital to anticipate, prevent and attack the causes of significant reduction or loss of biological diversity at source,</w:t>
      </w:r>
    </w:p>
    <w:p w:rsidR="00053D3F" w:rsidRPr="00A44E49" w:rsidRDefault="00053D3F" w:rsidP="00053D3F">
      <w:r w:rsidRPr="00A44E49">
        <w:rPr>
          <w:i/>
        </w:rPr>
        <w:t>Noting also</w:t>
      </w:r>
      <w:r w:rsidRPr="00A44E49">
        <w:t xml:space="preserve"> that where there is a threat of significant reduction or loss of biological diversity, lack of full scientific certainty should not be used as a reason for postponing measures to avoid or minimize such a threat.</w:t>
      </w:r>
    </w:p>
    <w:p w:rsidR="00053D3F" w:rsidRPr="00A44E49" w:rsidRDefault="00053D3F" w:rsidP="00053D3F">
      <w:r w:rsidRPr="00A44E49">
        <w:rPr>
          <w:i/>
        </w:rPr>
        <w:t>Noting further</w:t>
      </w:r>
      <w:r w:rsidRPr="00A44E49">
        <w:t xml:space="preserve"> that the fundamental requirement for the conservation of biological diversity is the in-situ conservation of ecosystems and natural habitats and the maintenance and recovery of viable populations of species in their natural surroundings,</w:t>
      </w:r>
    </w:p>
    <w:p w:rsidR="00053D3F" w:rsidRPr="00A44E49" w:rsidRDefault="00053D3F" w:rsidP="00053D3F">
      <w:r w:rsidRPr="00A44E49">
        <w:rPr>
          <w:i/>
        </w:rPr>
        <w:t>Noting further</w:t>
      </w:r>
      <w:r w:rsidRPr="00A44E49">
        <w:t xml:space="preserve"> </w:t>
      </w:r>
      <w:proofErr w:type="gramStart"/>
      <w:r w:rsidRPr="00A44E49">
        <w:t>that ex-situ measures</w:t>
      </w:r>
      <w:proofErr w:type="gramEnd"/>
      <w:r w:rsidRPr="00A44E49">
        <w:t>, preferably in the country of origin, also have an important role to play,</w:t>
      </w:r>
    </w:p>
    <w:p w:rsidR="00053D3F" w:rsidRPr="00A44E49" w:rsidRDefault="00053D3F" w:rsidP="00053D3F">
      <w:pPr>
        <w:autoSpaceDE w:val="0"/>
        <w:autoSpaceDN w:val="0"/>
        <w:adjustRightInd w:val="0"/>
        <w:spacing w:after="0" w:line="240" w:lineRule="auto"/>
      </w:pPr>
      <w:r w:rsidRPr="00A44E49">
        <w:rPr>
          <w:i/>
        </w:rPr>
        <w:t>Recognizing</w:t>
      </w:r>
      <w:r w:rsidRPr="00A44E49">
        <w:t xml:space="preserve"> the close and traditional dependence of many indigenous and local communities embodying traditional lifestyles on biological resources, and the desirability of sharing equitably benefits arising from the use of traditional knowledge, innovations and practices relevant to the conservation of biological diversity and the sustainable use of its components,</w:t>
      </w:r>
    </w:p>
    <w:p w:rsidR="00053D3F" w:rsidRPr="00A44E49" w:rsidRDefault="00053D3F" w:rsidP="00053D3F">
      <w:pPr>
        <w:autoSpaceDE w:val="0"/>
        <w:autoSpaceDN w:val="0"/>
        <w:adjustRightInd w:val="0"/>
        <w:spacing w:after="0" w:line="240" w:lineRule="auto"/>
      </w:pPr>
      <w:r w:rsidRPr="00A44E49">
        <w:rPr>
          <w:i/>
        </w:rPr>
        <w:lastRenderedPageBreak/>
        <w:t>Recognizing also</w:t>
      </w:r>
      <w:r w:rsidRPr="00A44E49">
        <w:t xml:space="preserve"> the vital role that women play in the conservation and sustainable use of biological diversity and affirming the need for the full participation of women at all levels of policy-making and</w:t>
      </w:r>
    </w:p>
    <w:p w:rsidR="00053D3F" w:rsidRPr="00A44E49" w:rsidRDefault="00053D3F" w:rsidP="00053D3F">
      <w:proofErr w:type="gramStart"/>
      <w:r w:rsidRPr="00A44E49">
        <w:t>implementation</w:t>
      </w:r>
      <w:proofErr w:type="gramEnd"/>
      <w:r w:rsidRPr="00A44E49">
        <w:t xml:space="preserve"> for biological diversity conservation,</w:t>
      </w:r>
    </w:p>
    <w:p w:rsidR="00053D3F" w:rsidRPr="00A44E49" w:rsidRDefault="00053D3F" w:rsidP="00053D3F">
      <w:r w:rsidRPr="00A44E49">
        <w:rPr>
          <w:i/>
        </w:rPr>
        <w:t>Stressing</w:t>
      </w:r>
      <w:r w:rsidRPr="00A44E49">
        <w:t xml:space="preserve"> the importance of, and the need to promote, international, regional and global cooperation among States and intergovernmental organizations and the non-governmental sector for the conservation of biological diversity and the sustainable use of its components,</w:t>
      </w:r>
    </w:p>
    <w:p w:rsidR="00053D3F" w:rsidRPr="00A44E49" w:rsidRDefault="00053D3F" w:rsidP="00053D3F">
      <w:r w:rsidRPr="00A44E49">
        <w:t>…</w:t>
      </w:r>
    </w:p>
    <w:p w:rsidR="00053D3F" w:rsidRPr="00A44E49" w:rsidRDefault="00053D3F" w:rsidP="00053D3F">
      <w:r w:rsidRPr="00A44E49">
        <w:rPr>
          <w:i/>
        </w:rPr>
        <w:t>Aware</w:t>
      </w:r>
      <w:r w:rsidRPr="00A44E49">
        <w:t xml:space="preserve"> that conservation and sustainable use of biological diversity is of critical importance for meeting the food, health and other needs of the growing world population, for which purpose access to and sharing of both genetic resources and technologies are essential,</w:t>
      </w:r>
    </w:p>
    <w:p w:rsidR="00053D3F" w:rsidRPr="00A44E49" w:rsidRDefault="00053D3F" w:rsidP="00053D3F">
      <w:r w:rsidRPr="00A44E49">
        <w:rPr>
          <w:i/>
        </w:rPr>
        <w:t>Noting</w:t>
      </w:r>
      <w:r w:rsidRPr="00A44E49">
        <w:t xml:space="preserve"> that, ultimately, the conservation and sustainable use of biological diversity will strengthen friendly relations among States and contribute to peace for humankind,</w:t>
      </w:r>
    </w:p>
    <w:p w:rsidR="00053D3F" w:rsidRPr="00A44E49" w:rsidRDefault="00053D3F" w:rsidP="00053D3F">
      <w:r w:rsidRPr="00A44E49">
        <w:rPr>
          <w:i/>
        </w:rPr>
        <w:t>Desiring</w:t>
      </w:r>
      <w:r w:rsidRPr="00A44E49">
        <w:t xml:space="preserve"> to enhance and complement existing international arrangements for the conservation of biological diversity and sustainable use of its components, and</w:t>
      </w:r>
    </w:p>
    <w:p w:rsidR="00053D3F" w:rsidRPr="00A44E49" w:rsidRDefault="00053D3F" w:rsidP="00053D3F">
      <w:r w:rsidRPr="00A44E49">
        <w:rPr>
          <w:i/>
        </w:rPr>
        <w:t>Determined</w:t>
      </w:r>
      <w:r w:rsidRPr="00A44E49">
        <w:t xml:space="preserve"> to conserve and sustainably use biological diversity for the benefit of present and future generations.</w:t>
      </w:r>
    </w:p>
    <w:p w:rsidR="00053D3F" w:rsidRPr="00A44E49" w:rsidRDefault="00053D3F" w:rsidP="00053D3F">
      <w:pPr>
        <w:pStyle w:val="Heading4"/>
      </w:pPr>
      <w:r w:rsidRPr="00A44E49">
        <w:t xml:space="preserve">Article 1 </w:t>
      </w:r>
    </w:p>
    <w:p w:rsidR="00053D3F" w:rsidRPr="00A44E49" w:rsidRDefault="00053D3F" w:rsidP="00053D3F">
      <w:r w:rsidRPr="00A44E49">
        <w:t>The objectives of this Convention, to be pursued in accordance with its relevant provisions, are the conservation of biological diversity, the sustainable use of its components and the fair and equitable sharing of the benefits arising out of the utilization of genetic resources, including by appropriate access to genetic resources and by appropriate transfer of relevant technologies, taking into account all rights over those resources and to technologies, and by appropriate funding.</w:t>
      </w:r>
    </w:p>
    <w:p w:rsidR="00053D3F" w:rsidRPr="00A44E49" w:rsidRDefault="00053D3F" w:rsidP="00053D3F">
      <w:pPr>
        <w:pStyle w:val="Heading4"/>
      </w:pPr>
      <w:r w:rsidRPr="00A44E49">
        <w:t>Article 6</w:t>
      </w:r>
    </w:p>
    <w:p w:rsidR="00053D3F" w:rsidRPr="00A44E49" w:rsidRDefault="00053D3F" w:rsidP="00053D3F">
      <w:r w:rsidRPr="00A44E49">
        <w:t>Each Contracting Party shall, in accordance with its particular conditions and capabilities:</w:t>
      </w:r>
    </w:p>
    <w:p w:rsidR="00053D3F" w:rsidRPr="00A44E49" w:rsidRDefault="00053D3F" w:rsidP="00053D3F">
      <w:r w:rsidRPr="00A44E49">
        <w:t>(a) Develop national strategies, plans or programmes for the conservation and sustainable use of biological diversity or adapt for this purpose existing strategies, plans or programmes which shall reflect, inter alia, the measures set out in this Convention relevant to the Contracting Party concerned; and</w:t>
      </w:r>
    </w:p>
    <w:p w:rsidR="00053D3F" w:rsidRPr="00A44E49" w:rsidRDefault="00053D3F" w:rsidP="00053D3F">
      <w:r w:rsidRPr="00A44E49">
        <w:t>(b) Integrate, as far as possible and as appropriate, the conservation and sustainable use of biological diversity into relevant sectoral or cross-sectoral plans, programmes and policies.</w:t>
      </w:r>
    </w:p>
    <w:p w:rsidR="00053D3F" w:rsidRPr="00A44E49" w:rsidRDefault="00053D3F" w:rsidP="00053D3F">
      <w:pPr>
        <w:pStyle w:val="Heading4"/>
      </w:pPr>
      <w:r w:rsidRPr="00A44E49">
        <w:t>Article 7</w:t>
      </w:r>
    </w:p>
    <w:p w:rsidR="00053D3F" w:rsidRPr="00A44E49" w:rsidRDefault="00053D3F" w:rsidP="00053D3F">
      <w:r w:rsidRPr="00A44E49">
        <w:t>Each Contracting Party shall, as far as possible and as appropriate, in particular for the purposes of Articles 8 to 10:</w:t>
      </w:r>
    </w:p>
    <w:p w:rsidR="00053D3F" w:rsidRPr="00A44E49" w:rsidRDefault="00053D3F" w:rsidP="00053D3F">
      <w:r w:rsidRPr="00A44E49">
        <w:t>(a) Identify components of biological diversity important for its conservation and sustainable use having regard to the indicative list of categories set down in Annex I:</w:t>
      </w:r>
    </w:p>
    <w:p w:rsidR="00053D3F" w:rsidRPr="00A44E49" w:rsidRDefault="00053D3F" w:rsidP="00053D3F">
      <w:r w:rsidRPr="00A44E49">
        <w:lastRenderedPageBreak/>
        <w:t>(b) Monitor, through sampling and other techniques, the components of biological diversity identified pursuant to subparagraph (a) above, paying particular attention to those requiring urgent conservation measures and those which offer the greatest potential for sustainable use;</w:t>
      </w:r>
    </w:p>
    <w:p w:rsidR="00053D3F" w:rsidRPr="00A44E49" w:rsidRDefault="00053D3F" w:rsidP="00053D3F">
      <w:r w:rsidRPr="00A44E49">
        <w:t>(c) Identify processes and categories of activities which have or are likely to have significant adverse impacts on the conservation and sustainable use of biological diversity, and monitor their effects through sampling and other techniques; and</w:t>
      </w:r>
    </w:p>
    <w:p w:rsidR="00053D3F" w:rsidRPr="00A44E49" w:rsidRDefault="00053D3F" w:rsidP="00053D3F">
      <w:r w:rsidRPr="00A44E49">
        <w:t>(d) Maintain and organize, by any mechanism data, derived from identification and monitoring activities pursuant to subparagraphs (a), (b) and (c) above.</w:t>
      </w:r>
    </w:p>
    <w:p w:rsidR="00053D3F" w:rsidRPr="00A44E49" w:rsidRDefault="00053D3F" w:rsidP="00053D3F">
      <w:pPr>
        <w:pStyle w:val="Heading4"/>
      </w:pPr>
      <w:r w:rsidRPr="00A44E49">
        <w:t xml:space="preserve">Article 8 </w:t>
      </w:r>
    </w:p>
    <w:p w:rsidR="00053D3F" w:rsidRPr="00A44E49" w:rsidRDefault="00053D3F" w:rsidP="00053D3F">
      <w:r w:rsidRPr="00A44E49">
        <w:t xml:space="preserve">Each Contracting Party shall, as far as possible and as appropriate: </w:t>
      </w:r>
    </w:p>
    <w:p w:rsidR="00053D3F" w:rsidRPr="00A44E49" w:rsidRDefault="00053D3F" w:rsidP="00053D3F">
      <w:r w:rsidRPr="00A44E49">
        <w:t xml:space="preserve">(a) Establish a system of protected areas or areas where special measures need to be taken to conserve biological diversity; </w:t>
      </w:r>
    </w:p>
    <w:p w:rsidR="00053D3F" w:rsidRPr="00A44E49" w:rsidRDefault="00053D3F" w:rsidP="00053D3F">
      <w:r w:rsidRPr="00A44E49">
        <w:t xml:space="preserve">(b) Develop, where necessary, guidelines for the selection, establishment and management of protected areas or areas where special measures need to be taken to conserve biological diversity; </w:t>
      </w:r>
    </w:p>
    <w:p w:rsidR="00053D3F" w:rsidRPr="00A44E49" w:rsidRDefault="00053D3F" w:rsidP="00053D3F">
      <w:r w:rsidRPr="00A44E49">
        <w:t xml:space="preserve">(c) Regulate or manage biological resources important for the conservation of biological diversity whether within or outside protected areas, with a view to ensuring their conservation and sustainable use; </w:t>
      </w:r>
    </w:p>
    <w:p w:rsidR="00053D3F" w:rsidRPr="00A44E49" w:rsidRDefault="00053D3F" w:rsidP="00053D3F">
      <w:r w:rsidRPr="00A44E49">
        <w:t xml:space="preserve">(d) Promote the protection of ecosystems, natural habitats and the maintenance of viable populations of species in natural surroundings; </w:t>
      </w:r>
    </w:p>
    <w:p w:rsidR="00053D3F" w:rsidRPr="00A44E49" w:rsidRDefault="00053D3F" w:rsidP="00053D3F">
      <w:r w:rsidRPr="00A44E49">
        <w:t xml:space="preserve">(e) Promote environmentally sound and sustainable development in areas adjacent to protected areas with a view to furthering protection of these areas; </w:t>
      </w:r>
    </w:p>
    <w:p w:rsidR="00053D3F" w:rsidRPr="00A44E49" w:rsidRDefault="00053D3F" w:rsidP="00053D3F">
      <w:r w:rsidRPr="00A44E49">
        <w:t xml:space="preserve">(f) Rehabilitate and restore degraded ecosystems and promote the recovery of threatened species, inter alia, through the development and implementation of plans or other management strategies; </w:t>
      </w:r>
    </w:p>
    <w:p w:rsidR="00053D3F" w:rsidRPr="00A44E49" w:rsidRDefault="00053D3F" w:rsidP="00053D3F">
      <w:r w:rsidRPr="00A44E49">
        <w:t>(g) Establish or maintain means to regulate, manage or control the risks associated with the use and release of living modified organisms resulting from biotechnology which are likely to have adverse environmental impacts that could affect the conservation and sustainable use of biological diversity, taking also into account the risks to human health;</w:t>
      </w:r>
    </w:p>
    <w:p w:rsidR="00053D3F" w:rsidRPr="00A44E49" w:rsidRDefault="00053D3F" w:rsidP="00053D3F">
      <w:r w:rsidRPr="00A44E49">
        <w:t xml:space="preserve">(h) Prevent the introduction of, control or eradicate those alien species which threaten ecosystems, habitats or species; </w:t>
      </w:r>
    </w:p>
    <w:p w:rsidR="00053D3F" w:rsidRPr="00A44E49" w:rsidRDefault="00053D3F" w:rsidP="00053D3F">
      <w:r w:rsidRPr="00A44E49">
        <w:t>(</w:t>
      </w:r>
      <w:proofErr w:type="spellStart"/>
      <w:r w:rsidRPr="00A44E49">
        <w:t>i</w:t>
      </w:r>
      <w:proofErr w:type="spellEnd"/>
      <w:r w:rsidRPr="00A44E49">
        <w:t xml:space="preserve">) Endeavour to provide the conditions needed for compatibility between present uses and the conservation of biological diversity and the sustainable use of its components; </w:t>
      </w:r>
    </w:p>
    <w:p w:rsidR="00053D3F" w:rsidRPr="00A44E49" w:rsidRDefault="00053D3F" w:rsidP="00053D3F">
      <w:r w:rsidRPr="00A44E49">
        <w:t xml:space="preserve">(j) Subject to its national legislation,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w:t>
      </w:r>
      <w:r w:rsidRPr="00A44E49">
        <w:lastRenderedPageBreak/>
        <w:t xml:space="preserve">encourage the equitable sharing of the benefits arising from the utilization of such knowledge, innovations and practices; </w:t>
      </w:r>
    </w:p>
    <w:p w:rsidR="00053D3F" w:rsidRPr="00A44E49" w:rsidRDefault="00053D3F" w:rsidP="00053D3F">
      <w:r w:rsidRPr="00A44E49">
        <w:t xml:space="preserve">(k) Develop or maintain necessary legislation and/or other regulatory provisions for the protection of threatened species and populations; </w:t>
      </w:r>
    </w:p>
    <w:p w:rsidR="00053D3F" w:rsidRPr="00A44E49" w:rsidRDefault="00053D3F" w:rsidP="00053D3F">
      <w:r w:rsidRPr="00A44E49">
        <w:t xml:space="preserve">(l) Where a significant adverse effect on biological diversity has been determined pursuant to Article 7, regulate or manage the relevant processes and categories of activities; and </w:t>
      </w:r>
    </w:p>
    <w:p w:rsidR="00053D3F" w:rsidRPr="00A44E49" w:rsidRDefault="00053D3F" w:rsidP="00053D3F">
      <w:r w:rsidRPr="00A44E49">
        <w:t>(m) Cooperate in providing financial and other support for in-situ conservation outlined in subparagraphs (a) to (l) above, particularly to developing countries.</w:t>
      </w:r>
    </w:p>
    <w:p w:rsidR="00053D3F" w:rsidRPr="00A44E49" w:rsidRDefault="00053D3F" w:rsidP="00053D3F">
      <w:pPr>
        <w:pStyle w:val="Heading4"/>
      </w:pPr>
      <w:r w:rsidRPr="00A44E49">
        <w:t>Article 14</w:t>
      </w:r>
    </w:p>
    <w:p w:rsidR="00053D3F" w:rsidRPr="00A44E49" w:rsidRDefault="00053D3F" w:rsidP="00053D3F">
      <w:r w:rsidRPr="00A44E49">
        <w:t>1. Each Contracting Party, as far as possible and as appropriate, shall:</w:t>
      </w:r>
    </w:p>
    <w:p w:rsidR="00053D3F" w:rsidRPr="00A44E49" w:rsidRDefault="00053D3F" w:rsidP="00053D3F">
      <w:r w:rsidRPr="00A44E49">
        <w:t>(a) Introduce appropriate procedures requiring environmental impact assessment of its proposed projects that are likely to have significant adverse effects on biological diversity with a view to avoiding or minimizing such effects and, where appropriate, allow for public participation in such procedures;</w:t>
      </w:r>
    </w:p>
    <w:p w:rsidR="00053D3F" w:rsidRPr="00A44E49" w:rsidRDefault="00053D3F" w:rsidP="00053D3F">
      <w:r w:rsidRPr="00A44E49">
        <w:t>(b) Introduce appropriate arrangements to ensure that the environmental consequences of its programmes and policies that are likely to have significant adverse impacts on biological diversity are duly taken into account …</w:t>
      </w:r>
    </w:p>
    <w:p w:rsidR="00053D3F" w:rsidRPr="00A44E49" w:rsidRDefault="00053D3F" w:rsidP="00053D3F">
      <w:pPr>
        <w:pStyle w:val="Heading4"/>
      </w:pPr>
      <w:r w:rsidRPr="00A44E49">
        <w:t xml:space="preserve">Article 18 </w:t>
      </w:r>
    </w:p>
    <w:p w:rsidR="00053D3F" w:rsidRPr="00A44E49" w:rsidRDefault="00053D3F" w:rsidP="00053D3F">
      <w:r w:rsidRPr="00A44E49">
        <w:t xml:space="preserve">1. The Contracting Parties shall promote international technical and scientific cooperation in the field of conservation and sustainable use of biological diversity, where necessary, through the appropriate international and national institutions. </w:t>
      </w:r>
    </w:p>
    <w:p w:rsidR="00053D3F" w:rsidRPr="00A44E49" w:rsidRDefault="00053D3F" w:rsidP="00053D3F">
      <w:r w:rsidRPr="00A44E49">
        <w:t xml:space="preserve">2. Each Contracting Party shall promote technical and scientific cooperation with other Contracting Parties, in particular developing countries, in implementing this Convention, inter alia, through the development and implementation of national policies. </w:t>
      </w:r>
      <w:r w:rsidR="00272E65">
        <w:t xml:space="preserve"> </w:t>
      </w:r>
      <w:r w:rsidRPr="00A44E49">
        <w:t xml:space="preserve">In promoting such cooperation, special attention should be given to the development and strengthening of national capabilities, by means of human resources development and institution building. </w:t>
      </w:r>
    </w:p>
    <w:p w:rsidR="00053D3F" w:rsidRPr="00A44E49" w:rsidRDefault="00053D3F" w:rsidP="00053D3F">
      <w:r w:rsidRPr="00A44E49">
        <w:t xml:space="preserve">3. The Conference of the Parties, at its first meeting, shall determine how to establish a clearing-house mechanism to promote and facilitate technical and scientific cooperation. </w:t>
      </w:r>
    </w:p>
    <w:p w:rsidR="00053D3F" w:rsidRPr="00A44E49" w:rsidRDefault="00053D3F" w:rsidP="00053D3F">
      <w:r w:rsidRPr="00A44E49">
        <w:t xml:space="preserve">4. The Contracting Parties shall, in accordance with national legislation and policies, encourage and develop methods of cooperation for the development and use of technologies, including indigenous and traditional technologies, in pursuance of the objectives of this Convention. </w:t>
      </w:r>
      <w:r w:rsidR="00272E65">
        <w:t xml:space="preserve"> </w:t>
      </w:r>
      <w:r w:rsidRPr="00A44E49">
        <w:t xml:space="preserve">For this purpose, the Contracting Parties shall also promote cooperation in the training of personnel and exchange of experts. </w:t>
      </w:r>
    </w:p>
    <w:p w:rsidR="00053D3F" w:rsidRPr="00A44E49" w:rsidRDefault="00053D3F" w:rsidP="00053D3F">
      <w:r w:rsidRPr="00A44E49">
        <w:t>5. The Contracting Parties shall, subject to mutual agreement, promote the establishment of joint research programmes and joint ventures for the development of technologies relevant to the objectives of this Convention.</w:t>
      </w:r>
    </w:p>
    <w:p w:rsidR="00053D3F" w:rsidRPr="00A44E49" w:rsidRDefault="00053D3F" w:rsidP="00053D3F"/>
    <w:p w:rsidR="00053D3F" w:rsidRPr="00A44E49" w:rsidRDefault="00053D3F" w:rsidP="00053D3F">
      <w:pPr>
        <w:pStyle w:val="Heading3"/>
      </w:pPr>
      <w:bookmarkStart w:id="91" w:name="_Toc328503788"/>
      <w:bookmarkStart w:id="92" w:name="_Toc339368202"/>
      <w:r w:rsidRPr="00A44E49">
        <w:lastRenderedPageBreak/>
        <w:t>Extracts from the Apia Convention</w:t>
      </w:r>
      <w:bookmarkEnd w:id="91"/>
      <w:bookmarkEnd w:id="92"/>
    </w:p>
    <w:p w:rsidR="002F4E41" w:rsidRPr="00A44E49" w:rsidRDefault="00053D3F" w:rsidP="00053D3F">
      <w:r w:rsidRPr="00A44E49">
        <w:t>‘Apia Convention' means the Convention on Conservation of Nature in the South Pacific, done at Apia, Western Samoa, on 12 June 1976.</w:t>
      </w:r>
      <w:r w:rsidR="002F4E41" w:rsidRPr="00A44E49">
        <w:rPr>
          <w:rStyle w:val="EndnoteReference"/>
        </w:rPr>
        <w:endnoteReference w:id="167"/>
      </w:r>
    </w:p>
    <w:p w:rsidR="00053D3F" w:rsidRPr="00A44E49" w:rsidRDefault="00053D3F" w:rsidP="00053D3F">
      <w:pPr>
        <w:pStyle w:val="Heading4"/>
      </w:pPr>
      <w:r w:rsidRPr="00A44E49">
        <w:t>Preamble</w:t>
      </w:r>
    </w:p>
    <w:p w:rsidR="00053D3F" w:rsidRPr="00A44E49" w:rsidRDefault="00053D3F" w:rsidP="00053D3F">
      <w:r w:rsidRPr="00A44E49">
        <w:t>The Contracting Parties, having in mind the Principles set out in the Declaration adopted by the United Nations Conference on the Human Environment at Stockholm in June 1972;</w:t>
      </w:r>
    </w:p>
    <w:p w:rsidR="00053D3F" w:rsidRPr="00A44E49" w:rsidRDefault="00053D3F" w:rsidP="00053D3F">
      <w:r w:rsidRPr="00A44E49">
        <w:rPr>
          <w:i/>
        </w:rPr>
        <w:t>Convinced</w:t>
      </w:r>
      <w:r w:rsidRPr="00A44E49">
        <w:t xml:space="preserve"> of the urgency for action inspired by these Principles, especially in relation to the maintenance of the capacity of the earth to produce essential renewable natural resources, the safeguarding of representative samples of natural ecosystems, and the safeguarding of the heritage of wildlife and its habitat;</w:t>
      </w:r>
    </w:p>
    <w:p w:rsidR="00053D3F" w:rsidRPr="00A44E49" w:rsidRDefault="00053D3F" w:rsidP="00053D3F">
      <w:r w:rsidRPr="00A44E49">
        <w:rPr>
          <w:i/>
        </w:rPr>
        <w:t>Conscious</w:t>
      </w:r>
      <w:r w:rsidRPr="00A44E49">
        <w:t xml:space="preserve"> of the importance of natural resources from a nutritional, scientific, educational, cultural and aesthetic point of view;</w:t>
      </w:r>
    </w:p>
    <w:p w:rsidR="00053D3F" w:rsidRPr="00A44E49" w:rsidRDefault="00053D3F" w:rsidP="00053D3F">
      <w:r w:rsidRPr="00A44E49">
        <w:rPr>
          <w:i/>
        </w:rPr>
        <w:t>Conscious</w:t>
      </w:r>
      <w:r w:rsidRPr="00A44E49">
        <w:t xml:space="preserve"> also of the dangers threatening these irreplaceable resources;</w:t>
      </w:r>
    </w:p>
    <w:p w:rsidR="00053D3F" w:rsidRPr="00A44E49" w:rsidRDefault="00053D3F" w:rsidP="00053D3F">
      <w:r w:rsidRPr="00A44E49">
        <w:rPr>
          <w:i/>
        </w:rPr>
        <w:t>Recognizing</w:t>
      </w:r>
      <w:r w:rsidRPr="00A44E49">
        <w:t xml:space="preserve"> the special importance in the South Pacific of indigenous customs and traditional cultural practices and the need to give due consideration to such matters;</w:t>
      </w:r>
    </w:p>
    <w:p w:rsidR="00053D3F" w:rsidRPr="00A44E49" w:rsidRDefault="00053D3F" w:rsidP="00053D3F">
      <w:r w:rsidRPr="00A44E49">
        <w:rPr>
          <w:i/>
        </w:rPr>
        <w:t>Desirous</w:t>
      </w:r>
      <w:r w:rsidRPr="00A44E49">
        <w:t xml:space="preserve"> of taking action for the conservation, utilization and development of these resources through careful planning and management for the benefit of present and future generations;</w:t>
      </w:r>
    </w:p>
    <w:p w:rsidR="00053D3F" w:rsidRPr="00A44E49" w:rsidRDefault="00053D3F" w:rsidP="00053D3F">
      <w:pPr>
        <w:pStyle w:val="Heading4"/>
      </w:pPr>
      <w:r w:rsidRPr="00A44E49">
        <w:t>Article 2</w:t>
      </w:r>
    </w:p>
    <w:p w:rsidR="00053D3F" w:rsidRPr="00A44E49" w:rsidRDefault="00053D3F" w:rsidP="00053D3F">
      <w:r w:rsidRPr="00A44E49">
        <w:t>1. Each Contracting Party shall, to the extent that it is itself involved, encourage the creation of protected areas which together with existing protected areas will safeguard representative samples of the natural ecosystems occurring therein (particular attention being given to endangered species), as well as superlative scenery, striking geological formations, and regions and objects of aesthetic interest or historic, cultural or scientific value. …</w:t>
      </w:r>
    </w:p>
    <w:p w:rsidR="00053D3F" w:rsidRPr="00A44E49" w:rsidRDefault="00053D3F" w:rsidP="00053D3F">
      <w:pPr>
        <w:pStyle w:val="Heading4"/>
      </w:pPr>
      <w:r w:rsidRPr="00A44E49">
        <w:t>Article 5</w:t>
      </w:r>
    </w:p>
    <w:p w:rsidR="00053D3F" w:rsidRPr="00A44E49" w:rsidRDefault="00053D3F" w:rsidP="00053D3F">
      <w:r w:rsidRPr="00A44E49">
        <w:t>1. The Contracting Parties shall, in addition to the protection given to indigenous fauna and flora in protected areas, use their best endeavours to protect such fauna and flora (special attention being given to migratory species) so as to safeguard them from unwise exploitation and other threats that may lead to their extinction.</w:t>
      </w:r>
    </w:p>
    <w:p w:rsidR="00053D3F" w:rsidRPr="00A44E49" w:rsidRDefault="00053D3F" w:rsidP="00053D3F">
      <w:r w:rsidRPr="00A44E49">
        <w:t>2. Each Contracting Party shall establish and maintain a list of species of its indigenous fauna and flora that are threatened with extinction. …</w:t>
      </w:r>
    </w:p>
    <w:p w:rsidR="00053D3F" w:rsidRPr="00A44E49" w:rsidRDefault="00053D3F" w:rsidP="00053D3F">
      <w:r w:rsidRPr="00A44E49">
        <w:t>3. Each Contracting Party shall protect as completely as possible as a matter of special urgency and importance the species included in the list it has established in accordance with the provisions of the last preceding paragraph. The hunting, killing, capture or collection of specimens (including eggs and shells) of such species shall be allowed only with the permission of the appropriate authority. Such permission shall be granted only under special circumstances, in order to further scientific purposes or when essential for the maintenance of the equilibrium of the ecosystem or for the administration of the area in which the animal or plant is found.</w:t>
      </w:r>
    </w:p>
    <w:p w:rsidR="00053D3F" w:rsidRPr="00A44E49" w:rsidRDefault="00053D3F" w:rsidP="00053D3F"/>
    <w:p w:rsidR="00053D3F" w:rsidRPr="00A44E49" w:rsidRDefault="00053D3F" w:rsidP="00053D3F">
      <w:pPr>
        <w:pStyle w:val="Heading3"/>
      </w:pPr>
      <w:bookmarkStart w:id="93" w:name="_Toc328503789"/>
      <w:bookmarkStart w:id="94" w:name="_Toc339368203"/>
      <w:r w:rsidRPr="00A44E49">
        <w:lastRenderedPageBreak/>
        <w:t>Extracts from CITES</w:t>
      </w:r>
      <w:bookmarkEnd w:id="93"/>
      <w:bookmarkEnd w:id="94"/>
    </w:p>
    <w:p w:rsidR="002F4E41" w:rsidRPr="00A44E49" w:rsidRDefault="00053D3F" w:rsidP="00053D3F">
      <w:r w:rsidRPr="00A44E49">
        <w:t>‘CITES’ means the Convention on International Trade in Endangered Species of Wild Fauna and Flora done at Washington on 3 March 1973.</w:t>
      </w:r>
      <w:bookmarkEnd w:id="88"/>
      <w:r w:rsidR="002F4E41" w:rsidRPr="00A44E49">
        <w:rPr>
          <w:rStyle w:val="EndnoteReference"/>
        </w:rPr>
        <w:endnoteReference w:id="168"/>
      </w:r>
    </w:p>
    <w:p w:rsidR="002F4E41" w:rsidRPr="00A44E49" w:rsidRDefault="002F4E41" w:rsidP="00053D3F">
      <w:pPr>
        <w:pStyle w:val="Heading4"/>
      </w:pPr>
      <w:r w:rsidRPr="00A44E49">
        <w:t>Preamble</w:t>
      </w:r>
    </w:p>
    <w:p w:rsidR="002F4E41" w:rsidRPr="00A44E49" w:rsidRDefault="002F4E41" w:rsidP="00053D3F">
      <w:r w:rsidRPr="00A44E49">
        <w:t xml:space="preserve">The Contracting States, </w:t>
      </w:r>
    </w:p>
    <w:p w:rsidR="002F4E41" w:rsidRPr="00A44E49" w:rsidRDefault="002F4E41" w:rsidP="00053D3F">
      <w:r w:rsidRPr="00A44E49">
        <w:rPr>
          <w:i/>
        </w:rPr>
        <w:t>Recognizing</w:t>
      </w:r>
      <w:r w:rsidRPr="00A44E49">
        <w:t xml:space="preserve"> that wild fauna and flora in their many beautiful and varied forms are an irreplaceable part of the natural systems of the earth which must be protected for this and the generations to come; </w:t>
      </w:r>
    </w:p>
    <w:p w:rsidR="002F4E41" w:rsidRPr="00A44E49" w:rsidRDefault="002F4E41" w:rsidP="00053D3F">
      <w:r w:rsidRPr="00A44E49">
        <w:rPr>
          <w:i/>
        </w:rPr>
        <w:t>Conscious</w:t>
      </w:r>
      <w:r w:rsidRPr="00A44E49">
        <w:t xml:space="preserve"> of the ever-growing value of wild fauna and flora from aesthetic, scientific, cultural, recreational and economic points of view; </w:t>
      </w:r>
    </w:p>
    <w:p w:rsidR="002F4E41" w:rsidRPr="00A44E49" w:rsidRDefault="002F4E41" w:rsidP="00053D3F">
      <w:r w:rsidRPr="00A44E49">
        <w:rPr>
          <w:i/>
        </w:rPr>
        <w:t>Recognizing</w:t>
      </w:r>
      <w:r w:rsidRPr="00A44E49">
        <w:t xml:space="preserve"> that peoples and States are and should be the best protectors of their own wild fauna and flora; </w:t>
      </w:r>
    </w:p>
    <w:p w:rsidR="002F4E41" w:rsidRPr="00A44E49" w:rsidRDefault="002F4E41" w:rsidP="00053D3F">
      <w:r w:rsidRPr="00A44E49">
        <w:rPr>
          <w:i/>
        </w:rPr>
        <w:t>Recognizing</w:t>
      </w:r>
      <w:r w:rsidRPr="00A44E49">
        <w:t xml:space="preserve">, in addition, that international co-operation is essential for the protection of certain species of wild fauna and flora against over-exploitation through international trade; </w:t>
      </w:r>
    </w:p>
    <w:p w:rsidR="002F4E41" w:rsidRPr="00A44E49" w:rsidRDefault="002F4E41" w:rsidP="00053D3F">
      <w:r w:rsidRPr="00A44E49">
        <w:rPr>
          <w:i/>
        </w:rPr>
        <w:t>Convinced</w:t>
      </w:r>
      <w:r w:rsidRPr="00A44E49">
        <w:t xml:space="preserve"> of the urgency of taking appropriate measures to this end; </w:t>
      </w:r>
    </w:p>
    <w:p w:rsidR="002F4E41" w:rsidRPr="00A44E49" w:rsidRDefault="002F4E41" w:rsidP="00053D3F">
      <w:r w:rsidRPr="00A44E49">
        <w:t>Have agreed as follows:</w:t>
      </w:r>
    </w:p>
    <w:p w:rsidR="002F4E41" w:rsidRPr="00A44E49" w:rsidRDefault="002F4E41" w:rsidP="00053D3F">
      <w:pPr>
        <w:pStyle w:val="Heading4"/>
      </w:pPr>
      <w:r w:rsidRPr="00A44E49">
        <w:t>Article 2</w:t>
      </w:r>
    </w:p>
    <w:p w:rsidR="002F4E41" w:rsidRPr="00A44E49" w:rsidRDefault="002F4E41" w:rsidP="00053D3F">
      <w:r w:rsidRPr="00A44E49">
        <w:t xml:space="preserve">1. Appendix I shall include all species threatened with extinction which are or may be affected by trade. </w:t>
      </w:r>
      <w:r w:rsidR="00272E65">
        <w:t xml:space="preserve"> </w:t>
      </w:r>
      <w:r w:rsidRPr="00A44E49">
        <w:t xml:space="preserve">Trade in specimens of these species must be subject to particularly strict regulation in order not to endanger further their survival and must only be authorized in exceptional circumstances. </w:t>
      </w:r>
    </w:p>
    <w:p w:rsidR="002F4E41" w:rsidRPr="00A44E49" w:rsidRDefault="002F4E41" w:rsidP="00053D3F">
      <w:r w:rsidRPr="00A44E49">
        <w:t xml:space="preserve">2. Appendix II shall include: </w:t>
      </w:r>
    </w:p>
    <w:p w:rsidR="002F4E41" w:rsidRPr="00A44E49" w:rsidRDefault="002F4E41" w:rsidP="00053D3F">
      <w:r w:rsidRPr="00A44E49">
        <w:t xml:space="preserve">(a) all species which although not necessarily now threatened with extinction may become so unless trade in specimens of such species is subject to strict regulation in order to avoid utilization incompatible with their survival; and </w:t>
      </w:r>
    </w:p>
    <w:p w:rsidR="002F4E41" w:rsidRPr="00A44E49" w:rsidRDefault="002F4E41" w:rsidP="00053D3F">
      <w:r w:rsidRPr="00A44E49">
        <w:t xml:space="preserve">(b) </w:t>
      </w:r>
      <w:proofErr w:type="gramStart"/>
      <w:r w:rsidRPr="00A44E49">
        <w:t>other</w:t>
      </w:r>
      <w:proofErr w:type="gramEnd"/>
      <w:r w:rsidRPr="00A44E49">
        <w:t xml:space="preserve"> species which must be subject to regulation in order that trade in specimens of certain species referred to in sub-paragraph (a) of this paragraph may be brought under effective control. </w:t>
      </w:r>
    </w:p>
    <w:p w:rsidR="002F4E41" w:rsidRPr="00A44E49" w:rsidRDefault="002F4E41" w:rsidP="00053D3F">
      <w:r w:rsidRPr="00A44E49">
        <w:t xml:space="preserve">3. Appendix III shall include all species which any Party identifies as being subject to regulation within its jurisdiction for the purpose of preventing or restricting exploitation, and as needing the co-operation of other Parties in the control of trade. </w:t>
      </w:r>
    </w:p>
    <w:p w:rsidR="002F4E41" w:rsidRPr="00A44E49" w:rsidRDefault="002F4E41" w:rsidP="00053D3F">
      <w:r w:rsidRPr="00A44E49">
        <w:t xml:space="preserve">4. The Parties shall not allow trade in specimens of species included in Appendices I, II and III except in accordance with the provisions of [CITES]. </w:t>
      </w:r>
    </w:p>
    <w:p w:rsidR="002F4E41" w:rsidRPr="00A44E49" w:rsidRDefault="002F4E41" w:rsidP="00053D3F">
      <w:r w:rsidRPr="00A44E49">
        <w:br w:type="page"/>
      </w:r>
    </w:p>
    <w:p w:rsidR="002F4E41" w:rsidRPr="00A44E49" w:rsidRDefault="002F4E41" w:rsidP="00053D3F">
      <w:pPr>
        <w:pStyle w:val="Heading1"/>
        <w:spacing w:after="240"/>
      </w:pPr>
      <w:bookmarkStart w:id="95" w:name="_Toc328503790"/>
      <w:bookmarkStart w:id="96" w:name="_Toc339368204"/>
      <w:r>
        <w:lastRenderedPageBreak/>
        <w:t>Attachment C</w:t>
      </w:r>
      <w:r w:rsidRPr="00A44E49">
        <w:t xml:space="preserve"> – Draft model for a national list of threatened species and ecological communities</w:t>
      </w:r>
      <w:bookmarkEnd w:id="95"/>
      <w:r w:rsidRPr="00A44E49">
        <w:rPr>
          <w:rStyle w:val="EndnoteReference"/>
        </w:rPr>
        <w:endnoteReference w:id="169"/>
      </w:r>
      <w:bookmarkEnd w:id="96"/>
    </w:p>
    <w:p w:rsidR="002F4E41" w:rsidRPr="00A44E49" w:rsidRDefault="002F4E41" w:rsidP="00053D3F">
      <w:r w:rsidRPr="00A44E49">
        <w:t xml:space="preserve">The National Threatened Species Listing Reform Project Group (the Listing Reform Project Group) has scoped options for developing a national approach to listing threatened species and ecological communities. </w:t>
      </w:r>
      <w:r w:rsidR="00272E65">
        <w:t xml:space="preserve"> </w:t>
      </w:r>
      <w:r w:rsidRPr="00A44E49">
        <w:t>NSW and the Australian Government are jointly leading this project.</w:t>
      </w:r>
    </w:p>
    <w:p w:rsidR="002F4E41" w:rsidRPr="00A44E49" w:rsidRDefault="002F4E41" w:rsidP="00053D3F">
      <w:r w:rsidRPr="00A44E49">
        <w:t xml:space="preserve">Possible models for the national list alignment approach were developed and discussed by jurisdictions at workshops on 19 March and 3 April 2012, under the auspices of the COAG Working Group on Environment Regulation Reform. </w:t>
      </w:r>
      <w:r w:rsidR="00272E65">
        <w:t xml:space="preserve"> </w:t>
      </w:r>
      <w:r w:rsidRPr="00A44E49">
        <w:t xml:space="preserve">The Listing Reform Project Group agreed that the preferred Model was Model 1 - the Shared Assessment Model.  Details of this are outlined below. </w:t>
      </w:r>
    </w:p>
    <w:p w:rsidR="002F4E41" w:rsidRPr="00A44E49" w:rsidRDefault="002F4E41" w:rsidP="00053D3F">
      <w:pPr>
        <w:spacing w:after="0" w:line="360" w:lineRule="auto"/>
        <w:jc w:val="center"/>
        <w:rPr>
          <w:rFonts w:cs="Arial"/>
          <w:b/>
        </w:rPr>
      </w:pPr>
      <w:r w:rsidRPr="00A44E49">
        <w:rPr>
          <w:rFonts w:cs="Arial"/>
          <w:b/>
        </w:rPr>
        <w:t>Shared Assessment Model</w:t>
      </w:r>
    </w:p>
    <w:p w:rsidR="002F4E41" w:rsidRPr="00A44E49" w:rsidRDefault="002F4E41" w:rsidP="00053D3F">
      <w:pPr>
        <w:spacing w:after="120" w:line="360" w:lineRule="auto"/>
        <w:jc w:val="both"/>
        <w:rPr>
          <w:rFonts w:cs="Arial"/>
        </w:rPr>
      </w:pPr>
      <w:r w:rsidRPr="00A44E49">
        <w:rPr>
          <w:rFonts w:cs="Arial"/>
          <w:i/>
        </w:rPr>
        <w:t>Overview:</w:t>
      </w:r>
      <w:r w:rsidRPr="00A44E49">
        <w:rPr>
          <w:rFonts w:cs="Arial"/>
        </w:rPr>
        <w:t xml:space="preserve">  </w:t>
      </w:r>
    </w:p>
    <w:p w:rsidR="002F4E41" w:rsidRPr="00A44E49" w:rsidRDefault="002F4E41" w:rsidP="00053D3F">
      <w:pPr>
        <w:pStyle w:val="ListParagraph"/>
        <w:numPr>
          <w:ilvl w:val="0"/>
          <w:numId w:val="27"/>
        </w:numPr>
      </w:pPr>
      <w:r w:rsidRPr="00A44E49">
        <w:t xml:space="preserve">States/territories have primary, but not exclusive, responsibility for assessing and listing endemic species, and the Commonwealth has primary responsibility for assessing </w:t>
      </w:r>
      <w:r w:rsidRPr="00A44E49">
        <w:br/>
        <w:t xml:space="preserve">inter-jurisdictional species.  </w:t>
      </w:r>
    </w:p>
    <w:p w:rsidR="002F4E41" w:rsidRPr="00A44E49" w:rsidRDefault="002F4E41" w:rsidP="00053D3F">
      <w:pPr>
        <w:pStyle w:val="ListParagraph"/>
        <w:numPr>
          <w:ilvl w:val="0"/>
          <w:numId w:val="27"/>
        </w:numPr>
      </w:pPr>
      <w:r w:rsidRPr="00A44E49">
        <w:t xml:space="preserve">The Commonwealth will retain the capacity to assess endemic species and would do so in consultation with relevant jurisdictions, to take account of resources and priorities in each jurisdiction. </w:t>
      </w:r>
    </w:p>
    <w:p w:rsidR="002F4E41" w:rsidRPr="00A44E49" w:rsidRDefault="002F4E41" w:rsidP="00053D3F">
      <w:pPr>
        <w:pStyle w:val="ListParagraph"/>
        <w:numPr>
          <w:ilvl w:val="0"/>
          <w:numId w:val="27"/>
        </w:numPr>
      </w:pPr>
      <w:r w:rsidRPr="00A44E49">
        <w:rPr>
          <w:rFonts w:cs="Arial"/>
        </w:rPr>
        <w:t xml:space="preserve">Accreditation will provide for the results of an assessment undertaken by one jurisdiction to be adopted by another jurisdiction. </w:t>
      </w:r>
    </w:p>
    <w:p w:rsidR="002F4E41" w:rsidRPr="00A44E49" w:rsidRDefault="002F4E41" w:rsidP="00053D3F">
      <w:pPr>
        <w:pStyle w:val="ListParagraph"/>
        <w:numPr>
          <w:ilvl w:val="0"/>
          <w:numId w:val="27"/>
        </w:numPr>
      </w:pPr>
      <w:r w:rsidRPr="00A44E49">
        <w:rPr>
          <w:rFonts w:cs="Arial"/>
        </w:rPr>
        <w:t>All states, territories and the Commonwealth will retain lists relative to their legislation and these lists will relate to each other and be represented through a single national portal.</w:t>
      </w:r>
    </w:p>
    <w:p w:rsidR="002F4E41" w:rsidRPr="00A44E49" w:rsidRDefault="002F4E41" w:rsidP="00053D3F">
      <w:pPr>
        <w:spacing w:after="120" w:line="360" w:lineRule="auto"/>
        <w:jc w:val="both"/>
        <w:rPr>
          <w:rFonts w:cs="Arial"/>
          <w:i/>
        </w:rPr>
      </w:pPr>
      <w:r w:rsidRPr="00A44E49">
        <w:rPr>
          <w:rFonts w:cs="Arial"/>
          <w:i/>
        </w:rPr>
        <w:t>Component features:</w:t>
      </w:r>
    </w:p>
    <w:p w:rsidR="002F4E41" w:rsidRPr="00A44E49" w:rsidRDefault="002F4E41" w:rsidP="00053D3F">
      <w:r w:rsidRPr="00A44E49">
        <w:t xml:space="preserve">Species listing broadly comprises two main steps: nomination and assessment of eligibility for listing; and then the listing process itself. </w:t>
      </w:r>
      <w:r w:rsidR="00272E65">
        <w:t xml:space="preserve"> </w:t>
      </w:r>
      <w:r w:rsidRPr="00A44E49">
        <w:t>Details of these for the preferred model are outlined below and further elaborated in the table.</w:t>
      </w:r>
    </w:p>
    <w:p w:rsidR="002F4E41" w:rsidRPr="00A44E49" w:rsidRDefault="002F4E41" w:rsidP="00053D3F">
      <w:pPr>
        <w:spacing w:line="360" w:lineRule="auto"/>
        <w:ind w:left="360"/>
        <w:jc w:val="both"/>
        <w:rPr>
          <w:rFonts w:cs="Arial"/>
          <w:b/>
          <w:i/>
        </w:rPr>
      </w:pPr>
      <w:r w:rsidRPr="00A44E49">
        <w:rPr>
          <w:rFonts w:cs="Arial"/>
          <w:b/>
          <w:i/>
        </w:rPr>
        <w:t>Assessment components</w:t>
      </w:r>
    </w:p>
    <w:p w:rsidR="002F4E41" w:rsidRPr="00A44E49" w:rsidRDefault="002F4E41" w:rsidP="00053D3F">
      <w:pPr>
        <w:pStyle w:val="ListParagraph"/>
        <w:numPr>
          <w:ilvl w:val="0"/>
          <w:numId w:val="28"/>
        </w:numPr>
        <w:rPr>
          <w:rFonts w:cstheme="minorHAnsi"/>
        </w:rPr>
      </w:pPr>
      <w:r w:rsidRPr="00A44E49">
        <w:rPr>
          <w:rFonts w:cstheme="minorHAnsi"/>
        </w:rPr>
        <w:t>Assessment occurs at full range of species or ecological communities across all jurisdictions within Australia;</w:t>
      </w:r>
    </w:p>
    <w:p w:rsidR="002F4E41" w:rsidRPr="00A44E49" w:rsidRDefault="002F4E41" w:rsidP="00053D3F">
      <w:pPr>
        <w:pStyle w:val="ListParagraph"/>
        <w:numPr>
          <w:ilvl w:val="0"/>
          <w:numId w:val="28"/>
        </w:numPr>
        <w:rPr>
          <w:rFonts w:cstheme="minorHAnsi"/>
        </w:rPr>
      </w:pPr>
      <w:r w:rsidRPr="00A44E49">
        <w:rPr>
          <w:rFonts w:cstheme="minorHAnsi"/>
        </w:rPr>
        <w:t>Generally, the Commonwealth receives and assesses nominations for cross-jurisdictional entities only;</w:t>
      </w:r>
    </w:p>
    <w:p w:rsidR="002F4E41" w:rsidRPr="00A44E49" w:rsidRDefault="002F4E41" w:rsidP="00053D3F">
      <w:pPr>
        <w:pStyle w:val="ListParagraph"/>
        <w:numPr>
          <w:ilvl w:val="0"/>
          <w:numId w:val="28"/>
        </w:numPr>
        <w:rPr>
          <w:rFonts w:cstheme="minorHAnsi"/>
        </w:rPr>
      </w:pPr>
      <w:r w:rsidRPr="00A44E49">
        <w:rPr>
          <w:rFonts w:cstheme="minorHAnsi"/>
        </w:rPr>
        <w:t>Agreement between the ACT and NSW on how endemic species which cross borders are to be dealt with;</w:t>
      </w:r>
    </w:p>
    <w:p w:rsidR="002F4E41" w:rsidRPr="00A44E49" w:rsidRDefault="002F4E41" w:rsidP="00053D3F">
      <w:pPr>
        <w:pStyle w:val="ListParagraph"/>
        <w:numPr>
          <w:ilvl w:val="0"/>
          <w:numId w:val="28"/>
        </w:numPr>
        <w:rPr>
          <w:rFonts w:cstheme="minorHAnsi"/>
        </w:rPr>
      </w:pPr>
      <w:r w:rsidRPr="00A44E49">
        <w:rPr>
          <w:rFonts w:cstheme="minorHAnsi"/>
        </w:rPr>
        <w:t xml:space="preserve">Where a state or territory receives a nomination relating to a cross-jurisdictional entity it is generally referred to the Commonwealth for assessment  (unless </w:t>
      </w:r>
      <w:r w:rsidRPr="00A44E49">
        <w:rPr>
          <w:rFonts w:cstheme="minorHAnsi"/>
          <w:sz w:val="20"/>
          <w:szCs w:val="20"/>
        </w:rPr>
        <w:t>predominantly</w:t>
      </w:r>
      <w:r w:rsidRPr="00A44E49">
        <w:rPr>
          <w:rFonts w:cstheme="minorHAnsi"/>
        </w:rPr>
        <w:t xml:space="preserve"> within a jurisdiction); and </w:t>
      </w:r>
    </w:p>
    <w:p w:rsidR="002F4E41" w:rsidRPr="00A44E49" w:rsidRDefault="002F4E41" w:rsidP="00053D3F">
      <w:pPr>
        <w:pStyle w:val="ListParagraph"/>
        <w:numPr>
          <w:ilvl w:val="0"/>
          <w:numId w:val="28"/>
        </w:numPr>
        <w:rPr>
          <w:rFonts w:cstheme="minorHAnsi"/>
        </w:rPr>
      </w:pPr>
      <w:r w:rsidRPr="00A44E49">
        <w:rPr>
          <w:rFonts w:cstheme="minorHAnsi"/>
        </w:rPr>
        <w:t xml:space="preserve">Where the Commonwealth receives a nomination relating to an entity that is endemic to a state or territory, it is generally referred to that state or territory for assessment. </w:t>
      </w:r>
    </w:p>
    <w:p w:rsidR="002F4E41" w:rsidRPr="00A44E49" w:rsidRDefault="002F4E41" w:rsidP="00053D3F">
      <w:pPr>
        <w:keepNext/>
        <w:spacing w:line="360" w:lineRule="auto"/>
        <w:ind w:left="357"/>
        <w:jc w:val="both"/>
        <w:rPr>
          <w:rFonts w:cs="Arial"/>
          <w:b/>
          <w:i/>
        </w:rPr>
      </w:pPr>
      <w:r w:rsidRPr="00A44E49">
        <w:rPr>
          <w:rFonts w:cs="Arial"/>
          <w:b/>
          <w:i/>
        </w:rPr>
        <w:lastRenderedPageBreak/>
        <w:t>Listing components</w:t>
      </w:r>
    </w:p>
    <w:p w:rsidR="002F4E41" w:rsidRPr="00A44E49" w:rsidRDefault="002F4E41" w:rsidP="00053D3F">
      <w:pPr>
        <w:pStyle w:val="ListParagraph"/>
        <w:numPr>
          <w:ilvl w:val="0"/>
          <w:numId w:val="29"/>
        </w:numPr>
        <w:rPr>
          <w:rFonts w:cs="Arial"/>
        </w:rPr>
      </w:pPr>
      <w:r w:rsidRPr="00A44E49">
        <w:rPr>
          <w:rFonts w:cs="Arial"/>
        </w:rPr>
        <w:t>Create policy under existing approval mechanisms for the Commonwealth to accredit state and territory listing processes;</w:t>
      </w:r>
    </w:p>
    <w:p w:rsidR="002F4E41" w:rsidRPr="00A44E49" w:rsidRDefault="002F4E41" w:rsidP="00053D3F">
      <w:pPr>
        <w:pStyle w:val="ListParagraph"/>
        <w:numPr>
          <w:ilvl w:val="0"/>
          <w:numId w:val="29"/>
        </w:numPr>
        <w:rPr>
          <w:rFonts w:cs="Arial"/>
        </w:rPr>
      </w:pPr>
      <w:r w:rsidRPr="00A44E49">
        <w:rPr>
          <w:rFonts w:cs="Arial"/>
        </w:rPr>
        <w:t xml:space="preserve">States and Territories create policy under existing approval mechanisms to accredit Commonwealth listing processes; </w:t>
      </w:r>
    </w:p>
    <w:p w:rsidR="002F4E41" w:rsidRPr="00A44E49" w:rsidRDefault="002F4E41" w:rsidP="00053D3F">
      <w:pPr>
        <w:pStyle w:val="ListParagraph"/>
        <w:numPr>
          <w:ilvl w:val="0"/>
          <w:numId w:val="29"/>
        </w:numPr>
        <w:rPr>
          <w:rFonts w:cs="Arial"/>
        </w:rPr>
      </w:pPr>
      <w:r w:rsidRPr="00A44E49">
        <w:rPr>
          <w:rFonts w:cs="Arial"/>
        </w:rPr>
        <w:t>Retain listing bodies in all jurisdictions;</w:t>
      </w:r>
    </w:p>
    <w:p w:rsidR="002F4E41" w:rsidRPr="00A44E49" w:rsidRDefault="002F4E41" w:rsidP="00053D3F">
      <w:pPr>
        <w:pStyle w:val="ListParagraph"/>
        <w:numPr>
          <w:ilvl w:val="0"/>
          <w:numId w:val="29"/>
        </w:numPr>
        <w:rPr>
          <w:rFonts w:cs="Arial"/>
        </w:rPr>
      </w:pPr>
      <w:r w:rsidRPr="00A44E49">
        <w:rPr>
          <w:rFonts w:cs="Arial"/>
        </w:rPr>
        <w:t xml:space="preserve">Retain listing functions in all jurisdictions; </w:t>
      </w:r>
    </w:p>
    <w:p w:rsidR="002F4E41" w:rsidRPr="00A44E49" w:rsidRDefault="002F4E41" w:rsidP="00053D3F">
      <w:pPr>
        <w:pStyle w:val="ListParagraph"/>
        <w:numPr>
          <w:ilvl w:val="0"/>
          <w:numId w:val="29"/>
        </w:numPr>
        <w:rPr>
          <w:rFonts w:cs="Arial"/>
        </w:rPr>
      </w:pPr>
      <w:r w:rsidRPr="00A44E49">
        <w:rPr>
          <w:rFonts w:cs="Arial"/>
        </w:rPr>
        <w:t>Retain ministerial decision making in all jurisdictions.</w:t>
      </w:r>
    </w:p>
    <w:p w:rsidR="002F4E41" w:rsidRPr="00A44E49" w:rsidRDefault="002F4E41" w:rsidP="00053D3F">
      <w:pPr>
        <w:pStyle w:val="ListParagraph"/>
        <w:ind w:left="360"/>
        <w:rPr>
          <w:rFonts w:cs="Arial"/>
        </w:rPr>
      </w:pPr>
    </w:p>
    <w:tbl>
      <w:tblPr>
        <w:tblStyle w:val="TableGrid"/>
        <w:tblW w:w="0" w:type="auto"/>
        <w:tblLook w:val="04A0"/>
      </w:tblPr>
      <w:tblGrid>
        <w:gridCol w:w="3652"/>
        <w:gridCol w:w="5204"/>
      </w:tblGrid>
      <w:tr w:rsidR="002F4E41" w:rsidRPr="00A44E49" w:rsidTr="00053D3F">
        <w:tc>
          <w:tcPr>
            <w:tcW w:w="3652" w:type="dxa"/>
            <w:shd w:val="pct10" w:color="auto" w:fill="auto"/>
          </w:tcPr>
          <w:p w:rsidR="002F4E41" w:rsidRPr="00A44E49" w:rsidRDefault="002F4E41" w:rsidP="00053D3F">
            <w:pPr>
              <w:spacing w:line="360" w:lineRule="auto"/>
              <w:jc w:val="both"/>
              <w:rPr>
                <w:rFonts w:cs="Arial"/>
                <w:b/>
              </w:rPr>
            </w:pPr>
            <w:r w:rsidRPr="00A44E49">
              <w:rPr>
                <w:rFonts w:cs="Arial"/>
                <w:b/>
              </w:rPr>
              <w:t>Feature of model</w:t>
            </w:r>
          </w:p>
        </w:tc>
        <w:tc>
          <w:tcPr>
            <w:tcW w:w="5204" w:type="dxa"/>
            <w:shd w:val="pct10" w:color="auto" w:fill="auto"/>
          </w:tcPr>
          <w:p w:rsidR="002F4E41" w:rsidRPr="00A44E49" w:rsidRDefault="002F4E41" w:rsidP="00053D3F">
            <w:pPr>
              <w:spacing w:line="360" w:lineRule="auto"/>
              <w:jc w:val="both"/>
              <w:rPr>
                <w:rFonts w:cs="Arial"/>
                <w:b/>
              </w:rPr>
            </w:pPr>
            <w:r w:rsidRPr="00A44E49">
              <w:rPr>
                <w:rFonts w:cs="Arial"/>
                <w:b/>
              </w:rPr>
              <w:t>Comment</w:t>
            </w:r>
          </w:p>
        </w:tc>
      </w:tr>
      <w:tr w:rsidR="002F4E41" w:rsidRPr="00A44E49" w:rsidTr="00053D3F">
        <w:tc>
          <w:tcPr>
            <w:tcW w:w="3652" w:type="dxa"/>
          </w:tcPr>
          <w:p w:rsidR="002F4E41" w:rsidRPr="00A44E49" w:rsidRDefault="002F4E41" w:rsidP="00053D3F">
            <w:pPr>
              <w:spacing w:line="360" w:lineRule="auto"/>
              <w:rPr>
                <w:rFonts w:cs="Arial"/>
              </w:rPr>
            </w:pPr>
            <w:r w:rsidRPr="00A44E49">
              <w:rPr>
                <w:rFonts w:cs="Arial"/>
              </w:rPr>
              <w:t>Criteria based on IUCN criteria</w:t>
            </w:r>
          </w:p>
        </w:tc>
        <w:tc>
          <w:tcPr>
            <w:tcW w:w="5204" w:type="dxa"/>
          </w:tcPr>
          <w:p w:rsidR="002F4E41" w:rsidRPr="00A44E49" w:rsidRDefault="002F4E41" w:rsidP="00053D3F">
            <w:pPr>
              <w:spacing w:line="360" w:lineRule="auto"/>
              <w:jc w:val="both"/>
              <w:rPr>
                <w:rFonts w:cs="Arial"/>
              </w:rPr>
            </w:pPr>
            <w:r w:rsidRPr="00A44E49">
              <w:rPr>
                <w:rFonts w:cs="Arial"/>
              </w:rPr>
              <w:t xml:space="preserve">Yes, based on IUCN criteria </w:t>
            </w:r>
          </w:p>
        </w:tc>
      </w:tr>
      <w:tr w:rsidR="002F4E41" w:rsidRPr="00A44E49" w:rsidTr="00053D3F">
        <w:tc>
          <w:tcPr>
            <w:tcW w:w="3652" w:type="dxa"/>
          </w:tcPr>
          <w:p w:rsidR="002F4E41" w:rsidRPr="00A44E49" w:rsidRDefault="002F4E41" w:rsidP="00053D3F">
            <w:pPr>
              <w:spacing w:line="360" w:lineRule="auto"/>
              <w:rPr>
                <w:rFonts w:cs="Arial"/>
              </w:rPr>
            </w:pPr>
            <w:r w:rsidRPr="00A44E49">
              <w:rPr>
                <w:rFonts w:cs="Arial"/>
              </w:rPr>
              <w:t>Criteria for listing</w:t>
            </w:r>
          </w:p>
        </w:tc>
        <w:tc>
          <w:tcPr>
            <w:tcW w:w="5204" w:type="dxa"/>
          </w:tcPr>
          <w:p w:rsidR="002F4E41" w:rsidRPr="00A44E49" w:rsidRDefault="002F4E41" w:rsidP="00053D3F">
            <w:pPr>
              <w:spacing w:line="360" w:lineRule="auto"/>
              <w:jc w:val="both"/>
              <w:rPr>
                <w:rFonts w:cs="Arial"/>
              </w:rPr>
            </w:pPr>
            <w:r w:rsidRPr="00A44E49">
              <w:rPr>
                <w:rFonts w:cs="Arial"/>
              </w:rPr>
              <w:t>Based on scientific information only (no social or economic factors to be taken into account when making a decision on whether to list or not)</w:t>
            </w:r>
          </w:p>
        </w:tc>
      </w:tr>
      <w:tr w:rsidR="002F4E41" w:rsidRPr="00A44E49" w:rsidTr="00053D3F">
        <w:tc>
          <w:tcPr>
            <w:tcW w:w="3652" w:type="dxa"/>
          </w:tcPr>
          <w:p w:rsidR="002F4E41" w:rsidRPr="00A44E49" w:rsidRDefault="002F4E41" w:rsidP="00053D3F">
            <w:pPr>
              <w:spacing w:line="360" w:lineRule="auto"/>
              <w:rPr>
                <w:rFonts w:cs="Arial"/>
              </w:rPr>
            </w:pPr>
            <w:r w:rsidRPr="00A44E49">
              <w:rPr>
                <w:rFonts w:cs="Arial"/>
              </w:rPr>
              <w:t>Scientific committee</w:t>
            </w:r>
          </w:p>
        </w:tc>
        <w:tc>
          <w:tcPr>
            <w:tcW w:w="5204" w:type="dxa"/>
          </w:tcPr>
          <w:p w:rsidR="002F4E41" w:rsidRPr="00A44E49" w:rsidRDefault="002F4E41" w:rsidP="00053D3F">
            <w:pPr>
              <w:spacing w:line="360" w:lineRule="auto"/>
              <w:jc w:val="both"/>
              <w:rPr>
                <w:rFonts w:cs="Arial"/>
              </w:rPr>
            </w:pPr>
            <w:r w:rsidRPr="00A44E49">
              <w:rPr>
                <w:rFonts w:cs="Arial"/>
              </w:rPr>
              <w:t>Yes, at both Commonwealth and State levels</w:t>
            </w:r>
          </w:p>
        </w:tc>
      </w:tr>
      <w:tr w:rsidR="002F4E41" w:rsidRPr="00A44E49" w:rsidTr="00053D3F">
        <w:tc>
          <w:tcPr>
            <w:tcW w:w="3652" w:type="dxa"/>
          </w:tcPr>
          <w:p w:rsidR="002F4E41" w:rsidRPr="00A44E49" w:rsidRDefault="002F4E41" w:rsidP="00053D3F">
            <w:pPr>
              <w:spacing w:line="360" w:lineRule="auto"/>
              <w:rPr>
                <w:rFonts w:cs="Arial"/>
              </w:rPr>
            </w:pPr>
            <w:r w:rsidRPr="00A44E49">
              <w:rPr>
                <w:rFonts w:cs="Arial"/>
              </w:rPr>
              <w:t>Independent Scientific committee or accredited departmental process where applicable</w:t>
            </w:r>
          </w:p>
        </w:tc>
        <w:tc>
          <w:tcPr>
            <w:tcW w:w="5204" w:type="dxa"/>
          </w:tcPr>
          <w:p w:rsidR="002F4E41" w:rsidRPr="00A44E49" w:rsidRDefault="002F4E41" w:rsidP="00053D3F">
            <w:pPr>
              <w:spacing w:line="360" w:lineRule="auto"/>
              <w:jc w:val="both"/>
              <w:rPr>
                <w:rFonts w:cs="Arial"/>
              </w:rPr>
            </w:pPr>
            <w:r w:rsidRPr="00A44E49">
              <w:rPr>
                <w:rFonts w:cs="Arial"/>
              </w:rPr>
              <w:t>Yes</w:t>
            </w:r>
          </w:p>
        </w:tc>
      </w:tr>
      <w:tr w:rsidR="002F4E41" w:rsidRPr="00A44E49" w:rsidTr="00053D3F">
        <w:tc>
          <w:tcPr>
            <w:tcW w:w="3652" w:type="dxa"/>
          </w:tcPr>
          <w:p w:rsidR="002F4E41" w:rsidRPr="00A44E49" w:rsidRDefault="002F4E41" w:rsidP="00053D3F">
            <w:pPr>
              <w:spacing w:line="360" w:lineRule="auto"/>
              <w:rPr>
                <w:rFonts w:cs="Arial"/>
              </w:rPr>
            </w:pPr>
            <w:r w:rsidRPr="00A44E49">
              <w:rPr>
                <w:rFonts w:cs="Arial"/>
              </w:rPr>
              <w:t>Public consultation</w:t>
            </w:r>
          </w:p>
        </w:tc>
        <w:tc>
          <w:tcPr>
            <w:tcW w:w="5204" w:type="dxa"/>
          </w:tcPr>
          <w:p w:rsidR="002F4E41" w:rsidRPr="00A44E49" w:rsidRDefault="002F4E41" w:rsidP="00053D3F">
            <w:pPr>
              <w:spacing w:line="360" w:lineRule="auto"/>
              <w:jc w:val="both"/>
              <w:rPr>
                <w:rFonts w:cs="Arial"/>
              </w:rPr>
            </w:pPr>
            <w:r w:rsidRPr="00A44E49">
              <w:rPr>
                <w:rFonts w:cs="Arial"/>
              </w:rPr>
              <w:t>Yes</w:t>
            </w:r>
          </w:p>
        </w:tc>
      </w:tr>
      <w:tr w:rsidR="002F4E41" w:rsidRPr="00A44E49" w:rsidTr="00053D3F">
        <w:tc>
          <w:tcPr>
            <w:tcW w:w="3652" w:type="dxa"/>
          </w:tcPr>
          <w:p w:rsidR="002F4E41" w:rsidRPr="00A44E49" w:rsidRDefault="002F4E41" w:rsidP="00053D3F">
            <w:pPr>
              <w:spacing w:line="360" w:lineRule="auto"/>
              <w:rPr>
                <w:rFonts w:cs="Arial"/>
              </w:rPr>
            </w:pPr>
            <w:r w:rsidRPr="00A44E49">
              <w:rPr>
                <w:rFonts w:cs="Arial"/>
              </w:rPr>
              <w:t>Public nominations</w:t>
            </w:r>
          </w:p>
        </w:tc>
        <w:tc>
          <w:tcPr>
            <w:tcW w:w="5204" w:type="dxa"/>
          </w:tcPr>
          <w:p w:rsidR="002F4E41" w:rsidRPr="00A44E49" w:rsidRDefault="002F4E41" w:rsidP="00053D3F">
            <w:pPr>
              <w:spacing w:line="360" w:lineRule="auto"/>
              <w:jc w:val="both"/>
              <w:rPr>
                <w:rFonts w:cs="Arial"/>
              </w:rPr>
            </w:pPr>
            <w:r w:rsidRPr="00A44E49">
              <w:rPr>
                <w:rFonts w:cs="Arial"/>
              </w:rPr>
              <w:t>Yes</w:t>
            </w:r>
          </w:p>
        </w:tc>
      </w:tr>
      <w:tr w:rsidR="002F4E41" w:rsidRPr="00A44E49" w:rsidTr="00053D3F">
        <w:tc>
          <w:tcPr>
            <w:tcW w:w="3652" w:type="dxa"/>
          </w:tcPr>
          <w:p w:rsidR="002F4E41" w:rsidRPr="00A44E49" w:rsidRDefault="002F4E41" w:rsidP="00053D3F">
            <w:pPr>
              <w:spacing w:line="360" w:lineRule="auto"/>
              <w:rPr>
                <w:rFonts w:cs="Arial"/>
              </w:rPr>
            </w:pPr>
            <w:r w:rsidRPr="00A44E49">
              <w:rPr>
                <w:rFonts w:cs="Arial"/>
              </w:rPr>
              <w:t>Listing decision by</w:t>
            </w:r>
          </w:p>
        </w:tc>
        <w:tc>
          <w:tcPr>
            <w:tcW w:w="5204" w:type="dxa"/>
          </w:tcPr>
          <w:p w:rsidR="002F4E41" w:rsidRPr="00A44E49" w:rsidRDefault="002F4E41" w:rsidP="00053D3F">
            <w:pPr>
              <w:spacing w:line="360" w:lineRule="auto"/>
              <w:jc w:val="both"/>
              <w:rPr>
                <w:rFonts w:cs="Arial"/>
              </w:rPr>
            </w:pPr>
            <w:r w:rsidRPr="00A44E49">
              <w:rPr>
                <w:rFonts w:cs="Arial"/>
              </w:rPr>
              <w:t>Minister at Common</w:t>
            </w:r>
            <w:r w:rsidR="00E37A45">
              <w:rPr>
                <w:rFonts w:cs="Arial"/>
              </w:rPr>
              <w:t>wealth level, existing decision-</w:t>
            </w:r>
            <w:r w:rsidRPr="00A44E49">
              <w:rPr>
                <w:rFonts w:cs="Arial"/>
              </w:rPr>
              <w:t>maker in each state</w:t>
            </w:r>
          </w:p>
        </w:tc>
      </w:tr>
      <w:tr w:rsidR="002F4E41" w:rsidRPr="00A44E49" w:rsidTr="00053D3F">
        <w:tc>
          <w:tcPr>
            <w:tcW w:w="3652" w:type="dxa"/>
            <w:vMerge w:val="restart"/>
          </w:tcPr>
          <w:p w:rsidR="002F4E41" w:rsidRPr="00A44E49" w:rsidRDefault="002F4E41" w:rsidP="00053D3F">
            <w:pPr>
              <w:spacing w:line="360" w:lineRule="auto"/>
              <w:rPr>
                <w:rFonts w:cs="Arial"/>
              </w:rPr>
            </w:pPr>
            <w:r w:rsidRPr="00A44E49">
              <w:rPr>
                <w:rFonts w:cs="Arial"/>
              </w:rPr>
              <w:t>Other significant details</w:t>
            </w:r>
          </w:p>
        </w:tc>
        <w:tc>
          <w:tcPr>
            <w:tcW w:w="5204" w:type="dxa"/>
          </w:tcPr>
          <w:p w:rsidR="002F4E41" w:rsidRPr="00A44E49" w:rsidRDefault="002F4E41" w:rsidP="00053D3F">
            <w:pPr>
              <w:spacing w:line="360" w:lineRule="auto"/>
              <w:jc w:val="both"/>
              <w:rPr>
                <w:rFonts w:cs="Arial"/>
              </w:rPr>
            </w:pPr>
            <w:r w:rsidRPr="00A44E49">
              <w:rPr>
                <w:rFonts w:cs="Arial"/>
              </w:rPr>
              <w:t>Regular auditing for consistency of standards</w:t>
            </w:r>
          </w:p>
        </w:tc>
      </w:tr>
      <w:tr w:rsidR="002F4E41" w:rsidRPr="00A44E49" w:rsidTr="00053D3F">
        <w:tc>
          <w:tcPr>
            <w:tcW w:w="3652" w:type="dxa"/>
            <w:vMerge/>
          </w:tcPr>
          <w:p w:rsidR="002F4E41" w:rsidRPr="00A44E49" w:rsidRDefault="002F4E41" w:rsidP="00053D3F">
            <w:pPr>
              <w:spacing w:line="360" w:lineRule="auto"/>
              <w:jc w:val="both"/>
              <w:rPr>
                <w:rFonts w:cs="Arial"/>
              </w:rPr>
            </w:pPr>
          </w:p>
        </w:tc>
        <w:tc>
          <w:tcPr>
            <w:tcW w:w="5204" w:type="dxa"/>
          </w:tcPr>
          <w:p w:rsidR="002F4E41" w:rsidRPr="00A44E49" w:rsidRDefault="002F4E41" w:rsidP="00053D3F">
            <w:pPr>
              <w:spacing w:line="360" w:lineRule="auto"/>
              <w:jc w:val="both"/>
              <w:rPr>
                <w:rFonts w:cs="Arial"/>
              </w:rPr>
            </w:pPr>
            <w:r w:rsidRPr="00A44E49">
              <w:rPr>
                <w:rFonts w:cs="Arial"/>
              </w:rPr>
              <w:t xml:space="preserve">The potential for jurisdictions to provide exemptions from usual listing protections could be discussed as an option. </w:t>
            </w:r>
          </w:p>
        </w:tc>
      </w:tr>
      <w:tr w:rsidR="002F4E41" w:rsidRPr="00A44E49" w:rsidTr="00053D3F">
        <w:trPr>
          <w:trHeight w:val="263"/>
        </w:trPr>
        <w:tc>
          <w:tcPr>
            <w:tcW w:w="3652" w:type="dxa"/>
            <w:vMerge/>
          </w:tcPr>
          <w:p w:rsidR="002F4E41" w:rsidRPr="00A44E49" w:rsidRDefault="002F4E41" w:rsidP="00053D3F">
            <w:pPr>
              <w:spacing w:line="360" w:lineRule="auto"/>
              <w:jc w:val="both"/>
              <w:rPr>
                <w:rFonts w:cs="Arial"/>
              </w:rPr>
            </w:pPr>
          </w:p>
        </w:tc>
        <w:tc>
          <w:tcPr>
            <w:tcW w:w="5204" w:type="dxa"/>
          </w:tcPr>
          <w:p w:rsidR="002F4E41" w:rsidRPr="00A44E49" w:rsidRDefault="002F4E41" w:rsidP="00053D3F">
            <w:pPr>
              <w:spacing w:line="360" w:lineRule="auto"/>
              <w:jc w:val="both"/>
              <w:rPr>
                <w:rFonts w:cs="Arial"/>
              </w:rPr>
            </w:pPr>
            <w:r w:rsidRPr="00A44E49">
              <w:rPr>
                <w:rFonts w:cs="Arial"/>
              </w:rPr>
              <w:t>Data and listing standards would need to be established.</w:t>
            </w:r>
          </w:p>
        </w:tc>
      </w:tr>
      <w:tr w:rsidR="002F4E41" w:rsidRPr="00A44E49" w:rsidTr="00053D3F">
        <w:tc>
          <w:tcPr>
            <w:tcW w:w="3652" w:type="dxa"/>
          </w:tcPr>
          <w:p w:rsidR="002F4E41" w:rsidRPr="00A44E49" w:rsidRDefault="002F4E41" w:rsidP="00053D3F">
            <w:pPr>
              <w:spacing w:line="360" w:lineRule="auto"/>
              <w:jc w:val="both"/>
              <w:rPr>
                <w:rFonts w:cs="Arial"/>
              </w:rPr>
            </w:pPr>
            <w:r w:rsidRPr="00A44E49">
              <w:rPr>
                <w:rFonts w:cs="Arial"/>
              </w:rPr>
              <w:t>Nominations/</w:t>
            </w:r>
            <w:proofErr w:type="spellStart"/>
            <w:r w:rsidRPr="00A44E49">
              <w:rPr>
                <w:rFonts w:cs="Arial"/>
              </w:rPr>
              <w:t>workplan</w:t>
            </w:r>
            <w:proofErr w:type="spellEnd"/>
          </w:p>
        </w:tc>
        <w:tc>
          <w:tcPr>
            <w:tcW w:w="5204" w:type="dxa"/>
          </w:tcPr>
          <w:p w:rsidR="002F4E41" w:rsidRPr="00A44E49" w:rsidRDefault="002F4E41" w:rsidP="00053D3F">
            <w:pPr>
              <w:spacing w:line="360" w:lineRule="auto"/>
              <w:jc w:val="both"/>
              <w:rPr>
                <w:rFonts w:cs="Arial"/>
              </w:rPr>
            </w:pPr>
            <w:r w:rsidRPr="00A44E49">
              <w:rPr>
                <w:rFonts w:cs="Arial"/>
              </w:rPr>
              <w:t>Annual scheduling discussions</w:t>
            </w:r>
          </w:p>
        </w:tc>
      </w:tr>
      <w:tr w:rsidR="002F4E41" w:rsidRPr="00A44E49" w:rsidTr="00053D3F">
        <w:tc>
          <w:tcPr>
            <w:tcW w:w="3652" w:type="dxa"/>
          </w:tcPr>
          <w:p w:rsidR="002F4E41" w:rsidRPr="00A44E49" w:rsidRDefault="002F4E41" w:rsidP="00053D3F">
            <w:pPr>
              <w:spacing w:line="360" w:lineRule="auto"/>
              <w:jc w:val="both"/>
              <w:rPr>
                <w:rFonts w:cs="Arial"/>
              </w:rPr>
            </w:pPr>
            <w:r w:rsidRPr="00A44E49">
              <w:rPr>
                <w:rFonts w:cs="Arial"/>
              </w:rPr>
              <w:t>Listing/presentation</w:t>
            </w:r>
          </w:p>
        </w:tc>
        <w:tc>
          <w:tcPr>
            <w:tcW w:w="5204" w:type="dxa"/>
          </w:tcPr>
          <w:p w:rsidR="002F4E41" w:rsidRPr="00A44E49" w:rsidRDefault="002F4E41" w:rsidP="00053D3F">
            <w:pPr>
              <w:spacing w:line="360" w:lineRule="auto"/>
              <w:jc w:val="both"/>
              <w:rPr>
                <w:rFonts w:cs="Arial"/>
              </w:rPr>
            </w:pPr>
            <w:r w:rsidRPr="00A44E49">
              <w:rPr>
                <w:rFonts w:cs="Arial"/>
              </w:rPr>
              <w:t>National list portal</w:t>
            </w:r>
          </w:p>
        </w:tc>
      </w:tr>
      <w:tr w:rsidR="002F4E41" w:rsidRPr="00A44E49" w:rsidTr="00053D3F">
        <w:tc>
          <w:tcPr>
            <w:tcW w:w="3652" w:type="dxa"/>
          </w:tcPr>
          <w:p w:rsidR="002F4E41" w:rsidRPr="00A44E49" w:rsidRDefault="002F4E41" w:rsidP="00053D3F">
            <w:pPr>
              <w:spacing w:line="360" w:lineRule="auto"/>
              <w:jc w:val="both"/>
              <w:rPr>
                <w:rFonts w:cs="Arial"/>
              </w:rPr>
            </w:pPr>
            <w:r w:rsidRPr="00A44E49">
              <w:rPr>
                <w:rFonts w:cs="Arial"/>
              </w:rPr>
              <w:t>Listing consequences</w:t>
            </w:r>
          </w:p>
        </w:tc>
        <w:tc>
          <w:tcPr>
            <w:tcW w:w="5204" w:type="dxa"/>
          </w:tcPr>
          <w:p w:rsidR="002F4E41" w:rsidRPr="00A44E49" w:rsidRDefault="002F4E41" w:rsidP="00053D3F">
            <w:pPr>
              <w:spacing w:line="360" w:lineRule="auto"/>
              <w:jc w:val="both"/>
              <w:rPr>
                <w:rFonts w:cs="Arial"/>
              </w:rPr>
            </w:pPr>
            <w:r w:rsidRPr="00A44E49">
              <w:rPr>
                <w:rFonts w:cs="Arial"/>
              </w:rPr>
              <w:t>No likely loss of existing protections</w:t>
            </w:r>
          </w:p>
          <w:p w:rsidR="002F4E41" w:rsidRPr="00A44E49" w:rsidRDefault="002F4E41" w:rsidP="00053D3F">
            <w:pPr>
              <w:spacing w:line="360" w:lineRule="auto"/>
              <w:jc w:val="both"/>
              <w:rPr>
                <w:rFonts w:cs="Arial"/>
              </w:rPr>
            </w:pPr>
            <w:r w:rsidRPr="00A44E49">
              <w:rPr>
                <w:rFonts w:cs="Arial"/>
              </w:rPr>
              <w:t>Cooperation on recovery actions</w:t>
            </w:r>
          </w:p>
        </w:tc>
      </w:tr>
    </w:tbl>
    <w:p w:rsidR="002F4E41" w:rsidRPr="00A44E49" w:rsidRDefault="002F4E41" w:rsidP="00053D3F">
      <w:pPr>
        <w:spacing w:line="360" w:lineRule="auto"/>
        <w:jc w:val="both"/>
        <w:rPr>
          <w:rFonts w:cs="Arial"/>
          <w:i/>
        </w:rPr>
      </w:pPr>
    </w:p>
    <w:p w:rsidR="002F4E41" w:rsidRPr="00A44E49" w:rsidRDefault="002F4E41" w:rsidP="00053D3F">
      <w:pPr>
        <w:spacing w:after="120" w:line="360" w:lineRule="auto"/>
        <w:jc w:val="both"/>
        <w:rPr>
          <w:rFonts w:cs="Arial"/>
          <w:i/>
        </w:rPr>
      </w:pPr>
    </w:p>
    <w:p w:rsidR="002F4E41" w:rsidRPr="00A44E49" w:rsidRDefault="002F4E41" w:rsidP="00053D3F">
      <w:pPr>
        <w:spacing w:after="120" w:line="360" w:lineRule="auto"/>
        <w:jc w:val="both"/>
        <w:rPr>
          <w:rFonts w:cs="Arial"/>
          <w:i/>
        </w:rPr>
      </w:pPr>
      <w:r w:rsidRPr="00A44E49">
        <w:rPr>
          <w:rFonts w:cs="Arial"/>
          <w:i/>
        </w:rPr>
        <w:lastRenderedPageBreak/>
        <w:t>Benefits/Issues Arising:</w:t>
      </w:r>
    </w:p>
    <w:p w:rsidR="002F4E41" w:rsidRPr="00A44E49" w:rsidRDefault="002F4E41" w:rsidP="00053D3F">
      <w:pPr>
        <w:pStyle w:val="ListParagraph"/>
        <w:numPr>
          <w:ilvl w:val="0"/>
          <w:numId w:val="30"/>
        </w:numPr>
      </w:pPr>
      <w:r w:rsidRPr="00A44E49">
        <w:t>Alignment of listing categories and criteria will reduce confusion and could lead to more efficient conservation outcomes;</w:t>
      </w:r>
    </w:p>
    <w:p w:rsidR="002F4E41" w:rsidRPr="00A44E49" w:rsidRDefault="002F4E41" w:rsidP="00053D3F">
      <w:pPr>
        <w:pStyle w:val="ListParagraph"/>
        <w:numPr>
          <w:ilvl w:val="0"/>
          <w:numId w:val="30"/>
        </w:numPr>
      </w:pPr>
      <w:r w:rsidRPr="00A44E49">
        <w:t>States/Territories would retain primary decision making capacity about listing of state-endemic entities at State/Territory and Commonwealth level;</w:t>
      </w:r>
    </w:p>
    <w:p w:rsidR="002F4E41" w:rsidRPr="00A44E49" w:rsidRDefault="002F4E41" w:rsidP="00053D3F">
      <w:pPr>
        <w:pStyle w:val="ListParagraph"/>
        <w:numPr>
          <w:ilvl w:val="0"/>
          <w:numId w:val="30"/>
        </w:numPr>
      </w:pPr>
      <w:r w:rsidRPr="00A44E49">
        <w:t xml:space="preserve">Duplication of assessment processes reduced or eliminated; </w:t>
      </w:r>
    </w:p>
    <w:p w:rsidR="002F4E41" w:rsidRPr="00A44E49" w:rsidRDefault="002F4E41" w:rsidP="00053D3F">
      <w:pPr>
        <w:pStyle w:val="ListParagraph"/>
        <w:numPr>
          <w:ilvl w:val="0"/>
          <w:numId w:val="30"/>
        </w:numPr>
      </w:pPr>
      <w:r w:rsidRPr="00A44E49">
        <w:t xml:space="preserve">Species that meet listing criteria will be listed/protected faster; </w:t>
      </w:r>
    </w:p>
    <w:p w:rsidR="002F4E41" w:rsidRPr="00A44E49" w:rsidRDefault="002F4E41" w:rsidP="00053D3F">
      <w:pPr>
        <w:pStyle w:val="ListParagraph"/>
        <w:numPr>
          <w:ilvl w:val="0"/>
          <w:numId w:val="30"/>
        </w:numPr>
      </w:pPr>
      <w:r w:rsidRPr="00A44E49">
        <w:t>Sharing of workload to enable more responsive assessment times;</w:t>
      </w:r>
    </w:p>
    <w:p w:rsidR="002F4E41" w:rsidRPr="00A44E49" w:rsidRDefault="002F4E41" w:rsidP="00053D3F">
      <w:pPr>
        <w:pStyle w:val="ListParagraph"/>
        <w:numPr>
          <w:ilvl w:val="0"/>
          <w:numId w:val="30"/>
        </w:numPr>
      </w:pPr>
      <w:r w:rsidRPr="00A44E49">
        <w:t>Regulatory change required;</w:t>
      </w:r>
    </w:p>
    <w:p w:rsidR="002F4E41" w:rsidRPr="00A44E49" w:rsidRDefault="002F4E41" w:rsidP="00053D3F">
      <w:pPr>
        <w:pStyle w:val="ListParagraph"/>
        <w:numPr>
          <w:ilvl w:val="0"/>
          <w:numId w:val="30"/>
        </w:numPr>
      </w:pPr>
      <w:r w:rsidRPr="00A44E49">
        <w:t>Accreditation of processes at both State/Territory/Commonwealth levels would need to be undertaken, based on agreed criteria; and</w:t>
      </w:r>
    </w:p>
    <w:p w:rsidR="002F4E41" w:rsidRPr="00A44E49" w:rsidRDefault="002F4E41" w:rsidP="00053D3F">
      <w:pPr>
        <w:pStyle w:val="ListParagraph"/>
        <w:numPr>
          <w:ilvl w:val="0"/>
          <w:numId w:val="30"/>
        </w:numPr>
      </w:pPr>
      <w:r w:rsidRPr="00A44E49">
        <w:t>For existing listings there will still be some misalignment due to different listings in different states (this would need to be resolved).</w:t>
      </w:r>
    </w:p>
    <w:p w:rsidR="002F4E41" w:rsidRPr="00A44E49" w:rsidRDefault="002F4E41" w:rsidP="00053D3F">
      <w:pPr>
        <w:spacing w:line="360" w:lineRule="auto"/>
        <w:rPr>
          <w:rFonts w:cs="Arial"/>
          <w:i/>
        </w:rPr>
      </w:pPr>
      <w:r w:rsidRPr="00A44E49">
        <w:rPr>
          <w:rFonts w:cs="Arial"/>
          <w:i/>
        </w:rPr>
        <w:t>Examples of potential implementation scenarios for this model:</w:t>
      </w:r>
    </w:p>
    <w:tbl>
      <w:tblPr>
        <w:tblStyle w:val="TableGrid"/>
        <w:tblW w:w="0" w:type="auto"/>
        <w:tblLook w:val="04A0"/>
      </w:tblPr>
      <w:tblGrid>
        <w:gridCol w:w="2214"/>
        <w:gridCol w:w="2214"/>
        <w:gridCol w:w="2214"/>
        <w:gridCol w:w="2214"/>
      </w:tblGrid>
      <w:tr w:rsidR="002F4E41" w:rsidRPr="00A44E49" w:rsidTr="00053D3F">
        <w:tc>
          <w:tcPr>
            <w:tcW w:w="2214" w:type="dxa"/>
            <w:shd w:val="clear" w:color="auto" w:fill="auto"/>
          </w:tcPr>
          <w:p w:rsidR="002F4E41" w:rsidRPr="00A44E49" w:rsidRDefault="002F4E41" w:rsidP="00053D3F">
            <w:pPr>
              <w:spacing w:line="360" w:lineRule="auto"/>
              <w:jc w:val="center"/>
              <w:rPr>
                <w:rFonts w:cs="Arial"/>
                <w:b/>
              </w:rPr>
            </w:pPr>
          </w:p>
          <w:p w:rsidR="002F4E41" w:rsidRPr="00A44E49" w:rsidRDefault="002F4E41" w:rsidP="00053D3F">
            <w:pPr>
              <w:spacing w:line="360" w:lineRule="auto"/>
              <w:jc w:val="center"/>
              <w:rPr>
                <w:rFonts w:cs="Arial"/>
                <w:b/>
              </w:rPr>
            </w:pPr>
            <w:r w:rsidRPr="00A44E49">
              <w:rPr>
                <w:rFonts w:cs="Arial"/>
                <w:b/>
              </w:rPr>
              <w:t>Scenario</w:t>
            </w:r>
          </w:p>
        </w:tc>
        <w:tc>
          <w:tcPr>
            <w:tcW w:w="2214" w:type="dxa"/>
            <w:shd w:val="clear" w:color="auto" w:fill="auto"/>
          </w:tcPr>
          <w:p w:rsidR="002F4E41" w:rsidRPr="00A44E49" w:rsidRDefault="002F4E41" w:rsidP="00053D3F">
            <w:pPr>
              <w:spacing w:line="360" w:lineRule="auto"/>
              <w:jc w:val="center"/>
              <w:rPr>
                <w:rFonts w:cs="Arial"/>
                <w:b/>
              </w:rPr>
            </w:pPr>
          </w:p>
          <w:p w:rsidR="002F4E41" w:rsidRPr="00A44E49" w:rsidRDefault="002F4E41" w:rsidP="00053D3F">
            <w:pPr>
              <w:spacing w:line="360" w:lineRule="auto"/>
              <w:jc w:val="center"/>
              <w:rPr>
                <w:rFonts w:cs="Arial"/>
                <w:b/>
              </w:rPr>
            </w:pPr>
            <w:r w:rsidRPr="00A44E49">
              <w:rPr>
                <w:rFonts w:cs="Arial"/>
                <w:b/>
              </w:rPr>
              <w:t>Range</w:t>
            </w:r>
          </w:p>
        </w:tc>
        <w:tc>
          <w:tcPr>
            <w:tcW w:w="2214" w:type="dxa"/>
            <w:shd w:val="clear" w:color="auto" w:fill="auto"/>
          </w:tcPr>
          <w:p w:rsidR="002F4E41" w:rsidRPr="00A44E49" w:rsidRDefault="002F4E41" w:rsidP="00053D3F">
            <w:pPr>
              <w:spacing w:line="360" w:lineRule="auto"/>
              <w:jc w:val="center"/>
              <w:rPr>
                <w:rFonts w:cs="Arial"/>
                <w:b/>
              </w:rPr>
            </w:pPr>
          </w:p>
          <w:p w:rsidR="002F4E41" w:rsidRPr="00A44E49" w:rsidRDefault="002F4E41" w:rsidP="00053D3F">
            <w:pPr>
              <w:spacing w:line="360" w:lineRule="auto"/>
              <w:jc w:val="center"/>
              <w:rPr>
                <w:rFonts w:cs="Arial"/>
                <w:b/>
              </w:rPr>
            </w:pPr>
            <w:r w:rsidRPr="00A44E49">
              <w:rPr>
                <w:rFonts w:cs="Arial"/>
                <w:b/>
              </w:rPr>
              <w:t>Assessment</w:t>
            </w:r>
          </w:p>
        </w:tc>
        <w:tc>
          <w:tcPr>
            <w:tcW w:w="2214" w:type="dxa"/>
            <w:shd w:val="clear" w:color="auto" w:fill="auto"/>
          </w:tcPr>
          <w:p w:rsidR="002F4E41" w:rsidRPr="00A44E49" w:rsidRDefault="002F4E41" w:rsidP="00053D3F">
            <w:pPr>
              <w:spacing w:line="360" w:lineRule="auto"/>
              <w:rPr>
                <w:rFonts w:cs="Arial"/>
                <w:b/>
              </w:rPr>
            </w:pPr>
          </w:p>
          <w:p w:rsidR="002F4E41" w:rsidRPr="00A44E49" w:rsidRDefault="002F4E41" w:rsidP="00053D3F">
            <w:pPr>
              <w:spacing w:line="360" w:lineRule="auto"/>
              <w:rPr>
                <w:rFonts w:cs="Arial"/>
                <w:b/>
              </w:rPr>
            </w:pPr>
            <w:r w:rsidRPr="00A44E49">
              <w:rPr>
                <w:rFonts w:cs="Arial"/>
                <w:b/>
              </w:rPr>
              <w:t>Listing</w:t>
            </w:r>
          </w:p>
          <w:p w:rsidR="002F4E41" w:rsidRPr="00A44E49" w:rsidRDefault="002F4E41" w:rsidP="00053D3F">
            <w:pPr>
              <w:spacing w:line="360" w:lineRule="auto"/>
              <w:rPr>
                <w:rFonts w:cs="Arial"/>
                <w:b/>
              </w:rPr>
            </w:pPr>
          </w:p>
        </w:tc>
      </w:tr>
      <w:tr w:rsidR="002F4E41" w:rsidRPr="00A44E49" w:rsidTr="00053D3F">
        <w:tc>
          <w:tcPr>
            <w:tcW w:w="2214" w:type="dxa"/>
            <w:shd w:val="clear" w:color="auto" w:fill="auto"/>
          </w:tcPr>
          <w:p w:rsidR="002F4E41" w:rsidRPr="00A44E49" w:rsidRDefault="002F4E41" w:rsidP="00053D3F">
            <w:pPr>
              <w:spacing w:line="360" w:lineRule="auto"/>
              <w:jc w:val="center"/>
              <w:rPr>
                <w:rFonts w:cs="Arial"/>
                <w:b/>
              </w:rPr>
            </w:pPr>
            <w:r w:rsidRPr="00A44E49">
              <w:rPr>
                <w:rFonts w:cs="Arial"/>
                <w:b/>
              </w:rPr>
              <w:t>A</w:t>
            </w:r>
          </w:p>
        </w:tc>
        <w:tc>
          <w:tcPr>
            <w:tcW w:w="2214" w:type="dxa"/>
            <w:shd w:val="clear" w:color="auto" w:fill="auto"/>
          </w:tcPr>
          <w:p w:rsidR="002F4E41" w:rsidRPr="00A44E49" w:rsidRDefault="002F4E41" w:rsidP="00053D3F">
            <w:pPr>
              <w:spacing w:line="360" w:lineRule="auto"/>
              <w:jc w:val="center"/>
              <w:rPr>
                <w:rFonts w:cs="Arial"/>
              </w:rPr>
            </w:pPr>
            <w:r w:rsidRPr="00A44E49">
              <w:rPr>
                <w:rFonts w:cs="Arial"/>
              </w:rPr>
              <w:t>Victoria</w:t>
            </w:r>
          </w:p>
        </w:tc>
        <w:tc>
          <w:tcPr>
            <w:tcW w:w="2214" w:type="dxa"/>
            <w:shd w:val="clear" w:color="auto" w:fill="auto"/>
          </w:tcPr>
          <w:p w:rsidR="002F4E41" w:rsidRPr="00A44E49" w:rsidRDefault="002F4E41" w:rsidP="00053D3F">
            <w:pPr>
              <w:spacing w:line="360" w:lineRule="auto"/>
              <w:jc w:val="center"/>
              <w:rPr>
                <w:rFonts w:cs="Arial"/>
              </w:rPr>
            </w:pPr>
            <w:r w:rsidRPr="00A44E49">
              <w:rPr>
                <w:rFonts w:cs="Arial"/>
              </w:rPr>
              <w:t>Commonwealth</w:t>
            </w:r>
          </w:p>
        </w:tc>
        <w:tc>
          <w:tcPr>
            <w:tcW w:w="2214" w:type="dxa"/>
            <w:shd w:val="clear" w:color="auto" w:fill="auto"/>
          </w:tcPr>
          <w:p w:rsidR="002F4E41" w:rsidRPr="00A44E49" w:rsidRDefault="002F4E41" w:rsidP="00053D3F">
            <w:pPr>
              <w:rPr>
                <w:rFonts w:cs="Arial"/>
              </w:rPr>
            </w:pPr>
            <w:r w:rsidRPr="00A44E49">
              <w:rPr>
                <w:rFonts w:cs="Arial"/>
              </w:rPr>
              <w:t>Victoria and Commonwealth</w:t>
            </w:r>
          </w:p>
          <w:p w:rsidR="002F4E41" w:rsidRPr="00A44E49" w:rsidRDefault="002F4E41" w:rsidP="00053D3F">
            <w:pPr>
              <w:rPr>
                <w:rFonts w:cs="Arial"/>
              </w:rPr>
            </w:pPr>
          </w:p>
        </w:tc>
      </w:tr>
      <w:tr w:rsidR="002F4E41" w:rsidRPr="00A44E49" w:rsidTr="00053D3F">
        <w:tc>
          <w:tcPr>
            <w:tcW w:w="2214" w:type="dxa"/>
            <w:shd w:val="clear" w:color="auto" w:fill="auto"/>
          </w:tcPr>
          <w:p w:rsidR="002F4E41" w:rsidRPr="00A44E49" w:rsidRDefault="002F4E41" w:rsidP="00053D3F">
            <w:pPr>
              <w:spacing w:line="360" w:lineRule="auto"/>
              <w:jc w:val="center"/>
              <w:rPr>
                <w:rFonts w:cs="Arial"/>
                <w:b/>
              </w:rPr>
            </w:pPr>
            <w:r w:rsidRPr="00A44E49">
              <w:rPr>
                <w:rFonts w:cs="Arial"/>
                <w:b/>
              </w:rPr>
              <w:t>B</w:t>
            </w:r>
          </w:p>
        </w:tc>
        <w:tc>
          <w:tcPr>
            <w:tcW w:w="2214" w:type="dxa"/>
            <w:shd w:val="clear" w:color="auto" w:fill="auto"/>
          </w:tcPr>
          <w:p w:rsidR="002F4E41" w:rsidRPr="00A44E49" w:rsidRDefault="002F4E41" w:rsidP="00053D3F">
            <w:pPr>
              <w:spacing w:line="360" w:lineRule="auto"/>
              <w:jc w:val="center"/>
              <w:rPr>
                <w:rFonts w:cs="Arial"/>
              </w:rPr>
            </w:pPr>
            <w:r w:rsidRPr="00A44E49">
              <w:rPr>
                <w:rFonts w:cs="Arial"/>
              </w:rPr>
              <w:t>Victoria</w:t>
            </w:r>
          </w:p>
        </w:tc>
        <w:tc>
          <w:tcPr>
            <w:tcW w:w="2214" w:type="dxa"/>
            <w:shd w:val="clear" w:color="auto" w:fill="auto"/>
          </w:tcPr>
          <w:p w:rsidR="002F4E41" w:rsidRPr="00A44E49" w:rsidRDefault="002F4E41" w:rsidP="00053D3F">
            <w:pPr>
              <w:spacing w:line="360" w:lineRule="auto"/>
              <w:jc w:val="center"/>
              <w:rPr>
                <w:rFonts w:cs="Arial"/>
              </w:rPr>
            </w:pPr>
            <w:r w:rsidRPr="00A44E49">
              <w:rPr>
                <w:rFonts w:cs="Arial"/>
              </w:rPr>
              <w:t>Victoria</w:t>
            </w:r>
          </w:p>
        </w:tc>
        <w:tc>
          <w:tcPr>
            <w:tcW w:w="2214" w:type="dxa"/>
            <w:shd w:val="clear" w:color="auto" w:fill="auto"/>
          </w:tcPr>
          <w:p w:rsidR="002F4E41" w:rsidRPr="00A44E49" w:rsidRDefault="002F4E41" w:rsidP="00053D3F">
            <w:pPr>
              <w:rPr>
                <w:rFonts w:cs="Arial"/>
              </w:rPr>
            </w:pPr>
            <w:r w:rsidRPr="00A44E49">
              <w:rPr>
                <w:rFonts w:cs="Arial"/>
              </w:rPr>
              <w:t>Victoria and Commonwealth</w:t>
            </w:r>
          </w:p>
          <w:p w:rsidR="002F4E41" w:rsidRPr="00A44E49" w:rsidRDefault="002F4E41" w:rsidP="00053D3F">
            <w:pPr>
              <w:rPr>
                <w:rFonts w:cs="Arial"/>
              </w:rPr>
            </w:pPr>
          </w:p>
        </w:tc>
      </w:tr>
      <w:tr w:rsidR="002F4E41" w:rsidRPr="00A44E49" w:rsidTr="00053D3F">
        <w:tc>
          <w:tcPr>
            <w:tcW w:w="2214" w:type="dxa"/>
            <w:shd w:val="clear" w:color="auto" w:fill="auto"/>
          </w:tcPr>
          <w:p w:rsidR="002F4E41" w:rsidRPr="00A44E49" w:rsidRDefault="002F4E41" w:rsidP="00053D3F">
            <w:pPr>
              <w:spacing w:line="360" w:lineRule="auto"/>
              <w:jc w:val="center"/>
              <w:rPr>
                <w:rFonts w:cs="Arial"/>
                <w:b/>
              </w:rPr>
            </w:pPr>
            <w:r w:rsidRPr="00A44E49">
              <w:rPr>
                <w:rFonts w:cs="Arial"/>
                <w:b/>
              </w:rPr>
              <w:t>C</w:t>
            </w:r>
          </w:p>
        </w:tc>
        <w:tc>
          <w:tcPr>
            <w:tcW w:w="2214" w:type="dxa"/>
            <w:shd w:val="clear" w:color="auto" w:fill="auto"/>
          </w:tcPr>
          <w:p w:rsidR="002F4E41" w:rsidRPr="00A44E49" w:rsidRDefault="002F4E41" w:rsidP="00053D3F">
            <w:pPr>
              <w:spacing w:line="360" w:lineRule="auto"/>
              <w:jc w:val="center"/>
              <w:rPr>
                <w:rFonts w:cs="Arial"/>
              </w:rPr>
            </w:pPr>
            <w:r w:rsidRPr="00A44E49">
              <w:rPr>
                <w:rFonts w:cs="Arial"/>
              </w:rPr>
              <w:t>VIC, NSW and SA</w:t>
            </w:r>
          </w:p>
        </w:tc>
        <w:tc>
          <w:tcPr>
            <w:tcW w:w="2214" w:type="dxa"/>
            <w:shd w:val="clear" w:color="auto" w:fill="auto"/>
          </w:tcPr>
          <w:p w:rsidR="002F4E41" w:rsidRPr="00A44E49" w:rsidRDefault="002F4E41" w:rsidP="00053D3F">
            <w:pPr>
              <w:spacing w:line="360" w:lineRule="auto"/>
              <w:jc w:val="center"/>
              <w:rPr>
                <w:rFonts w:cs="Arial"/>
              </w:rPr>
            </w:pPr>
            <w:r w:rsidRPr="00A44E49">
              <w:rPr>
                <w:rFonts w:cs="Arial"/>
              </w:rPr>
              <w:t>Commonwealth</w:t>
            </w:r>
          </w:p>
        </w:tc>
        <w:tc>
          <w:tcPr>
            <w:tcW w:w="2214" w:type="dxa"/>
            <w:shd w:val="clear" w:color="auto" w:fill="auto"/>
          </w:tcPr>
          <w:p w:rsidR="002F4E41" w:rsidRPr="00A44E49" w:rsidRDefault="002F4E41" w:rsidP="00053D3F">
            <w:pPr>
              <w:rPr>
                <w:rFonts w:cs="Arial"/>
              </w:rPr>
            </w:pPr>
            <w:r w:rsidRPr="00A44E49">
              <w:rPr>
                <w:rFonts w:cs="Arial"/>
              </w:rPr>
              <w:t>VIC, NSW, SA and Commonwealth</w:t>
            </w:r>
          </w:p>
          <w:p w:rsidR="002F4E41" w:rsidRPr="00A44E49" w:rsidRDefault="002F4E41" w:rsidP="00053D3F">
            <w:pPr>
              <w:rPr>
                <w:rFonts w:cs="Arial"/>
              </w:rPr>
            </w:pPr>
          </w:p>
        </w:tc>
      </w:tr>
      <w:tr w:rsidR="002F4E41" w:rsidRPr="00A44E49" w:rsidTr="00053D3F">
        <w:tc>
          <w:tcPr>
            <w:tcW w:w="2214" w:type="dxa"/>
            <w:shd w:val="clear" w:color="auto" w:fill="auto"/>
          </w:tcPr>
          <w:p w:rsidR="002F4E41" w:rsidRPr="00A44E49" w:rsidRDefault="002F4E41" w:rsidP="00053D3F">
            <w:pPr>
              <w:spacing w:line="360" w:lineRule="auto"/>
              <w:jc w:val="center"/>
              <w:rPr>
                <w:rFonts w:cs="Arial"/>
                <w:b/>
              </w:rPr>
            </w:pPr>
            <w:r w:rsidRPr="00A44E49">
              <w:rPr>
                <w:rFonts w:cs="Arial"/>
                <w:b/>
              </w:rPr>
              <w:t>D</w:t>
            </w:r>
          </w:p>
        </w:tc>
        <w:tc>
          <w:tcPr>
            <w:tcW w:w="2214" w:type="dxa"/>
            <w:shd w:val="clear" w:color="auto" w:fill="auto"/>
          </w:tcPr>
          <w:p w:rsidR="002F4E41" w:rsidRPr="00A44E49" w:rsidRDefault="002F4E41" w:rsidP="00053D3F">
            <w:pPr>
              <w:spacing w:line="360" w:lineRule="auto"/>
              <w:jc w:val="center"/>
              <w:rPr>
                <w:rFonts w:cs="Arial"/>
              </w:rPr>
            </w:pPr>
            <w:r w:rsidRPr="00A44E49">
              <w:rPr>
                <w:rFonts w:cs="Arial"/>
              </w:rPr>
              <w:t>VIC, NSW and SA</w:t>
            </w:r>
          </w:p>
        </w:tc>
        <w:tc>
          <w:tcPr>
            <w:tcW w:w="2214" w:type="dxa"/>
            <w:shd w:val="clear" w:color="auto" w:fill="auto"/>
          </w:tcPr>
          <w:p w:rsidR="002F4E41" w:rsidRPr="00A44E49" w:rsidRDefault="002F4E41" w:rsidP="00053D3F">
            <w:pPr>
              <w:spacing w:line="360" w:lineRule="auto"/>
              <w:jc w:val="center"/>
              <w:rPr>
                <w:rFonts w:cs="Arial"/>
              </w:rPr>
            </w:pPr>
            <w:r w:rsidRPr="00A44E49">
              <w:rPr>
                <w:rFonts w:cs="Arial"/>
              </w:rPr>
              <w:t>NSW (or equally by another jurisdiction in the range)</w:t>
            </w:r>
          </w:p>
        </w:tc>
        <w:tc>
          <w:tcPr>
            <w:tcW w:w="2214" w:type="dxa"/>
            <w:shd w:val="clear" w:color="auto" w:fill="auto"/>
          </w:tcPr>
          <w:p w:rsidR="002F4E41" w:rsidRPr="00A44E49" w:rsidRDefault="002F4E41" w:rsidP="00053D3F">
            <w:pPr>
              <w:rPr>
                <w:rFonts w:cs="Arial"/>
              </w:rPr>
            </w:pPr>
            <w:r w:rsidRPr="00A44E49">
              <w:rPr>
                <w:rFonts w:cs="Arial"/>
              </w:rPr>
              <w:t>VIC, NSW, SA and Commonwealth</w:t>
            </w:r>
          </w:p>
          <w:p w:rsidR="002F4E41" w:rsidRPr="00A44E49" w:rsidRDefault="002F4E41" w:rsidP="00053D3F">
            <w:pPr>
              <w:rPr>
                <w:rFonts w:cs="Arial"/>
              </w:rPr>
            </w:pPr>
          </w:p>
        </w:tc>
      </w:tr>
      <w:tr w:rsidR="002F4E41" w:rsidRPr="00A44E49" w:rsidTr="00053D3F">
        <w:tc>
          <w:tcPr>
            <w:tcW w:w="2214" w:type="dxa"/>
            <w:shd w:val="clear" w:color="auto" w:fill="auto"/>
          </w:tcPr>
          <w:p w:rsidR="002F4E41" w:rsidRPr="00A44E49" w:rsidRDefault="002F4E41" w:rsidP="00053D3F">
            <w:pPr>
              <w:spacing w:line="360" w:lineRule="auto"/>
              <w:jc w:val="center"/>
              <w:rPr>
                <w:rFonts w:cs="Arial"/>
                <w:b/>
              </w:rPr>
            </w:pPr>
            <w:r w:rsidRPr="00A44E49">
              <w:rPr>
                <w:rFonts w:cs="Arial"/>
                <w:b/>
              </w:rPr>
              <w:t>E</w:t>
            </w:r>
          </w:p>
        </w:tc>
        <w:tc>
          <w:tcPr>
            <w:tcW w:w="2214" w:type="dxa"/>
            <w:shd w:val="clear" w:color="auto" w:fill="auto"/>
          </w:tcPr>
          <w:p w:rsidR="002F4E41" w:rsidRPr="00A44E49" w:rsidRDefault="002F4E41" w:rsidP="00053D3F">
            <w:pPr>
              <w:spacing w:line="360" w:lineRule="auto"/>
              <w:jc w:val="center"/>
              <w:rPr>
                <w:rFonts w:cs="Arial"/>
              </w:rPr>
            </w:pPr>
            <w:r w:rsidRPr="00A44E49">
              <w:rPr>
                <w:rFonts w:cs="Arial"/>
              </w:rPr>
              <w:t>VIC, SA</w:t>
            </w:r>
          </w:p>
        </w:tc>
        <w:tc>
          <w:tcPr>
            <w:tcW w:w="2214" w:type="dxa"/>
            <w:shd w:val="clear" w:color="auto" w:fill="auto"/>
          </w:tcPr>
          <w:p w:rsidR="002F4E41" w:rsidRPr="00A44E49" w:rsidRDefault="002F4E41" w:rsidP="00053D3F">
            <w:pPr>
              <w:spacing w:line="360" w:lineRule="auto"/>
              <w:jc w:val="center"/>
              <w:rPr>
                <w:rFonts w:cs="Arial"/>
              </w:rPr>
            </w:pPr>
            <w:r w:rsidRPr="00A44E49">
              <w:rPr>
                <w:rFonts w:cs="Arial"/>
              </w:rPr>
              <w:t>Commonwealth</w:t>
            </w:r>
          </w:p>
        </w:tc>
        <w:tc>
          <w:tcPr>
            <w:tcW w:w="2214" w:type="dxa"/>
            <w:shd w:val="clear" w:color="auto" w:fill="auto"/>
          </w:tcPr>
          <w:p w:rsidR="002F4E41" w:rsidRPr="00A44E49" w:rsidRDefault="002F4E41" w:rsidP="00053D3F">
            <w:pPr>
              <w:rPr>
                <w:rFonts w:cs="Arial"/>
              </w:rPr>
            </w:pPr>
            <w:r w:rsidRPr="00A44E49">
              <w:rPr>
                <w:rFonts w:cs="Arial"/>
              </w:rPr>
              <w:t>Vic, SA and Commonwealth</w:t>
            </w:r>
          </w:p>
          <w:p w:rsidR="002F4E41" w:rsidRPr="00A44E49" w:rsidRDefault="002F4E41" w:rsidP="00053D3F">
            <w:pPr>
              <w:rPr>
                <w:rFonts w:cs="Arial"/>
              </w:rPr>
            </w:pPr>
          </w:p>
        </w:tc>
      </w:tr>
      <w:tr w:rsidR="002F4E41" w:rsidRPr="00A44E49" w:rsidTr="00053D3F">
        <w:tc>
          <w:tcPr>
            <w:tcW w:w="2214" w:type="dxa"/>
            <w:shd w:val="clear" w:color="auto" w:fill="auto"/>
          </w:tcPr>
          <w:p w:rsidR="002F4E41" w:rsidRPr="00A44E49" w:rsidRDefault="002F4E41" w:rsidP="00053D3F">
            <w:pPr>
              <w:spacing w:line="360" w:lineRule="auto"/>
              <w:jc w:val="center"/>
              <w:rPr>
                <w:rFonts w:cs="Arial"/>
                <w:b/>
              </w:rPr>
            </w:pPr>
            <w:r w:rsidRPr="00A44E49">
              <w:rPr>
                <w:rFonts w:cs="Arial"/>
                <w:b/>
              </w:rPr>
              <w:t>F</w:t>
            </w:r>
          </w:p>
        </w:tc>
        <w:tc>
          <w:tcPr>
            <w:tcW w:w="2214" w:type="dxa"/>
            <w:shd w:val="clear" w:color="auto" w:fill="auto"/>
          </w:tcPr>
          <w:p w:rsidR="002F4E41" w:rsidRPr="00A44E49" w:rsidRDefault="002F4E41" w:rsidP="00053D3F">
            <w:pPr>
              <w:spacing w:line="360" w:lineRule="auto"/>
              <w:jc w:val="center"/>
              <w:rPr>
                <w:rFonts w:cs="Arial"/>
              </w:rPr>
            </w:pPr>
            <w:r w:rsidRPr="00A44E49">
              <w:rPr>
                <w:rFonts w:cs="Arial"/>
              </w:rPr>
              <w:t>VIC, SA</w:t>
            </w:r>
          </w:p>
        </w:tc>
        <w:tc>
          <w:tcPr>
            <w:tcW w:w="2214" w:type="dxa"/>
            <w:shd w:val="clear" w:color="auto" w:fill="auto"/>
          </w:tcPr>
          <w:p w:rsidR="002F4E41" w:rsidRPr="00A44E49" w:rsidRDefault="002F4E41" w:rsidP="00053D3F">
            <w:pPr>
              <w:spacing w:line="360" w:lineRule="auto"/>
              <w:jc w:val="center"/>
              <w:rPr>
                <w:rFonts w:cs="Arial"/>
              </w:rPr>
            </w:pPr>
            <w:r w:rsidRPr="00A44E49">
              <w:rPr>
                <w:rFonts w:cs="Arial"/>
              </w:rPr>
              <w:t>South Australia</w:t>
            </w:r>
          </w:p>
          <w:p w:rsidR="002F4E41" w:rsidRPr="00A44E49" w:rsidRDefault="002F4E41" w:rsidP="00053D3F">
            <w:pPr>
              <w:spacing w:line="360" w:lineRule="auto"/>
              <w:jc w:val="center"/>
              <w:rPr>
                <w:rFonts w:cs="Arial"/>
              </w:rPr>
            </w:pPr>
            <w:r w:rsidRPr="00A44E49">
              <w:rPr>
                <w:rFonts w:cs="Arial"/>
              </w:rPr>
              <w:t>(or equally by another jurisdiction in the range)</w:t>
            </w:r>
          </w:p>
        </w:tc>
        <w:tc>
          <w:tcPr>
            <w:tcW w:w="2214" w:type="dxa"/>
            <w:shd w:val="clear" w:color="auto" w:fill="auto"/>
          </w:tcPr>
          <w:p w:rsidR="002F4E41" w:rsidRPr="00A44E49" w:rsidRDefault="002F4E41" w:rsidP="00053D3F">
            <w:pPr>
              <w:rPr>
                <w:rFonts w:cs="Arial"/>
              </w:rPr>
            </w:pPr>
            <w:r w:rsidRPr="00A44E49">
              <w:rPr>
                <w:rFonts w:cs="Arial"/>
              </w:rPr>
              <w:t>Vic, SA and Commonwealth</w:t>
            </w:r>
          </w:p>
          <w:p w:rsidR="002F4E41" w:rsidRPr="00A44E49" w:rsidRDefault="002F4E41" w:rsidP="00053D3F">
            <w:pPr>
              <w:rPr>
                <w:rFonts w:cs="Arial"/>
              </w:rPr>
            </w:pPr>
          </w:p>
        </w:tc>
      </w:tr>
    </w:tbl>
    <w:p w:rsidR="002F4E41" w:rsidRPr="00A44E49" w:rsidRDefault="002F4E41" w:rsidP="00053D3F">
      <w:pPr>
        <w:spacing w:line="360" w:lineRule="auto"/>
        <w:jc w:val="both"/>
        <w:rPr>
          <w:rFonts w:cs="Arial"/>
          <w:b/>
          <w:i/>
        </w:rPr>
      </w:pPr>
    </w:p>
    <w:p w:rsidR="002F4E41" w:rsidRPr="00A44E49" w:rsidRDefault="002F4E41" w:rsidP="00053D3F">
      <w:pPr>
        <w:rPr>
          <w:rFonts w:asciiTheme="majorHAnsi" w:eastAsiaTheme="majorEastAsia" w:hAnsiTheme="majorHAnsi" w:cstheme="majorBidi"/>
          <w:b/>
          <w:bCs/>
          <w:color w:val="365F91" w:themeColor="accent1" w:themeShade="BF"/>
          <w:sz w:val="28"/>
          <w:szCs w:val="28"/>
        </w:rPr>
      </w:pPr>
      <w:r w:rsidRPr="00A44E49">
        <w:br w:type="page"/>
      </w:r>
    </w:p>
    <w:p w:rsidR="002F4E41" w:rsidRPr="00A44E49" w:rsidRDefault="002F4E41" w:rsidP="00053D3F">
      <w:pPr>
        <w:pStyle w:val="Heading1"/>
      </w:pPr>
      <w:bookmarkStart w:id="97" w:name="_Toc328503791"/>
      <w:bookmarkStart w:id="98" w:name="_Toc339368205"/>
      <w:r>
        <w:lastRenderedPageBreak/>
        <w:t>Attachment D</w:t>
      </w:r>
      <w:r w:rsidRPr="00A44E49">
        <w:t xml:space="preserve"> – International obligations for listed migratory species</w:t>
      </w:r>
      <w:bookmarkEnd w:id="97"/>
      <w:bookmarkEnd w:id="98"/>
    </w:p>
    <w:p w:rsidR="002F4E41" w:rsidRPr="00A44E49" w:rsidRDefault="002F4E41" w:rsidP="00053D3F">
      <w:pPr>
        <w:pStyle w:val="Heading3"/>
      </w:pPr>
      <w:bookmarkStart w:id="99" w:name="_Toc328503792"/>
      <w:bookmarkStart w:id="100" w:name="_Toc339368206"/>
      <w:r w:rsidRPr="00A44E49">
        <w:t>Extracts from the Bonn Convention</w:t>
      </w:r>
      <w:bookmarkEnd w:id="99"/>
      <w:bookmarkEnd w:id="100"/>
    </w:p>
    <w:p w:rsidR="002F4E41" w:rsidRPr="00A44E49" w:rsidRDefault="002F4E41" w:rsidP="00053D3F">
      <w:r w:rsidRPr="00A44E49">
        <w:t>‘Bonn Convention’ means the Convention on the Conservation of Migratory Species of Wild Animals done at Bonn on 23 June 1979.</w:t>
      </w:r>
      <w:r w:rsidRPr="00A44E49">
        <w:rPr>
          <w:rStyle w:val="EndnoteReference"/>
        </w:rPr>
        <w:endnoteReference w:id="170"/>
      </w:r>
    </w:p>
    <w:p w:rsidR="002F4E41" w:rsidRPr="00A44E49" w:rsidRDefault="002F4E41" w:rsidP="00053D3F">
      <w:pPr>
        <w:pStyle w:val="Heading4"/>
      </w:pPr>
      <w:r w:rsidRPr="00A44E49">
        <w:t>Preamble</w:t>
      </w:r>
    </w:p>
    <w:p w:rsidR="002F4E41" w:rsidRPr="00A44E49" w:rsidRDefault="002F4E41" w:rsidP="00053D3F">
      <w:r w:rsidRPr="00A44E49">
        <w:t>The Contracting Parties,</w:t>
      </w:r>
    </w:p>
    <w:p w:rsidR="002F4E41" w:rsidRPr="00A44E49" w:rsidRDefault="002F4E41" w:rsidP="00053D3F">
      <w:r w:rsidRPr="00A44E49">
        <w:rPr>
          <w:i/>
        </w:rPr>
        <w:t>Recognizing</w:t>
      </w:r>
      <w:r w:rsidRPr="00A44E49">
        <w:t xml:space="preserve"> that wild animals in their innumerable forms are an irreplaceable part of the earth's natural system which must be conserved for the good of mankind;</w:t>
      </w:r>
    </w:p>
    <w:p w:rsidR="002F4E41" w:rsidRPr="00A44E49" w:rsidRDefault="002F4E41" w:rsidP="00053D3F">
      <w:r w:rsidRPr="00A44E49">
        <w:rPr>
          <w:i/>
        </w:rPr>
        <w:t>Aware</w:t>
      </w:r>
      <w:r w:rsidRPr="00A44E49">
        <w:t xml:space="preserve"> that each generation of man holds the resources of the earth for future generations and has an obligation to ensure that this legacy is conserved and, where utilized, is used wisely;</w:t>
      </w:r>
    </w:p>
    <w:p w:rsidR="002F4E41" w:rsidRPr="00A44E49" w:rsidRDefault="002F4E41" w:rsidP="00053D3F">
      <w:r w:rsidRPr="00A44E49">
        <w:rPr>
          <w:i/>
        </w:rPr>
        <w:t>Conscious</w:t>
      </w:r>
      <w:r w:rsidRPr="00A44E49">
        <w:t xml:space="preserve"> of the ever-growing value of wild animals from environmental, ecological, genetic, scientific, aesthetic, recreational, cultural, educational, social and economic points of view;</w:t>
      </w:r>
    </w:p>
    <w:p w:rsidR="002F4E41" w:rsidRPr="00A44E49" w:rsidRDefault="002F4E41" w:rsidP="00053D3F">
      <w:r w:rsidRPr="00A44E49">
        <w:rPr>
          <w:i/>
        </w:rPr>
        <w:t>Concerned</w:t>
      </w:r>
      <w:r w:rsidRPr="00A44E49">
        <w:t xml:space="preserve"> particularly with those species of wild animals that migrate across or outside national jurisdictional boundaries;</w:t>
      </w:r>
    </w:p>
    <w:p w:rsidR="002F4E41" w:rsidRPr="00A44E49" w:rsidRDefault="002F4E41" w:rsidP="00053D3F">
      <w:r w:rsidRPr="00A44E49">
        <w:rPr>
          <w:i/>
        </w:rPr>
        <w:t>Recognising</w:t>
      </w:r>
      <w:r w:rsidRPr="00A44E49">
        <w:t xml:space="preserve"> that the States are and must be the protectors of the migratory species of wild animals that live within or pass through their national jurisdictional boundaries;</w:t>
      </w:r>
    </w:p>
    <w:p w:rsidR="002F4E41" w:rsidRPr="00A44E49" w:rsidRDefault="002F4E41" w:rsidP="00053D3F">
      <w:r w:rsidRPr="00A44E49">
        <w:rPr>
          <w:i/>
        </w:rPr>
        <w:t>Convinced</w:t>
      </w:r>
      <w:r w:rsidRPr="00A44E49">
        <w:t xml:space="preserve"> that conservation and effective management of migratory species of wild animals require the concerted action of all States within the national jurisdictional boundaries of which such species spend any part of their life cycle;</w:t>
      </w:r>
    </w:p>
    <w:p w:rsidR="002F4E41" w:rsidRPr="00A44E49" w:rsidRDefault="002F4E41" w:rsidP="00053D3F">
      <w:r w:rsidRPr="00A44E49">
        <w:rPr>
          <w:i/>
        </w:rPr>
        <w:t>Recalling</w:t>
      </w:r>
      <w:r w:rsidRPr="00A44E49">
        <w:t xml:space="preserve"> Recommendation 32 of the Action Plan adopted by the United Nations Conference on the Human Environment (Stockholm, 1972) and noted with satisfaction at the Twenty-seventh Session of the General Assembly of the United Nations,</w:t>
      </w:r>
    </w:p>
    <w:p w:rsidR="002F4E41" w:rsidRPr="00A44E49" w:rsidRDefault="002F4E41" w:rsidP="00053D3F">
      <w:r w:rsidRPr="00A44E49">
        <w:t>Have agreed as follows:</w:t>
      </w:r>
    </w:p>
    <w:p w:rsidR="002F4E41" w:rsidRPr="00A44E49" w:rsidRDefault="002F4E41" w:rsidP="00053D3F">
      <w:pPr>
        <w:pStyle w:val="Heading4"/>
      </w:pPr>
      <w:r w:rsidRPr="00A44E49">
        <w:t>Article 2</w:t>
      </w:r>
    </w:p>
    <w:p w:rsidR="002F4E41" w:rsidRPr="00A44E49" w:rsidRDefault="002F4E41" w:rsidP="00053D3F">
      <w:r w:rsidRPr="00A44E49">
        <w:t>1. The Parties acknowledge the importance of migratory species being conserved and of Range States agreeing to take action to this end whenever possible and appropriate, paying special attention to migratory species the conservation status of which is unfavourable, and taking individually or in co-operation appropriate and necessary steps to conserve such species and their habitat.</w:t>
      </w:r>
    </w:p>
    <w:p w:rsidR="002F4E41" w:rsidRPr="00A44E49" w:rsidRDefault="002F4E41" w:rsidP="00053D3F">
      <w:r w:rsidRPr="00A44E49">
        <w:t>2. The Parties acknowledge the need to take action to avoid any migratory species becoming endangered.</w:t>
      </w:r>
    </w:p>
    <w:p w:rsidR="002F4E41" w:rsidRPr="00A44E49" w:rsidRDefault="002F4E41" w:rsidP="00053D3F">
      <w:r w:rsidRPr="00A44E49">
        <w:t xml:space="preserve">3. </w:t>
      </w:r>
      <w:proofErr w:type="gramStart"/>
      <w:r w:rsidRPr="00A44E49">
        <w:t>In</w:t>
      </w:r>
      <w:proofErr w:type="gramEnd"/>
      <w:r w:rsidRPr="00A44E49">
        <w:t xml:space="preserve"> particular, the Parties:</w:t>
      </w:r>
    </w:p>
    <w:p w:rsidR="002F4E41" w:rsidRPr="00A44E49" w:rsidRDefault="002F4E41" w:rsidP="00053D3F">
      <w:pPr>
        <w:ind w:left="720"/>
      </w:pPr>
      <w:r w:rsidRPr="00A44E49">
        <w:t xml:space="preserve">a) </w:t>
      </w:r>
      <w:proofErr w:type="gramStart"/>
      <w:r w:rsidRPr="00A44E49">
        <w:t>should</w:t>
      </w:r>
      <w:proofErr w:type="gramEnd"/>
      <w:r w:rsidRPr="00A44E49">
        <w:t xml:space="preserve"> promote, co-operate in and support research relating to migratory species;</w:t>
      </w:r>
    </w:p>
    <w:p w:rsidR="002F4E41" w:rsidRPr="00A44E49" w:rsidRDefault="002F4E41" w:rsidP="00053D3F">
      <w:pPr>
        <w:ind w:left="720"/>
      </w:pPr>
      <w:r w:rsidRPr="00A44E49">
        <w:t xml:space="preserve">b) </w:t>
      </w:r>
      <w:proofErr w:type="gramStart"/>
      <w:r w:rsidRPr="00A44E49">
        <w:t>shall</w:t>
      </w:r>
      <w:proofErr w:type="gramEnd"/>
      <w:r w:rsidRPr="00A44E49">
        <w:t xml:space="preserve"> endeavour to provide immediate protection for migratory species included in Appendix I; and</w:t>
      </w:r>
    </w:p>
    <w:p w:rsidR="002F4E41" w:rsidRPr="00A44E49" w:rsidRDefault="002F4E41" w:rsidP="00053D3F">
      <w:pPr>
        <w:ind w:left="720"/>
      </w:pPr>
      <w:r w:rsidRPr="00A44E49">
        <w:lastRenderedPageBreak/>
        <w:t xml:space="preserve">c) </w:t>
      </w:r>
      <w:proofErr w:type="gramStart"/>
      <w:r w:rsidRPr="00A44E49">
        <w:t>shall</w:t>
      </w:r>
      <w:proofErr w:type="gramEnd"/>
      <w:r w:rsidRPr="00A44E49">
        <w:t xml:space="preserve"> endeavour to conclude agreements covering the conservation and management of migratory species included in Appendix II.</w:t>
      </w:r>
    </w:p>
    <w:p w:rsidR="002F4E41" w:rsidRPr="00A44E49" w:rsidRDefault="002F4E41" w:rsidP="00053D3F">
      <w:pPr>
        <w:pStyle w:val="Heading3"/>
      </w:pPr>
    </w:p>
    <w:p w:rsidR="002F4E41" w:rsidRPr="00A44E49" w:rsidRDefault="002F4E41" w:rsidP="00053D3F">
      <w:pPr>
        <w:pStyle w:val="Heading3"/>
      </w:pPr>
      <w:bookmarkStart w:id="101" w:name="_Toc328503793"/>
      <w:bookmarkStart w:id="102" w:name="_Toc339368207"/>
      <w:r w:rsidRPr="00A44E49">
        <w:t>Extracts from CAMBA</w:t>
      </w:r>
      <w:bookmarkEnd w:id="101"/>
      <w:bookmarkEnd w:id="102"/>
    </w:p>
    <w:p w:rsidR="002F4E41" w:rsidRPr="00A44E49" w:rsidRDefault="002F4E41" w:rsidP="00053D3F">
      <w:r w:rsidRPr="00A44E49">
        <w:t>‘CAMBA’ means the Agreement between the Government of Australia and the Government of the People's Republic of China for the Protection of Migratory Birds and their Environment done at Canberra on 20 October 1986.</w:t>
      </w:r>
      <w:r w:rsidRPr="00A44E49">
        <w:rPr>
          <w:rStyle w:val="EndnoteReference"/>
        </w:rPr>
        <w:endnoteReference w:id="171"/>
      </w:r>
    </w:p>
    <w:p w:rsidR="002F4E41" w:rsidRPr="00A44E49" w:rsidRDefault="002F4E41" w:rsidP="00053D3F">
      <w:pPr>
        <w:pStyle w:val="Heading4"/>
      </w:pPr>
      <w:r w:rsidRPr="00A44E49">
        <w:t>Preamble</w:t>
      </w:r>
    </w:p>
    <w:p w:rsidR="002F4E41" w:rsidRPr="00A44E49" w:rsidRDefault="002F4E41" w:rsidP="00053D3F">
      <w:r w:rsidRPr="00A44E49">
        <w:t xml:space="preserve">The Government of Australia and the Government of the People's Republic </w:t>
      </w:r>
      <w:proofErr w:type="gramStart"/>
      <w:r w:rsidRPr="00A44E49">
        <w:t>Of</w:t>
      </w:r>
      <w:proofErr w:type="gramEnd"/>
      <w:r w:rsidRPr="00A44E49">
        <w:t xml:space="preserve"> China (hereinafter referred to as the Contracting Parties):</w:t>
      </w:r>
    </w:p>
    <w:p w:rsidR="002F4E41" w:rsidRPr="00A44E49" w:rsidRDefault="002F4E41" w:rsidP="00053D3F">
      <w:r w:rsidRPr="00A44E49">
        <w:rPr>
          <w:i/>
        </w:rPr>
        <w:t>Considering</w:t>
      </w:r>
      <w:r w:rsidRPr="00A44E49">
        <w:t xml:space="preserve"> that birds constitute an important element in the natural environment and are also important natural resources of great value in carrying on scientific, cultural, artistic, recreational and economic activities;</w:t>
      </w:r>
    </w:p>
    <w:p w:rsidR="002F4E41" w:rsidRPr="00A44E49" w:rsidRDefault="002F4E41" w:rsidP="00053D3F">
      <w:r w:rsidRPr="00A44E49">
        <w:rPr>
          <w:i/>
        </w:rPr>
        <w:t>Recognising</w:t>
      </w:r>
      <w:r w:rsidRPr="00A44E49">
        <w:t xml:space="preserve"> the existence of special international concern for the protection of migratory birds;</w:t>
      </w:r>
    </w:p>
    <w:p w:rsidR="002F4E41" w:rsidRPr="00A44E49" w:rsidRDefault="002F4E41" w:rsidP="00053D3F">
      <w:r w:rsidRPr="00A44E49">
        <w:rPr>
          <w:i/>
        </w:rPr>
        <w:t>Noting</w:t>
      </w:r>
      <w:r w:rsidRPr="00A44E49">
        <w:t xml:space="preserve"> the existence of bilateral and multilateral agreements for the protection of migratory birds;</w:t>
      </w:r>
    </w:p>
    <w:p w:rsidR="002F4E41" w:rsidRPr="00A44E49" w:rsidRDefault="002F4E41" w:rsidP="00053D3F">
      <w:r w:rsidRPr="00A44E49">
        <w:rPr>
          <w:i/>
        </w:rPr>
        <w:t>Considering</w:t>
      </w:r>
      <w:r w:rsidRPr="00A44E49">
        <w:t xml:space="preserve"> that many species of birds that are known to be migratory occur in Australia and in the People's Republic of China;</w:t>
      </w:r>
    </w:p>
    <w:p w:rsidR="002F4E41" w:rsidRPr="00A44E49" w:rsidRDefault="002F4E41" w:rsidP="00053D3F">
      <w:r w:rsidRPr="00A44E49">
        <w:rPr>
          <w:i/>
        </w:rPr>
        <w:t>Desiring</w:t>
      </w:r>
      <w:r w:rsidRPr="00A44E49">
        <w:t xml:space="preserve"> to co-operate in the protection of migratory birds and their environment;</w:t>
      </w:r>
    </w:p>
    <w:p w:rsidR="002F4E41" w:rsidRPr="00A44E49" w:rsidRDefault="002F4E41" w:rsidP="00053D3F">
      <w:r w:rsidRPr="00A44E49">
        <w:t>Have reached the following agreement as a result of friendly discussions:</w:t>
      </w:r>
    </w:p>
    <w:p w:rsidR="002F4E41" w:rsidRPr="00A44E49" w:rsidRDefault="002F4E41" w:rsidP="00053D3F">
      <w:pPr>
        <w:pStyle w:val="Heading4"/>
      </w:pPr>
      <w:r w:rsidRPr="00A44E49">
        <w:t>Article 3</w:t>
      </w:r>
    </w:p>
    <w:p w:rsidR="002F4E41" w:rsidRPr="00A44E49" w:rsidRDefault="002F4E41" w:rsidP="00053D3F">
      <w:pPr>
        <w:spacing w:before="120"/>
      </w:pPr>
      <w:r w:rsidRPr="00A44E49">
        <w:t>…</w:t>
      </w:r>
    </w:p>
    <w:p w:rsidR="002F4E41" w:rsidRPr="00A44E49" w:rsidRDefault="002F4E41" w:rsidP="00053D3F">
      <w:pPr>
        <w:pStyle w:val="ListNumber"/>
        <w:numPr>
          <w:ilvl w:val="0"/>
          <w:numId w:val="0"/>
        </w:numPr>
      </w:pPr>
      <w:r w:rsidRPr="00A44E49">
        <w:t>3. Each Contracting Party shall encourage the conservation of migratory birds, especially those species in danger of extinction.</w:t>
      </w:r>
    </w:p>
    <w:p w:rsidR="002F4E41" w:rsidRPr="00A44E49" w:rsidRDefault="002F4E41" w:rsidP="00053D3F">
      <w:pPr>
        <w:pStyle w:val="Heading4"/>
      </w:pPr>
      <w:r w:rsidRPr="00A44E49">
        <w:t>Article 4</w:t>
      </w:r>
    </w:p>
    <w:p w:rsidR="002F4E41" w:rsidRPr="00A44E49" w:rsidRDefault="002F4E41" w:rsidP="00053D3F">
      <w:r w:rsidRPr="00A44E49">
        <w:t xml:space="preserve">Each Contracting Party shall endeavour, in accordance with its laws and regulations in force, to: </w:t>
      </w:r>
    </w:p>
    <w:p w:rsidR="002F4E41" w:rsidRPr="00A44E49" w:rsidRDefault="002F4E41" w:rsidP="00053D3F">
      <w:r w:rsidRPr="00A44E49">
        <w:t xml:space="preserve">(a) </w:t>
      </w:r>
      <w:proofErr w:type="gramStart"/>
      <w:r w:rsidRPr="00A44E49">
        <w:t>establish</w:t>
      </w:r>
      <w:proofErr w:type="gramEnd"/>
      <w:r w:rsidRPr="00A44E49">
        <w:t xml:space="preserve"> sanctuaries and other facilities for the management and protection of migratory birds and also of their environment; and </w:t>
      </w:r>
    </w:p>
    <w:p w:rsidR="002F4E41" w:rsidRPr="00A44E49" w:rsidRDefault="002F4E41" w:rsidP="00053D3F">
      <w:r w:rsidRPr="00A44E49">
        <w:t xml:space="preserve">(b) </w:t>
      </w:r>
      <w:proofErr w:type="gramStart"/>
      <w:r w:rsidRPr="00A44E49">
        <w:t>take</w:t>
      </w:r>
      <w:proofErr w:type="gramEnd"/>
      <w:r w:rsidRPr="00A44E49">
        <w:t xml:space="preserve"> appropriate measures to preserve and enhance the environment of migratory birds. </w:t>
      </w:r>
      <w:r w:rsidR="00272E65">
        <w:t xml:space="preserve"> </w:t>
      </w:r>
      <w:r w:rsidRPr="00A44E49">
        <w:t xml:space="preserve">In particular, each Contracting Party shall: </w:t>
      </w:r>
    </w:p>
    <w:p w:rsidR="002F4E41" w:rsidRPr="00A44E49" w:rsidRDefault="002F4E41" w:rsidP="00053D3F">
      <w:pPr>
        <w:ind w:firstLine="720"/>
      </w:pPr>
      <w:r w:rsidRPr="00A44E49">
        <w:t>(</w:t>
      </w:r>
      <w:proofErr w:type="spellStart"/>
      <w:r w:rsidRPr="00A44E49">
        <w:t>i</w:t>
      </w:r>
      <w:proofErr w:type="spellEnd"/>
      <w:r w:rsidRPr="00A44E49">
        <w:t xml:space="preserve">) </w:t>
      </w:r>
      <w:proofErr w:type="gramStart"/>
      <w:r w:rsidRPr="00A44E49">
        <w:t>seek</w:t>
      </w:r>
      <w:proofErr w:type="gramEnd"/>
      <w:r w:rsidRPr="00A44E49">
        <w:t xml:space="preserve"> means to prevent damage to migratory birds and their environment, and </w:t>
      </w:r>
    </w:p>
    <w:p w:rsidR="002F4E41" w:rsidRPr="00A44E49" w:rsidRDefault="002F4E41" w:rsidP="00053D3F">
      <w:pPr>
        <w:ind w:left="720"/>
      </w:pPr>
      <w:r w:rsidRPr="00A44E49">
        <w:t xml:space="preserve">(ii) </w:t>
      </w:r>
      <w:proofErr w:type="gramStart"/>
      <w:r w:rsidRPr="00A44E49">
        <w:t>endeavour</w:t>
      </w:r>
      <w:proofErr w:type="gramEnd"/>
      <w:r w:rsidRPr="00A44E49">
        <w:t xml:space="preserve"> to take such measures as may be necessary to restrict or prevent the importation and introduction of animals and plants which are hazardous to the preservation of migratory birds and their environment.</w:t>
      </w:r>
    </w:p>
    <w:p w:rsidR="002F4E41" w:rsidRPr="00A44E49" w:rsidRDefault="002F4E41" w:rsidP="00053D3F"/>
    <w:p w:rsidR="002F4E41" w:rsidRPr="00A44E49" w:rsidRDefault="002F4E41" w:rsidP="00053D3F">
      <w:pPr>
        <w:pStyle w:val="Heading3"/>
      </w:pPr>
      <w:bookmarkStart w:id="103" w:name="_Toc328503794"/>
      <w:bookmarkStart w:id="104" w:name="_Toc339368208"/>
      <w:r w:rsidRPr="00A44E49">
        <w:lastRenderedPageBreak/>
        <w:t>Extracts from JAMBA</w:t>
      </w:r>
      <w:bookmarkEnd w:id="103"/>
      <w:bookmarkEnd w:id="104"/>
    </w:p>
    <w:p w:rsidR="002F4E41" w:rsidRPr="00A44E49" w:rsidRDefault="002F4E41" w:rsidP="00053D3F">
      <w:r w:rsidRPr="00A44E49">
        <w:t>‘JAMBA’ means the Agreement between the Government of Australia and the Government of Japan for the Protection of Migratory Birds in Danger of Extinction and their Environment done at Tokyo on 6 February 1974.</w:t>
      </w:r>
      <w:r w:rsidRPr="00A44E49">
        <w:rPr>
          <w:rStyle w:val="EndnoteReference"/>
        </w:rPr>
        <w:endnoteReference w:id="172"/>
      </w:r>
    </w:p>
    <w:p w:rsidR="002F4E41" w:rsidRPr="00A44E49" w:rsidRDefault="002F4E41" w:rsidP="00053D3F">
      <w:pPr>
        <w:pStyle w:val="Heading4"/>
      </w:pPr>
      <w:r w:rsidRPr="00A44E49">
        <w:t>Preamble</w:t>
      </w:r>
    </w:p>
    <w:p w:rsidR="002F4E41" w:rsidRPr="00A44E49" w:rsidRDefault="002F4E41" w:rsidP="00053D3F">
      <w:r w:rsidRPr="00A44E49">
        <w:t>The Government of Australia and the Government of Japan,</w:t>
      </w:r>
    </w:p>
    <w:p w:rsidR="002F4E41" w:rsidRPr="00A44E49" w:rsidRDefault="002F4E41" w:rsidP="00053D3F">
      <w:r w:rsidRPr="00A44E49">
        <w:rPr>
          <w:i/>
        </w:rPr>
        <w:t>Considering</w:t>
      </w:r>
      <w:r w:rsidRPr="00A44E49">
        <w:t xml:space="preserve"> that birds constitute an important element in the natural environment and play an essential role in enriching the natural environment and that this role may be enhanced by proper management thereof,</w:t>
      </w:r>
    </w:p>
    <w:p w:rsidR="002F4E41" w:rsidRPr="00A44E49" w:rsidRDefault="002F4E41" w:rsidP="00053D3F">
      <w:r w:rsidRPr="00A44E49">
        <w:rPr>
          <w:i/>
        </w:rPr>
        <w:t>Recognising</w:t>
      </w:r>
      <w:r w:rsidRPr="00A44E49">
        <w:t xml:space="preserve"> the special international concern, as expressed, for example, at the United Nations Conference on the Human Environment, for the protection of migratory birds and birds in danger of extinction,</w:t>
      </w:r>
    </w:p>
    <w:p w:rsidR="002F4E41" w:rsidRPr="00A44E49" w:rsidRDefault="002F4E41" w:rsidP="00053D3F">
      <w:r w:rsidRPr="00A44E49">
        <w:rPr>
          <w:i/>
        </w:rPr>
        <w:t>Noting</w:t>
      </w:r>
      <w:r w:rsidRPr="00A44E49">
        <w:t xml:space="preserve"> the existence of bilateral and multilateral agreements for the protection of migratory birds and birds in danger of extinction,</w:t>
      </w:r>
    </w:p>
    <w:p w:rsidR="002F4E41" w:rsidRPr="00A44E49" w:rsidRDefault="002F4E41" w:rsidP="00053D3F">
      <w:r w:rsidRPr="00A44E49">
        <w:rPr>
          <w:i/>
        </w:rPr>
        <w:t>Considering</w:t>
      </w:r>
      <w:r w:rsidRPr="00A44E49">
        <w:t xml:space="preserve"> that many species of birds migrate between Australia and Japan and live seasonally in respective countries and that there are certain species of birds which are in danger of extinction and also that co-operation between the two Governments is essential for the conservation of these birds, and</w:t>
      </w:r>
    </w:p>
    <w:p w:rsidR="002F4E41" w:rsidRPr="00A44E49" w:rsidRDefault="002F4E41" w:rsidP="00053D3F">
      <w:r w:rsidRPr="00A44E49">
        <w:rPr>
          <w:i/>
        </w:rPr>
        <w:t>Desiring</w:t>
      </w:r>
      <w:r w:rsidRPr="00A44E49">
        <w:t xml:space="preserve"> to co-operate in taking measures for the management and protection of migratory birds and birds in danger of extinction and also for the management and protection of their environments,</w:t>
      </w:r>
    </w:p>
    <w:p w:rsidR="002F4E41" w:rsidRPr="00A44E49" w:rsidRDefault="002F4E41" w:rsidP="00053D3F">
      <w:r w:rsidRPr="00A44E49">
        <w:t>Have agreed as follows:</w:t>
      </w:r>
    </w:p>
    <w:p w:rsidR="002F4E41" w:rsidRPr="00A44E49" w:rsidRDefault="002F4E41" w:rsidP="00053D3F">
      <w:pPr>
        <w:pStyle w:val="Heading4"/>
      </w:pPr>
      <w:r w:rsidRPr="00A44E49">
        <w:t>Article 3</w:t>
      </w:r>
    </w:p>
    <w:p w:rsidR="002F4E41" w:rsidRPr="00A44E49" w:rsidRDefault="002F4E41" w:rsidP="00053D3F">
      <w:r w:rsidRPr="00A44E49">
        <w:t>1. Each Government shall take special protective measures, as appropriate, for the preservation of species or subspecies of birds which are in danger of extinction. …</w:t>
      </w:r>
    </w:p>
    <w:p w:rsidR="002F4E41" w:rsidRPr="00A44E49" w:rsidRDefault="002F4E41" w:rsidP="00053D3F">
      <w:pPr>
        <w:pStyle w:val="Heading4"/>
      </w:pPr>
      <w:r w:rsidRPr="00A44E49">
        <w:t>Article 4</w:t>
      </w:r>
    </w:p>
    <w:p w:rsidR="002F4E41" w:rsidRPr="00A44E49" w:rsidRDefault="002F4E41" w:rsidP="00053D3F">
      <w:r w:rsidRPr="00A44E49">
        <w:t xml:space="preserve">1. The two Governments shall exchange data and publications regarding research on migratory birds and birds in danger of extinction. </w:t>
      </w:r>
    </w:p>
    <w:p w:rsidR="002F4E41" w:rsidRPr="00A44E49" w:rsidRDefault="002F4E41" w:rsidP="00053D3F">
      <w:r w:rsidRPr="00A44E49">
        <w:t xml:space="preserve">2. Each </w:t>
      </w:r>
      <w:proofErr w:type="gramStart"/>
      <w:r w:rsidRPr="00A44E49">
        <w:t>Governments</w:t>
      </w:r>
      <w:proofErr w:type="gramEnd"/>
      <w:r w:rsidRPr="00A44E49">
        <w:t xml:space="preserve"> shall encourage the formulation of joint research programs on migratory birds and birds in danger of extinction. </w:t>
      </w:r>
    </w:p>
    <w:p w:rsidR="002F4E41" w:rsidRPr="00A44E49" w:rsidRDefault="002F4E41" w:rsidP="00053D3F">
      <w:r w:rsidRPr="00A44E49">
        <w:t>3. Each Government shall encourage the conservation of migratory birds and birds in danger of extinction.</w:t>
      </w:r>
    </w:p>
    <w:p w:rsidR="002F4E41" w:rsidRPr="00A44E49" w:rsidRDefault="002F4E41" w:rsidP="00053D3F">
      <w:pPr>
        <w:pStyle w:val="Heading4"/>
      </w:pPr>
      <w:r w:rsidRPr="00A44E49">
        <w:t>Article 5</w:t>
      </w:r>
    </w:p>
    <w:p w:rsidR="002F4E41" w:rsidRPr="00A44E49" w:rsidRDefault="002F4E41" w:rsidP="00053D3F">
      <w:r w:rsidRPr="00A44E49">
        <w:t>Each Government shall endeavour to establish sanctuaries and other facilities for the management and protection of migratory birds and birds in danger of extinction and also of their environment.</w:t>
      </w:r>
    </w:p>
    <w:p w:rsidR="002F4E41" w:rsidRPr="00A44E49" w:rsidRDefault="002F4E41" w:rsidP="00053D3F">
      <w:pPr>
        <w:pStyle w:val="Heading4"/>
      </w:pPr>
      <w:r w:rsidRPr="00A44E49">
        <w:t>Article 6</w:t>
      </w:r>
    </w:p>
    <w:p w:rsidR="002F4E41" w:rsidRPr="00A44E49" w:rsidRDefault="002F4E41" w:rsidP="00053D3F">
      <w:r w:rsidRPr="00A44E49">
        <w:t xml:space="preserve">Each Government shall endeavour to take appropriate measures to preserve and enhance the environment of birds protected under the provisions of this Agreement. In particular, it shall: </w:t>
      </w:r>
    </w:p>
    <w:p w:rsidR="002F4E41" w:rsidRPr="00A44E49" w:rsidRDefault="002F4E41" w:rsidP="00053D3F">
      <w:r w:rsidRPr="00A44E49">
        <w:lastRenderedPageBreak/>
        <w:t xml:space="preserve">(a) </w:t>
      </w:r>
      <w:proofErr w:type="gramStart"/>
      <w:r w:rsidRPr="00A44E49">
        <w:t>seek</w:t>
      </w:r>
      <w:proofErr w:type="gramEnd"/>
      <w:r w:rsidRPr="00A44E49">
        <w:t xml:space="preserve"> means to prevent damage to such birds and their environment; </w:t>
      </w:r>
    </w:p>
    <w:p w:rsidR="002F4E41" w:rsidRPr="00A44E49" w:rsidRDefault="002F4E41" w:rsidP="00053D3F">
      <w:r w:rsidRPr="00A44E49">
        <w:t xml:space="preserve">(b) endeavour to take such measures as may be necessary to control the importation of animals and plants which it determines to be hazardous to the preservation of such birds; and </w:t>
      </w:r>
    </w:p>
    <w:p w:rsidR="002F4E41" w:rsidRPr="00A44E49" w:rsidRDefault="002F4E41" w:rsidP="00053D3F">
      <w:r w:rsidRPr="00A44E49">
        <w:t xml:space="preserve">(c) </w:t>
      </w:r>
      <w:proofErr w:type="gramStart"/>
      <w:r w:rsidRPr="00A44E49">
        <w:t>endeavour</w:t>
      </w:r>
      <w:proofErr w:type="gramEnd"/>
      <w:r w:rsidRPr="00A44E49">
        <w:t xml:space="preserve"> to take such measures as may be necessary to control the introduction of animals and plants which could disturb the ecosystems of unique island environments.</w:t>
      </w:r>
    </w:p>
    <w:p w:rsidR="002F4E41" w:rsidRPr="00A44E49" w:rsidRDefault="002F4E41" w:rsidP="00053D3F"/>
    <w:p w:rsidR="002F4E41" w:rsidRPr="00A44E49" w:rsidRDefault="002F4E41" w:rsidP="00053D3F">
      <w:pPr>
        <w:pStyle w:val="Heading3"/>
      </w:pPr>
      <w:bookmarkStart w:id="105" w:name="_Toc328503795"/>
      <w:bookmarkStart w:id="106" w:name="_Toc339368209"/>
      <w:r w:rsidRPr="00A44E49">
        <w:t>Extracts from ROKAMBA</w:t>
      </w:r>
      <w:bookmarkEnd w:id="105"/>
      <w:bookmarkEnd w:id="106"/>
    </w:p>
    <w:p w:rsidR="002F4E41" w:rsidRPr="00A44E49" w:rsidRDefault="002F4E41" w:rsidP="00053D3F">
      <w:r w:rsidRPr="00A44E49">
        <w:t>‘ROKAMBA’ refers to the Agreement between the Government of Australia and the Government of the Republic of Korea on the Protection of Migratory Birds done at Canberra on 6 December 2006.</w:t>
      </w:r>
    </w:p>
    <w:p w:rsidR="002F4E41" w:rsidRPr="00A44E49" w:rsidRDefault="002F4E41" w:rsidP="00053D3F">
      <w:pPr>
        <w:pStyle w:val="Heading4"/>
      </w:pPr>
      <w:r w:rsidRPr="00A44E49">
        <w:t>Preamble</w:t>
      </w:r>
    </w:p>
    <w:p w:rsidR="002F4E41" w:rsidRPr="00A44E49" w:rsidRDefault="002F4E41" w:rsidP="00053D3F">
      <w:r w:rsidRPr="00A44E49">
        <w:t>The Government of the Republic of Korea and the Government of Australia (hereinafter referred to as ‘the Parties’),</w:t>
      </w:r>
    </w:p>
    <w:p w:rsidR="002F4E41" w:rsidRPr="00A44E49" w:rsidRDefault="002F4E41" w:rsidP="00053D3F">
      <w:r w:rsidRPr="00A44E49">
        <w:rPr>
          <w:i/>
        </w:rPr>
        <w:t>Considering</w:t>
      </w:r>
      <w:r w:rsidRPr="00A44E49">
        <w:t xml:space="preserve"> that birds not only constitute an important element of the natural environment but also play an essential role in enriching the natural environment and that this role may be enhanced by proper management thereof,</w:t>
      </w:r>
    </w:p>
    <w:p w:rsidR="002F4E41" w:rsidRPr="00A44E49" w:rsidRDefault="002F4E41" w:rsidP="00053D3F">
      <w:r w:rsidRPr="00A44E49">
        <w:rPr>
          <w:i/>
        </w:rPr>
        <w:t>Recognizing</w:t>
      </w:r>
      <w:r w:rsidRPr="00A44E49">
        <w:t xml:space="preserve"> that many species of birds migrate between and seasonally live in both countries and that there is international concern for the protection of migratory birds;</w:t>
      </w:r>
    </w:p>
    <w:p w:rsidR="002F4E41" w:rsidRPr="00A44E49" w:rsidRDefault="002F4E41" w:rsidP="00053D3F">
      <w:r w:rsidRPr="00A44E49">
        <w:rPr>
          <w:i/>
        </w:rPr>
        <w:t>Noting</w:t>
      </w:r>
      <w:r w:rsidRPr="00A44E49">
        <w:t xml:space="preserve"> the existence of bilateral and multilateral agreements for the protection of migratory birds and their habitats, and the cooperative efforts being made to conserve migratory waterbirds in the East Asian-Australasian Flyway,</w:t>
      </w:r>
    </w:p>
    <w:p w:rsidR="002F4E41" w:rsidRPr="00A44E49" w:rsidRDefault="002F4E41" w:rsidP="00053D3F">
      <w:r w:rsidRPr="00A44E49">
        <w:rPr>
          <w:i/>
        </w:rPr>
        <w:t>Convinced</w:t>
      </w:r>
      <w:r w:rsidRPr="00A44E49">
        <w:t xml:space="preserve"> that cooperation between the Parties is essential for the conservation of these birds, and</w:t>
      </w:r>
    </w:p>
    <w:p w:rsidR="002F4E41" w:rsidRPr="00A44E49" w:rsidRDefault="002F4E41" w:rsidP="00053D3F">
      <w:r w:rsidRPr="00A44E49">
        <w:rPr>
          <w:i/>
        </w:rPr>
        <w:t>Desiring</w:t>
      </w:r>
      <w:r w:rsidRPr="00A44E49">
        <w:t xml:space="preserve"> to cooperate in taking measures for the management and protection of migratory birds and their habitat and the prevention of the extinction of certain birds,</w:t>
      </w:r>
    </w:p>
    <w:p w:rsidR="002F4E41" w:rsidRPr="00A44E49" w:rsidRDefault="002F4E41" w:rsidP="00053D3F">
      <w:r w:rsidRPr="00A44E49">
        <w:t>Have agreed as follows:</w:t>
      </w:r>
    </w:p>
    <w:p w:rsidR="002F4E41" w:rsidRPr="00A44E49" w:rsidRDefault="002F4E41" w:rsidP="00053D3F">
      <w:pPr>
        <w:pStyle w:val="Heading4"/>
      </w:pPr>
      <w:r w:rsidRPr="00A44E49">
        <w:t>Article 3</w:t>
      </w:r>
    </w:p>
    <w:p w:rsidR="002F4E41" w:rsidRPr="00A44E49" w:rsidRDefault="002F4E41" w:rsidP="00053D3F">
      <w:bookmarkStart w:id="107" w:name="Heading78"/>
      <w:bookmarkEnd w:id="107"/>
      <w:r w:rsidRPr="00A44E49">
        <w:t xml:space="preserve">1. The Parties shall </w:t>
      </w:r>
      <w:bookmarkStart w:id="108" w:name="OLE_LINK1"/>
      <w:bookmarkEnd w:id="108"/>
      <w:r w:rsidRPr="00A44E49">
        <w:t>encourage the exchange of data and publications regarding research on migratory birds.</w:t>
      </w:r>
    </w:p>
    <w:p w:rsidR="002F4E41" w:rsidRPr="00A44E49" w:rsidRDefault="002F4E41" w:rsidP="00053D3F">
      <w:r w:rsidRPr="00A44E49">
        <w:t>2. Each Party shall encourage the formulation of joint research programs on migratory birds.</w:t>
      </w:r>
    </w:p>
    <w:p w:rsidR="002F4E41" w:rsidRPr="00A44E49" w:rsidRDefault="002F4E41" w:rsidP="00053D3F">
      <w:r w:rsidRPr="00A44E49">
        <w:t>3. Each Party shall encourage the conservation of migratory birds. …</w:t>
      </w:r>
    </w:p>
    <w:p w:rsidR="002F4E41" w:rsidRPr="00A44E49" w:rsidRDefault="002F4E41" w:rsidP="00053D3F">
      <w:pPr>
        <w:pStyle w:val="Heading4"/>
      </w:pPr>
      <w:r w:rsidRPr="00A44E49">
        <w:t>Article 4</w:t>
      </w:r>
    </w:p>
    <w:p w:rsidR="002F4E41" w:rsidRPr="00A44E49" w:rsidRDefault="002F4E41" w:rsidP="00053D3F">
      <w:bookmarkStart w:id="109" w:name="Heading85"/>
      <w:bookmarkEnd w:id="109"/>
      <w:r w:rsidRPr="00A44E49">
        <w:t>Each Party shall endeavour to manage and conserve the habitat of migratory birds through activities such as the designation of conservation areas in its territory.</w:t>
      </w:r>
    </w:p>
    <w:p w:rsidR="002F4E41" w:rsidRPr="00A44E49" w:rsidRDefault="002F4E41" w:rsidP="00053D3F">
      <w:pPr>
        <w:pStyle w:val="Heading4"/>
      </w:pPr>
      <w:r w:rsidRPr="00A44E49">
        <w:t>Article 5</w:t>
      </w:r>
    </w:p>
    <w:p w:rsidR="002F4E41" w:rsidRPr="00A44E49" w:rsidRDefault="002F4E41" w:rsidP="00053D3F">
      <w:bookmarkStart w:id="110" w:name="Heading89"/>
      <w:bookmarkEnd w:id="110"/>
      <w:r w:rsidRPr="00A44E49">
        <w:t>Each Party shall endeavour to take the appropriate measures to conserve and improve the environment of birds protected under Article 1 of this Agreement. In particular, it shall:</w:t>
      </w:r>
    </w:p>
    <w:p w:rsidR="002F4E41" w:rsidRPr="00A44E49" w:rsidRDefault="002F4E41" w:rsidP="00053D3F">
      <w:r w:rsidRPr="00A44E49">
        <w:lastRenderedPageBreak/>
        <w:t xml:space="preserve">(a) </w:t>
      </w:r>
      <w:proofErr w:type="gramStart"/>
      <w:r w:rsidRPr="00A44E49">
        <w:t>seek</w:t>
      </w:r>
      <w:proofErr w:type="gramEnd"/>
      <w:r w:rsidRPr="00A44E49">
        <w:t xml:space="preserve"> means to prevent damage to such birds and their environment;</w:t>
      </w:r>
    </w:p>
    <w:p w:rsidR="002F4E41" w:rsidRPr="00A44E49" w:rsidRDefault="002F4E41" w:rsidP="00053D3F">
      <w:r w:rsidRPr="00A44E49">
        <w:t xml:space="preserve">(b) </w:t>
      </w:r>
      <w:proofErr w:type="gramStart"/>
      <w:r w:rsidRPr="00A44E49">
        <w:t>endeavour</w:t>
      </w:r>
      <w:proofErr w:type="gramEnd"/>
      <w:r w:rsidRPr="00A44E49">
        <w:t xml:space="preserve"> to take measures to control the impact of invasive animals and plants on the conservation of such birds and their environment; and</w:t>
      </w:r>
    </w:p>
    <w:p w:rsidR="002F4E41" w:rsidRPr="00A44E49" w:rsidRDefault="002F4E41" w:rsidP="00053D3F">
      <w:r w:rsidRPr="00A44E49">
        <w:t xml:space="preserve">(c) </w:t>
      </w:r>
      <w:proofErr w:type="gramStart"/>
      <w:r w:rsidRPr="00A44E49">
        <w:t>endeavour</w:t>
      </w:r>
      <w:proofErr w:type="gramEnd"/>
      <w:r w:rsidRPr="00A44E49">
        <w:t xml:space="preserve"> to participate in regional cooperative activities for the conservation of migratory birds in the Asia-Pacific region.</w:t>
      </w:r>
    </w:p>
    <w:p w:rsidR="002F4E41" w:rsidRPr="00A44E49" w:rsidRDefault="002F4E41" w:rsidP="00053D3F">
      <w:pPr>
        <w:pStyle w:val="Heading2"/>
      </w:pPr>
    </w:p>
    <w:p w:rsidR="002F4E41" w:rsidRPr="00A44E49" w:rsidRDefault="002F4E41" w:rsidP="00053D3F"/>
    <w:p w:rsidR="002F4E41" w:rsidRDefault="002F4E41" w:rsidP="00053D3F">
      <w:pPr>
        <w:rPr>
          <w:rFonts w:asciiTheme="majorHAnsi" w:eastAsiaTheme="majorEastAsia" w:hAnsiTheme="majorHAnsi" w:cstheme="majorBidi"/>
          <w:b/>
          <w:bCs/>
          <w:color w:val="365F91" w:themeColor="accent1" w:themeShade="BF"/>
          <w:sz w:val="28"/>
          <w:szCs w:val="28"/>
        </w:rPr>
      </w:pPr>
      <w:r>
        <w:br w:type="page"/>
      </w:r>
    </w:p>
    <w:p w:rsidR="002F4E41" w:rsidRPr="005309FE" w:rsidRDefault="002F4E41" w:rsidP="00053D3F">
      <w:pPr>
        <w:pStyle w:val="Heading1"/>
        <w:spacing w:after="120"/>
        <w:rPr>
          <w:rStyle w:val="Heading1Char"/>
          <w:b/>
        </w:rPr>
      </w:pPr>
      <w:bookmarkStart w:id="111" w:name="_Toc328503782"/>
      <w:bookmarkStart w:id="112" w:name="_Toc339368210"/>
      <w:r w:rsidRPr="005309FE">
        <w:rPr>
          <w:rStyle w:val="Heading1Char"/>
          <w:b/>
        </w:rPr>
        <w:lastRenderedPageBreak/>
        <w:t xml:space="preserve">Attachment E – International obligations for </w:t>
      </w:r>
      <w:proofErr w:type="spellStart"/>
      <w:r w:rsidRPr="005309FE">
        <w:rPr>
          <w:rStyle w:val="Heading1Char"/>
          <w:b/>
        </w:rPr>
        <w:t>Ramsar</w:t>
      </w:r>
      <w:proofErr w:type="spellEnd"/>
      <w:r w:rsidRPr="005309FE">
        <w:rPr>
          <w:rStyle w:val="Heading1Char"/>
          <w:b/>
        </w:rPr>
        <w:t xml:space="preserve"> wetlands</w:t>
      </w:r>
      <w:bookmarkEnd w:id="111"/>
      <w:bookmarkEnd w:id="112"/>
    </w:p>
    <w:p w:rsidR="002F4E41" w:rsidRPr="00A44E49" w:rsidRDefault="002F4E41" w:rsidP="00053D3F">
      <w:pPr>
        <w:pStyle w:val="Heading3"/>
      </w:pPr>
      <w:bookmarkStart w:id="113" w:name="_Toc328503783"/>
      <w:bookmarkStart w:id="114" w:name="_Toc339368211"/>
      <w:r w:rsidRPr="00A44E49">
        <w:t xml:space="preserve">Extracts from the </w:t>
      </w:r>
      <w:proofErr w:type="spellStart"/>
      <w:r w:rsidRPr="00A44E49">
        <w:t>Ramsar</w:t>
      </w:r>
      <w:proofErr w:type="spellEnd"/>
      <w:r w:rsidRPr="00A44E49">
        <w:t xml:space="preserve"> Convention</w:t>
      </w:r>
      <w:bookmarkEnd w:id="113"/>
      <w:bookmarkEnd w:id="114"/>
    </w:p>
    <w:p w:rsidR="002F4E41" w:rsidRPr="00A44E49" w:rsidRDefault="002F4E41" w:rsidP="00053D3F">
      <w:r w:rsidRPr="00A44E49">
        <w:t>‘</w:t>
      </w:r>
      <w:proofErr w:type="spellStart"/>
      <w:r w:rsidRPr="00A44E49">
        <w:t>Ramsar</w:t>
      </w:r>
      <w:proofErr w:type="spellEnd"/>
      <w:r w:rsidRPr="00A44E49">
        <w:t xml:space="preserve"> Convention’ means the Convention on Wetlands of International Importance especially as Waterfowl Habitat done at </w:t>
      </w:r>
      <w:proofErr w:type="spellStart"/>
      <w:r w:rsidRPr="00A44E49">
        <w:t>Ramsar</w:t>
      </w:r>
      <w:proofErr w:type="spellEnd"/>
      <w:r w:rsidRPr="00A44E49">
        <w:t>, Iran, on 2 February 1974.</w:t>
      </w:r>
      <w:r w:rsidRPr="00A44E49">
        <w:rPr>
          <w:rStyle w:val="EndnoteReference"/>
        </w:rPr>
        <w:endnoteReference w:id="173"/>
      </w:r>
      <w:r>
        <w:t xml:space="preserve">  The following are selected extracts of key Articles from the Convention.</w:t>
      </w:r>
    </w:p>
    <w:p w:rsidR="002F4E41" w:rsidRPr="00A44E49" w:rsidRDefault="002F4E41" w:rsidP="00053D3F">
      <w:pPr>
        <w:pStyle w:val="Heading4"/>
      </w:pPr>
      <w:r w:rsidRPr="00A44E49">
        <w:t>Preamble</w:t>
      </w:r>
    </w:p>
    <w:p w:rsidR="002F4E41" w:rsidRPr="00A44E49" w:rsidRDefault="002F4E41" w:rsidP="00053D3F">
      <w:r w:rsidRPr="00A44E49">
        <w:t>The Contracting Parties,</w:t>
      </w:r>
    </w:p>
    <w:p w:rsidR="002F4E41" w:rsidRPr="00A44E49" w:rsidRDefault="002F4E41" w:rsidP="00053D3F">
      <w:r w:rsidRPr="00A44E49">
        <w:rPr>
          <w:i/>
        </w:rPr>
        <w:t>Recognizing</w:t>
      </w:r>
      <w:r w:rsidRPr="00A44E49">
        <w:t xml:space="preserve"> the interdependence of Man and his environment;</w:t>
      </w:r>
    </w:p>
    <w:p w:rsidR="002F4E41" w:rsidRPr="00A44E49" w:rsidRDefault="002F4E41" w:rsidP="00053D3F">
      <w:r w:rsidRPr="00A44E49">
        <w:rPr>
          <w:i/>
        </w:rPr>
        <w:t>Considering</w:t>
      </w:r>
      <w:r w:rsidRPr="00A44E49">
        <w:t xml:space="preserve"> the fundamental ecological functions of wetlands as regulators of water regimes and as habitats supporting a characteristic flora and fauna, especially waterfowl;</w:t>
      </w:r>
    </w:p>
    <w:p w:rsidR="002F4E41" w:rsidRPr="00A44E49" w:rsidRDefault="002F4E41" w:rsidP="00053D3F">
      <w:r w:rsidRPr="00A44E49">
        <w:rPr>
          <w:i/>
        </w:rPr>
        <w:t>Being convinced</w:t>
      </w:r>
      <w:r w:rsidRPr="00A44E49">
        <w:t xml:space="preserve"> that wetlands constitute a resource of great economic, cultural, scientific, and recreational value, the loss of which would be irreparable;</w:t>
      </w:r>
    </w:p>
    <w:p w:rsidR="002F4E41" w:rsidRPr="00A44E49" w:rsidRDefault="002F4E41" w:rsidP="00053D3F">
      <w:r w:rsidRPr="00A44E49">
        <w:rPr>
          <w:i/>
        </w:rPr>
        <w:t>Desiring</w:t>
      </w:r>
      <w:r w:rsidRPr="00A44E49">
        <w:t xml:space="preserve"> to stem the progressive encroachment on and loss of wetlands now and in the future;</w:t>
      </w:r>
    </w:p>
    <w:p w:rsidR="002F4E41" w:rsidRPr="00A44E49" w:rsidRDefault="002F4E41" w:rsidP="00053D3F">
      <w:r w:rsidRPr="00A44E49">
        <w:rPr>
          <w:i/>
        </w:rPr>
        <w:t>Recognizing</w:t>
      </w:r>
      <w:r w:rsidRPr="00A44E49">
        <w:t xml:space="preserve"> that waterfowl in their seasonal migrations may transcend frontiers and so should be regarded as an international resource;</w:t>
      </w:r>
    </w:p>
    <w:p w:rsidR="002F4E41" w:rsidRPr="00A44E49" w:rsidRDefault="002F4E41" w:rsidP="00053D3F">
      <w:r w:rsidRPr="00A44E49">
        <w:rPr>
          <w:i/>
        </w:rPr>
        <w:t>Being confident</w:t>
      </w:r>
      <w:r w:rsidRPr="00A44E49">
        <w:t xml:space="preserve"> that the conservation of wetlands and their flora and fauna can be ensured by combining far-sighted national policies with coordinated international action;</w:t>
      </w:r>
    </w:p>
    <w:p w:rsidR="002F4E41" w:rsidRPr="00A44E49" w:rsidRDefault="002F4E41" w:rsidP="00053D3F">
      <w:r w:rsidRPr="00A44E49">
        <w:t>Have agreed as follows:</w:t>
      </w:r>
    </w:p>
    <w:p w:rsidR="002F4E41" w:rsidRDefault="002F4E41" w:rsidP="00053D3F">
      <w:pPr>
        <w:pStyle w:val="Heading4"/>
        <w:spacing w:before="0" w:after="240"/>
        <w:rPr>
          <w:rFonts w:asciiTheme="minorHAnsi" w:eastAsiaTheme="minorHAnsi" w:hAnsiTheme="minorHAnsi" w:cstheme="minorBidi"/>
          <w:b w:val="0"/>
          <w:bCs w:val="0"/>
          <w:i w:val="0"/>
          <w:iCs w:val="0"/>
          <w:color w:val="auto"/>
        </w:rPr>
      </w:pPr>
      <w:proofErr w:type="gramStart"/>
      <w:r w:rsidRPr="00490AD9">
        <w:t>Article 1</w:t>
      </w:r>
      <w:r w:rsidRPr="00490AD9">
        <w:br/>
      </w:r>
      <w:r w:rsidRPr="009C1081">
        <w:rPr>
          <w:rFonts w:asciiTheme="minorHAnsi" w:eastAsiaTheme="minorHAnsi" w:hAnsiTheme="minorHAnsi" w:cstheme="minorBidi"/>
          <w:b w:val="0"/>
          <w:bCs w:val="0"/>
          <w:i w:val="0"/>
          <w:iCs w:val="0"/>
          <w:color w:val="auto"/>
        </w:rPr>
        <w:t>1.</w:t>
      </w:r>
      <w:proofErr w:type="gramEnd"/>
      <w:r w:rsidRPr="009C1081">
        <w:rPr>
          <w:rFonts w:asciiTheme="minorHAnsi" w:eastAsiaTheme="minorHAnsi" w:hAnsiTheme="minorHAnsi" w:cstheme="minorBidi"/>
          <w:b w:val="0"/>
          <w:bCs w:val="0"/>
          <w:i w:val="0"/>
          <w:iCs w:val="0"/>
          <w:color w:val="auto"/>
        </w:rPr>
        <w:t xml:space="preserve"> For the purpose of this Convention wetlands are areas of marsh, fen, </w:t>
      </w:r>
      <w:proofErr w:type="spellStart"/>
      <w:r w:rsidRPr="009C1081">
        <w:rPr>
          <w:rFonts w:asciiTheme="minorHAnsi" w:eastAsiaTheme="minorHAnsi" w:hAnsiTheme="minorHAnsi" w:cstheme="minorBidi"/>
          <w:b w:val="0"/>
          <w:bCs w:val="0"/>
          <w:i w:val="0"/>
          <w:iCs w:val="0"/>
          <w:color w:val="auto"/>
        </w:rPr>
        <w:t>peatland</w:t>
      </w:r>
      <w:proofErr w:type="spellEnd"/>
      <w:r w:rsidRPr="009C1081">
        <w:rPr>
          <w:rFonts w:asciiTheme="minorHAnsi" w:eastAsiaTheme="minorHAnsi" w:hAnsiTheme="minorHAnsi" w:cstheme="minorBidi"/>
          <w:b w:val="0"/>
          <w:bCs w:val="0"/>
          <w:i w:val="0"/>
          <w:iCs w:val="0"/>
          <w:color w:val="auto"/>
        </w:rPr>
        <w:t xml:space="preserve"> or water, whether natural or artificial, permanent or temporary, with water that is static or flowing, fresh, brackish or salt, including areas of marine water the depth of which at low t</w:t>
      </w:r>
      <w:r>
        <w:rPr>
          <w:rFonts w:asciiTheme="minorHAnsi" w:eastAsiaTheme="minorHAnsi" w:hAnsiTheme="minorHAnsi" w:cstheme="minorBidi"/>
          <w:b w:val="0"/>
          <w:bCs w:val="0"/>
          <w:i w:val="0"/>
          <w:iCs w:val="0"/>
          <w:color w:val="auto"/>
        </w:rPr>
        <w:t>ide does not exceed six metres.</w:t>
      </w:r>
    </w:p>
    <w:p w:rsidR="002F4E41" w:rsidRDefault="002F4E41" w:rsidP="00053D3F">
      <w:pPr>
        <w:pStyle w:val="Heading4"/>
        <w:spacing w:before="0" w:after="240"/>
        <w:rPr>
          <w:rFonts w:asciiTheme="minorHAnsi" w:eastAsiaTheme="minorHAnsi" w:hAnsiTheme="minorHAnsi" w:cstheme="minorBidi"/>
          <w:b w:val="0"/>
          <w:bCs w:val="0"/>
          <w:i w:val="0"/>
          <w:iCs w:val="0"/>
          <w:color w:val="auto"/>
        </w:rPr>
      </w:pPr>
      <w:r w:rsidRPr="009C1081">
        <w:rPr>
          <w:rFonts w:asciiTheme="minorHAnsi" w:eastAsiaTheme="minorHAnsi" w:hAnsiTheme="minorHAnsi" w:cstheme="minorBidi"/>
          <w:b w:val="0"/>
          <w:bCs w:val="0"/>
          <w:i w:val="0"/>
          <w:iCs w:val="0"/>
          <w:color w:val="auto"/>
        </w:rPr>
        <w:t>2. For the purpose of this Convention waterfowl are birds ecologically dependent on wetlands.</w:t>
      </w:r>
    </w:p>
    <w:p w:rsidR="002F4E41" w:rsidRPr="00A44E49" w:rsidRDefault="002F4E41" w:rsidP="00053D3F">
      <w:pPr>
        <w:pStyle w:val="Heading4"/>
      </w:pPr>
      <w:r w:rsidRPr="00A44E49">
        <w:t>Article 2</w:t>
      </w:r>
    </w:p>
    <w:p w:rsidR="002F4E41" w:rsidRPr="00A44E49" w:rsidRDefault="002F4E41" w:rsidP="00053D3F">
      <w:pPr>
        <w:spacing w:after="240"/>
      </w:pPr>
      <w:r w:rsidRPr="00A44E49">
        <w:t>1. Each Contracting Party shall designate suitable wetlands within its territory for inclusion in a List of Wetlands of International Importan</w:t>
      </w:r>
      <w:r w:rsidR="00E90B79">
        <w:t>ce, hereinafter referred to as ‘the List’</w:t>
      </w:r>
      <w:r w:rsidRPr="00A44E49">
        <w:t xml:space="preserve"> which is maintained by the bureau established under Article 8. The boundaries of each wetland shall be precisely described and also delimited on a map and they may incorporate riparian and coastal zones adjacent to the wetlands, and islands or bodies of marine water deeper than six metres at low tide lying within the wetlands, especially where these have importance as waterfowl habitat. </w:t>
      </w:r>
    </w:p>
    <w:p w:rsidR="002F4E41" w:rsidRPr="00A44E49" w:rsidRDefault="002F4E41" w:rsidP="00053D3F">
      <w:r w:rsidRPr="00A44E49">
        <w:t xml:space="preserve">2. Wetlands should be selected for the List on account of their international significance in terms of ecology, botany, zoology, limnology or hydrology. In the first instance wetlands of international importance to waterfowl at any season should be included. </w:t>
      </w:r>
    </w:p>
    <w:p w:rsidR="002F4E41" w:rsidRPr="00A44E49" w:rsidRDefault="002F4E41" w:rsidP="00053D3F">
      <w:pPr>
        <w:spacing w:after="240"/>
      </w:pPr>
      <w:r w:rsidRPr="00A44E49">
        <w:t xml:space="preserve">… </w:t>
      </w:r>
    </w:p>
    <w:p w:rsidR="002F4E41" w:rsidRPr="00A44E49" w:rsidRDefault="002F4E41" w:rsidP="00053D3F">
      <w:pPr>
        <w:spacing w:after="240"/>
      </w:pPr>
      <w:r w:rsidRPr="00A44E49">
        <w:lastRenderedPageBreak/>
        <w:t>5. Any Contracting Party shall have the right to add to the List further wetlands situated within its territory, to extend the boundaries of those wetlands already included by it in the List, or, because of its urgent national interests, to delete or restrict the boundaries of wetlands already included by it in the List and shall, at the earliest possible time, inform the organization or government responsible for the continuing bureau duties specified in Article 8 of any such changes.</w:t>
      </w:r>
    </w:p>
    <w:p w:rsidR="002F4E41" w:rsidRPr="00A44E49" w:rsidRDefault="002F4E41" w:rsidP="00053D3F">
      <w:r w:rsidRPr="00A44E49">
        <w:t>6. Each Contracting Party shall consider its international responsibilities for the conservation, management and wise use of migratory stocks of waterfowl, both when designating entries for the List and when exercising its right to change entries in the List relating to wetlands within its territory.</w:t>
      </w:r>
    </w:p>
    <w:p w:rsidR="002F4E41" w:rsidRPr="00A44E49" w:rsidRDefault="002F4E41" w:rsidP="00053D3F">
      <w:pPr>
        <w:pStyle w:val="Heading4"/>
      </w:pPr>
      <w:r w:rsidRPr="00A44E49">
        <w:t>Article 3</w:t>
      </w:r>
    </w:p>
    <w:p w:rsidR="002F4E41" w:rsidRPr="00A44E49" w:rsidRDefault="002F4E41" w:rsidP="00053D3F">
      <w:r w:rsidRPr="00A44E49">
        <w:t>1. The Contracting Parties shall formulate and implement their planning so as to promote the conservation of the wetlands included in the List, and as far as possible the wise use of wetlands in their territory.</w:t>
      </w:r>
    </w:p>
    <w:p w:rsidR="002F4E41" w:rsidRPr="00A44E49" w:rsidRDefault="002F4E41" w:rsidP="00053D3F">
      <w:r w:rsidRPr="00A44E49">
        <w:t>2. Each Contracting Party shall arrange to be informed at the earliest possible time if the ecological character of any wetland in its territory and included in the List has changed, is changing or is likely to change as the result of technological developments, pollution or other human interference. Information on such changes shall be passed without delay to the organization or government responsible for the continuing bureau duties specified in Article 8.</w:t>
      </w:r>
    </w:p>
    <w:p w:rsidR="002F4E41" w:rsidRPr="00A44E49" w:rsidRDefault="002F4E41" w:rsidP="00053D3F">
      <w:pPr>
        <w:pStyle w:val="Heading4"/>
      </w:pPr>
      <w:r w:rsidRPr="00A44E49">
        <w:t>Article 4</w:t>
      </w:r>
    </w:p>
    <w:p w:rsidR="002F4E41" w:rsidRPr="00A44E49" w:rsidRDefault="002F4E41" w:rsidP="00053D3F">
      <w:pPr>
        <w:spacing w:after="240"/>
      </w:pPr>
      <w:r w:rsidRPr="00A44E49">
        <w:t xml:space="preserve">1. Each Contracting Party shall promote the conservation of wetlands and waterfowl by establishing nature reserves on wetlands, whether they are included in the List or not, and provide adequately for their </w:t>
      </w:r>
      <w:proofErr w:type="spellStart"/>
      <w:r w:rsidRPr="00A44E49">
        <w:t>wardening</w:t>
      </w:r>
      <w:proofErr w:type="spellEnd"/>
      <w:r w:rsidRPr="00A44E49">
        <w:t xml:space="preserve">. </w:t>
      </w:r>
    </w:p>
    <w:p w:rsidR="002F4E41" w:rsidRPr="00A44E49" w:rsidRDefault="002F4E41" w:rsidP="00053D3F">
      <w:pPr>
        <w:spacing w:after="240"/>
      </w:pPr>
      <w:r w:rsidRPr="00A44E49">
        <w:t xml:space="preserve">2. Where a Contracting Party in its urgent national interest, deletes or restricts the boundaries of a wetland included in the List, it should as far as possible compensate for any loss of wetland resources, and in particular it should create additional nature reserves for waterfowl and for the protection, either in the same area or elsewhere, of an adequate portion of the original habitat. </w:t>
      </w:r>
    </w:p>
    <w:p w:rsidR="002F4E41" w:rsidRPr="00A44E49" w:rsidRDefault="002F4E41" w:rsidP="00053D3F">
      <w:pPr>
        <w:spacing w:after="240"/>
      </w:pPr>
      <w:r w:rsidRPr="00A44E49">
        <w:t>3. The Contracting Parties shall encourage research and the exchange of data and publications regarding wetlands and their flora and fauna.</w:t>
      </w:r>
    </w:p>
    <w:p w:rsidR="002F4E41" w:rsidRPr="00A44E49" w:rsidRDefault="002F4E41" w:rsidP="00053D3F">
      <w:pPr>
        <w:spacing w:after="240"/>
      </w:pPr>
      <w:r w:rsidRPr="00A44E49">
        <w:t xml:space="preserve">4. The Contracting Parties shall endeavour through management to increase waterfowl populations on appropriate wetlands. </w:t>
      </w:r>
    </w:p>
    <w:p w:rsidR="002F4E41" w:rsidRPr="00A44E49" w:rsidRDefault="002F4E41" w:rsidP="00053D3F">
      <w:pPr>
        <w:spacing w:after="240"/>
      </w:pPr>
      <w:r w:rsidRPr="00A44E49">
        <w:t xml:space="preserve">5. The Contracting Parties shall promote the training of personnel competent in the fields of wetland research, management and </w:t>
      </w:r>
      <w:proofErr w:type="spellStart"/>
      <w:r w:rsidRPr="00A44E49">
        <w:t>wardening</w:t>
      </w:r>
      <w:proofErr w:type="spellEnd"/>
      <w:r w:rsidRPr="00A44E49">
        <w:t xml:space="preserve">. </w:t>
      </w:r>
      <w:r w:rsidRPr="00A44E49">
        <w:br w:type="page"/>
      </w:r>
    </w:p>
    <w:p w:rsidR="002F4E41" w:rsidRPr="00A44E49" w:rsidRDefault="002F4E41" w:rsidP="00053D3F">
      <w:pPr>
        <w:pStyle w:val="Heading1"/>
      </w:pPr>
      <w:bookmarkStart w:id="115" w:name="_Toc328503784"/>
      <w:bookmarkStart w:id="116" w:name="_Toc339368212"/>
      <w:r>
        <w:lastRenderedPageBreak/>
        <w:t>Attachment F</w:t>
      </w:r>
      <w:r w:rsidRPr="00A44E49">
        <w:t xml:space="preserve"> – </w:t>
      </w:r>
      <w:r w:rsidRPr="00A44E49">
        <w:rPr>
          <w:rStyle w:val="CharAmSchText"/>
        </w:rPr>
        <w:t xml:space="preserve">Australian </w:t>
      </w:r>
      <w:proofErr w:type="spellStart"/>
      <w:r w:rsidRPr="00A44E49">
        <w:rPr>
          <w:rStyle w:val="CharAmSchText"/>
        </w:rPr>
        <w:t>Ramsar</w:t>
      </w:r>
      <w:proofErr w:type="spellEnd"/>
      <w:r w:rsidRPr="00A44E49">
        <w:rPr>
          <w:rStyle w:val="CharAmSchText"/>
        </w:rPr>
        <w:t xml:space="preserve"> management principles</w:t>
      </w:r>
      <w:bookmarkEnd w:id="115"/>
      <w:bookmarkEnd w:id="116"/>
    </w:p>
    <w:p w:rsidR="002F4E41" w:rsidRPr="00A44E49" w:rsidRDefault="002F4E41" w:rsidP="00053D3F">
      <w:pPr>
        <w:pStyle w:val="Schedulereference"/>
        <w:ind w:left="0"/>
        <w:rPr>
          <w:i/>
        </w:rPr>
      </w:pPr>
    </w:p>
    <w:p w:rsidR="002F4E41" w:rsidRPr="00A44E49" w:rsidRDefault="002F4E41" w:rsidP="00053D3F">
      <w:pPr>
        <w:pStyle w:val="Heading3"/>
        <w:rPr>
          <w:rStyle w:val="CharAmSchNo"/>
        </w:rPr>
      </w:pPr>
      <w:bookmarkStart w:id="117" w:name="_Toc328503785"/>
      <w:bookmarkStart w:id="118" w:name="_Toc339368213"/>
      <w:r w:rsidRPr="00A44E49">
        <w:rPr>
          <w:rStyle w:val="CharAmSchNo"/>
        </w:rPr>
        <w:t>Schedule 6 to the EPBC Regulations</w:t>
      </w:r>
      <w:bookmarkEnd w:id="117"/>
      <w:bookmarkEnd w:id="118"/>
    </w:p>
    <w:p w:rsidR="002F4E41" w:rsidRPr="00A44E49" w:rsidRDefault="002F4E41" w:rsidP="00053D3F">
      <w:pPr>
        <w:pStyle w:val="Heading3"/>
      </w:pPr>
      <w:r w:rsidRPr="00A44E49">
        <w:rPr>
          <w:rStyle w:val="CharSchPTNo"/>
          <w:vanish/>
        </w:rPr>
        <w:t xml:space="preserve"> </w:t>
      </w:r>
      <w:r w:rsidRPr="00A44E49">
        <w:rPr>
          <w:rStyle w:val="CharSchPTText"/>
          <w:i/>
          <w:vanish/>
        </w:rPr>
        <w:t xml:space="preserve"> </w:t>
      </w:r>
    </w:p>
    <w:p w:rsidR="002F4E41" w:rsidRPr="00A44E49" w:rsidRDefault="002F4E41" w:rsidP="00053D3F">
      <w:pPr>
        <w:rPr>
          <w:b/>
        </w:rPr>
      </w:pPr>
      <w:r w:rsidRPr="00A44E49">
        <w:rPr>
          <w:b/>
        </w:rPr>
        <w:t>1</w:t>
      </w:r>
      <w:r w:rsidRPr="00A44E49">
        <w:rPr>
          <w:b/>
        </w:rPr>
        <w:tab/>
        <w:t>General principles</w:t>
      </w:r>
    </w:p>
    <w:p w:rsidR="002F4E41" w:rsidRPr="00A44E49" w:rsidRDefault="002F4E41" w:rsidP="00053D3F">
      <w:r w:rsidRPr="00A44E49">
        <w:t>1.01</w:t>
      </w:r>
      <w:r w:rsidRPr="00A44E49">
        <w:tab/>
        <w:t xml:space="preserve">The primary purpose of management of a declared </w:t>
      </w:r>
      <w:proofErr w:type="spellStart"/>
      <w:r w:rsidRPr="00A44E49">
        <w:t>Ramsar</w:t>
      </w:r>
      <w:proofErr w:type="spellEnd"/>
      <w:r w:rsidRPr="00A44E49">
        <w:t xml:space="preserve"> wetland must be, in accordance with the </w:t>
      </w:r>
      <w:proofErr w:type="spellStart"/>
      <w:r w:rsidRPr="00A44E49">
        <w:t>Ramsar</w:t>
      </w:r>
      <w:proofErr w:type="spellEnd"/>
      <w:r w:rsidRPr="00A44E49">
        <w:t xml:space="preserve"> </w:t>
      </w:r>
      <w:r w:rsidRPr="00A44E49">
        <w:rPr>
          <w:snapToGrid w:val="0"/>
        </w:rPr>
        <w:t>Convention</w:t>
      </w:r>
      <w:r w:rsidRPr="00A44E49">
        <w:t>:</w:t>
      </w:r>
    </w:p>
    <w:p w:rsidR="002F4E41" w:rsidRPr="00A44E49" w:rsidRDefault="002F4E41" w:rsidP="00053D3F">
      <w:r w:rsidRPr="00A44E49">
        <w:tab/>
        <w:t>(a)</w:t>
      </w:r>
      <w:r w:rsidRPr="00A44E49">
        <w:tab/>
      </w:r>
      <w:proofErr w:type="gramStart"/>
      <w:r w:rsidRPr="00A44E49">
        <w:t>to</w:t>
      </w:r>
      <w:proofErr w:type="gramEnd"/>
      <w:r w:rsidRPr="00A44E49">
        <w:t xml:space="preserve"> describe and maintain the ecological character of the wetland; and</w:t>
      </w:r>
    </w:p>
    <w:p w:rsidR="002F4E41" w:rsidRPr="00A44E49" w:rsidRDefault="002F4E41" w:rsidP="00053D3F">
      <w:r w:rsidRPr="00A44E49">
        <w:tab/>
        <w:t>(b)</w:t>
      </w:r>
      <w:r w:rsidRPr="00A44E49">
        <w:tab/>
      </w:r>
      <w:proofErr w:type="gramStart"/>
      <w:r w:rsidRPr="00A44E49">
        <w:t>to</w:t>
      </w:r>
      <w:proofErr w:type="gramEnd"/>
      <w:r w:rsidRPr="00A44E49">
        <w:t xml:space="preserve"> formulate and implement planning that promotes:</w:t>
      </w:r>
    </w:p>
    <w:p w:rsidR="002F4E41" w:rsidRPr="00A44E49" w:rsidRDefault="002F4E41" w:rsidP="00053D3F">
      <w:r w:rsidRPr="00A44E49">
        <w:tab/>
      </w:r>
      <w:r w:rsidRPr="00A44E49">
        <w:tab/>
        <w:t>(</w:t>
      </w:r>
      <w:proofErr w:type="spellStart"/>
      <w:r w:rsidRPr="00A44E49">
        <w:t>i</w:t>
      </w:r>
      <w:proofErr w:type="spellEnd"/>
      <w:r w:rsidRPr="00A44E49">
        <w:t>)</w:t>
      </w:r>
      <w:r w:rsidRPr="00A44E49">
        <w:tab/>
      </w:r>
      <w:proofErr w:type="gramStart"/>
      <w:r w:rsidRPr="00A44E49">
        <w:t>conservation</w:t>
      </w:r>
      <w:proofErr w:type="gramEnd"/>
      <w:r w:rsidRPr="00A44E49">
        <w:t xml:space="preserve"> of the wetland; and</w:t>
      </w:r>
    </w:p>
    <w:p w:rsidR="002F4E41" w:rsidRPr="00A44E49" w:rsidRDefault="002F4E41" w:rsidP="00053D3F">
      <w:pPr>
        <w:ind w:left="2160" w:hanging="720"/>
      </w:pPr>
      <w:r w:rsidRPr="00A44E49">
        <w:t>(ii)</w:t>
      </w:r>
      <w:r w:rsidRPr="00A44E49">
        <w:tab/>
      </w:r>
      <w:proofErr w:type="gramStart"/>
      <w:r w:rsidRPr="00A44E49">
        <w:t>wise</w:t>
      </w:r>
      <w:proofErr w:type="gramEnd"/>
      <w:r w:rsidRPr="00A44E49">
        <w:t xml:space="preserve"> and sustainable use of the wetland for the benefit of humanity in a way that is compatible with maintenance of the natural properties of the ecosystem.</w:t>
      </w:r>
    </w:p>
    <w:p w:rsidR="002F4E41" w:rsidRPr="00A44E49" w:rsidRDefault="002F4E41" w:rsidP="00053D3F">
      <w:r w:rsidRPr="00A44E49">
        <w:t>1.02</w:t>
      </w:r>
      <w:r w:rsidRPr="00A44E49">
        <w:tab/>
        <w:t>Wetland management should provide for public consultation on decisions and actions that may have a significant impact on the wetland.</w:t>
      </w:r>
    </w:p>
    <w:p w:rsidR="002F4E41" w:rsidRPr="00A44E49" w:rsidRDefault="002F4E41" w:rsidP="00053D3F">
      <w:r w:rsidRPr="00A44E49">
        <w:t>1.03</w:t>
      </w:r>
      <w:r w:rsidRPr="00A44E49">
        <w:tab/>
        <w:t>Wetland management should make special provision, if appropriate, for the involvement of people who:</w:t>
      </w:r>
    </w:p>
    <w:p w:rsidR="002F4E41" w:rsidRPr="00A44E49" w:rsidRDefault="002F4E41" w:rsidP="00053D3F">
      <w:r w:rsidRPr="00A44E49">
        <w:tab/>
        <w:t>(a)</w:t>
      </w:r>
      <w:r w:rsidRPr="00A44E49">
        <w:tab/>
      </w:r>
      <w:proofErr w:type="gramStart"/>
      <w:r w:rsidRPr="00A44E49">
        <w:t>have</w:t>
      </w:r>
      <w:proofErr w:type="gramEnd"/>
      <w:r w:rsidRPr="00A44E49">
        <w:t xml:space="preserve"> a particular interest in the wetland; and</w:t>
      </w:r>
    </w:p>
    <w:p w:rsidR="002F4E41" w:rsidRPr="00A44E49" w:rsidRDefault="002F4E41" w:rsidP="00053D3F">
      <w:r w:rsidRPr="00A44E49">
        <w:tab/>
        <w:t>(b)</w:t>
      </w:r>
      <w:r w:rsidRPr="00A44E49">
        <w:tab/>
      </w:r>
      <w:proofErr w:type="gramStart"/>
      <w:r w:rsidRPr="00A44E49">
        <w:t>may</w:t>
      </w:r>
      <w:proofErr w:type="gramEnd"/>
      <w:r w:rsidRPr="00A44E49">
        <w:t xml:space="preserve"> be affected by the management of the wetland.</w:t>
      </w:r>
    </w:p>
    <w:p w:rsidR="002F4E41" w:rsidRPr="00A44E49" w:rsidRDefault="002F4E41" w:rsidP="00053D3F">
      <w:r w:rsidRPr="00A44E49">
        <w:t>1.04</w:t>
      </w:r>
      <w:r w:rsidRPr="00A44E49">
        <w:tab/>
        <w:t>Wetland management should provide for continuing community and technical input.</w:t>
      </w:r>
    </w:p>
    <w:p w:rsidR="002F4E41" w:rsidRPr="00A44E49" w:rsidRDefault="002F4E41" w:rsidP="00053D3F">
      <w:pPr>
        <w:rPr>
          <w:b/>
        </w:rPr>
      </w:pPr>
      <w:r w:rsidRPr="00A44E49">
        <w:rPr>
          <w:b/>
        </w:rPr>
        <w:t>2</w:t>
      </w:r>
      <w:r w:rsidRPr="00A44E49">
        <w:rPr>
          <w:b/>
        </w:rPr>
        <w:tab/>
        <w:t>Management planning</w:t>
      </w:r>
    </w:p>
    <w:p w:rsidR="002F4E41" w:rsidRPr="00A44E49" w:rsidRDefault="002F4E41" w:rsidP="00053D3F">
      <w:r w:rsidRPr="00A44E49">
        <w:t>2.01</w:t>
      </w:r>
      <w:r w:rsidRPr="00A44E49">
        <w:tab/>
        <w:t xml:space="preserve">At least 1 management plan should be prepared for each declared </w:t>
      </w:r>
      <w:proofErr w:type="spellStart"/>
      <w:r w:rsidRPr="00A44E49">
        <w:t>Ramsar</w:t>
      </w:r>
      <w:proofErr w:type="spellEnd"/>
      <w:r w:rsidRPr="00A44E49">
        <w:t xml:space="preserve"> wetland.</w:t>
      </w:r>
    </w:p>
    <w:p w:rsidR="002F4E41" w:rsidRPr="00A44E49" w:rsidRDefault="002F4E41" w:rsidP="00053D3F">
      <w:r w:rsidRPr="00A44E49">
        <w:t>2.02</w:t>
      </w:r>
      <w:r w:rsidRPr="00A44E49">
        <w:tab/>
        <w:t xml:space="preserve">A management plan for a declared </w:t>
      </w:r>
      <w:proofErr w:type="spellStart"/>
      <w:r w:rsidRPr="00A44E49">
        <w:t>Ramsar</w:t>
      </w:r>
      <w:proofErr w:type="spellEnd"/>
      <w:r w:rsidRPr="00A44E49">
        <w:t xml:space="preserve"> wetland should:</w:t>
      </w:r>
    </w:p>
    <w:p w:rsidR="002F4E41" w:rsidRPr="00A44E49" w:rsidRDefault="002F4E41" w:rsidP="00053D3F">
      <w:r w:rsidRPr="00A44E49">
        <w:tab/>
        <w:t>(a)</w:t>
      </w:r>
      <w:r w:rsidRPr="00A44E49">
        <w:tab/>
      </w:r>
      <w:proofErr w:type="gramStart"/>
      <w:r w:rsidRPr="00A44E49">
        <w:t>describe</w:t>
      </w:r>
      <w:proofErr w:type="gramEnd"/>
      <w:r w:rsidRPr="00A44E49">
        <w:t xml:space="preserve"> its ecological character; and</w:t>
      </w:r>
    </w:p>
    <w:p w:rsidR="002F4E41" w:rsidRPr="00A44E49" w:rsidRDefault="002F4E41" w:rsidP="00053D3F">
      <w:pPr>
        <w:ind w:left="1440" w:hanging="720"/>
      </w:pPr>
      <w:r w:rsidRPr="00A44E49">
        <w:t>(b)</w:t>
      </w:r>
      <w:r w:rsidRPr="00A44E49">
        <w:tab/>
      </w:r>
      <w:proofErr w:type="gramStart"/>
      <w:r w:rsidRPr="00A44E49">
        <w:t>state</w:t>
      </w:r>
      <w:proofErr w:type="gramEnd"/>
      <w:r w:rsidRPr="00A44E49">
        <w:t xml:space="preserve"> the characteristics that make it a wetland of international importance under the </w:t>
      </w:r>
      <w:proofErr w:type="spellStart"/>
      <w:r w:rsidRPr="00A44E49">
        <w:t>Ramsar</w:t>
      </w:r>
      <w:proofErr w:type="spellEnd"/>
      <w:r w:rsidRPr="00A44E49">
        <w:t xml:space="preserve"> Convention; and</w:t>
      </w:r>
    </w:p>
    <w:p w:rsidR="002F4E41" w:rsidRPr="00A44E49" w:rsidRDefault="002F4E41" w:rsidP="00053D3F">
      <w:r w:rsidRPr="00A44E49">
        <w:tab/>
        <w:t>(c)</w:t>
      </w:r>
      <w:r w:rsidRPr="00A44E49">
        <w:tab/>
      </w:r>
      <w:proofErr w:type="gramStart"/>
      <w:r w:rsidRPr="00A44E49">
        <w:t>state</w:t>
      </w:r>
      <w:proofErr w:type="gramEnd"/>
      <w:r w:rsidRPr="00A44E49">
        <w:t xml:space="preserve"> what must be done to maintain its ecological character; and</w:t>
      </w:r>
    </w:p>
    <w:p w:rsidR="002F4E41" w:rsidRPr="00A44E49" w:rsidRDefault="002F4E41" w:rsidP="00053D3F">
      <w:pPr>
        <w:ind w:left="1440" w:hanging="720"/>
      </w:pPr>
      <w:r w:rsidRPr="00A44E49">
        <w:t>(d)</w:t>
      </w:r>
      <w:r w:rsidRPr="00A44E49">
        <w:tab/>
      </w:r>
      <w:proofErr w:type="gramStart"/>
      <w:r w:rsidRPr="00A44E49">
        <w:t>promote</w:t>
      </w:r>
      <w:proofErr w:type="gramEnd"/>
      <w:r w:rsidRPr="00A44E49">
        <w:t xml:space="preserve"> its conservation and sustainable use for the benefit of humanity in a way that is compatible with maintenance of the natural properties of the ecosystem; and</w:t>
      </w:r>
    </w:p>
    <w:p w:rsidR="002F4E41" w:rsidRPr="00A44E49" w:rsidRDefault="002F4E41" w:rsidP="00053D3F">
      <w:pPr>
        <w:ind w:left="1440" w:hanging="720"/>
      </w:pPr>
      <w:r w:rsidRPr="00A44E49">
        <w:t>(e)</w:t>
      </w:r>
      <w:r w:rsidRPr="00A44E49">
        <w:tab/>
      </w:r>
      <w:proofErr w:type="gramStart"/>
      <w:r w:rsidRPr="00A44E49">
        <w:t>state</w:t>
      </w:r>
      <w:proofErr w:type="gramEnd"/>
      <w:r w:rsidRPr="00A44E49">
        <w:t xml:space="preserve"> mechanisms to deal with the impacts of actions that individually or cumulatively endanger its ecological character, including risks arising from:</w:t>
      </w:r>
    </w:p>
    <w:p w:rsidR="002F4E41" w:rsidRPr="00A44E49" w:rsidRDefault="002F4E41" w:rsidP="00053D3F">
      <w:r w:rsidRPr="00A44E49">
        <w:lastRenderedPageBreak/>
        <w:tab/>
      </w:r>
      <w:r w:rsidRPr="00A44E49">
        <w:tab/>
        <w:t>(</w:t>
      </w:r>
      <w:proofErr w:type="spellStart"/>
      <w:r w:rsidRPr="00A44E49">
        <w:t>i</w:t>
      </w:r>
      <w:proofErr w:type="spellEnd"/>
      <w:r w:rsidRPr="00A44E49">
        <w:t>)</w:t>
      </w:r>
      <w:r w:rsidRPr="00A44E49">
        <w:tab/>
      </w:r>
      <w:proofErr w:type="gramStart"/>
      <w:r w:rsidRPr="00A44E49">
        <w:t>physical</w:t>
      </w:r>
      <w:proofErr w:type="gramEnd"/>
      <w:r w:rsidRPr="00A44E49">
        <w:t xml:space="preserve"> loss, modification or encroachment on the wetland; or</w:t>
      </w:r>
    </w:p>
    <w:p w:rsidR="002F4E41" w:rsidRPr="00A44E49" w:rsidRDefault="002F4E41" w:rsidP="00053D3F">
      <w:r w:rsidRPr="00A44E49">
        <w:tab/>
      </w:r>
      <w:r w:rsidRPr="00A44E49">
        <w:tab/>
        <w:t>(ii)</w:t>
      </w:r>
      <w:r w:rsidRPr="00A44E49">
        <w:tab/>
      </w:r>
      <w:proofErr w:type="gramStart"/>
      <w:r w:rsidRPr="00A44E49">
        <w:t>loss</w:t>
      </w:r>
      <w:proofErr w:type="gramEnd"/>
      <w:r w:rsidRPr="00A44E49">
        <w:t xml:space="preserve"> of biodiversity; or</w:t>
      </w:r>
    </w:p>
    <w:p w:rsidR="002F4E41" w:rsidRPr="00A44E49" w:rsidRDefault="002F4E41" w:rsidP="00053D3F">
      <w:r w:rsidRPr="00A44E49">
        <w:tab/>
      </w:r>
      <w:r w:rsidRPr="00A44E49">
        <w:tab/>
        <w:t>(iii)</w:t>
      </w:r>
      <w:r w:rsidRPr="00A44E49">
        <w:tab/>
      </w:r>
      <w:proofErr w:type="gramStart"/>
      <w:r w:rsidRPr="00A44E49">
        <w:t>pollution</w:t>
      </w:r>
      <w:proofErr w:type="gramEnd"/>
      <w:r w:rsidRPr="00A44E49">
        <w:t xml:space="preserve"> and nutrient input; or</w:t>
      </w:r>
    </w:p>
    <w:p w:rsidR="002F4E41" w:rsidRPr="00A44E49" w:rsidRDefault="002F4E41" w:rsidP="00053D3F">
      <w:r w:rsidRPr="00A44E49">
        <w:tab/>
      </w:r>
      <w:r w:rsidRPr="00A44E49">
        <w:tab/>
        <w:t>(iv)</w:t>
      </w:r>
      <w:r w:rsidRPr="00A44E49">
        <w:tab/>
      </w:r>
      <w:proofErr w:type="gramStart"/>
      <w:r w:rsidRPr="00A44E49">
        <w:t>changes</w:t>
      </w:r>
      <w:proofErr w:type="gramEnd"/>
      <w:r w:rsidRPr="00A44E49">
        <w:t xml:space="preserve"> to water regimes; or</w:t>
      </w:r>
    </w:p>
    <w:p w:rsidR="002F4E41" w:rsidRPr="00A44E49" w:rsidRDefault="002F4E41" w:rsidP="00053D3F">
      <w:r w:rsidRPr="00A44E49">
        <w:tab/>
      </w:r>
      <w:r w:rsidRPr="00A44E49">
        <w:tab/>
        <w:t>(v)</w:t>
      </w:r>
      <w:r w:rsidRPr="00A44E49">
        <w:tab/>
      </w:r>
      <w:proofErr w:type="gramStart"/>
      <w:r w:rsidRPr="00A44E49">
        <w:t>utilisation</w:t>
      </w:r>
      <w:proofErr w:type="gramEnd"/>
      <w:r w:rsidRPr="00A44E49">
        <w:t xml:space="preserve"> of resources; or</w:t>
      </w:r>
    </w:p>
    <w:p w:rsidR="002F4E41" w:rsidRPr="00A44E49" w:rsidRDefault="002F4E41" w:rsidP="00053D3F">
      <w:r w:rsidRPr="00A44E49">
        <w:tab/>
      </w:r>
      <w:r w:rsidRPr="00A44E49">
        <w:tab/>
        <w:t>(vi)</w:t>
      </w:r>
      <w:r w:rsidRPr="00A44E49">
        <w:tab/>
      </w:r>
      <w:proofErr w:type="gramStart"/>
      <w:r w:rsidRPr="00A44E49">
        <w:t>introduction</w:t>
      </w:r>
      <w:proofErr w:type="gramEnd"/>
      <w:r w:rsidRPr="00A44E49">
        <w:t xml:space="preserve"> of invasive species; and</w:t>
      </w:r>
    </w:p>
    <w:p w:rsidR="002F4E41" w:rsidRPr="00A44E49" w:rsidRDefault="002F4E41" w:rsidP="00053D3F">
      <w:r w:rsidRPr="00A44E49">
        <w:tab/>
        <w:t>(f)</w:t>
      </w:r>
      <w:r w:rsidRPr="00A44E49">
        <w:tab/>
      </w:r>
      <w:proofErr w:type="gramStart"/>
      <w:r w:rsidRPr="00A44E49">
        <w:t>state</w:t>
      </w:r>
      <w:proofErr w:type="gramEnd"/>
      <w:r w:rsidRPr="00A44E49">
        <w:t xml:space="preserve"> whether the wetland needs restoration or rehabilitation; and</w:t>
      </w:r>
    </w:p>
    <w:p w:rsidR="002F4E41" w:rsidRPr="00A44E49" w:rsidRDefault="002F4E41" w:rsidP="00053D3F">
      <w:pPr>
        <w:ind w:left="1440" w:hanging="720"/>
      </w:pPr>
      <w:r w:rsidRPr="00A44E49">
        <w:t>(g)</w:t>
      </w:r>
      <w:r w:rsidRPr="00A44E49">
        <w:tab/>
      </w:r>
      <w:proofErr w:type="gramStart"/>
      <w:r w:rsidRPr="00A44E49">
        <w:t>if</w:t>
      </w:r>
      <w:proofErr w:type="gramEnd"/>
      <w:r w:rsidRPr="00A44E49">
        <w:t xml:space="preserve"> restoration or rehabilitation is needed — explain how the plan provides for restoration or rehabilitation; and</w:t>
      </w:r>
    </w:p>
    <w:p w:rsidR="002F4E41" w:rsidRPr="00A44E49" w:rsidRDefault="002F4E41" w:rsidP="00053D3F">
      <w:pPr>
        <w:ind w:left="1440" w:hanging="720"/>
      </w:pPr>
      <w:r w:rsidRPr="00A44E49">
        <w:t>(h)</w:t>
      </w:r>
      <w:r w:rsidRPr="00A44E49">
        <w:tab/>
      </w:r>
      <w:proofErr w:type="gramStart"/>
      <w:r w:rsidRPr="00A44E49">
        <w:t>provide</w:t>
      </w:r>
      <w:proofErr w:type="gramEnd"/>
      <w:r w:rsidRPr="00A44E49">
        <w:t xml:space="preserve"> for continuing monitoring and reporting on the state of its ecological character; and</w:t>
      </w:r>
    </w:p>
    <w:p w:rsidR="002F4E41" w:rsidRPr="00A44E49" w:rsidRDefault="002F4E41" w:rsidP="00053D3F">
      <w:r w:rsidRPr="00A44E49">
        <w:tab/>
        <w:t>(</w:t>
      </w:r>
      <w:proofErr w:type="spellStart"/>
      <w:r w:rsidRPr="00A44E49">
        <w:t>i</w:t>
      </w:r>
      <w:proofErr w:type="spellEnd"/>
      <w:r w:rsidRPr="00A44E49">
        <w:t>)</w:t>
      </w:r>
      <w:r w:rsidRPr="00A44E49">
        <w:tab/>
      </w:r>
      <w:proofErr w:type="gramStart"/>
      <w:r w:rsidRPr="00A44E49">
        <w:t>be</w:t>
      </w:r>
      <w:proofErr w:type="gramEnd"/>
      <w:r w:rsidRPr="00A44E49">
        <w:t xml:space="preserve"> based on an integrated catchment management approach; and</w:t>
      </w:r>
    </w:p>
    <w:p w:rsidR="002F4E41" w:rsidRPr="00A44E49" w:rsidRDefault="002F4E41" w:rsidP="00053D3F">
      <w:r w:rsidRPr="00A44E49">
        <w:tab/>
        <w:t>(j)</w:t>
      </w:r>
      <w:r w:rsidRPr="00A44E49">
        <w:tab/>
      </w:r>
      <w:proofErr w:type="gramStart"/>
      <w:r w:rsidRPr="00A44E49">
        <w:t>include</w:t>
      </w:r>
      <w:proofErr w:type="gramEnd"/>
      <w:r w:rsidRPr="00A44E49">
        <w:t xml:space="preserve"> adequate processes for public consultation on the elements of the plan; and</w:t>
      </w:r>
    </w:p>
    <w:p w:rsidR="002F4E41" w:rsidRPr="00A44E49" w:rsidRDefault="002F4E41" w:rsidP="00053D3F">
      <w:r w:rsidRPr="00A44E49">
        <w:tab/>
        <w:t>(k)</w:t>
      </w:r>
      <w:r w:rsidRPr="00A44E49">
        <w:tab/>
      </w:r>
      <w:proofErr w:type="gramStart"/>
      <w:r w:rsidRPr="00A44E49">
        <w:t>be</w:t>
      </w:r>
      <w:proofErr w:type="gramEnd"/>
      <w:r w:rsidRPr="00A44E49">
        <w:t xml:space="preserve"> reviewed at intervals of not more than 7 years.</w:t>
      </w:r>
    </w:p>
    <w:p w:rsidR="002F4E41" w:rsidRPr="00A44E49" w:rsidRDefault="002F4E41" w:rsidP="00053D3F">
      <w:pPr>
        <w:rPr>
          <w:b/>
        </w:rPr>
      </w:pPr>
      <w:r w:rsidRPr="00A44E49">
        <w:rPr>
          <w:b/>
        </w:rPr>
        <w:t>3</w:t>
      </w:r>
      <w:r w:rsidRPr="00A44E49">
        <w:rPr>
          <w:b/>
        </w:rPr>
        <w:tab/>
        <w:t>Environmental impact assessment and approval</w:t>
      </w:r>
    </w:p>
    <w:p w:rsidR="002F4E41" w:rsidRPr="00A44E49" w:rsidRDefault="002F4E41" w:rsidP="00053D3F">
      <w:r w:rsidRPr="00A44E49">
        <w:t>3.01</w:t>
      </w:r>
      <w:r w:rsidRPr="00A44E49">
        <w:tab/>
        <w:t xml:space="preserve">This principle applies to the assessment of an action that is likely to have a significant impact on the ecological character of a </w:t>
      </w:r>
      <w:proofErr w:type="spellStart"/>
      <w:r w:rsidRPr="00A44E49">
        <w:t>Ramsar</w:t>
      </w:r>
      <w:proofErr w:type="spellEnd"/>
      <w:r w:rsidRPr="00A44E49">
        <w:t xml:space="preserve"> wetland (whether the action is to occur inside the wetland or not).</w:t>
      </w:r>
    </w:p>
    <w:p w:rsidR="002F4E41" w:rsidRPr="00A44E49" w:rsidRDefault="002F4E41" w:rsidP="00053D3F">
      <w:r w:rsidRPr="00A44E49">
        <w:t>3.02</w:t>
      </w:r>
      <w:r w:rsidRPr="00A44E49">
        <w:tab/>
        <w:t>Before the action is taken, the likely environmental impact of the action on the wetland’s ecological character should be assessed under a statutory environmental impact assessment and approval process.</w:t>
      </w:r>
    </w:p>
    <w:p w:rsidR="002F4E41" w:rsidRPr="00A44E49" w:rsidRDefault="002F4E41" w:rsidP="00053D3F">
      <w:r w:rsidRPr="00A44E49">
        <w:t>3.03</w:t>
      </w:r>
      <w:r w:rsidRPr="00A44E49">
        <w:tab/>
        <w:t>The assessment process should:</w:t>
      </w:r>
    </w:p>
    <w:p w:rsidR="002F4E41" w:rsidRPr="00A44E49" w:rsidRDefault="002F4E41" w:rsidP="00053D3F">
      <w:pPr>
        <w:ind w:left="1440" w:hanging="720"/>
      </w:pPr>
      <w:r w:rsidRPr="00A44E49">
        <w:t>(a)</w:t>
      </w:r>
      <w:r w:rsidRPr="00A44E49">
        <w:tab/>
      </w:r>
      <w:proofErr w:type="gramStart"/>
      <w:r w:rsidRPr="00A44E49">
        <w:t>identify</w:t>
      </w:r>
      <w:proofErr w:type="gramEnd"/>
      <w:r w:rsidRPr="00A44E49">
        <w:t xml:space="preserve"> any part of the ecological character of the wetland that is likely to be affected by the action; and</w:t>
      </w:r>
    </w:p>
    <w:p w:rsidR="002F4E41" w:rsidRPr="00A44E49" w:rsidRDefault="002F4E41" w:rsidP="00053D3F">
      <w:r w:rsidRPr="00A44E49">
        <w:tab/>
        <w:t>(b)</w:t>
      </w:r>
      <w:r w:rsidRPr="00A44E49">
        <w:tab/>
      </w:r>
      <w:proofErr w:type="gramStart"/>
      <w:r w:rsidRPr="00A44E49">
        <w:t>examine</w:t>
      </w:r>
      <w:proofErr w:type="gramEnd"/>
      <w:r w:rsidRPr="00A44E49">
        <w:t xml:space="preserve"> how the ecological character of the wetland might be affected; and</w:t>
      </w:r>
    </w:p>
    <w:p w:rsidR="002F4E41" w:rsidRPr="00A44E49" w:rsidRDefault="002F4E41" w:rsidP="00053D3F">
      <w:r w:rsidRPr="00A44E49">
        <w:tab/>
        <w:t>(c)</w:t>
      </w:r>
      <w:r w:rsidRPr="00A44E49">
        <w:tab/>
      </w:r>
      <w:proofErr w:type="gramStart"/>
      <w:r w:rsidRPr="00A44E49">
        <w:t>provide</w:t>
      </w:r>
      <w:proofErr w:type="gramEnd"/>
      <w:r w:rsidRPr="00A44E49">
        <w:t xml:space="preserve"> adequate opportunity for public consultation.</w:t>
      </w:r>
    </w:p>
    <w:p w:rsidR="002F4E41" w:rsidRPr="00A44E49" w:rsidRDefault="002F4E41" w:rsidP="00053D3F">
      <w:r w:rsidRPr="00A44E49">
        <w:t>3.04</w:t>
      </w:r>
      <w:r w:rsidRPr="00A44E49">
        <w:tab/>
        <w:t>An action should not be approved if it would be inconsistent with:</w:t>
      </w:r>
    </w:p>
    <w:p w:rsidR="002F4E41" w:rsidRPr="00A44E49" w:rsidRDefault="002F4E41" w:rsidP="00053D3F">
      <w:r w:rsidRPr="00A44E49">
        <w:tab/>
        <w:t>(a)</w:t>
      </w:r>
      <w:r w:rsidRPr="00A44E49">
        <w:tab/>
      </w:r>
      <w:proofErr w:type="gramStart"/>
      <w:r w:rsidRPr="00A44E49">
        <w:t>maintaining</w:t>
      </w:r>
      <w:proofErr w:type="gramEnd"/>
      <w:r w:rsidRPr="00A44E49">
        <w:t xml:space="preserve"> the ecological character of the wetland; or</w:t>
      </w:r>
    </w:p>
    <w:p w:rsidR="002F4E41" w:rsidRPr="00A44E49" w:rsidRDefault="002F4E41" w:rsidP="00053D3F">
      <w:r w:rsidRPr="00A44E49">
        <w:tab/>
        <w:t>(b)</w:t>
      </w:r>
      <w:r w:rsidRPr="00A44E49">
        <w:tab/>
      </w:r>
      <w:proofErr w:type="gramStart"/>
      <w:r w:rsidRPr="00A44E49">
        <w:t>providing</w:t>
      </w:r>
      <w:proofErr w:type="gramEnd"/>
      <w:r w:rsidRPr="00A44E49">
        <w:t xml:space="preserve"> for the conservation and sustainable use of the wetland.</w:t>
      </w:r>
    </w:p>
    <w:p w:rsidR="002F4E41" w:rsidRPr="00A44E49" w:rsidRDefault="002F4E41" w:rsidP="00053D3F">
      <w:r w:rsidRPr="00A44E49">
        <w:t>3.05</w:t>
      </w:r>
      <w:r w:rsidRPr="00A44E49">
        <w:tab/>
        <w:t>Approval of the action should be subject to conditions, if necessary, to ensure that the ecological character of the wetland is maintained.</w:t>
      </w:r>
    </w:p>
    <w:p w:rsidR="002F4E41" w:rsidRPr="00A44E49" w:rsidRDefault="002F4E41" w:rsidP="00053D3F">
      <w:r w:rsidRPr="00A44E49">
        <w:lastRenderedPageBreak/>
        <w:t>3.06</w:t>
      </w:r>
      <w:r w:rsidRPr="00A44E49">
        <w:tab/>
        <w:t>The action should be monitored by the authority responsible for giving the approval (or another appropriate authority) and, if necessary, enforcement action should be taken to ensure compliance with the conditions.</w:t>
      </w:r>
    </w:p>
    <w:p w:rsidR="002F4E41" w:rsidRPr="00A44E49" w:rsidRDefault="002F4E41" w:rsidP="00053D3F">
      <w:pPr>
        <w:rPr>
          <w:rFonts w:ascii="Times New Roman" w:hAnsi="Times New Roman" w:cs="Times New Roman"/>
          <w:b/>
          <w:sz w:val="24"/>
          <w:szCs w:val="24"/>
        </w:rPr>
      </w:pPr>
      <w:r w:rsidRPr="00A44E49">
        <w:rPr>
          <w:rFonts w:ascii="Times New Roman" w:hAnsi="Times New Roman" w:cs="Times New Roman"/>
          <w:b/>
          <w:sz w:val="24"/>
          <w:szCs w:val="24"/>
        </w:rPr>
        <w:br w:type="page"/>
      </w:r>
    </w:p>
    <w:p w:rsidR="002F4E41" w:rsidRPr="00995C62" w:rsidRDefault="002F4E41" w:rsidP="00053D3F">
      <w:pPr>
        <w:pStyle w:val="Heading1"/>
        <w:rPr>
          <w:rStyle w:val="Heading1Char"/>
          <w:b/>
        </w:rPr>
      </w:pPr>
      <w:bookmarkStart w:id="119" w:name="_Toc328503780"/>
      <w:bookmarkStart w:id="120" w:name="_Toc339368214"/>
      <w:r w:rsidRPr="00995C62">
        <w:rPr>
          <w:rStyle w:val="Heading1Char"/>
          <w:b/>
        </w:rPr>
        <w:lastRenderedPageBreak/>
        <w:t>Attachment G – National Heritage management principles</w:t>
      </w:r>
      <w:bookmarkEnd w:id="119"/>
      <w:bookmarkEnd w:id="120"/>
    </w:p>
    <w:p w:rsidR="002F4E41" w:rsidRPr="00A44E49" w:rsidRDefault="002F4E41" w:rsidP="00053D3F">
      <w:pPr>
        <w:pStyle w:val="Heading3"/>
      </w:pPr>
      <w:bookmarkStart w:id="121" w:name="_Toc328503781"/>
      <w:bookmarkStart w:id="122" w:name="_Toc339368215"/>
      <w:r w:rsidRPr="00A44E49">
        <w:t>Schedule 5B to the EPBC Regulations</w:t>
      </w:r>
      <w:bookmarkEnd w:id="121"/>
      <w:bookmarkEnd w:id="122"/>
      <w:r w:rsidRPr="00A44E49">
        <w:t xml:space="preserve"> </w:t>
      </w:r>
    </w:p>
    <w:p w:rsidR="002F4E41" w:rsidRPr="00A44E49" w:rsidRDefault="002F4E41" w:rsidP="00053D3F">
      <w:pPr>
        <w:pStyle w:val="Schedulereference"/>
        <w:rPr>
          <w:b/>
          <w:i/>
        </w:rPr>
      </w:pPr>
    </w:p>
    <w:p w:rsidR="002F4E41" w:rsidRPr="00A44E49" w:rsidRDefault="002F4E41" w:rsidP="00053D3F">
      <w:r w:rsidRPr="00A44E49">
        <w:t>1</w:t>
      </w:r>
      <w:r w:rsidRPr="00A44E49">
        <w:tab/>
        <w:t>The objective in managing National Heritage places is to identify, protect, conserve, present and transmit, to all generations, their National Heritage values.</w:t>
      </w:r>
    </w:p>
    <w:p w:rsidR="002F4E41" w:rsidRPr="00A44E49" w:rsidRDefault="002F4E41" w:rsidP="00053D3F">
      <w:r w:rsidRPr="00A44E49">
        <w:t>2</w:t>
      </w:r>
      <w:r w:rsidRPr="00A44E49">
        <w:tab/>
        <w:t>The management of National Heritage places should use the best available knowledge, skills and standards for those places, and include ongoing technical and community input to decisions and actions that may have a significant impact on their National Heritage values.</w:t>
      </w:r>
    </w:p>
    <w:p w:rsidR="002F4E41" w:rsidRPr="00A44E49" w:rsidRDefault="002F4E41" w:rsidP="00053D3F">
      <w:r w:rsidRPr="00A44E49">
        <w:t>3</w:t>
      </w:r>
      <w:r w:rsidRPr="00A44E49">
        <w:tab/>
        <w:t>The management of National Heritage places should respect all heritage values of the place and seek to integrate, where appropriate, any Commonwealth, State, Territory and local government responsibilities for those places.</w:t>
      </w:r>
    </w:p>
    <w:p w:rsidR="002F4E41" w:rsidRPr="00A44E49" w:rsidRDefault="002F4E41" w:rsidP="00053D3F">
      <w:r w:rsidRPr="00A44E49">
        <w:t>4</w:t>
      </w:r>
      <w:r w:rsidRPr="00A44E49">
        <w:tab/>
        <w:t>The management of National Heritage places should ensure that their use and presentation is consistent with the conservation of their National Heritage values.</w:t>
      </w:r>
    </w:p>
    <w:p w:rsidR="002F4E41" w:rsidRPr="00A44E49" w:rsidRDefault="002F4E41" w:rsidP="00053D3F">
      <w:r w:rsidRPr="00A44E49">
        <w:t>5</w:t>
      </w:r>
      <w:r w:rsidRPr="00A44E49">
        <w:tab/>
        <w:t xml:space="preserve">The management of National Heritage places should make timely and appropriate provision for community involvement, especially by people who: </w:t>
      </w:r>
    </w:p>
    <w:p w:rsidR="002F4E41" w:rsidRPr="00A44E49" w:rsidRDefault="002F4E41" w:rsidP="00053D3F">
      <w:r w:rsidRPr="00A44E49">
        <w:tab/>
        <w:t>(a)</w:t>
      </w:r>
      <w:r w:rsidRPr="00A44E49">
        <w:tab/>
      </w:r>
      <w:proofErr w:type="gramStart"/>
      <w:r w:rsidRPr="00A44E49">
        <w:t>have</w:t>
      </w:r>
      <w:proofErr w:type="gramEnd"/>
      <w:r w:rsidRPr="00A44E49">
        <w:t xml:space="preserve"> a particular interest in, or association with, the place; and </w:t>
      </w:r>
    </w:p>
    <w:p w:rsidR="002F4E41" w:rsidRPr="00A44E49" w:rsidRDefault="002F4E41" w:rsidP="00053D3F">
      <w:r w:rsidRPr="00A44E49">
        <w:tab/>
        <w:t>(b)</w:t>
      </w:r>
      <w:r w:rsidRPr="00A44E49">
        <w:tab/>
      </w:r>
      <w:proofErr w:type="gramStart"/>
      <w:r w:rsidRPr="00A44E49">
        <w:t>may</w:t>
      </w:r>
      <w:proofErr w:type="gramEnd"/>
      <w:r w:rsidRPr="00A44E49">
        <w:t xml:space="preserve"> be affected by the management of the place.</w:t>
      </w:r>
    </w:p>
    <w:p w:rsidR="002F4E41" w:rsidRPr="00A44E49" w:rsidRDefault="002F4E41" w:rsidP="00053D3F">
      <w:r w:rsidRPr="00A44E49">
        <w:t>6</w:t>
      </w:r>
      <w:r w:rsidRPr="00A44E49">
        <w:tab/>
        <w:t>Indigenous people are the primary source of information on the value of their heritage and the active participation of Indigenous peoples in identification, assessment and management is integral to the effective protection of indigenous heritage values.</w:t>
      </w:r>
    </w:p>
    <w:p w:rsidR="002F4E41" w:rsidRPr="00A44E49" w:rsidRDefault="002F4E41" w:rsidP="00053D3F">
      <w:r w:rsidRPr="00A44E49">
        <w:t>7</w:t>
      </w:r>
      <w:r w:rsidRPr="00A44E49">
        <w:tab/>
        <w:t>The management of National Heritage places should provide for regular monitoring, review and reporting on the conservation of National Heritage values.</w:t>
      </w:r>
    </w:p>
    <w:p w:rsidR="002F4E41" w:rsidRDefault="002F4E41" w:rsidP="00053D3F">
      <w:pPr>
        <w:rPr>
          <w:rFonts w:asciiTheme="majorHAnsi" w:eastAsiaTheme="majorEastAsia" w:hAnsiTheme="majorHAnsi" w:cstheme="majorBidi"/>
          <w:b/>
          <w:bCs/>
          <w:color w:val="365F91" w:themeColor="accent1" w:themeShade="BF"/>
          <w:sz w:val="28"/>
          <w:szCs w:val="28"/>
        </w:rPr>
      </w:pPr>
      <w:r>
        <w:br w:type="page"/>
      </w:r>
    </w:p>
    <w:p w:rsidR="002F4E41" w:rsidRPr="005309FE" w:rsidRDefault="002F4E41" w:rsidP="00053D3F">
      <w:pPr>
        <w:pStyle w:val="Heading1"/>
      </w:pPr>
      <w:bookmarkStart w:id="123" w:name="_Toc328503778"/>
      <w:bookmarkStart w:id="124" w:name="_Toc339368216"/>
      <w:r w:rsidRPr="00995C62">
        <w:rPr>
          <w:rStyle w:val="Heading1Char"/>
          <w:b/>
        </w:rPr>
        <w:lastRenderedPageBreak/>
        <w:t xml:space="preserve">Attachment H – Accreditation of management plans for World </w:t>
      </w:r>
      <w:r w:rsidRPr="005309FE">
        <w:rPr>
          <w:rStyle w:val="Heading1Char"/>
          <w:b/>
        </w:rPr>
        <w:t>Heritage</w:t>
      </w:r>
      <w:r w:rsidRPr="005309FE">
        <w:rPr>
          <w:b w:val="0"/>
        </w:rPr>
        <w:t xml:space="preserve"> </w:t>
      </w:r>
      <w:r w:rsidRPr="005309FE">
        <w:t>properties and National Heritage places</w:t>
      </w:r>
      <w:bookmarkEnd w:id="123"/>
      <w:bookmarkEnd w:id="124"/>
    </w:p>
    <w:p w:rsidR="002F4E41" w:rsidRPr="00A44E49" w:rsidRDefault="002F4E41" w:rsidP="00053D3F">
      <w:pPr>
        <w:pStyle w:val="Heading3"/>
      </w:pPr>
      <w:bookmarkStart w:id="125" w:name="_Toc328503779"/>
      <w:bookmarkStart w:id="126" w:name="_Toc339368217"/>
      <w:r w:rsidRPr="00A44E49">
        <w:t>Extract from Part 2B of the EPBC Regulations</w:t>
      </w:r>
      <w:bookmarkEnd w:id="125"/>
      <w:bookmarkEnd w:id="126"/>
      <w:r w:rsidRPr="00A44E49">
        <w:t xml:space="preserve"> </w:t>
      </w:r>
    </w:p>
    <w:p w:rsidR="002F4E41" w:rsidRPr="00A44E49" w:rsidRDefault="002F4E41" w:rsidP="00053D3F"/>
    <w:p w:rsidR="002F4E41" w:rsidRPr="00A44E49" w:rsidRDefault="002F4E41" w:rsidP="00053D3F">
      <w:pPr>
        <w:rPr>
          <w:b/>
        </w:rPr>
      </w:pPr>
      <w:r w:rsidRPr="00A44E49">
        <w:rPr>
          <w:b/>
        </w:rPr>
        <w:t>Criteria for a management plan</w:t>
      </w:r>
    </w:p>
    <w:p w:rsidR="002F4E41" w:rsidRPr="00A44E49" w:rsidRDefault="002F4E41" w:rsidP="00053D3F">
      <w:r w:rsidRPr="00A44E49">
        <w:t>...</w:t>
      </w:r>
    </w:p>
    <w:p w:rsidR="002F4E41" w:rsidRPr="00A44E49" w:rsidRDefault="002F4E41" w:rsidP="00053D3F">
      <w:r w:rsidRPr="00A44E49">
        <w:t>(3)</w:t>
      </w:r>
      <w:r w:rsidRPr="00A44E49">
        <w:tab/>
        <w:t>Development of the management plan must have included consultation with:</w:t>
      </w:r>
    </w:p>
    <w:p w:rsidR="002F4E41" w:rsidRPr="00A44E49" w:rsidRDefault="002F4E41" w:rsidP="00053D3F">
      <w:r w:rsidRPr="00A44E49">
        <w:tab/>
        <w:t>(a)</w:t>
      </w:r>
      <w:r w:rsidRPr="00A44E49">
        <w:tab/>
      </w:r>
      <w:proofErr w:type="gramStart"/>
      <w:r w:rsidRPr="00A44E49">
        <w:t>the</w:t>
      </w:r>
      <w:proofErr w:type="gramEnd"/>
      <w:r w:rsidRPr="00A44E49">
        <w:t xml:space="preserve"> Australian community generally; and</w:t>
      </w:r>
    </w:p>
    <w:p w:rsidR="002F4E41" w:rsidRPr="00A44E49" w:rsidRDefault="002F4E41" w:rsidP="00053D3F">
      <w:pPr>
        <w:ind w:left="1440" w:hanging="720"/>
      </w:pPr>
      <w:r w:rsidRPr="00A44E49">
        <w:t>(b)</w:t>
      </w:r>
      <w:r w:rsidRPr="00A44E49">
        <w:tab/>
      </w:r>
      <w:proofErr w:type="gramStart"/>
      <w:r w:rsidRPr="00A44E49">
        <w:t>any</w:t>
      </w:r>
      <w:proofErr w:type="gramEnd"/>
      <w:r w:rsidRPr="00A44E49">
        <w:t xml:space="preserve"> particular groups having a special interest in the property or place, or likely to be especially affected by a management plan for the property or place.</w:t>
      </w:r>
    </w:p>
    <w:p w:rsidR="002F4E41" w:rsidRPr="00A44E49" w:rsidRDefault="002F4E41" w:rsidP="00053D3F">
      <w:r w:rsidRPr="00A44E49">
        <w:t>(4)</w:t>
      </w:r>
      <w:r w:rsidRPr="00A44E49">
        <w:tab/>
        <w:t xml:space="preserve">The public consultation mentioned in </w:t>
      </w:r>
      <w:proofErr w:type="spellStart"/>
      <w:r w:rsidRPr="00A44E49">
        <w:t>subregulation</w:t>
      </w:r>
      <w:proofErr w:type="spellEnd"/>
      <w:r w:rsidRPr="00A44E49">
        <w:t xml:space="preserve"> (3) must have included the release of a draft management plan for public comment and the allowing of at least 20 business days for the receipt of comment by the State or Territory organisation that is responsible for developing the plan.</w:t>
      </w:r>
    </w:p>
    <w:p w:rsidR="002F4E41" w:rsidRPr="00A44E49" w:rsidRDefault="002F4E41" w:rsidP="00053D3F">
      <w:pPr>
        <w:ind w:left="720"/>
        <w:rPr>
          <w:sz w:val="18"/>
          <w:szCs w:val="18"/>
        </w:rPr>
      </w:pPr>
      <w:r w:rsidRPr="00A44E49">
        <w:rPr>
          <w:sz w:val="18"/>
          <w:szCs w:val="18"/>
        </w:rPr>
        <w:t>Note   Subsections 46 (2), 51 (2) and 51A (2) of the Act also set out requirements about accreditation of management plans.</w:t>
      </w:r>
    </w:p>
    <w:p w:rsidR="002F4E41" w:rsidRPr="00A44E49" w:rsidRDefault="002F4E41" w:rsidP="00053D3F">
      <w:pPr>
        <w:rPr>
          <w:b/>
        </w:rPr>
      </w:pPr>
      <w:r w:rsidRPr="00A44E49">
        <w:rPr>
          <w:b/>
        </w:rPr>
        <w:t>Content of the management plan</w:t>
      </w:r>
    </w:p>
    <w:p w:rsidR="002F4E41" w:rsidRPr="00A44E49" w:rsidRDefault="002F4E41" w:rsidP="00053D3F">
      <w:r w:rsidRPr="00A44E49">
        <w:t>(5)</w:t>
      </w:r>
      <w:r w:rsidRPr="00A44E49">
        <w:tab/>
        <w:t>A management plan for a declared or proposed World Heritage property or a National Heritage place:</w:t>
      </w:r>
    </w:p>
    <w:p w:rsidR="002F4E41" w:rsidRPr="00A44E49" w:rsidRDefault="002F4E41" w:rsidP="00053D3F">
      <w:pPr>
        <w:ind w:left="1440" w:hanging="720"/>
      </w:pPr>
      <w:r w:rsidRPr="00A44E49">
        <w:t>(a)</w:t>
      </w:r>
      <w:r w:rsidRPr="00A44E49">
        <w:tab/>
      </w:r>
      <w:proofErr w:type="gramStart"/>
      <w:r w:rsidRPr="00A44E49">
        <w:t>must</w:t>
      </w:r>
      <w:proofErr w:type="gramEnd"/>
      <w:r w:rsidRPr="00A44E49">
        <w:t xml:space="preserve"> outline the process of public consultation that was undertaken in the development of the plan; and</w:t>
      </w:r>
    </w:p>
    <w:p w:rsidR="002F4E41" w:rsidRPr="00A44E49" w:rsidRDefault="002F4E41" w:rsidP="00053D3F">
      <w:r w:rsidRPr="00A44E49">
        <w:tab/>
        <w:t>(b)</w:t>
      </w:r>
      <w:r w:rsidRPr="00A44E49">
        <w:tab/>
      </w:r>
      <w:proofErr w:type="gramStart"/>
      <w:r w:rsidRPr="00A44E49">
        <w:t>must</w:t>
      </w:r>
      <w:proofErr w:type="gramEnd"/>
      <w:r w:rsidRPr="00A44E49">
        <w:t xml:space="preserve"> state the law under which the plan is in force; and</w:t>
      </w:r>
    </w:p>
    <w:p w:rsidR="002F4E41" w:rsidRPr="00A44E49" w:rsidRDefault="002F4E41" w:rsidP="00053D3F">
      <w:pPr>
        <w:ind w:left="1440" w:hanging="720"/>
      </w:pPr>
      <w:r w:rsidRPr="00A44E49">
        <w:t>(c)</w:t>
      </w:r>
      <w:r w:rsidRPr="00A44E49">
        <w:tab/>
      </w:r>
      <w:proofErr w:type="gramStart"/>
      <w:r w:rsidRPr="00A44E49">
        <w:t>must</w:t>
      </w:r>
      <w:proofErr w:type="gramEnd"/>
      <w:r w:rsidRPr="00A44E49">
        <w:t xml:space="preserve"> include a description of the property or place, including its boundary and the relevant World Heritage or National Heritage values; and</w:t>
      </w:r>
    </w:p>
    <w:p w:rsidR="002F4E41" w:rsidRPr="00A44E49" w:rsidRDefault="002F4E41" w:rsidP="00053D3F">
      <w:pPr>
        <w:ind w:left="1440" w:hanging="720"/>
      </w:pPr>
      <w:r w:rsidRPr="00A44E49">
        <w:t>(d)</w:t>
      </w:r>
      <w:r w:rsidRPr="00A44E49">
        <w:tab/>
        <w:t>must state what must be done to ensure that the relevant World Heritage or National Heritage values are identified, conserved, protected, presented and transmitted to future generations and, if appropriate, rehabilitated; and</w:t>
      </w:r>
    </w:p>
    <w:p w:rsidR="002F4E41" w:rsidRPr="00A44E49" w:rsidRDefault="002F4E41" w:rsidP="00053D3F">
      <w:pPr>
        <w:ind w:left="1440" w:hanging="720"/>
      </w:pPr>
      <w:r w:rsidRPr="00A44E49">
        <w:t>(e)</w:t>
      </w:r>
      <w:r w:rsidRPr="00A44E49">
        <w:tab/>
      </w:r>
      <w:proofErr w:type="gramStart"/>
      <w:r w:rsidRPr="00A44E49">
        <w:t>must</w:t>
      </w:r>
      <w:proofErr w:type="gramEnd"/>
      <w:r w:rsidRPr="00A44E49">
        <w:t xml:space="preserve"> set out the means by which risk management of the property or place will be addressed, including:</w:t>
      </w:r>
    </w:p>
    <w:p w:rsidR="002F4E41" w:rsidRPr="00A44E49" w:rsidRDefault="002F4E41" w:rsidP="00053D3F">
      <w:pPr>
        <w:ind w:left="2160" w:hanging="720"/>
      </w:pPr>
      <w:r w:rsidRPr="00A44E49">
        <w:t>(</w:t>
      </w:r>
      <w:proofErr w:type="spellStart"/>
      <w:r w:rsidRPr="00A44E49">
        <w:t>i</w:t>
      </w:r>
      <w:proofErr w:type="spellEnd"/>
      <w:r w:rsidRPr="00A44E49">
        <w:t>)</w:t>
      </w:r>
      <w:r w:rsidRPr="00A44E49">
        <w:tab/>
      </w:r>
      <w:proofErr w:type="gramStart"/>
      <w:r w:rsidRPr="00A44E49">
        <w:t>identifying</w:t>
      </w:r>
      <w:proofErr w:type="gramEnd"/>
      <w:r w:rsidRPr="00A44E49">
        <w:t xml:space="preserve"> the risks to the relevant World Heritage or National Heritage values; and</w:t>
      </w:r>
    </w:p>
    <w:p w:rsidR="002F4E41" w:rsidRPr="00A44E49" w:rsidRDefault="002F4E41" w:rsidP="00053D3F">
      <w:pPr>
        <w:ind w:left="2160" w:hanging="720"/>
      </w:pPr>
      <w:r w:rsidRPr="00A44E49">
        <w:t>(ii)</w:t>
      </w:r>
      <w:r w:rsidRPr="00A44E49">
        <w:tab/>
        <w:t>providing an analysis of the potential effect of each identified risk on the relevant World Heritage or National Heritage values, including an estimation of the nature, extent and likelihood of the risk; and</w:t>
      </w:r>
    </w:p>
    <w:p w:rsidR="002F4E41" w:rsidRPr="00A44E49" w:rsidRDefault="002F4E41" w:rsidP="00053D3F">
      <w:pPr>
        <w:ind w:left="2160" w:hanging="720"/>
      </w:pPr>
      <w:r w:rsidRPr="00A44E49">
        <w:lastRenderedPageBreak/>
        <w:t>(iii)</w:t>
      </w:r>
      <w:r w:rsidRPr="00A44E49">
        <w:tab/>
      </w:r>
      <w:proofErr w:type="gramStart"/>
      <w:r w:rsidRPr="00A44E49">
        <w:t>setting</w:t>
      </w:r>
      <w:proofErr w:type="gramEnd"/>
      <w:r w:rsidRPr="00A44E49">
        <w:t xml:space="preserve"> out risk management strategies to protect and conserve the relevant World Heritage or National Heritage values; and</w:t>
      </w:r>
    </w:p>
    <w:p w:rsidR="002F4E41" w:rsidRPr="00A44E49" w:rsidRDefault="002F4E41" w:rsidP="00053D3F">
      <w:pPr>
        <w:ind w:left="1440" w:hanging="720"/>
      </w:pPr>
      <w:r w:rsidRPr="00A44E49">
        <w:t>(f)</w:t>
      </w:r>
      <w:r w:rsidRPr="00A44E49">
        <w:tab/>
        <w:t>must provide that adequate assessment of the impacts, on the relevant World Heritage or National Heritage values, of any proposed actions provided for under the plan, or that may arise during the life of the plan, has been, or will be, undertaken by means specified in the plan; and</w:t>
      </w:r>
    </w:p>
    <w:p w:rsidR="002F4E41" w:rsidRPr="00A44E49" w:rsidRDefault="002F4E41" w:rsidP="00053D3F">
      <w:r w:rsidRPr="00A44E49">
        <w:tab/>
        <w:t>(g)</w:t>
      </w:r>
      <w:r w:rsidRPr="00A44E49">
        <w:tab/>
      </w:r>
      <w:proofErr w:type="gramStart"/>
      <w:r w:rsidRPr="00A44E49">
        <w:t>must</w:t>
      </w:r>
      <w:proofErr w:type="gramEnd"/>
      <w:r w:rsidRPr="00A44E49">
        <w:t xml:space="preserve"> set out the means, any legislation other than the plan, and the processes, that:</w:t>
      </w:r>
    </w:p>
    <w:p w:rsidR="002F4E41" w:rsidRPr="00A44E49" w:rsidRDefault="002F4E41" w:rsidP="00053D3F">
      <w:pPr>
        <w:ind w:left="2160" w:hanging="720"/>
      </w:pPr>
      <w:r w:rsidRPr="00A44E49">
        <w:t>(</w:t>
      </w:r>
      <w:proofErr w:type="spellStart"/>
      <w:r w:rsidRPr="00A44E49">
        <w:t>i</w:t>
      </w:r>
      <w:proofErr w:type="spellEnd"/>
      <w:r w:rsidRPr="00A44E49">
        <w:t>)</w:t>
      </w:r>
      <w:r w:rsidRPr="00A44E49">
        <w:tab/>
      </w:r>
      <w:proofErr w:type="gramStart"/>
      <w:r w:rsidRPr="00A44E49">
        <w:t>were</w:t>
      </w:r>
      <w:proofErr w:type="gramEnd"/>
      <w:r w:rsidRPr="00A44E49">
        <w:t xml:space="preserve"> used in assessing the impacts of actions that are provided for under the plan; and</w:t>
      </w:r>
    </w:p>
    <w:p w:rsidR="002F4E41" w:rsidRPr="00A44E49" w:rsidRDefault="002F4E41" w:rsidP="00053D3F">
      <w:pPr>
        <w:ind w:left="2160" w:hanging="720"/>
      </w:pPr>
      <w:r w:rsidRPr="00A44E49">
        <w:t>(ii)</w:t>
      </w:r>
      <w:r w:rsidRPr="00A44E49">
        <w:tab/>
      </w:r>
      <w:proofErr w:type="gramStart"/>
      <w:r w:rsidRPr="00A44E49">
        <w:t>are</w:t>
      </w:r>
      <w:proofErr w:type="gramEnd"/>
      <w:r w:rsidRPr="00A44E49">
        <w:t xml:space="preserve"> to be used in assessing the impacts of actions that may arise during the life of the plan; and</w:t>
      </w:r>
    </w:p>
    <w:p w:rsidR="002F4E41" w:rsidRPr="00A44E49" w:rsidRDefault="002F4E41" w:rsidP="00053D3F">
      <w:pPr>
        <w:ind w:left="1440" w:hanging="720"/>
      </w:pPr>
      <w:r w:rsidRPr="00A44E49">
        <w:t>(h)</w:t>
      </w:r>
      <w:r w:rsidRPr="00A44E49">
        <w:tab/>
        <w:t>must require that the impacts of any actions likely to have a significant impact on the relevant World Heritage or National Heritage values have been, or will be, assessed by means that provide environmental assessment processes that meet the recommendations of regulations 3.03 and 3.04 and Schedule 1; and</w:t>
      </w:r>
    </w:p>
    <w:p w:rsidR="002F4E41" w:rsidRPr="00A44E49" w:rsidRDefault="002F4E41" w:rsidP="00053D3F">
      <w:pPr>
        <w:ind w:left="1440" w:hanging="720"/>
      </w:pPr>
      <w:r w:rsidRPr="00A44E49">
        <w:t>(</w:t>
      </w:r>
      <w:proofErr w:type="spellStart"/>
      <w:r w:rsidRPr="00A44E49">
        <w:t>i</w:t>
      </w:r>
      <w:proofErr w:type="spellEnd"/>
      <w:r w:rsidRPr="00A44E49">
        <w:t>)</w:t>
      </w:r>
      <w:r w:rsidRPr="00A44E49">
        <w:tab/>
      </w:r>
      <w:proofErr w:type="gramStart"/>
      <w:r w:rsidRPr="00A44E49">
        <w:t>must</w:t>
      </w:r>
      <w:proofErr w:type="gramEnd"/>
      <w:r w:rsidRPr="00A44E49">
        <w:t xml:space="preserve"> provide that actions in relation to the property or place may be approved only in accordance with the plan; and</w:t>
      </w:r>
    </w:p>
    <w:p w:rsidR="002F4E41" w:rsidRPr="00A44E49" w:rsidRDefault="002F4E41" w:rsidP="00053D3F">
      <w:pPr>
        <w:ind w:left="1440" w:hanging="720"/>
      </w:pPr>
      <w:r w:rsidRPr="00A44E49">
        <w:t>(j)</w:t>
      </w:r>
      <w:r w:rsidRPr="00A44E49">
        <w:tab/>
      </w:r>
      <w:proofErr w:type="gramStart"/>
      <w:r w:rsidRPr="00A44E49">
        <w:t>must</w:t>
      </w:r>
      <w:proofErr w:type="gramEnd"/>
      <w:r w:rsidRPr="00A44E49">
        <w:t xml:space="preserve"> require a decision</w:t>
      </w:r>
      <w:r w:rsidRPr="00A44E49">
        <w:noBreakHyphen/>
      </w:r>
      <w:proofErr w:type="spellStart"/>
      <w:r w:rsidRPr="00A44E49">
        <w:t>maker</w:t>
      </w:r>
      <w:proofErr w:type="spellEnd"/>
      <w:r w:rsidRPr="00A44E49">
        <w:t xml:space="preserve"> to take account of the precautionary principle in making a decision in relation to the property or place; and</w:t>
      </w:r>
    </w:p>
    <w:p w:rsidR="002F4E41" w:rsidRPr="00A44E49" w:rsidRDefault="002F4E41" w:rsidP="00053D3F">
      <w:r w:rsidRPr="00A44E49">
        <w:tab/>
        <w:t>(k)</w:t>
      </w:r>
      <w:r w:rsidRPr="00A44E49">
        <w:tab/>
      </w:r>
      <w:proofErr w:type="gramStart"/>
      <w:r w:rsidRPr="00A44E49">
        <w:t>must</w:t>
      </w:r>
      <w:proofErr w:type="gramEnd"/>
      <w:r w:rsidRPr="00A44E49">
        <w:t xml:space="preserve"> set out the means, and any legislation other than the plan, that:</w:t>
      </w:r>
    </w:p>
    <w:p w:rsidR="002F4E41" w:rsidRPr="00A44E49" w:rsidRDefault="002F4E41" w:rsidP="00053D3F">
      <w:pPr>
        <w:ind w:left="2160" w:hanging="720"/>
      </w:pPr>
      <w:r w:rsidRPr="00A44E49">
        <w:t>(</w:t>
      </w:r>
      <w:proofErr w:type="spellStart"/>
      <w:r w:rsidRPr="00A44E49">
        <w:t>i</w:t>
      </w:r>
      <w:proofErr w:type="spellEnd"/>
      <w:r w:rsidRPr="00A44E49">
        <w:t>)</w:t>
      </w:r>
      <w:r w:rsidRPr="00A44E49">
        <w:tab/>
        <w:t>enable the setting of enforceable conditions to ensure that the relevant World Heritage or National Heritage values are conserved, protected, presented and transmitted to future generations and, if appropriate, rehabilitated; and</w:t>
      </w:r>
    </w:p>
    <w:p w:rsidR="002F4E41" w:rsidRPr="00A44E49" w:rsidRDefault="002F4E41" w:rsidP="00053D3F">
      <w:pPr>
        <w:ind w:left="2160" w:hanging="720"/>
      </w:pPr>
      <w:r w:rsidRPr="00A44E49">
        <w:t>(ii)</w:t>
      </w:r>
      <w:r w:rsidRPr="00A44E49">
        <w:tab/>
      </w:r>
      <w:proofErr w:type="gramStart"/>
      <w:r w:rsidRPr="00A44E49">
        <w:t>provide</w:t>
      </w:r>
      <w:proofErr w:type="gramEnd"/>
      <w:r w:rsidRPr="00A44E49">
        <w:t xml:space="preserve"> for any subsequent monitoring, auditing and enforcement of approvals and any conditions attached to an approval; and</w:t>
      </w:r>
    </w:p>
    <w:p w:rsidR="002F4E41" w:rsidRPr="00A44E49" w:rsidRDefault="002F4E41" w:rsidP="00053D3F">
      <w:pPr>
        <w:ind w:left="1440" w:hanging="720"/>
      </w:pPr>
      <w:r w:rsidRPr="00A44E49">
        <w:t>(l)</w:t>
      </w:r>
      <w:r w:rsidRPr="00A44E49">
        <w:tab/>
        <w:t>must set out means by which the plan will seek to prevent, or minimise the impacts of, any actions likely to degrade the relevant World Heritage or National Heritage values, including actions leading to cumulative degradation; and</w:t>
      </w:r>
    </w:p>
    <w:p w:rsidR="002F4E41" w:rsidRPr="00A44E49" w:rsidRDefault="002F4E41" w:rsidP="00053D3F">
      <w:pPr>
        <w:ind w:left="1440" w:hanging="720"/>
      </w:pPr>
      <w:r w:rsidRPr="00A44E49">
        <w:t>(m)</w:t>
      </w:r>
      <w:r w:rsidRPr="00A44E49">
        <w:tab/>
        <w:t>must state that actions that will have unacceptable or unsustainable impacts (in particular, actions that will have a significant impact on the relevant World Heritage or National Heritage values) are inconsistent with the plan and cannot be approved; and</w:t>
      </w:r>
    </w:p>
    <w:p w:rsidR="002F4E41" w:rsidRPr="00A44E49" w:rsidRDefault="002F4E41" w:rsidP="00053D3F">
      <w:pPr>
        <w:ind w:left="1440" w:hanging="720"/>
      </w:pPr>
      <w:r w:rsidRPr="00A44E49">
        <w:t>(n)</w:t>
      </w:r>
      <w:r w:rsidRPr="00A44E49">
        <w:tab/>
      </w:r>
      <w:proofErr w:type="gramStart"/>
      <w:r w:rsidRPr="00A44E49">
        <w:t>must</w:t>
      </w:r>
      <w:proofErr w:type="gramEnd"/>
      <w:r w:rsidRPr="00A44E49">
        <w:t xml:space="preserve"> set out means for the plan to be enforced, including, in appropriate circumstances, the imposition of penalties upon a person taking an action that is inconsistent with the plan; and</w:t>
      </w:r>
    </w:p>
    <w:p w:rsidR="002F4E41" w:rsidRPr="00A44E49" w:rsidRDefault="002F4E41" w:rsidP="00053D3F">
      <w:pPr>
        <w:ind w:left="1440" w:hanging="720"/>
      </w:pPr>
      <w:r w:rsidRPr="00A44E49">
        <w:lastRenderedPageBreak/>
        <w:t>(o)</w:t>
      </w:r>
      <w:r w:rsidRPr="00A44E49">
        <w:tab/>
        <w:t>must ensure that management actions for values that are not the relevant World Heritage or National Heritage values are consistent with the management of the relevant World Heritage or National Heritage values; and</w:t>
      </w:r>
    </w:p>
    <w:p w:rsidR="002F4E41" w:rsidRPr="00A44E49" w:rsidRDefault="002F4E41" w:rsidP="00053D3F">
      <w:pPr>
        <w:ind w:left="1440" w:hanging="720"/>
      </w:pPr>
      <w:r w:rsidRPr="00A44E49">
        <w:t>(p)</w:t>
      </w:r>
      <w:r w:rsidRPr="00A44E49">
        <w:tab/>
      </w:r>
      <w:proofErr w:type="gramStart"/>
      <w:r w:rsidRPr="00A44E49">
        <w:t>must</w:t>
      </w:r>
      <w:proofErr w:type="gramEnd"/>
      <w:r w:rsidRPr="00A44E49">
        <w:t xml:space="preserve"> promote the integration of Commonwealth, State or Territory, and local government responsibilities for the property or place; and</w:t>
      </w:r>
    </w:p>
    <w:p w:rsidR="002F4E41" w:rsidRPr="00A44E49" w:rsidRDefault="002F4E41" w:rsidP="00053D3F">
      <w:pPr>
        <w:ind w:left="1440" w:hanging="720"/>
      </w:pPr>
      <w:r w:rsidRPr="00A44E49">
        <w:t>(q)</w:t>
      </w:r>
      <w:r w:rsidRPr="00A44E49">
        <w:tab/>
        <w:t>must provide for continuing monitoring and reporting on the state of the relevant World Heritage or National Heritage values; and</w:t>
      </w:r>
    </w:p>
    <w:p w:rsidR="002F4E41" w:rsidRPr="00A44E49" w:rsidRDefault="002F4E41" w:rsidP="00053D3F">
      <w:r w:rsidRPr="00A44E49">
        <w:tab/>
        <w:t>(r)</w:t>
      </w:r>
      <w:r w:rsidRPr="00A44E49">
        <w:tab/>
      </w:r>
      <w:proofErr w:type="gramStart"/>
      <w:r w:rsidRPr="00A44E49">
        <w:t>must</w:t>
      </w:r>
      <w:proofErr w:type="gramEnd"/>
      <w:r w:rsidRPr="00A44E49">
        <w:t xml:space="preserve"> provide that the plan is to be reviewed at intervals of not more than 5 years.</w:t>
      </w:r>
    </w:p>
    <w:p w:rsidR="002F4E41" w:rsidRPr="00A44E49" w:rsidRDefault="002F4E41" w:rsidP="00053D3F">
      <w:pPr>
        <w:rPr>
          <w:b/>
        </w:rPr>
      </w:pPr>
      <w:r w:rsidRPr="00A44E49">
        <w:rPr>
          <w:b/>
        </w:rPr>
        <w:t>Criterion for law of State or Territory</w:t>
      </w:r>
    </w:p>
    <w:p w:rsidR="002F4E41" w:rsidRPr="00A44E49" w:rsidRDefault="002F4E41" w:rsidP="00053D3F">
      <w:r w:rsidRPr="00A44E49">
        <w:t>(6)</w:t>
      </w:r>
      <w:r w:rsidRPr="00A44E49">
        <w:tab/>
        <w:t xml:space="preserve">For paragraph 46 (3) (a) of the Act, the criterion that </w:t>
      </w:r>
      <w:r w:rsidRPr="00A44E49">
        <w:rPr>
          <w:lang w:eastAsia="en-AU"/>
        </w:rPr>
        <w:t xml:space="preserve">the law of the State or Territory under which the management plan is in force (or is to be in force) must be capable of providing protection for the relevant World Heritage or National Heritage values of the property or place </w:t>
      </w:r>
      <w:r w:rsidRPr="00A44E49">
        <w:t>is prescribed in relation to that law of the State or Territory.</w:t>
      </w:r>
    </w:p>
    <w:p w:rsidR="002F4E41" w:rsidRPr="00A44E49" w:rsidRDefault="002F4E41" w:rsidP="00053D3F">
      <w:pPr>
        <w:pStyle w:val="Heading1"/>
      </w:pPr>
      <w:r w:rsidRPr="00A44E49">
        <w:rPr>
          <w:b w:val="0"/>
        </w:rPr>
        <w:br w:type="page"/>
      </w:r>
    </w:p>
    <w:p w:rsidR="002F4E41" w:rsidRPr="00A44E49" w:rsidRDefault="002F4E41" w:rsidP="00053D3F">
      <w:pPr>
        <w:pStyle w:val="Heading1"/>
        <w:spacing w:after="240"/>
      </w:pPr>
      <w:bookmarkStart w:id="127" w:name="_Toc339368218"/>
      <w:r>
        <w:lastRenderedPageBreak/>
        <w:t>Attachment I</w:t>
      </w:r>
      <w:r w:rsidRPr="00A44E49">
        <w:t xml:space="preserve"> – International obligations for World Heritage properties</w:t>
      </w:r>
      <w:bookmarkEnd w:id="127"/>
      <w:r w:rsidRPr="00A44E49">
        <w:t xml:space="preserve"> </w:t>
      </w:r>
    </w:p>
    <w:p w:rsidR="002F4E41" w:rsidRPr="00A44E49" w:rsidRDefault="002F4E41" w:rsidP="00053D3F">
      <w:pPr>
        <w:pStyle w:val="Heading3"/>
      </w:pPr>
      <w:bookmarkStart w:id="128" w:name="_Toc328503775"/>
      <w:bookmarkStart w:id="129" w:name="_Toc339368219"/>
      <w:r w:rsidRPr="00A44E49">
        <w:t>Extracts from the World Heritage Convention</w:t>
      </w:r>
      <w:bookmarkEnd w:id="128"/>
      <w:bookmarkEnd w:id="129"/>
    </w:p>
    <w:p w:rsidR="00053D3F" w:rsidRPr="00A44E49" w:rsidRDefault="002F4E41" w:rsidP="00053D3F">
      <w:r w:rsidRPr="00A44E49">
        <w:t>‘World Heritage Convention’ means the Convention for the Protection of the World Cultural and Natural Heritage done at Paris on 23 November 1972.</w:t>
      </w:r>
      <w:r w:rsidRPr="00A44E49">
        <w:rPr>
          <w:rStyle w:val="EndnoteReference"/>
        </w:rPr>
        <w:endnoteReference w:id="174"/>
      </w:r>
      <w:r>
        <w:t xml:space="preserve"> </w:t>
      </w:r>
      <w:r w:rsidR="00053D3F">
        <w:t>The following are selected extracts of key Articles from the Convention.</w:t>
      </w:r>
    </w:p>
    <w:p w:rsidR="00053D3F" w:rsidRPr="00A44E49" w:rsidRDefault="00053D3F" w:rsidP="00053D3F">
      <w:pPr>
        <w:pStyle w:val="Heading4"/>
      </w:pPr>
      <w:r w:rsidRPr="00A44E49">
        <w:t>Preamble</w:t>
      </w:r>
    </w:p>
    <w:p w:rsidR="00053D3F" w:rsidRPr="00A44E49" w:rsidRDefault="00053D3F" w:rsidP="00053D3F">
      <w:r w:rsidRPr="00A44E49">
        <w:t xml:space="preserve">The General Conference of the United Nations Educational, Scientific and Cultural Organization meeting in Paris from 17 October to 21 November 1972, at its seventeenth session, </w:t>
      </w:r>
    </w:p>
    <w:p w:rsidR="00053D3F" w:rsidRPr="00A44E49" w:rsidRDefault="00053D3F" w:rsidP="00053D3F">
      <w:r w:rsidRPr="00A44E49">
        <w:rPr>
          <w:i/>
          <w:iCs/>
        </w:rPr>
        <w:t xml:space="preserve">Noting </w:t>
      </w:r>
      <w:r w:rsidRPr="00A44E49">
        <w:t xml:space="preserve">that the cultural heritage and the natural heritage are increasingly threatened with destruction not only by the traditional causes of decay, but also by changing social and economic conditions which aggravate the situation with even more formidable phenomena of damage or destruction, </w:t>
      </w:r>
    </w:p>
    <w:p w:rsidR="00053D3F" w:rsidRPr="00A44E49" w:rsidRDefault="00053D3F" w:rsidP="00053D3F">
      <w:r w:rsidRPr="00A44E49">
        <w:rPr>
          <w:i/>
          <w:iCs/>
        </w:rPr>
        <w:t xml:space="preserve">Considering </w:t>
      </w:r>
      <w:r w:rsidRPr="00A44E49">
        <w:t xml:space="preserve">that deterioration or disappearance of any item of the cultural or natural heritage constitutes a harmful impoverishment of the heritage of all the nations of the world, </w:t>
      </w:r>
    </w:p>
    <w:p w:rsidR="00053D3F" w:rsidRPr="00A44E49" w:rsidRDefault="00053D3F" w:rsidP="00053D3F">
      <w:r w:rsidRPr="00A44E49">
        <w:rPr>
          <w:i/>
          <w:iCs/>
        </w:rPr>
        <w:t xml:space="preserve">Considering </w:t>
      </w:r>
      <w:r w:rsidRPr="00A44E49">
        <w:t xml:space="preserve">that protection of this heritage at the national level often remains incomplete because of the scale of the resources which it requires and of the insufficient economic, scientific, and technological resources of the country where the property to be protected is situated, </w:t>
      </w:r>
    </w:p>
    <w:p w:rsidR="00053D3F" w:rsidRPr="00A44E49" w:rsidRDefault="00053D3F" w:rsidP="00053D3F">
      <w:r w:rsidRPr="00A44E49">
        <w:rPr>
          <w:i/>
          <w:iCs/>
        </w:rPr>
        <w:t xml:space="preserve">Recalling </w:t>
      </w:r>
      <w:r w:rsidRPr="00A44E49">
        <w:t xml:space="preserve">that the Constitution of the Organization provides that it will maintain, increase, and diffuse knowledge by assuring the conservation and protection of the world's heritage, and recommending to the nations concerned the necessary international conventions, </w:t>
      </w:r>
    </w:p>
    <w:p w:rsidR="00053D3F" w:rsidRPr="00A44E49" w:rsidRDefault="00053D3F" w:rsidP="00053D3F">
      <w:r w:rsidRPr="00A44E49">
        <w:rPr>
          <w:i/>
          <w:iCs/>
        </w:rPr>
        <w:t xml:space="preserve">Considering </w:t>
      </w:r>
      <w:r w:rsidRPr="00A44E49">
        <w:t xml:space="preserve">that the existing international conventions, recommendations and resolutions concerning cultural and natural property demonstrate the importance, for all the peoples of the world, of safeguarding this unique and irreplaceable property, to whatever people it may belong, </w:t>
      </w:r>
    </w:p>
    <w:p w:rsidR="00053D3F" w:rsidRPr="00A44E49" w:rsidRDefault="00053D3F" w:rsidP="00053D3F">
      <w:r w:rsidRPr="00A44E49">
        <w:rPr>
          <w:i/>
          <w:iCs/>
        </w:rPr>
        <w:t xml:space="preserve">Considering </w:t>
      </w:r>
      <w:r w:rsidRPr="00A44E49">
        <w:t xml:space="preserve">that parts of the cultural or natural heritage are of outstanding interest and therefore need to be preserved as part of the world heritage of mankind as a whole, </w:t>
      </w:r>
    </w:p>
    <w:p w:rsidR="00053D3F" w:rsidRPr="00A44E49" w:rsidRDefault="00053D3F" w:rsidP="00053D3F">
      <w:r w:rsidRPr="00A44E49">
        <w:rPr>
          <w:i/>
          <w:iCs/>
        </w:rPr>
        <w:t xml:space="preserve">Considering </w:t>
      </w:r>
      <w:r w:rsidRPr="00A44E49">
        <w:t xml:space="preserve">that, in view of the magnitude and gravity of the new dangers threatening them, it is incumbent on the international community as a whole to participate in the protection of the cultural and natural heritage of outstanding universal value, by the granting of collective assistance which, although not taking the place of action by the State concerned, will serve as an efficient complement thereto, </w:t>
      </w:r>
    </w:p>
    <w:p w:rsidR="00053D3F" w:rsidRPr="00A44E49" w:rsidRDefault="00053D3F" w:rsidP="00053D3F">
      <w:r w:rsidRPr="00A44E49">
        <w:rPr>
          <w:i/>
          <w:iCs/>
        </w:rPr>
        <w:t xml:space="preserve">Considering </w:t>
      </w:r>
      <w:r w:rsidRPr="00A44E49">
        <w:t xml:space="preserve">that it is essential for this purpose to adopt new provisions in the form of a convention establishing an effective system of collective protection of the cultural and natural heritage of outstanding universal value, organized on a permanent basis and in accordance with modern scientific methods, </w:t>
      </w:r>
    </w:p>
    <w:p w:rsidR="00053D3F" w:rsidRPr="00A44E49" w:rsidRDefault="00053D3F" w:rsidP="00053D3F">
      <w:r w:rsidRPr="00A44E49">
        <w:rPr>
          <w:i/>
          <w:iCs/>
        </w:rPr>
        <w:t>Having decided</w:t>
      </w:r>
      <w:r w:rsidRPr="00A44E49">
        <w:t xml:space="preserve">, at its sixteenth session, that this question should be made the subject of an international convention, </w:t>
      </w:r>
    </w:p>
    <w:p w:rsidR="00053D3F" w:rsidRPr="00A44E49" w:rsidRDefault="00053D3F" w:rsidP="00053D3F">
      <w:proofErr w:type="gramStart"/>
      <w:r w:rsidRPr="00A44E49">
        <w:rPr>
          <w:i/>
          <w:iCs/>
        </w:rPr>
        <w:lastRenderedPageBreak/>
        <w:t xml:space="preserve">Adopts </w:t>
      </w:r>
      <w:r w:rsidRPr="00A44E49">
        <w:t>this sixteenth day of November 1972 this Convention.</w:t>
      </w:r>
      <w:proofErr w:type="gramEnd"/>
      <w:r w:rsidRPr="00A44E49">
        <w:t xml:space="preserve"> </w:t>
      </w:r>
    </w:p>
    <w:p w:rsidR="00053D3F" w:rsidRPr="00A44E49" w:rsidRDefault="00053D3F" w:rsidP="00053D3F">
      <w:pPr>
        <w:pStyle w:val="Heading4"/>
      </w:pPr>
      <w:r w:rsidRPr="00A44E49">
        <w:t>Article 4</w:t>
      </w:r>
    </w:p>
    <w:p w:rsidR="00053D3F" w:rsidRPr="00A44E49" w:rsidRDefault="00053D3F" w:rsidP="00053D3F">
      <w:pPr>
        <w:rPr>
          <w:color w:val="000000"/>
          <w:sz w:val="23"/>
          <w:szCs w:val="23"/>
        </w:rPr>
      </w:pPr>
      <w:r w:rsidRPr="00A44E49">
        <w:rPr>
          <w:color w:val="000000"/>
          <w:sz w:val="23"/>
          <w:szCs w:val="23"/>
        </w:rPr>
        <w:t>Each State Party to this Convention recognizes that the duty of ensuring the identification, protection, conservation, presentation and transmission to future generations of the cultural and natural heritage … situated on its territory, belongs primarily to that State. It will do all it can to this end, to the utmost of its own resources and, where appropriate, with any international assistance and co-operation, in particular, financial, artistic, scientific and technical, which it may be able to obtain.</w:t>
      </w:r>
    </w:p>
    <w:p w:rsidR="00053D3F" w:rsidRPr="00A44E49" w:rsidRDefault="00053D3F" w:rsidP="00053D3F">
      <w:pPr>
        <w:pStyle w:val="Heading4"/>
      </w:pPr>
      <w:r w:rsidRPr="00A44E49">
        <w:t>Article 5</w:t>
      </w:r>
    </w:p>
    <w:p w:rsidR="00053D3F" w:rsidRPr="00A44E49" w:rsidRDefault="00053D3F" w:rsidP="00053D3F">
      <w:r w:rsidRPr="00A44E49">
        <w:t xml:space="preserve">To ensure that effective and active measures are taken for the protection, conservation and presentation of the cultural and natural heritage situated on its territory, each State Party to this Convention shall endeavour, in so far as possible, and as appropriate for each country: </w:t>
      </w:r>
    </w:p>
    <w:p w:rsidR="00053D3F" w:rsidRPr="00A44E49" w:rsidRDefault="00053D3F" w:rsidP="00053D3F">
      <w:pPr>
        <w:ind w:left="720"/>
      </w:pPr>
      <w:r w:rsidRPr="00A44E49">
        <w:t xml:space="preserve">(a) </w:t>
      </w:r>
      <w:proofErr w:type="gramStart"/>
      <w:r w:rsidRPr="00A44E49">
        <w:t>to</w:t>
      </w:r>
      <w:proofErr w:type="gramEnd"/>
      <w:r w:rsidRPr="00A44E49">
        <w:t xml:space="preserve"> adopt a general policy which aims to give the cultural and natural heritage a function in the life of the community and to integrate the protection of that heritage into comprehensive planning programmes; </w:t>
      </w:r>
    </w:p>
    <w:p w:rsidR="00053D3F" w:rsidRPr="00A44E49" w:rsidRDefault="00053D3F" w:rsidP="00053D3F">
      <w:pPr>
        <w:ind w:left="720"/>
      </w:pPr>
      <w:r w:rsidRPr="00A44E49">
        <w:t xml:space="preserve">(b) to set up within its territories, where such services do not exist, one or more services for the protection, conservation and presentation of the cultural and natural heritage with an appropriate staff and possessing the means to discharge their functions; </w:t>
      </w:r>
    </w:p>
    <w:p w:rsidR="00053D3F" w:rsidRPr="00A44E49" w:rsidRDefault="00053D3F" w:rsidP="00053D3F">
      <w:pPr>
        <w:ind w:left="720"/>
      </w:pPr>
      <w:r w:rsidRPr="00A44E49">
        <w:t xml:space="preserve">(c) </w:t>
      </w:r>
      <w:proofErr w:type="gramStart"/>
      <w:r w:rsidRPr="00A44E49">
        <w:t>to</w:t>
      </w:r>
      <w:proofErr w:type="gramEnd"/>
      <w:r w:rsidRPr="00A44E49">
        <w:t xml:space="preserve"> develop scientific and technical studies and research and to work out such operating methods as will make the State capable of counteracting the dangers that threaten its cultural or natural heritage; </w:t>
      </w:r>
    </w:p>
    <w:p w:rsidR="00053D3F" w:rsidRPr="00A44E49" w:rsidRDefault="00053D3F" w:rsidP="00053D3F">
      <w:pPr>
        <w:ind w:left="720"/>
      </w:pPr>
      <w:r w:rsidRPr="00A44E49">
        <w:t>(d) to take the appropriate legal, scientific, technical, administrative and financial measures necessary for the identification, protection, conservation, presentation and rehabilitation of this heritage; and</w:t>
      </w:r>
    </w:p>
    <w:p w:rsidR="00053D3F" w:rsidRPr="00A44E49" w:rsidRDefault="00053D3F" w:rsidP="00053D3F">
      <w:pPr>
        <w:ind w:left="720"/>
      </w:pPr>
      <w:r w:rsidRPr="00A44E49">
        <w:t xml:space="preserve">(e) </w:t>
      </w:r>
      <w:proofErr w:type="gramStart"/>
      <w:r w:rsidRPr="00A44E49">
        <w:t>to</w:t>
      </w:r>
      <w:proofErr w:type="gramEnd"/>
      <w:r w:rsidRPr="00A44E49">
        <w:t xml:space="preserve"> foster the establishment or development of national or regional centres for training in the protection, conservation and presentation of the cultural and natural heritage and to encourage scientific research in this field. </w:t>
      </w:r>
    </w:p>
    <w:p w:rsidR="00053D3F" w:rsidRPr="00A44E49" w:rsidRDefault="00053D3F" w:rsidP="00053D3F">
      <w:pPr>
        <w:pStyle w:val="Heading4"/>
      </w:pPr>
      <w:r w:rsidRPr="00A44E49">
        <w:t>Article 6</w:t>
      </w:r>
    </w:p>
    <w:p w:rsidR="00053D3F" w:rsidRPr="00A44E49" w:rsidRDefault="00053D3F" w:rsidP="00053D3F">
      <w:r w:rsidRPr="00A44E49">
        <w:t>1. Whilst fully respecting the sovereignty of the States on whose territory the cultural and natural heritage … is situated, and without prejudice to property right provided by national legislation, the States Parties to this Convention recognize that such heritage constitutes a world heritage for whose protection it is the duty of the international community as a whole to co-operate. …</w:t>
      </w:r>
    </w:p>
    <w:p w:rsidR="00053D3F" w:rsidRPr="00A44E49" w:rsidRDefault="00053D3F" w:rsidP="00053D3F">
      <w:pPr>
        <w:pStyle w:val="Heading4"/>
        <w:spacing w:after="120"/>
      </w:pPr>
      <w:r w:rsidRPr="00A44E49">
        <w:t>Article 11</w:t>
      </w:r>
    </w:p>
    <w:p w:rsidR="00053D3F" w:rsidRPr="00A44E49" w:rsidRDefault="00053D3F" w:rsidP="00053D3F">
      <w:r w:rsidRPr="00A44E49">
        <w:t>…</w:t>
      </w:r>
    </w:p>
    <w:p w:rsidR="00053D3F" w:rsidRPr="00A44E49" w:rsidRDefault="00053D3F" w:rsidP="00053D3F">
      <w:r w:rsidRPr="00A44E49">
        <w:t xml:space="preserve">4. The [World Heritage] Committee shall establish, keep up to date and publish, whenever circumstances shall </w:t>
      </w:r>
      <w:r w:rsidR="00E90B79">
        <w:t>so require, under the title of ‘</w:t>
      </w:r>
      <w:r w:rsidRPr="00A44E49">
        <w:t>l</w:t>
      </w:r>
      <w:r w:rsidR="00E90B79">
        <w:t>ist of World Heritage in Danger’</w:t>
      </w:r>
      <w:r w:rsidRPr="00A44E49">
        <w:t xml:space="preserve">, a list of the property appearing in the World Heritage List for the conservation of which major operations are necessary and for which assistance has been requested under this Convention. This list shall contain </w:t>
      </w:r>
      <w:r w:rsidRPr="00A44E49">
        <w:lastRenderedPageBreak/>
        <w:t xml:space="preserve">an estimate of the cost of such operations. The list may include only such property forming part of the cultural and natural heritage as is threatened by serious and specific dangers, such as the threat of disappearance caused by accelerated deterioration, large-scale public or private projects or rapid urban or tourist development projects; destruction caused by changes in the use or ownership of the land; major alterations due to unknown causes; abandonment for any reason whatsoever; the outbreak or the threat of an armed conflict; calamities and cataclysms; serious fires, earthquakes, landslides; volcanic eruptions; changes in water level, floods and tidal waves. The Committee may at any time, in case of urgent need, make a new entry in the List of World Heritage in Danger and publicize such entry immediately. </w:t>
      </w:r>
    </w:p>
    <w:p w:rsidR="00053D3F" w:rsidRPr="00A44E49" w:rsidRDefault="00053D3F" w:rsidP="00053D3F">
      <w:pPr>
        <w:pStyle w:val="Heading4"/>
      </w:pPr>
      <w:r w:rsidRPr="00A44E49">
        <w:t>Article 29</w:t>
      </w:r>
    </w:p>
    <w:p w:rsidR="00053D3F" w:rsidRPr="00A44E49" w:rsidRDefault="00053D3F" w:rsidP="00053D3F">
      <w:r w:rsidRPr="00A44E49">
        <w:t xml:space="preserve">1. The States Parties to this Convention shall, in the reports which they submit to the General Conference of the United Nations Educational, Scientific and Cultural Organization on dates and in a manner to be determined by it, give information on the legislative and administrative provisions which they have adopted and other action which they have taken for the application of this Convention, together with details of the experience acquired in this field. </w:t>
      </w:r>
    </w:p>
    <w:p w:rsidR="00053D3F" w:rsidRPr="00A44E49" w:rsidRDefault="00053D3F" w:rsidP="00053D3F">
      <w:pPr>
        <w:ind w:left="720" w:hanging="720"/>
        <w:jc w:val="both"/>
        <w:rPr>
          <w:color w:val="000000"/>
          <w:sz w:val="23"/>
          <w:szCs w:val="23"/>
        </w:rPr>
      </w:pPr>
      <w:r w:rsidRPr="00A44E49">
        <w:rPr>
          <w:color w:val="000000"/>
          <w:sz w:val="23"/>
          <w:szCs w:val="23"/>
        </w:rPr>
        <w:t>2. These reports shall be brought to the attention of the World Heritage Committee. …</w:t>
      </w:r>
    </w:p>
    <w:p w:rsidR="00053D3F" w:rsidRPr="00A44E49" w:rsidRDefault="00053D3F" w:rsidP="00053D3F">
      <w:pPr>
        <w:pStyle w:val="Heading4"/>
      </w:pPr>
      <w:r w:rsidRPr="00A44E49">
        <w:t xml:space="preserve">Article 34 </w:t>
      </w:r>
    </w:p>
    <w:p w:rsidR="00053D3F" w:rsidRPr="00A44E49" w:rsidRDefault="00053D3F" w:rsidP="00053D3F">
      <w:r w:rsidRPr="00A44E49">
        <w:t xml:space="preserve">The following provisions shall apply to those States Parties to this Convention which have a federal or non-unitary constitutional system: </w:t>
      </w:r>
    </w:p>
    <w:p w:rsidR="00053D3F" w:rsidRPr="00A44E49" w:rsidRDefault="00053D3F" w:rsidP="00053D3F">
      <w:pPr>
        <w:ind w:left="720"/>
      </w:pPr>
      <w:r w:rsidRPr="00A44E49">
        <w:t xml:space="preserve">(a) with regard to the provisions of this Convention, the implementation of which comes under the legal jurisdiction of the federal or central legislative power, the obligations of the federal or central government shall be the same as for those States parties which are not federal States; </w:t>
      </w:r>
    </w:p>
    <w:p w:rsidR="00053D3F" w:rsidRPr="00A44E49" w:rsidRDefault="00053D3F" w:rsidP="00053D3F">
      <w:pPr>
        <w:ind w:left="720"/>
      </w:pPr>
      <w:r w:rsidRPr="00A44E49">
        <w:t>(b) with regard to the provisions of this Convention, the implementation of which comes under the legal jurisdiction of individual constituent States, countries, provinces or cantons that are not obliged by the constitutional system of the federation to take legislative measures, the federal government shall inform the competent authorities of such States, countries, provinces or cantons of the said provisions, with its recommendation for their adoption.</w:t>
      </w:r>
    </w:p>
    <w:p w:rsidR="00053D3F" w:rsidRPr="00A44E49" w:rsidRDefault="00053D3F" w:rsidP="00053D3F">
      <w:pPr>
        <w:rPr>
          <w:rStyle w:val="CharAmSchText"/>
          <w:rFonts w:asciiTheme="majorHAnsi" w:eastAsiaTheme="majorEastAsia" w:hAnsiTheme="majorHAnsi" w:cstheme="majorBidi"/>
          <w:b/>
          <w:bCs/>
          <w:color w:val="4F81BD" w:themeColor="accent1"/>
          <w:sz w:val="26"/>
          <w:szCs w:val="26"/>
        </w:rPr>
      </w:pPr>
      <w:r w:rsidRPr="00A44E49">
        <w:rPr>
          <w:rStyle w:val="CharAmSchText"/>
        </w:rPr>
        <w:br w:type="page"/>
      </w:r>
    </w:p>
    <w:p w:rsidR="00053D3F" w:rsidRPr="00A44E49" w:rsidRDefault="00053D3F" w:rsidP="00053D3F">
      <w:pPr>
        <w:pStyle w:val="Heading1"/>
      </w:pPr>
      <w:bookmarkStart w:id="130" w:name="_Toc328503776"/>
      <w:bookmarkStart w:id="131" w:name="_Toc339368220"/>
      <w:r w:rsidRPr="00A44E49">
        <w:rPr>
          <w:rStyle w:val="CharAmSchText"/>
        </w:rPr>
        <w:lastRenderedPageBreak/>
        <w:t>Attachmen</w:t>
      </w:r>
      <w:r>
        <w:rPr>
          <w:rStyle w:val="CharAmSchText"/>
        </w:rPr>
        <w:t>t J</w:t>
      </w:r>
      <w:r w:rsidRPr="00A44E49">
        <w:rPr>
          <w:rStyle w:val="CharAmSchText"/>
        </w:rPr>
        <w:t xml:space="preserve"> – Australian World Heritage management principles</w:t>
      </w:r>
      <w:bookmarkEnd w:id="80"/>
      <w:bookmarkEnd w:id="130"/>
      <w:bookmarkEnd w:id="131"/>
    </w:p>
    <w:p w:rsidR="00053D3F" w:rsidRPr="00A44E49" w:rsidRDefault="00053D3F" w:rsidP="00053D3F">
      <w:pPr>
        <w:pStyle w:val="Schedulereference"/>
        <w:ind w:left="0"/>
      </w:pPr>
    </w:p>
    <w:p w:rsidR="00053D3F" w:rsidRPr="00A44E49" w:rsidRDefault="00053D3F" w:rsidP="00053D3F">
      <w:pPr>
        <w:pStyle w:val="Heading3"/>
      </w:pPr>
      <w:bookmarkStart w:id="132" w:name="_Toc328503777"/>
      <w:bookmarkStart w:id="133" w:name="_Toc339368221"/>
      <w:r w:rsidRPr="00A44E49">
        <w:t>Schedule 5 to the EPBC Regulations</w:t>
      </w:r>
      <w:bookmarkEnd w:id="132"/>
      <w:bookmarkEnd w:id="133"/>
    </w:p>
    <w:p w:rsidR="00053D3F" w:rsidRPr="00A44E49" w:rsidRDefault="00053D3F" w:rsidP="00053D3F">
      <w:pPr>
        <w:pStyle w:val="Header"/>
      </w:pPr>
      <w:r w:rsidRPr="00A44E49">
        <w:rPr>
          <w:rStyle w:val="CharSchPTNo"/>
        </w:rPr>
        <w:t xml:space="preserve"> </w:t>
      </w:r>
      <w:r w:rsidRPr="00A44E49">
        <w:rPr>
          <w:rStyle w:val="CharSchPTText"/>
        </w:rPr>
        <w:t xml:space="preserve"> </w:t>
      </w:r>
    </w:p>
    <w:p w:rsidR="00053D3F" w:rsidRPr="00A44E49" w:rsidRDefault="00053D3F" w:rsidP="00053D3F">
      <w:pPr>
        <w:rPr>
          <w:b/>
        </w:rPr>
      </w:pPr>
      <w:r w:rsidRPr="00A44E49">
        <w:rPr>
          <w:b/>
        </w:rPr>
        <w:t>1</w:t>
      </w:r>
      <w:r w:rsidRPr="00A44E49">
        <w:rPr>
          <w:b/>
        </w:rPr>
        <w:tab/>
        <w:t>General principles</w:t>
      </w:r>
    </w:p>
    <w:p w:rsidR="00053D3F" w:rsidRPr="00A44E49" w:rsidRDefault="00053D3F" w:rsidP="00053D3F">
      <w:r w:rsidRPr="00A44E49">
        <w:t>1.01</w:t>
      </w:r>
      <w:r w:rsidRPr="00A44E49">
        <w:tab/>
        <w:t>The primary purpose of management of natural heritage and cultural heritage of a declared World Heritage property must be, in accordance with Australia’s obligations under the World Heritage Convention, to identify, protect, conserve, present, transmit to future generations and, if appropriate, rehabilitate the World Heritage values of the property.</w:t>
      </w:r>
    </w:p>
    <w:p w:rsidR="00053D3F" w:rsidRPr="00A44E49" w:rsidRDefault="00053D3F" w:rsidP="00053D3F">
      <w:r w:rsidRPr="00A44E49">
        <w:t>1.02</w:t>
      </w:r>
      <w:r w:rsidRPr="00A44E49">
        <w:tab/>
        <w:t>The management should provide for public consultation on decisions and actions that may have a significant impact on the property.</w:t>
      </w:r>
    </w:p>
    <w:p w:rsidR="00053D3F" w:rsidRPr="00A44E49" w:rsidRDefault="00053D3F" w:rsidP="00053D3F">
      <w:r w:rsidRPr="00A44E49">
        <w:t>1.03</w:t>
      </w:r>
      <w:r w:rsidRPr="00A44E49">
        <w:tab/>
        <w:t>The management should make special provision, if appropriate, for the involvement in managing the property of people who:</w:t>
      </w:r>
    </w:p>
    <w:p w:rsidR="00053D3F" w:rsidRPr="00A44E49" w:rsidRDefault="00053D3F" w:rsidP="00053D3F">
      <w:r w:rsidRPr="00A44E49">
        <w:tab/>
        <w:t>(a)</w:t>
      </w:r>
      <w:r w:rsidRPr="00A44E49">
        <w:tab/>
      </w:r>
      <w:proofErr w:type="gramStart"/>
      <w:r w:rsidRPr="00A44E49">
        <w:t>have</w:t>
      </w:r>
      <w:proofErr w:type="gramEnd"/>
      <w:r w:rsidRPr="00A44E49">
        <w:t xml:space="preserve"> a particular interest in the property; and</w:t>
      </w:r>
    </w:p>
    <w:p w:rsidR="00053D3F" w:rsidRPr="00A44E49" w:rsidRDefault="00053D3F" w:rsidP="00053D3F">
      <w:r w:rsidRPr="00A44E49">
        <w:tab/>
        <w:t>(b)</w:t>
      </w:r>
      <w:r w:rsidRPr="00A44E49">
        <w:tab/>
      </w:r>
      <w:proofErr w:type="gramStart"/>
      <w:r w:rsidRPr="00A44E49">
        <w:t>may</w:t>
      </w:r>
      <w:proofErr w:type="gramEnd"/>
      <w:r w:rsidRPr="00A44E49">
        <w:t xml:space="preserve"> be affected by the management of the property.</w:t>
      </w:r>
    </w:p>
    <w:p w:rsidR="00053D3F" w:rsidRPr="00A44E49" w:rsidRDefault="00053D3F" w:rsidP="00053D3F">
      <w:r w:rsidRPr="00A44E49">
        <w:t>1.04</w:t>
      </w:r>
      <w:r w:rsidRPr="00A44E49">
        <w:tab/>
        <w:t>The management should provide for continuing community and technical input in managing the property.</w:t>
      </w:r>
    </w:p>
    <w:p w:rsidR="00053D3F" w:rsidRPr="00A44E49" w:rsidRDefault="00053D3F" w:rsidP="00053D3F">
      <w:pPr>
        <w:rPr>
          <w:b/>
        </w:rPr>
      </w:pPr>
      <w:r w:rsidRPr="00A44E49">
        <w:rPr>
          <w:b/>
        </w:rPr>
        <w:t>2</w:t>
      </w:r>
      <w:r w:rsidRPr="00A44E49">
        <w:rPr>
          <w:b/>
        </w:rPr>
        <w:tab/>
        <w:t>Management planning</w:t>
      </w:r>
    </w:p>
    <w:p w:rsidR="00053D3F" w:rsidRPr="00A44E49" w:rsidRDefault="00053D3F" w:rsidP="00053D3F">
      <w:r w:rsidRPr="00A44E49">
        <w:t>2.01</w:t>
      </w:r>
      <w:r w:rsidRPr="00A44E49">
        <w:tab/>
        <w:t>At least 1 management plan should be prepared for each declared World Heritage property.</w:t>
      </w:r>
    </w:p>
    <w:p w:rsidR="00053D3F" w:rsidRPr="00A44E49" w:rsidRDefault="00053D3F" w:rsidP="00053D3F">
      <w:r w:rsidRPr="00A44E49">
        <w:t>2.02</w:t>
      </w:r>
      <w:r w:rsidRPr="00A44E49">
        <w:tab/>
        <w:t>A management plan for a declared World Heritage property should:</w:t>
      </w:r>
    </w:p>
    <w:p w:rsidR="00053D3F" w:rsidRPr="00A44E49" w:rsidRDefault="00053D3F" w:rsidP="00053D3F">
      <w:r w:rsidRPr="00A44E49">
        <w:tab/>
        <w:t>(a)</w:t>
      </w:r>
      <w:r w:rsidRPr="00A44E49">
        <w:tab/>
      </w:r>
      <w:proofErr w:type="gramStart"/>
      <w:r w:rsidRPr="00A44E49">
        <w:t>state</w:t>
      </w:r>
      <w:proofErr w:type="gramEnd"/>
      <w:r w:rsidRPr="00A44E49">
        <w:t xml:space="preserve"> the World Heritage values of the property for which it is prepared; and</w:t>
      </w:r>
    </w:p>
    <w:p w:rsidR="00053D3F" w:rsidRPr="00A44E49" w:rsidRDefault="00053D3F" w:rsidP="00053D3F">
      <w:pPr>
        <w:ind w:left="1440" w:hanging="720"/>
      </w:pPr>
      <w:r w:rsidRPr="00A44E49">
        <w:t>(b)</w:t>
      </w:r>
      <w:r w:rsidRPr="00A44E49">
        <w:tab/>
      </w:r>
      <w:proofErr w:type="gramStart"/>
      <w:r w:rsidRPr="00A44E49">
        <w:t>include</w:t>
      </w:r>
      <w:proofErr w:type="gramEnd"/>
      <w:r w:rsidRPr="00A44E49">
        <w:t xml:space="preserve"> adequate processes for public consultation on proposed elements of the plan; and</w:t>
      </w:r>
    </w:p>
    <w:p w:rsidR="00053D3F" w:rsidRPr="00A44E49" w:rsidRDefault="00053D3F" w:rsidP="00053D3F">
      <w:pPr>
        <w:ind w:left="1440" w:hanging="720"/>
      </w:pPr>
      <w:r w:rsidRPr="00A44E49">
        <w:t>(c)</w:t>
      </w:r>
      <w:r w:rsidRPr="00A44E49">
        <w:tab/>
        <w:t>state what must be done to ensure that the World Heritage values of the property are identified, conserved, protected, presented, transmitted to future generations and, if appropriate, rehabilitated; and</w:t>
      </w:r>
    </w:p>
    <w:p w:rsidR="00053D3F" w:rsidRPr="00A44E49" w:rsidRDefault="00053D3F" w:rsidP="00053D3F">
      <w:pPr>
        <w:ind w:left="1440" w:hanging="720"/>
      </w:pPr>
      <w:r w:rsidRPr="00A44E49">
        <w:t>(d)</w:t>
      </w:r>
      <w:r w:rsidRPr="00A44E49">
        <w:tab/>
        <w:t>state mechanisms to deal with the impacts of actions that individually or cumulatively degrade, or threaten to degrade, the World Heritage values of the property; and</w:t>
      </w:r>
    </w:p>
    <w:p w:rsidR="00053D3F" w:rsidRPr="00A44E49" w:rsidRDefault="00053D3F" w:rsidP="00053D3F">
      <w:pPr>
        <w:ind w:left="1440" w:hanging="720"/>
      </w:pPr>
      <w:r w:rsidRPr="00A44E49">
        <w:t>(e)</w:t>
      </w:r>
      <w:r w:rsidRPr="00A44E49">
        <w:tab/>
        <w:t>provide that management actions for values, that are not World Heritage values, are consistent with the management of the World Heritage values of the property; and</w:t>
      </w:r>
    </w:p>
    <w:p w:rsidR="00053D3F" w:rsidRPr="00A44E49" w:rsidRDefault="00053D3F" w:rsidP="00053D3F">
      <w:pPr>
        <w:ind w:left="1440" w:hanging="720"/>
      </w:pPr>
      <w:r w:rsidRPr="00A44E49">
        <w:t>(f)</w:t>
      </w:r>
      <w:r w:rsidRPr="00A44E49">
        <w:tab/>
      </w:r>
      <w:proofErr w:type="gramStart"/>
      <w:r w:rsidRPr="00A44E49">
        <w:t>promote</w:t>
      </w:r>
      <w:proofErr w:type="gramEnd"/>
      <w:r w:rsidRPr="00A44E49">
        <w:t xml:space="preserve"> the integration of Commonwealth, State or Territory and local government responsibilities for the property; and</w:t>
      </w:r>
    </w:p>
    <w:p w:rsidR="00053D3F" w:rsidRPr="00A44E49" w:rsidRDefault="00053D3F" w:rsidP="00053D3F">
      <w:pPr>
        <w:ind w:left="1440" w:hanging="720"/>
      </w:pPr>
      <w:r w:rsidRPr="00A44E49">
        <w:lastRenderedPageBreak/>
        <w:t>(g)</w:t>
      </w:r>
      <w:r w:rsidRPr="00A44E49">
        <w:tab/>
      </w:r>
      <w:proofErr w:type="gramStart"/>
      <w:r w:rsidRPr="00A44E49">
        <w:t>provide</w:t>
      </w:r>
      <w:proofErr w:type="gramEnd"/>
      <w:r w:rsidRPr="00A44E49">
        <w:t xml:space="preserve"> for continuing monitoring and reporting on the state of the World Heritage values of the property; and</w:t>
      </w:r>
    </w:p>
    <w:p w:rsidR="00053D3F" w:rsidRPr="00A44E49" w:rsidRDefault="00053D3F" w:rsidP="00053D3F">
      <w:r w:rsidRPr="00A44E49">
        <w:tab/>
        <w:t>(h)</w:t>
      </w:r>
      <w:r w:rsidRPr="00A44E49">
        <w:tab/>
      </w:r>
      <w:proofErr w:type="gramStart"/>
      <w:r w:rsidRPr="00A44E49">
        <w:t>be</w:t>
      </w:r>
      <w:proofErr w:type="gramEnd"/>
      <w:r w:rsidRPr="00A44E49">
        <w:t xml:space="preserve"> reviewed at intervals of not more than 7 years.</w:t>
      </w:r>
    </w:p>
    <w:p w:rsidR="00053D3F" w:rsidRPr="00A44E49" w:rsidRDefault="00053D3F" w:rsidP="00053D3F">
      <w:pPr>
        <w:rPr>
          <w:b/>
        </w:rPr>
      </w:pPr>
      <w:r w:rsidRPr="00A44E49">
        <w:rPr>
          <w:b/>
        </w:rPr>
        <w:t>3</w:t>
      </w:r>
      <w:r w:rsidRPr="00A44E49">
        <w:rPr>
          <w:b/>
        </w:rPr>
        <w:tab/>
        <w:t>Environmental impact assessment and approval</w:t>
      </w:r>
    </w:p>
    <w:p w:rsidR="00053D3F" w:rsidRPr="00A44E49" w:rsidRDefault="00053D3F" w:rsidP="00053D3F">
      <w:r w:rsidRPr="00A44E49">
        <w:t>3.01</w:t>
      </w:r>
      <w:r w:rsidRPr="00A44E49">
        <w:tab/>
        <w:t>This principle applies to the assessment of an action that is likely to have a significant impact on the World Heritage values of a property (whether the action is to occur inside the property or not).</w:t>
      </w:r>
    </w:p>
    <w:p w:rsidR="00053D3F" w:rsidRPr="00A44E49" w:rsidRDefault="00053D3F" w:rsidP="00053D3F">
      <w:r w:rsidRPr="00A44E49">
        <w:t>3.02</w:t>
      </w:r>
      <w:r w:rsidRPr="00A44E49">
        <w:tab/>
        <w:t>Before the action is taken, the likely impact of the action on the World Heritage values of the property should be assessed under a statutory environmental impact assessment and approval process.</w:t>
      </w:r>
    </w:p>
    <w:p w:rsidR="00053D3F" w:rsidRPr="00A44E49" w:rsidRDefault="00053D3F" w:rsidP="00053D3F">
      <w:r w:rsidRPr="00A44E49">
        <w:t>3.03</w:t>
      </w:r>
      <w:r w:rsidRPr="00A44E49">
        <w:tab/>
        <w:t>The assessment process should:</w:t>
      </w:r>
    </w:p>
    <w:p w:rsidR="00053D3F" w:rsidRPr="00A44E49" w:rsidRDefault="00053D3F" w:rsidP="00053D3F">
      <w:pPr>
        <w:ind w:left="1440" w:hanging="720"/>
      </w:pPr>
      <w:r w:rsidRPr="00A44E49">
        <w:t>(a)</w:t>
      </w:r>
      <w:r w:rsidRPr="00A44E49">
        <w:tab/>
      </w:r>
      <w:proofErr w:type="gramStart"/>
      <w:r w:rsidRPr="00A44E49">
        <w:t>identify</w:t>
      </w:r>
      <w:proofErr w:type="gramEnd"/>
      <w:r w:rsidRPr="00A44E49">
        <w:t xml:space="preserve"> the World Heritage values of the property that are likely to be affected by the action; and</w:t>
      </w:r>
    </w:p>
    <w:p w:rsidR="00053D3F" w:rsidRPr="00A44E49" w:rsidRDefault="00053D3F" w:rsidP="00053D3F">
      <w:r w:rsidRPr="00A44E49">
        <w:tab/>
        <w:t>(b)</w:t>
      </w:r>
      <w:r w:rsidRPr="00A44E49">
        <w:tab/>
      </w:r>
      <w:proofErr w:type="gramStart"/>
      <w:r w:rsidRPr="00A44E49">
        <w:t>examine</w:t>
      </w:r>
      <w:proofErr w:type="gramEnd"/>
      <w:r w:rsidRPr="00A44E49">
        <w:t xml:space="preserve"> how the World Heritage values of the property might be affected; and</w:t>
      </w:r>
    </w:p>
    <w:p w:rsidR="00053D3F" w:rsidRPr="00A44E49" w:rsidRDefault="00053D3F" w:rsidP="00053D3F">
      <w:r w:rsidRPr="00A44E49">
        <w:tab/>
        <w:t>(c)</w:t>
      </w:r>
      <w:r w:rsidRPr="00A44E49">
        <w:tab/>
      </w:r>
      <w:proofErr w:type="gramStart"/>
      <w:r w:rsidRPr="00A44E49">
        <w:t>provide</w:t>
      </w:r>
      <w:proofErr w:type="gramEnd"/>
      <w:r w:rsidRPr="00A44E49">
        <w:t xml:space="preserve"> for adequate opportunity for public consultation.</w:t>
      </w:r>
    </w:p>
    <w:p w:rsidR="00053D3F" w:rsidRPr="00A44E49" w:rsidRDefault="00053D3F" w:rsidP="00053D3F">
      <w:r w:rsidRPr="00A44E49">
        <w:t>3.04</w:t>
      </w:r>
      <w:r w:rsidRPr="00A44E49">
        <w:tab/>
        <w:t>An action should not be approved if it would be inconsistent with the protection, conservation, presentation or transmission to future generations of the World Heritage values of the property.</w:t>
      </w:r>
    </w:p>
    <w:p w:rsidR="00053D3F" w:rsidRPr="00A44E49" w:rsidRDefault="00053D3F" w:rsidP="00053D3F">
      <w:r w:rsidRPr="00A44E49">
        <w:t>3.05</w:t>
      </w:r>
      <w:r w:rsidRPr="00A44E49">
        <w:tab/>
        <w:t>Approval of the action should be subject to conditions that are necessary to ensure protection, conservation, presentation or transmission to future generations of the World Heritage values of the property.</w:t>
      </w:r>
    </w:p>
    <w:p w:rsidR="00053D3F" w:rsidRPr="00A44E49" w:rsidRDefault="00053D3F" w:rsidP="00053D3F">
      <w:r w:rsidRPr="00A44E49">
        <w:t>3.06</w:t>
      </w:r>
      <w:r w:rsidRPr="00A44E49">
        <w:tab/>
        <w:t>The action should be monitored by the authority responsible for giving the approval (or another appropriate authority) and, if necessary, enforcement action should be taken to ensure compliance with the conditions of the approval.</w:t>
      </w:r>
    </w:p>
    <w:p w:rsidR="00053D3F" w:rsidRPr="00A44E49" w:rsidRDefault="00053D3F" w:rsidP="00053D3F">
      <w:pPr>
        <w:rPr>
          <w:b/>
        </w:rPr>
      </w:pPr>
    </w:p>
    <w:p w:rsidR="00053D3F" w:rsidRPr="00AA35AA" w:rsidRDefault="00053D3F" w:rsidP="00053D3F">
      <w:pPr>
        <w:rPr>
          <w:b/>
        </w:rPr>
      </w:pPr>
    </w:p>
    <w:p w:rsidR="00053D3F" w:rsidRPr="00A44E49" w:rsidRDefault="00053D3F" w:rsidP="00053D3F"/>
    <w:p w:rsidR="00053D3F" w:rsidRPr="00A44E49" w:rsidRDefault="00053D3F" w:rsidP="00053D3F"/>
    <w:p w:rsidR="00053D3F" w:rsidRPr="00A44E49" w:rsidRDefault="00053D3F" w:rsidP="00053D3F"/>
    <w:p w:rsidR="00053D3F" w:rsidRPr="00A44E49" w:rsidRDefault="00053D3F" w:rsidP="00053D3F">
      <w:pPr>
        <w:rPr>
          <w:rFonts w:asciiTheme="majorHAnsi" w:eastAsiaTheme="majorEastAsia" w:hAnsiTheme="majorHAnsi" w:cstheme="majorBidi"/>
          <w:b/>
          <w:bCs/>
          <w:color w:val="4F81BD" w:themeColor="accent1"/>
          <w:sz w:val="26"/>
          <w:szCs w:val="26"/>
        </w:rPr>
      </w:pPr>
      <w:r w:rsidRPr="00A44E49">
        <w:br w:type="page"/>
      </w:r>
    </w:p>
    <w:p w:rsidR="00053D3F" w:rsidRPr="00A44E49" w:rsidRDefault="00053D3F" w:rsidP="00053D3F">
      <w:pPr>
        <w:pStyle w:val="Heading1"/>
      </w:pPr>
      <w:bookmarkStart w:id="134" w:name="_Toc328503796"/>
      <w:bookmarkStart w:id="135" w:name="_Toc339368222"/>
      <w:r w:rsidRPr="00A44E49">
        <w:lastRenderedPageBreak/>
        <w:t>Attachment K – Extract from the Intergovernmental Agreement on the Environment, 1992</w:t>
      </w:r>
      <w:bookmarkEnd w:id="134"/>
      <w:bookmarkEnd w:id="135"/>
    </w:p>
    <w:p w:rsidR="00053D3F" w:rsidRPr="00A44E49" w:rsidRDefault="00053D3F" w:rsidP="00053D3F">
      <w:pPr>
        <w:rPr>
          <w:rFonts w:cstheme="minorHAnsi"/>
        </w:rPr>
      </w:pPr>
    </w:p>
    <w:p w:rsidR="00053D3F" w:rsidRPr="00A44E49" w:rsidRDefault="00053D3F" w:rsidP="00053D3F">
      <w:pPr>
        <w:pStyle w:val="Heading4"/>
      </w:pPr>
      <w:r w:rsidRPr="00A44E49">
        <w:t xml:space="preserve">Section 3 – Principles of environmental policy </w:t>
      </w:r>
    </w:p>
    <w:p w:rsidR="00053D3F" w:rsidRPr="00A44E49" w:rsidRDefault="00053D3F" w:rsidP="00053D3F">
      <w:pPr>
        <w:rPr>
          <w:rFonts w:eastAsia="Times New Roman" w:cstheme="minorHAnsi"/>
          <w:lang w:eastAsia="en-AU"/>
        </w:rPr>
      </w:pPr>
      <w:r w:rsidRPr="00A44E49">
        <w:rPr>
          <w:rFonts w:eastAsia="Times New Roman" w:cstheme="minorHAnsi"/>
          <w:lang w:eastAsia="en-AU"/>
        </w:rPr>
        <w:t>3.1 The parties agree that the development and implementation of environmental policy and programs by all levels of Government should be guided by the following considerations and principles.</w:t>
      </w:r>
    </w:p>
    <w:p w:rsidR="00053D3F" w:rsidRPr="00A44E49" w:rsidRDefault="00053D3F" w:rsidP="00053D3F">
      <w:pPr>
        <w:rPr>
          <w:rFonts w:eastAsia="Times New Roman" w:cstheme="minorHAnsi"/>
          <w:lang w:eastAsia="en-AU"/>
        </w:rPr>
      </w:pPr>
      <w:r w:rsidRPr="00A44E49">
        <w:rPr>
          <w:rFonts w:eastAsia="Times New Roman" w:cstheme="minorHAnsi"/>
          <w:lang w:eastAsia="en-AU"/>
        </w:rPr>
        <w:t>3.2 The parties consider that the adoption of sound environmental practices and procedures, as a basis for ecologically sustainable development, will benefit both the Australian people and environment, and the international community and environment. This requires the effective integration of economic and environmental considerations in decision-making processes, in order to improve community well-being and to benefit future generations.</w:t>
      </w:r>
    </w:p>
    <w:p w:rsidR="00053D3F" w:rsidRPr="00A44E49" w:rsidRDefault="00053D3F" w:rsidP="00053D3F">
      <w:pPr>
        <w:rPr>
          <w:rFonts w:eastAsia="Times New Roman" w:cstheme="minorHAnsi"/>
          <w:lang w:eastAsia="en-AU"/>
        </w:rPr>
      </w:pPr>
      <w:r w:rsidRPr="00A44E49">
        <w:rPr>
          <w:rFonts w:eastAsia="Times New Roman" w:cstheme="minorHAnsi"/>
          <w:lang w:eastAsia="en-AU"/>
        </w:rPr>
        <w:t>3.3 The parties consider that strong, growing and diversified economies (committed to the principles of ecologically sustainable development) can enhance the capacity for environmental protection. In order to achieve sustainable economic development, there is a need for a country's international competitiveness to be maintained and enhanced in an environmentally sound manner.</w:t>
      </w:r>
    </w:p>
    <w:p w:rsidR="00053D3F" w:rsidRPr="00A44E49" w:rsidRDefault="00053D3F" w:rsidP="00053D3F">
      <w:pPr>
        <w:rPr>
          <w:rFonts w:eastAsia="Times New Roman" w:cstheme="minorHAnsi"/>
          <w:lang w:eastAsia="en-AU"/>
        </w:rPr>
      </w:pPr>
      <w:r w:rsidRPr="00A44E49">
        <w:rPr>
          <w:rFonts w:eastAsia="Times New Roman" w:cstheme="minorHAnsi"/>
          <w:lang w:eastAsia="en-AU"/>
        </w:rPr>
        <w:t>3.4 Accordingly, the parties agree that environmental considerations will be integrated into Government decision-making processes at all levels by, among other things:</w:t>
      </w:r>
    </w:p>
    <w:p w:rsidR="00053D3F" w:rsidRPr="00A44E49" w:rsidRDefault="00053D3F" w:rsidP="00053D3F">
      <w:pPr>
        <w:pStyle w:val="ListParagraph"/>
        <w:numPr>
          <w:ilvl w:val="0"/>
          <w:numId w:val="20"/>
        </w:numPr>
        <w:rPr>
          <w:rFonts w:eastAsia="Times New Roman" w:cstheme="minorHAnsi"/>
          <w:lang w:eastAsia="en-AU"/>
        </w:rPr>
      </w:pPr>
      <w:r w:rsidRPr="00A44E49">
        <w:rPr>
          <w:rFonts w:eastAsia="Times New Roman" w:cstheme="minorHAnsi"/>
          <w:lang w:eastAsia="en-AU"/>
        </w:rPr>
        <w:t>ensuring that environmental issues associated with a proposed project, program or policy will be taken into consideration in the decision making process;</w:t>
      </w:r>
    </w:p>
    <w:p w:rsidR="00053D3F" w:rsidRPr="00A44E49" w:rsidRDefault="00053D3F" w:rsidP="00053D3F">
      <w:pPr>
        <w:pStyle w:val="ListParagraph"/>
        <w:numPr>
          <w:ilvl w:val="0"/>
          <w:numId w:val="20"/>
        </w:numPr>
        <w:rPr>
          <w:rFonts w:eastAsia="Times New Roman" w:cstheme="minorHAnsi"/>
          <w:lang w:eastAsia="en-AU"/>
        </w:rPr>
      </w:pPr>
      <w:r w:rsidRPr="00A44E49">
        <w:rPr>
          <w:rFonts w:eastAsia="Times New Roman" w:cstheme="minorHAnsi"/>
          <w:lang w:eastAsia="en-AU"/>
        </w:rPr>
        <w:t>ensuring that there is a proper examination of matters which significantly affect the environment; and</w:t>
      </w:r>
    </w:p>
    <w:p w:rsidR="00053D3F" w:rsidRPr="00A44E49" w:rsidRDefault="00053D3F" w:rsidP="00053D3F">
      <w:pPr>
        <w:pStyle w:val="ListParagraph"/>
        <w:numPr>
          <w:ilvl w:val="0"/>
          <w:numId w:val="20"/>
        </w:numPr>
        <w:rPr>
          <w:rFonts w:eastAsia="Times New Roman" w:cstheme="minorHAnsi"/>
          <w:lang w:eastAsia="en-AU"/>
        </w:rPr>
      </w:pPr>
      <w:proofErr w:type="gramStart"/>
      <w:r w:rsidRPr="00A44E49">
        <w:rPr>
          <w:rFonts w:eastAsia="Times New Roman" w:cstheme="minorHAnsi"/>
          <w:lang w:eastAsia="en-AU"/>
        </w:rPr>
        <w:t>ensuring</w:t>
      </w:r>
      <w:proofErr w:type="gramEnd"/>
      <w:r w:rsidRPr="00A44E49">
        <w:rPr>
          <w:rFonts w:eastAsia="Times New Roman" w:cstheme="minorHAnsi"/>
          <w:lang w:eastAsia="en-AU"/>
        </w:rPr>
        <w:t xml:space="preserve"> that measures adopted should be cost-effective and not be disproportionate to the significance of the environmental problems being addressed.</w:t>
      </w:r>
    </w:p>
    <w:p w:rsidR="00053D3F" w:rsidRPr="00A44E49" w:rsidRDefault="00053D3F" w:rsidP="00053D3F">
      <w:pPr>
        <w:rPr>
          <w:rFonts w:eastAsia="Times New Roman" w:cstheme="minorHAnsi"/>
          <w:lang w:eastAsia="en-AU"/>
        </w:rPr>
      </w:pPr>
      <w:r w:rsidRPr="00A44E49">
        <w:rPr>
          <w:rFonts w:eastAsia="Times New Roman" w:cstheme="minorHAnsi"/>
          <w:lang w:eastAsia="en-AU"/>
        </w:rPr>
        <w:t>3.5 The parties further agree that, in order to promote the above approach, the principles set out below should inform policy making and program implementation.</w:t>
      </w:r>
    </w:p>
    <w:p w:rsidR="00053D3F" w:rsidRPr="00A44E49" w:rsidRDefault="00053D3F" w:rsidP="00053D3F">
      <w:pPr>
        <w:rPr>
          <w:rFonts w:eastAsia="Times New Roman" w:cstheme="minorHAnsi"/>
          <w:lang w:eastAsia="en-AU"/>
        </w:rPr>
      </w:pPr>
      <w:r w:rsidRPr="00A44E49">
        <w:rPr>
          <w:rFonts w:eastAsia="Times New Roman" w:cstheme="minorHAnsi"/>
          <w:lang w:eastAsia="en-AU"/>
        </w:rPr>
        <w:t>3.5.1 Precautionary principle -</w:t>
      </w:r>
    </w:p>
    <w:p w:rsidR="00053D3F" w:rsidRPr="00A44E49" w:rsidRDefault="00053D3F" w:rsidP="00053D3F">
      <w:pPr>
        <w:rPr>
          <w:rFonts w:eastAsia="Times New Roman" w:cstheme="minorHAnsi"/>
          <w:lang w:eastAsia="en-AU"/>
        </w:rPr>
      </w:pPr>
      <w:proofErr w:type="gramStart"/>
      <w:r w:rsidRPr="00A44E49">
        <w:rPr>
          <w:rFonts w:eastAsia="Times New Roman" w:cstheme="minorHAnsi"/>
          <w:lang w:eastAsia="en-AU"/>
        </w:rPr>
        <w:t>where</w:t>
      </w:r>
      <w:proofErr w:type="gramEnd"/>
      <w:r w:rsidRPr="00A44E49">
        <w:rPr>
          <w:rFonts w:eastAsia="Times New Roman" w:cstheme="minorHAnsi"/>
          <w:lang w:eastAsia="en-AU"/>
        </w:rPr>
        <w:t xml:space="preserve"> there are threats of serious or irreversible environmental damage, lack of full scientific certainty should not be used as a reason for postponing measures to prevent environmental degradation. In the application of the precautionary principle, public and private decisions should be guided by:</w:t>
      </w:r>
    </w:p>
    <w:p w:rsidR="00053D3F" w:rsidRPr="00A44E49" w:rsidRDefault="00053D3F" w:rsidP="00053D3F">
      <w:pPr>
        <w:pStyle w:val="ListParagraph"/>
        <w:numPr>
          <w:ilvl w:val="0"/>
          <w:numId w:val="21"/>
        </w:numPr>
        <w:rPr>
          <w:rFonts w:eastAsia="Times New Roman" w:cstheme="minorHAnsi"/>
          <w:lang w:eastAsia="en-AU"/>
        </w:rPr>
      </w:pPr>
      <w:r w:rsidRPr="00A44E49">
        <w:rPr>
          <w:rFonts w:eastAsia="Times New Roman" w:cstheme="minorHAnsi"/>
          <w:lang w:eastAsia="en-AU"/>
        </w:rPr>
        <w:t>careful evaluation to avoid, wherever practicable, serious or irreversible damage to the environment; and</w:t>
      </w:r>
    </w:p>
    <w:p w:rsidR="00053D3F" w:rsidRPr="00A44E49" w:rsidRDefault="00053D3F" w:rsidP="00053D3F">
      <w:pPr>
        <w:pStyle w:val="ListParagraph"/>
        <w:numPr>
          <w:ilvl w:val="0"/>
          <w:numId w:val="21"/>
        </w:numPr>
        <w:rPr>
          <w:rFonts w:eastAsia="Times New Roman" w:cstheme="minorHAnsi"/>
          <w:lang w:eastAsia="en-AU"/>
        </w:rPr>
      </w:pPr>
      <w:proofErr w:type="gramStart"/>
      <w:r w:rsidRPr="00A44E49">
        <w:rPr>
          <w:rFonts w:eastAsia="Times New Roman" w:cstheme="minorHAnsi"/>
          <w:lang w:eastAsia="en-AU"/>
        </w:rPr>
        <w:t>an</w:t>
      </w:r>
      <w:proofErr w:type="gramEnd"/>
      <w:r w:rsidRPr="00A44E49">
        <w:rPr>
          <w:rFonts w:eastAsia="Times New Roman" w:cstheme="minorHAnsi"/>
          <w:lang w:eastAsia="en-AU"/>
        </w:rPr>
        <w:t xml:space="preserve"> assessment of the risk-weighted consequences of various options.</w:t>
      </w:r>
    </w:p>
    <w:p w:rsidR="00053D3F" w:rsidRPr="00A44E49" w:rsidRDefault="00053D3F" w:rsidP="00053D3F">
      <w:pPr>
        <w:rPr>
          <w:rFonts w:eastAsia="Times New Roman" w:cstheme="minorHAnsi"/>
          <w:lang w:eastAsia="en-AU"/>
        </w:rPr>
      </w:pPr>
      <w:r w:rsidRPr="00A44E49">
        <w:rPr>
          <w:rFonts w:eastAsia="Times New Roman" w:cstheme="minorHAnsi"/>
          <w:lang w:eastAsia="en-AU"/>
        </w:rPr>
        <w:t>3.5.2 Intergenerational equity -</w:t>
      </w:r>
    </w:p>
    <w:p w:rsidR="00053D3F" w:rsidRPr="00A44E49" w:rsidRDefault="00053D3F" w:rsidP="00053D3F">
      <w:pPr>
        <w:rPr>
          <w:rFonts w:eastAsia="Times New Roman" w:cstheme="minorHAnsi"/>
          <w:lang w:eastAsia="en-AU"/>
        </w:rPr>
      </w:pPr>
      <w:proofErr w:type="gramStart"/>
      <w:r w:rsidRPr="00A44E49">
        <w:rPr>
          <w:rFonts w:eastAsia="Times New Roman" w:cstheme="minorHAnsi"/>
          <w:lang w:eastAsia="en-AU"/>
        </w:rPr>
        <w:t>the</w:t>
      </w:r>
      <w:proofErr w:type="gramEnd"/>
      <w:r w:rsidRPr="00A44E49">
        <w:rPr>
          <w:rFonts w:eastAsia="Times New Roman" w:cstheme="minorHAnsi"/>
          <w:lang w:eastAsia="en-AU"/>
        </w:rPr>
        <w:t xml:space="preserve"> present generation should ensure that the health, diversity and productivity of the environment is maintained or enhanced for the benefit of future generations.</w:t>
      </w:r>
    </w:p>
    <w:p w:rsidR="00053D3F" w:rsidRPr="00A44E49" w:rsidRDefault="00053D3F" w:rsidP="00053D3F">
      <w:pPr>
        <w:rPr>
          <w:rFonts w:eastAsia="Times New Roman" w:cstheme="minorHAnsi"/>
          <w:lang w:eastAsia="en-AU"/>
        </w:rPr>
      </w:pPr>
      <w:r w:rsidRPr="00A44E49">
        <w:rPr>
          <w:rFonts w:eastAsia="Times New Roman" w:cstheme="minorHAnsi"/>
          <w:lang w:eastAsia="en-AU"/>
        </w:rPr>
        <w:lastRenderedPageBreak/>
        <w:t>3.5.3 Conservation of biological diversity and ecological integrity -</w:t>
      </w:r>
    </w:p>
    <w:p w:rsidR="00053D3F" w:rsidRPr="00A44E49" w:rsidRDefault="00053D3F" w:rsidP="00053D3F">
      <w:pPr>
        <w:rPr>
          <w:rFonts w:eastAsia="Times New Roman" w:cstheme="minorHAnsi"/>
          <w:lang w:eastAsia="en-AU"/>
        </w:rPr>
      </w:pPr>
      <w:proofErr w:type="gramStart"/>
      <w:r w:rsidRPr="00A44E49">
        <w:rPr>
          <w:rFonts w:eastAsia="Times New Roman" w:cstheme="minorHAnsi"/>
          <w:lang w:eastAsia="en-AU"/>
        </w:rPr>
        <w:t>conservation</w:t>
      </w:r>
      <w:proofErr w:type="gramEnd"/>
      <w:r w:rsidRPr="00A44E49">
        <w:rPr>
          <w:rFonts w:eastAsia="Times New Roman" w:cstheme="minorHAnsi"/>
          <w:lang w:eastAsia="en-AU"/>
        </w:rPr>
        <w:t xml:space="preserve"> of biological diversity and ecological integrity should be a fundamental consideration.</w:t>
      </w:r>
    </w:p>
    <w:p w:rsidR="00053D3F" w:rsidRPr="00A44E49" w:rsidRDefault="00053D3F" w:rsidP="00053D3F">
      <w:pPr>
        <w:rPr>
          <w:rFonts w:eastAsia="Times New Roman" w:cstheme="minorHAnsi"/>
          <w:lang w:eastAsia="en-AU"/>
        </w:rPr>
      </w:pPr>
      <w:r w:rsidRPr="00A44E49">
        <w:rPr>
          <w:rFonts w:eastAsia="Times New Roman" w:cstheme="minorHAnsi"/>
          <w:lang w:eastAsia="en-AU"/>
        </w:rPr>
        <w:t>3.5.4 Improved valuation, pricing and incentive mechanisms -</w:t>
      </w:r>
    </w:p>
    <w:p w:rsidR="00053D3F" w:rsidRPr="00A44E49" w:rsidRDefault="00053D3F" w:rsidP="00053D3F">
      <w:pPr>
        <w:pStyle w:val="ListParagraph"/>
        <w:numPr>
          <w:ilvl w:val="0"/>
          <w:numId w:val="22"/>
        </w:numPr>
        <w:rPr>
          <w:rFonts w:eastAsia="Times New Roman" w:cstheme="minorHAnsi"/>
          <w:lang w:eastAsia="en-AU"/>
        </w:rPr>
      </w:pPr>
      <w:proofErr w:type="gramStart"/>
      <w:r w:rsidRPr="00A44E49">
        <w:rPr>
          <w:rFonts w:eastAsia="Times New Roman" w:cstheme="minorHAnsi"/>
          <w:lang w:eastAsia="en-AU"/>
        </w:rPr>
        <w:t>environmental</w:t>
      </w:r>
      <w:proofErr w:type="gramEnd"/>
      <w:r w:rsidRPr="00A44E49">
        <w:rPr>
          <w:rFonts w:eastAsia="Times New Roman" w:cstheme="minorHAnsi"/>
          <w:lang w:eastAsia="en-AU"/>
        </w:rPr>
        <w:t xml:space="preserve"> factors should be included in the valuation of assets and services.</w:t>
      </w:r>
    </w:p>
    <w:p w:rsidR="00053D3F" w:rsidRPr="00A44E49" w:rsidRDefault="00373445" w:rsidP="00053D3F">
      <w:pPr>
        <w:pStyle w:val="ListParagraph"/>
        <w:numPr>
          <w:ilvl w:val="0"/>
          <w:numId w:val="22"/>
        </w:numPr>
        <w:rPr>
          <w:rFonts w:eastAsia="Times New Roman" w:cstheme="minorHAnsi"/>
          <w:lang w:eastAsia="en-AU"/>
        </w:rPr>
      </w:pPr>
      <w:r>
        <w:rPr>
          <w:rFonts w:eastAsia="Times New Roman" w:cstheme="minorHAnsi"/>
          <w:lang w:eastAsia="en-AU"/>
        </w:rPr>
        <w:t xml:space="preserve">polluter pays </w:t>
      </w:r>
      <w:proofErr w:type="spellStart"/>
      <w:r>
        <w:rPr>
          <w:rFonts w:eastAsia="Times New Roman" w:cstheme="minorHAnsi"/>
          <w:lang w:eastAsia="en-AU"/>
        </w:rPr>
        <w:t>ie</w:t>
      </w:r>
      <w:proofErr w:type="spellEnd"/>
      <w:r w:rsidR="00053D3F" w:rsidRPr="00A44E49">
        <w:rPr>
          <w:rFonts w:eastAsia="Times New Roman" w:cstheme="minorHAnsi"/>
          <w:lang w:eastAsia="en-AU"/>
        </w:rPr>
        <w:t xml:space="preserve"> those who generate pollution and waste should bear the cost of containment, avoidance, or abatement</w:t>
      </w:r>
    </w:p>
    <w:p w:rsidR="00053D3F" w:rsidRPr="00A44E49" w:rsidRDefault="00053D3F" w:rsidP="00053D3F">
      <w:pPr>
        <w:pStyle w:val="ListParagraph"/>
        <w:numPr>
          <w:ilvl w:val="0"/>
          <w:numId w:val="22"/>
        </w:numPr>
        <w:rPr>
          <w:rFonts w:eastAsia="Times New Roman" w:cstheme="minorHAnsi"/>
          <w:lang w:eastAsia="en-AU"/>
        </w:rPr>
      </w:pPr>
      <w:r w:rsidRPr="00A44E49">
        <w:rPr>
          <w:rFonts w:eastAsia="Times New Roman" w:cstheme="minorHAnsi"/>
          <w:lang w:eastAsia="en-AU"/>
        </w:rPr>
        <w:t>the users of goods and services should pay prices based on the full life cycle costs of providing goods and services, including the use of natural resources and assets and the ultimate disposal of any wastes</w:t>
      </w:r>
    </w:p>
    <w:p w:rsidR="008A241A" w:rsidRPr="00053D3F" w:rsidRDefault="00053D3F" w:rsidP="008A241A">
      <w:pPr>
        <w:pStyle w:val="ListParagraph"/>
        <w:numPr>
          <w:ilvl w:val="0"/>
          <w:numId w:val="22"/>
        </w:numPr>
        <w:rPr>
          <w:rFonts w:eastAsia="Times New Roman" w:cstheme="minorHAnsi"/>
          <w:lang w:eastAsia="en-AU"/>
        </w:rPr>
      </w:pPr>
      <w:proofErr w:type="gramStart"/>
      <w:r w:rsidRPr="00A44E49">
        <w:rPr>
          <w:rFonts w:eastAsia="Times New Roman" w:cstheme="minorHAnsi"/>
          <w:lang w:eastAsia="en-AU"/>
        </w:rPr>
        <w:t>environmental</w:t>
      </w:r>
      <w:proofErr w:type="gramEnd"/>
      <w:r w:rsidRPr="00A44E49">
        <w:rPr>
          <w:rFonts w:eastAsia="Times New Roman" w:cstheme="minorHAnsi"/>
          <w:lang w:eastAsia="en-AU"/>
        </w:rPr>
        <w:t xml:space="preserve"> goals, having been established, should be pursued in the most cost effective way, by establishing incentive structures, including market mechanisms, which enable those best placed to maximise benefits and/or minimise costs to develop their own solutions and responses to environmental problems</w:t>
      </w:r>
      <w:r>
        <w:rPr>
          <w:rFonts w:eastAsia="Times New Roman" w:cstheme="minorHAnsi"/>
          <w:lang w:eastAsia="en-AU"/>
        </w:rPr>
        <w:t>.</w:t>
      </w:r>
    </w:p>
    <w:p w:rsidR="008A241A" w:rsidRPr="00752DE6" w:rsidRDefault="008A241A" w:rsidP="008A241A"/>
    <w:bookmarkEnd w:id="81"/>
    <w:p w:rsidR="00A20E97" w:rsidRDefault="00A20E97"/>
    <w:sectPr w:rsidR="00A20E97" w:rsidSect="00443571">
      <w:headerReference w:type="even" r:id="rId24"/>
      <w:headerReference w:type="default" r:id="rId25"/>
      <w:footerReference w:type="default" r:id="rId26"/>
      <w:headerReference w:type="first" r:id="rId2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5C0" w:rsidRDefault="001125C0" w:rsidP="00DB30C5">
      <w:pPr>
        <w:spacing w:after="0" w:line="240" w:lineRule="auto"/>
      </w:pPr>
      <w:r>
        <w:separator/>
      </w:r>
    </w:p>
  </w:endnote>
  <w:endnote w:type="continuationSeparator" w:id="0">
    <w:p w:rsidR="001125C0" w:rsidRDefault="001125C0" w:rsidP="00DB30C5">
      <w:pPr>
        <w:spacing w:after="0" w:line="240" w:lineRule="auto"/>
      </w:pPr>
      <w:r>
        <w:continuationSeparator/>
      </w:r>
    </w:p>
  </w:endnote>
  <w:endnote w:id="1">
    <w:p w:rsidR="001125C0" w:rsidRPr="00F45329" w:rsidRDefault="001125C0" w:rsidP="00F45329">
      <w:pPr>
        <w:pStyle w:val="FootnoteText"/>
        <w:rPr>
          <w:rFonts w:asciiTheme="minorHAnsi" w:hAnsiTheme="minorHAnsi" w:cstheme="minorHAnsi"/>
          <w:sz w:val="18"/>
          <w:szCs w:val="18"/>
        </w:rPr>
      </w:pPr>
      <w:r w:rsidRPr="009B7064">
        <w:rPr>
          <w:rStyle w:val="EndnoteReference"/>
          <w:rFonts w:cstheme="minorHAnsi"/>
          <w:sz w:val="18"/>
          <w:szCs w:val="18"/>
        </w:rPr>
        <w:endnoteRef/>
      </w:r>
      <w:r w:rsidRPr="009B7064">
        <w:rPr>
          <w:rFonts w:cstheme="minorHAnsi"/>
          <w:sz w:val="18"/>
          <w:szCs w:val="18"/>
        </w:rPr>
        <w:t xml:space="preserve"> </w:t>
      </w:r>
      <w:r w:rsidRPr="009B7064">
        <w:rPr>
          <w:rFonts w:asciiTheme="minorHAnsi" w:hAnsiTheme="minorHAnsi" w:cstheme="minorHAnsi"/>
          <w:sz w:val="18"/>
          <w:szCs w:val="18"/>
        </w:rPr>
        <w:t xml:space="preserve">Matters of National Environmental Significance </w:t>
      </w:r>
      <w:r>
        <w:rPr>
          <w:rFonts w:asciiTheme="minorHAnsi" w:hAnsiTheme="minorHAnsi" w:cstheme="minorHAnsi"/>
          <w:sz w:val="18"/>
          <w:szCs w:val="18"/>
        </w:rPr>
        <w:t>are</w:t>
      </w:r>
      <w:r w:rsidRPr="009B7064">
        <w:rPr>
          <w:rFonts w:asciiTheme="minorHAnsi" w:hAnsiTheme="minorHAnsi" w:cstheme="minorHAnsi"/>
          <w:sz w:val="18"/>
          <w:szCs w:val="18"/>
        </w:rPr>
        <w:t>: World Heritage, National Heritage, Wetlands of International Importance (</w:t>
      </w:r>
      <w:proofErr w:type="spellStart"/>
      <w:r w:rsidRPr="009B7064">
        <w:rPr>
          <w:rFonts w:asciiTheme="minorHAnsi" w:hAnsiTheme="minorHAnsi" w:cstheme="minorHAnsi"/>
          <w:sz w:val="18"/>
          <w:szCs w:val="18"/>
        </w:rPr>
        <w:t>Ramsar</w:t>
      </w:r>
      <w:proofErr w:type="spellEnd"/>
      <w:r w:rsidRPr="009B7064">
        <w:rPr>
          <w:rFonts w:asciiTheme="minorHAnsi" w:hAnsiTheme="minorHAnsi" w:cstheme="minorHAnsi"/>
          <w:sz w:val="18"/>
          <w:szCs w:val="18"/>
        </w:rPr>
        <w:t xml:space="preserve"> wetlands), Threatened Species and Communities, Migratory Species, Nuclear Actions, the Commonwealth Marine Area, and the Great Barrier Reef Marine Park. Seven of the eight matters of national environmental significance were first identified in the 1997 </w:t>
      </w:r>
      <w:r w:rsidRPr="009B7064">
        <w:rPr>
          <w:rFonts w:asciiTheme="minorHAnsi" w:hAnsiTheme="minorHAnsi" w:cstheme="minorHAnsi"/>
          <w:i/>
          <w:sz w:val="18"/>
          <w:szCs w:val="18"/>
        </w:rPr>
        <w:t>COAG Heads of Agreement on Commonwealth/State Roles and Responsibilities for the Environment</w:t>
      </w:r>
      <w:r w:rsidRPr="009B7064">
        <w:rPr>
          <w:rFonts w:asciiTheme="minorHAnsi" w:hAnsiTheme="minorHAnsi" w:cstheme="minorHAnsi"/>
          <w:sz w:val="18"/>
          <w:szCs w:val="18"/>
        </w:rPr>
        <w:t>. The Great Barrier Reef Marine Park was added in 2009.</w:t>
      </w:r>
    </w:p>
  </w:endnote>
  <w:endnote w:id="2">
    <w:p w:rsidR="001125C0" w:rsidRPr="007642C4" w:rsidRDefault="001125C0" w:rsidP="007642C4">
      <w:pPr>
        <w:spacing w:after="0"/>
        <w:rPr>
          <w:rFonts w:cstheme="minorHAnsi"/>
          <w:sz w:val="18"/>
          <w:szCs w:val="18"/>
        </w:rPr>
      </w:pPr>
      <w:r w:rsidRPr="007642C4">
        <w:rPr>
          <w:rStyle w:val="EndnoteReference"/>
          <w:rFonts w:cstheme="minorHAnsi"/>
          <w:sz w:val="18"/>
          <w:szCs w:val="18"/>
        </w:rPr>
        <w:endnoteRef/>
      </w:r>
      <w:r w:rsidRPr="007642C4">
        <w:rPr>
          <w:rFonts w:cstheme="minorHAnsi"/>
          <w:sz w:val="18"/>
          <w:szCs w:val="18"/>
        </w:rPr>
        <w:t xml:space="preserve"> </w:t>
      </w:r>
      <w:r>
        <w:rPr>
          <w:rFonts w:cstheme="minorHAnsi"/>
          <w:sz w:val="18"/>
          <w:szCs w:val="18"/>
        </w:rPr>
        <w:t xml:space="preserve">See also the </w:t>
      </w:r>
      <w:r w:rsidRPr="009B7064">
        <w:rPr>
          <w:rFonts w:cstheme="minorHAnsi"/>
          <w:sz w:val="18"/>
          <w:szCs w:val="18"/>
        </w:rPr>
        <w:t xml:space="preserve">1997 </w:t>
      </w:r>
      <w:r w:rsidRPr="009B7064">
        <w:rPr>
          <w:rFonts w:cstheme="minorHAnsi"/>
          <w:i/>
          <w:sz w:val="18"/>
          <w:szCs w:val="18"/>
        </w:rPr>
        <w:t>COAG Heads of Agreement on Commonwealth/State Roles and Responsibilities for the Environment</w:t>
      </w:r>
      <w:r>
        <w:rPr>
          <w:rFonts w:eastAsia="Calibri" w:cstheme="minorHAnsi"/>
          <w:sz w:val="18"/>
          <w:szCs w:val="18"/>
        </w:rPr>
        <w:t>.</w:t>
      </w:r>
    </w:p>
  </w:endnote>
  <w:endnote w:id="3">
    <w:p w:rsidR="001125C0" w:rsidRDefault="001125C0" w:rsidP="00BE6F5B">
      <w:pPr>
        <w:pStyle w:val="EndnoteText"/>
      </w:pPr>
      <w:r w:rsidRPr="00AF24E8">
        <w:rPr>
          <w:rStyle w:val="EndnoteReference"/>
          <w:rFonts w:cstheme="minorHAnsi"/>
          <w:sz w:val="18"/>
          <w:szCs w:val="18"/>
        </w:rPr>
        <w:endnoteRef/>
      </w:r>
      <w:r w:rsidRPr="00AF24E8">
        <w:rPr>
          <w:rStyle w:val="EndnoteReference"/>
          <w:rFonts w:cstheme="minorHAnsi"/>
          <w:sz w:val="18"/>
          <w:szCs w:val="18"/>
        </w:rPr>
        <w:t xml:space="preserve"> </w:t>
      </w:r>
      <w:r w:rsidRPr="00AF24E8">
        <w:rPr>
          <w:rFonts w:cstheme="minorHAnsi"/>
          <w:sz w:val="18"/>
          <w:szCs w:val="18"/>
        </w:rPr>
        <w:t>EPBC Act, section 3.</w:t>
      </w:r>
    </w:p>
  </w:endnote>
  <w:endnote w:id="4">
    <w:p w:rsidR="001125C0" w:rsidRPr="0090001C" w:rsidRDefault="001125C0" w:rsidP="007264AF">
      <w:pPr>
        <w:pStyle w:val="EndnoteText"/>
        <w:rPr>
          <w:rFonts w:cstheme="minorHAnsi"/>
          <w:sz w:val="18"/>
          <w:szCs w:val="18"/>
        </w:rPr>
      </w:pPr>
      <w:r w:rsidRPr="009B7064">
        <w:rPr>
          <w:rStyle w:val="EndnoteReference"/>
          <w:rFonts w:cstheme="minorHAnsi"/>
          <w:sz w:val="18"/>
          <w:szCs w:val="18"/>
        </w:rPr>
        <w:endnoteRef/>
      </w:r>
      <w:r w:rsidRPr="009B7064">
        <w:rPr>
          <w:rFonts w:cstheme="minorHAnsi"/>
          <w:sz w:val="18"/>
          <w:szCs w:val="18"/>
        </w:rPr>
        <w:t xml:space="preserve"> EPBC Act, s</w:t>
      </w:r>
      <w:r w:rsidRPr="0090001C">
        <w:rPr>
          <w:rFonts w:cstheme="minorHAnsi"/>
          <w:sz w:val="18"/>
          <w:szCs w:val="18"/>
        </w:rPr>
        <w:t>ection 3A.</w:t>
      </w:r>
    </w:p>
  </w:endnote>
  <w:endnote w:id="5">
    <w:p w:rsidR="001125C0" w:rsidRPr="0090001C" w:rsidRDefault="001125C0" w:rsidP="00CD26D3">
      <w:pPr>
        <w:pStyle w:val="EndnoteText"/>
        <w:rPr>
          <w:rFonts w:cstheme="minorHAnsi"/>
          <w:sz w:val="18"/>
          <w:szCs w:val="18"/>
        </w:rPr>
      </w:pPr>
      <w:r w:rsidRPr="00D76B15">
        <w:rPr>
          <w:rStyle w:val="EndnoteReference"/>
          <w:rFonts w:cstheme="minorHAnsi"/>
          <w:sz w:val="18"/>
          <w:szCs w:val="18"/>
        </w:rPr>
        <w:endnoteRef/>
      </w:r>
      <w:r w:rsidRPr="001C6F20">
        <w:rPr>
          <w:rStyle w:val="EndnoteReference"/>
        </w:rPr>
        <w:t xml:space="preserve"> </w:t>
      </w:r>
      <w:r w:rsidRPr="00D76B15">
        <w:rPr>
          <w:rFonts w:cstheme="minorHAnsi"/>
          <w:sz w:val="18"/>
          <w:szCs w:val="18"/>
        </w:rPr>
        <w:t>The Act also regulates actions likely to have a significant impact on Commonwealth land; or on the environment generally when arising from Commonwealth actions.  These matters are not dealt with further in these standards because,</w:t>
      </w:r>
      <w:r w:rsidRPr="0090001C">
        <w:rPr>
          <w:rFonts w:cstheme="minorHAnsi"/>
          <w:sz w:val="18"/>
          <w:szCs w:val="18"/>
        </w:rPr>
        <w:t xml:space="preserve"> as matters of exclusive Commonwealth jurisdiction, they do not duplicate State and Territory approvals.</w:t>
      </w:r>
    </w:p>
  </w:endnote>
  <w:endnote w:id="6">
    <w:p w:rsidR="001125C0" w:rsidRPr="0090001C" w:rsidRDefault="001125C0" w:rsidP="00D80253">
      <w:pPr>
        <w:pStyle w:val="EndnoteText"/>
        <w:rPr>
          <w:rFonts w:cstheme="minorHAnsi"/>
          <w:sz w:val="18"/>
          <w:szCs w:val="18"/>
        </w:rPr>
      </w:pPr>
      <w:r w:rsidRPr="00D76B15">
        <w:rPr>
          <w:rStyle w:val="EndnoteReference"/>
          <w:rFonts w:cstheme="minorHAnsi"/>
          <w:sz w:val="18"/>
          <w:szCs w:val="18"/>
        </w:rPr>
        <w:endnoteRef/>
      </w:r>
      <w:r w:rsidRPr="00D76B15">
        <w:rPr>
          <w:rFonts w:cstheme="minorHAnsi"/>
          <w:sz w:val="18"/>
          <w:szCs w:val="18"/>
        </w:rPr>
        <w:t xml:space="preserve"> These include bilateral agreements accrediting </w:t>
      </w:r>
      <w:proofErr w:type="gramStart"/>
      <w:r w:rsidRPr="00D76B15">
        <w:rPr>
          <w:rFonts w:cstheme="minorHAnsi"/>
          <w:sz w:val="18"/>
          <w:szCs w:val="18"/>
        </w:rPr>
        <w:t>both State</w:t>
      </w:r>
      <w:proofErr w:type="gramEnd"/>
      <w:r w:rsidRPr="00D76B15">
        <w:rPr>
          <w:rFonts w:cstheme="minorHAnsi"/>
          <w:sz w:val="18"/>
          <w:szCs w:val="18"/>
        </w:rPr>
        <w:t xml:space="preserve"> and Territory assessment and/or approval processes, individual accreditations of project as</w:t>
      </w:r>
      <w:r w:rsidRPr="0090001C">
        <w:rPr>
          <w:rFonts w:cstheme="minorHAnsi"/>
          <w:sz w:val="18"/>
          <w:szCs w:val="18"/>
        </w:rPr>
        <w:t>sessment processes, conservation agreements and strategic assessments.</w:t>
      </w:r>
    </w:p>
  </w:endnote>
  <w:endnote w:id="7">
    <w:p w:rsidR="001125C0" w:rsidRPr="009B7064" w:rsidRDefault="001125C0" w:rsidP="003D765E">
      <w:pPr>
        <w:pStyle w:val="EndnoteText"/>
        <w:rPr>
          <w:rFonts w:cstheme="minorHAnsi"/>
          <w:sz w:val="18"/>
          <w:szCs w:val="18"/>
        </w:rPr>
      </w:pPr>
      <w:r w:rsidRPr="009B7064">
        <w:rPr>
          <w:rStyle w:val="EndnoteReference"/>
          <w:rFonts w:cstheme="minorHAnsi"/>
          <w:sz w:val="18"/>
          <w:szCs w:val="18"/>
        </w:rPr>
        <w:endnoteRef/>
      </w:r>
      <w:r w:rsidRPr="009B7064">
        <w:rPr>
          <w:rFonts w:cstheme="minorHAnsi"/>
          <w:sz w:val="18"/>
          <w:szCs w:val="18"/>
        </w:rPr>
        <w:t xml:space="preserve"> An approval bilateral agreement between the Commonwealth and New South Wales Governments was signed in 2005 in relation to the management plan for the Sydney Opera House</w:t>
      </w:r>
      <w:r>
        <w:rPr>
          <w:rFonts w:cstheme="minorHAnsi"/>
          <w:sz w:val="18"/>
          <w:szCs w:val="18"/>
        </w:rPr>
        <w:t>. It</w:t>
      </w:r>
      <w:r w:rsidRPr="009B7064">
        <w:rPr>
          <w:rFonts w:cstheme="minorHAnsi"/>
          <w:sz w:val="18"/>
          <w:szCs w:val="18"/>
        </w:rPr>
        <w:t xml:space="preserve"> expir</w:t>
      </w:r>
      <w:r>
        <w:rPr>
          <w:rFonts w:cstheme="minorHAnsi"/>
          <w:sz w:val="18"/>
          <w:szCs w:val="18"/>
        </w:rPr>
        <w:t>ed</w:t>
      </w:r>
      <w:r w:rsidRPr="009B7064">
        <w:rPr>
          <w:rFonts w:cstheme="minorHAnsi"/>
          <w:sz w:val="18"/>
          <w:szCs w:val="18"/>
        </w:rPr>
        <w:t xml:space="preserve"> in 2010</w:t>
      </w:r>
      <w:r>
        <w:rPr>
          <w:rFonts w:cstheme="minorHAnsi"/>
          <w:sz w:val="18"/>
          <w:szCs w:val="18"/>
        </w:rPr>
        <w:t>, but is likely to be replaced be another instrument under the EPBC Act</w:t>
      </w:r>
      <w:r w:rsidRPr="009B7064">
        <w:rPr>
          <w:rFonts w:cstheme="minorHAnsi"/>
          <w:sz w:val="18"/>
          <w:szCs w:val="18"/>
        </w:rPr>
        <w:t>.</w:t>
      </w:r>
    </w:p>
  </w:endnote>
  <w:endnote w:id="8">
    <w:p w:rsidR="001125C0" w:rsidRDefault="001125C0" w:rsidP="00D80253">
      <w:pPr>
        <w:pStyle w:val="EndnoteText"/>
      </w:pPr>
      <w:r w:rsidRPr="001C6F20">
        <w:rPr>
          <w:rStyle w:val="EndnoteReference"/>
          <w:rFonts w:cstheme="minorHAnsi"/>
          <w:sz w:val="18"/>
          <w:szCs w:val="18"/>
        </w:rPr>
        <w:endnoteRef/>
      </w:r>
      <w:r>
        <w:t xml:space="preserve"> </w:t>
      </w:r>
      <w:r w:rsidRPr="00F853AF">
        <w:rPr>
          <w:rFonts w:cstheme="minorHAnsi"/>
          <w:sz w:val="18"/>
          <w:szCs w:val="18"/>
        </w:rPr>
        <w:t>EPBC Act, section 47.</w:t>
      </w:r>
    </w:p>
  </w:endnote>
  <w:endnote w:id="9">
    <w:p w:rsidR="001125C0" w:rsidRPr="00F805CE" w:rsidRDefault="001125C0" w:rsidP="009E44F6">
      <w:pPr>
        <w:pStyle w:val="EndnoteText"/>
        <w:rPr>
          <w:rFonts w:cstheme="minorHAnsi"/>
        </w:rPr>
      </w:pPr>
      <w:r w:rsidRPr="001C6F20">
        <w:rPr>
          <w:rStyle w:val="EndnoteReference"/>
          <w:rFonts w:cstheme="minorHAnsi"/>
          <w:sz w:val="18"/>
          <w:szCs w:val="18"/>
        </w:rPr>
        <w:endnoteRef/>
      </w:r>
      <w:r w:rsidRPr="00F805CE">
        <w:rPr>
          <w:rFonts w:cstheme="minorHAnsi"/>
        </w:rPr>
        <w:t xml:space="preserve"> </w:t>
      </w:r>
      <w:r w:rsidRPr="00F805CE">
        <w:rPr>
          <w:rStyle w:val="FootnoteChar"/>
          <w:rFonts w:asciiTheme="minorHAnsi" w:hAnsiTheme="minorHAnsi"/>
        </w:rPr>
        <w:t>EPBC Act, paragraph 50(b).</w:t>
      </w:r>
    </w:p>
  </w:endnote>
  <w:endnote w:id="10">
    <w:p w:rsidR="001125C0" w:rsidRPr="00F805CE" w:rsidRDefault="001125C0" w:rsidP="009E44F6">
      <w:pPr>
        <w:pStyle w:val="EndnoteText"/>
        <w:rPr>
          <w:rFonts w:cstheme="minorHAnsi"/>
        </w:rPr>
      </w:pPr>
      <w:r w:rsidRPr="001C6F20">
        <w:rPr>
          <w:rStyle w:val="EndnoteReference"/>
          <w:rFonts w:cstheme="minorHAnsi"/>
          <w:sz w:val="18"/>
          <w:szCs w:val="18"/>
        </w:rPr>
        <w:endnoteRef/>
      </w:r>
      <w:r w:rsidRPr="00F805CE">
        <w:rPr>
          <w:rFonts w:cstheme="minorHAnsi"/>
        </w:rPr>
        <w:t xml:space="preserve"> </w:t>
      </w:r>
      <w:r w:rsidRPr="00F805CE">
        <w:rPr>
          <w:rFonts w:cstheme="minorHAnsi"/>
          <w:sz w:val="18"/>
          <w:szCs w:val="18"/>
        </w:rPr>
        <w:t>EPBC Act, paragraphs 51(1</w:t>
      </w:r>
      <w:proofErr w:type="gramStart"/>
      <w:r w:rsidRPr="00F805CE">
        <w:rPr>
          <w:rFonts w:cstheme="minorHAnsi"/>
          <w:sz w:val="18"/>
          <w:szCs w:val="18"/>
        </w:rPr>
        <w:t>)(</w:t>
      </w:r>
      <w:proofErr w:type="gramEnd"/>
      <w:r w:rsidRPr="00F805CE">
        <w:rPr>
          <w:rFonts w:cstheme="minorHAnsi"/>
          <w:sz w:val="18"/>
          <w:szCs w:val="18"/>
        </w:rPr>
        <w:t>a), 51(2)(a), 52(1)(a), 52(2)(a), 53(1)(a), 53(2)(a), 54(1)(a), 54(2)(a).</w:t>
      </w:r>
      <w:r w:rsidRPr="00F805CE">
        <w:rPr>
          <w:rFonts w:cstheme="minorHAnsi"/>
        </w:rPr>
        <w:t xml:space="preserve"> </w:t>
      </w:r>
    </w:p>
  </w:endnote>
  <w:endnote w:id="11">
    <w:p w:rsidR="001125C0" w:rsidRPr="00D76B15" w:rsidRDefault="001125C0" w:rsidP="009E44F6">
      <w:pPr>
        <w:pStyle w:val="Footnote"/>
      </w:pPr>
      <w:r w:rsidRPr="00D76B15">
        <w:rPr>
          <w:rStyle w:val="EndnoteReference"/>
        </w:rPr>
        <w:endnoteRef/>
      </w:r>
      <w:r w:rsidRPr="00D76B15">
        <w:t xml:space="preserve"> EPBC Act, paragraphs 51(1</w:t>
      </w:r>
      <w:proofErr w:type="gramStart"/>
      <w:r w:rsidRPr="00D76B15">
        <w:t>)(</w:t>
      </w:r>
      <w:proofErr w:type="gramEnd"/>
      <w:r w:rsidRPr="00D76B15">
        <w:t>b), 51(2)(b), 51A(1)(a), 51A(2), 52(1)(b), 52(2)(b).</w:t>
      </w:r>
    </w:p>
  </w:endnote>
  <w:endnote w:id="12">
    <w:p w:rsidR="001125C0" w:rsidRPr="00F805CE" w:rsidRDefault="001125C0" w:rsidP="009E44F6">
      <w:pPr>
        <w:pStyle w:val="EndnoteText"/>
        <w:rPr>
          <w:rFonts w:cstheme="minorHAnsi"/>
        </w:rPr>
      </w:pPr>
      <w:r w:rsidRPr="001C6F20">
        <w:rPr>
          <w:rStyle w:val="EndnoteReference"/>
          <w:rFonts w:cstheme="minorHAnsi"/>
          <w:sz w:val="18"/>
          <w:szCs w:val="18"/>
        </w:rPr>
        <w:endnoteRef/>
      </w:r>
      <w:r w:rsidRPr="00F805CE">
        <w:rPr>
          <w:rFonts w:cstheme="minorHAnsi"/>
        </w:rPr>
        <w:t xml:space="preserve"> </w:t>
      </w:r>
      <w:r w:rsidRPr="00F805CE">
        <w:rPr>
          <w:rStyle w:val="FootnoteChar"/>
          <w:rFonts w:asciiTheme="minorHAnsi" w:hAnsiTheme="minorHAnsi"/>
        </w:rPr>
        <w:t>EPBC Act, paragraphs 53(1</w:t>
      </w:r>
      <w:proofErr w:type="gramStart"/>
      <w:r w:rsidRPr="00F805CE">
        <w:rPr>
          <w:rStyle w:val="FootnoteChar"/>
          <w:rFonts w:asciiTheme="minorHAnsi" w:hAnsiTheme="minorHAnsi"/>
        </w:rPr>
        <w:t>)(</w:t>
      </w:r>
      <w:proofErr w:type="gramEnd"/>
      <w:r w:rsidRPr="00F805CE">
        <w:rPr>
          <w:rStyle w:val="FootnoteChar"/>
          <w:rFonts w:asciiTheme="minorHAnsi" w:hAnsiTheme="minorHAnsi"/>
        </w:rPr>
        <w:t>b), 53(2)(b)</w:t>
      </w:r>
      <w:r>
        <w:rPr>
          <w:rStyle w:val="FootnoteChar"/>
          <w:rFonts w:asciiTheme="minorHAnsi" w:hAnsiTheme="minorHAnsi"/>
        </w:rPr>
        <w:t>, 54(1)(b), 54(2)(b).</w:t>
      </w:r>
    </w:p>
  </w:endnote>
  <w:endnote w:id="13">
    <w:p w:rsidR="001125C0" w:rsidRPr="00905EC1" w:rsidRDefault="001125C0" w:rsidP="009E44F6">
      <w:pPr>
        <w:pStyle w:val="EndnoteText"/>
        <w:rPr>
          <w:rStyle w:val="FootnoteChar"/>
          <w:rFonts w:asciiTheme="minorHAnsi" w:hAnsiTheme="minorHAnsi"/>
        </w:rPr>
      </w:pPr>
      <w:r w:rsidRPr="001C6F20">
        <w:rPr>
          <w:rStyle w:val="EndnoteReference"/>
          <w:rFonts w:cstheme="minorHAnsi"/>
          <w:sz w:val="18"/>
          <w:szCs w:val="18"/>
        </w:rPr>
        <w:endnoteRef/>
      </w:r>
      <w:r w:rsidRPr="001C6F20">
        <w:rPr>
          <w:rStyle w:val="EndnoteReference"/>
          <w:rFonts w:cstheme="minorHAnsi"/>
          <w:sz w:val="18"/>
          <w:szCs w:val="18"/>
        </w:rPr>
        <w:t xml:space="preserve"> </w:t>
      </w:r>
      <w:r w:rsidRPr="00905EC1">
        <w:rPr>
          <w:rStyle w:val="FootnoteChar"/>
          <w:rFonts w:asciiTheme="minorHAnsi" w:hAnsiTheme="minorHAnsi"/>
        </w:rPr>
        <w:t>EPBC Act, paragraph 46(3</w:t>
      </w:r>
      <w:proofErr w:type="gramStart"/>
      <w:r w:rsidRPr="00905EC1">
        <w:rPr>
          <w:rStyle w:val="FootnoteChar"/>
          <w:rFonts w:asciiTheme="minorHAnsi" w:hAnsiTheme="minorHAnsi"/>
        </w:rPr>
        <w:t>)(</w:t>
      </w:r>
      <w:proofErr w:type="gramEnd"/>
      <w:r w:rsidRPr="00905EC1">
        <w:rPr>
          <w:rStyle w:val="FootnoteChar"/>
          <w:rFonts w:asciiTheme="minorHAnsi" w:hAnsiTheme="minorHAnsi"/>
        </w:rPr>
        <w:t>c)</w:t>
      </w:r>
      <w:r>
        <w:rPr>
          <w:rStyle w:val="FootnoteChar"/>
          <w:rFonts w:asciiTheme="minorHAnsi" w:hAnsiTheme="minorHAnsi"/>
        </w:rPr>
        <w:t>.</w:t>
      </w:r>
    </w:p>
  </w:endnote>
  <w:endnote w:id="14">
    <w:p w:rsidR="001125C0" w:rsidRDefault="001125C0" w:rsidP="004553D1">
      <w:pPr>
        <w:spacing w:after="0" w:line="240" w:lineRule="auto"/>
      </w:pPr>
      <w:r w:rsidRPr="001C6F20">
        <w:rPr>
          <w:rStyle w:val="EndnoteReference"/>
          <w:rFonts w:eastAsia="Calibri" w:cstheme="minorHAnsi"/>
          <w:sz w:val="18"/>
          <w:szCs w:val="18"/>
        </w:rPr>
        <w:endnoteRef/>
      </w:r>
      <w:r w:rsidRPr="007642C4">
        <w:rPr>
          <w:rFonts w:cstheme="minorHAnsi"/>
          <w:sz w:val="18"/>
          <w:szCs w:val="18"/>
        </w:rPr>
        <w:t xml:space="preserve"> EPBC Act</w:t>
      </w:r>
      <w:r>
        <w:rPr>
          <w:rFonts w:cstheme="minorHAnsi"/>
          <w:sz w:val="18"/>
          <w:szCs w:val="18"/>
        </w:rPr>
        <w:t>,</w:t>
      </w:r>
      <w:r w:rsidRPr="007642C4">
        <w:rPr>
          <w:rFonts w:cstheme="minorHAnsi"/>
          <w:sz w:val="18"/>
          <w:szCs w:val="18"/>
        </w:rPr>
        <w:t xml:space="preserve"> </w:t>
      </w:r>
      <w:r w:rsidRPr="0090001C">
        <w:rPr>
          <w:rFonts w:cstheme="minorHAnsi"/>
          <w:sz w:val="18"/>
          <w:szCs w:val="18"/>
        </w:rPr>
        <w:t>paragraph</w:t>
      </w:r>
      <w:r>
        <w:rPr>
          <w:rFonts w:cstheme="minorHAnsi"/>
          <w:sz w:val="18"/>
          <w:szCs w:val="18"/>
        </w:rPr>
        <w:t>s</w:t>
      </w:r>
      <w:r w:rsidRPr="0090001C">
        <w:rPr>
          <w:rFonts w:cstheme="minorHAnsi"/>
          <w:sz w:val="18"/>
          <w:szCs w:val="18"/>
        </w:rPr>
        <w:t xml:space="preserve"> 3(2)(b)</w:t>
      </w:r>
      <w:r>
        <w:rPr>
          <w:rFonts w:cstheme="minorHAnsi"/>
          <w:sz w:val="18"/>
          <w:szCs w:val="18"/>
        </w:rPr>
        <w:t>,</w:t>
      </w:r>
      <w:r w:rsidRPr="00805855">
        <w:rPr>
          <w:rFonts w:cstheme="minorHAnsi"/>
          <w:sz w:val="18"/>
          <w:szCs w:val="18"/>
        </w:rPr>
        <w:t xml:space="preserve"> </w:t>
      </w:r>
      <w:r w:rsidRPr="0090001C">
        <w:rPr>
          <w:rFonts w:cstheme="minorHAnsi"/>
          <w:sz w:val="18"/>
          <w:szCs w:val="18"/>
        </w:rPr>
        <w:t>3(2)</w:t>
      </w:r>
      <w:r>
        <w:rPr>
          <w:rFonts w:cstheme="minorHAnsi"/>
          <w:sz w:val="18"/>
          <w:szCs w:val="18"/>
        </w:rPr>
        <w:t xml:space="preserve">(c), </w:t>
      </w:r>
      <w:r w:rsidRPr="0090001C">
        <w:rPr>
          <w:rFonts w:cstheme="minorHAnsi"/>
          <w:sz w:val="18"/>
          <w:szCs w:val="18"/>
        </w:rPr>
        <w:t>3(2)</w:t>
      </w:r>
      <w:r>
        <w:rPr>
          <w:rFonts w:cstheme="minorHAnsi"/>
          <w:sz w:val="18"/>
          <w:szCs w:val="18"/>
        </w:rPr>
        <w:t xml:space="preserve">(d) and </w:t>
      </w:r>
      <w:r w:rsidRPr="0090001C">
        <w:rPr>
          <w:rFonts w:cstheme="minorHAnsi"/>
          <w:sz w:val="18"/>
          <w:szCs w:val="18"/>
        </w:rPr>
        <w:t>3(2)</w:t>
      </w:r>
      <w:r>
        <w:rPr>
          <w:rFonts w:cstheme="minorHAnsi"/>
          <w:sz w:val="18"/>
          <w:szCs w:val="18"/>
        </w:rPr>
        <w:t xml:space="preserve">(g) </w:t>
      </w:r>
      <w:r w:rsidRPr="00D749C6">
        <w:rPr>
          <w:rFonts w:cstheme="minorHAnsi"/>
          <w:sz w:val="18"/>
          <w:szCs w:val="18"/>
        </w:rPr>
        <w:t>contain</w:t>
      </w:r>
      <w:r w:rsidRPr="007642C4">
        <w:rPr>
          <w:rFonts w:cstheme="minorHAnsi"/>
          <w:sz w:val="18"/>
          <w:szCs w:val="18"/>
        </w:rPr>
        <w:t xml:space="preserve"> objectives that promote efficient and e</w:t>
      </w:r>
      <w:r w:rsidRPr="00D749C6">
        <w:rPr>
          <w:rFonts w:cstheme="minorHAnsi"/>
          <w:sz w:val="18"/>
          <w:szCs w:val="18"/>
        </w:rPr>
        <w:t>ffective syst</w:t>
      </w:r>
      <w:r>
        <w:rPr>
          <w:rFonts w:cstheme="minorHAnsi"/>
          <w:sz w:val="18"/>
          <w:szCs w:val="18"/>
        </w:rPr>
        <w:t>ems, which in turn s</w:t>
      </w:r>
      <w:r w:rsidRPr="007642C4">
        <w:rPr>
          <w:rFonts w:cstheme="minorHAnsi"/>
          <w:sz w:val="18"/>
          <w:szCs w:val="18"/>
        </w:rPr>
        <w:t>upport</w:t>
      </w:r>
      <w:r>
        <w:rPr>
          <w:rFonts w:cstheme="minorHAnsi"/>
          <w:sz w:val="18"/>
          <w:szCs w:val="18"/>
        </w:rPr>
        <w:t>s</w:t>
      </w:r>
      <w:r w:rsidRPr="007642C4">
        <w:rPr>
          <w:rFonts w:cstheme="minorHAnsi"/>
          <w:sz w:val="18"/>
          <w:szCs w:val="18"/>
        </w:rPr>
        <w:t xml:space="preserve"> broader productivity outcomes. </w:t>
      </w:r>
    </w:p>
  </w:endnote>
  <w:endnote w:id="15">
    <w:p w:rsidR="001125C0" w:rsidRPr="002625A0" w:rsidRDefault="001125C0" w:rsidP="004553D1">
      <w:pPr>
        <w:pStyle w:val="EndnoteText"/>
        <w:rPr>
          <w:rFonts w:cstheme="minorHAnsi"/>
          <w:sz w:val="18"/>
          <w:szCs w:val="18"/>
        </w:rPr>
      </w:pPr>
      <w:r w:rsidRPr="001C6F20">
        <w:rPr>
          <w:rStyle w:val="EndnoteReference"/>
          <w:rFonts w:cstheme="minorHAnsi"/>
          <w:sz w:val="18"/>
          <w:szCs w:val="18"/>
        </w:rPr>
        <w:endnoteRef/>
      </w:r>
      <w:r w:rsidRPr="002625A0">
        <w:rPr>
          <w:rFonts w:cstheme="minorHAnsi"/>
          <w:sz w:val="18"/>
          <w:szCs w:val="18"/>
        </w:rPr>
        <w:t xml:space="preserve"> The latter category is derived from the structure of the</w:t>
      </w:r>
      <w:r>
        <w:rPr>
          <w:rFonts w:cstheme="minorHAnsi"/>
          <w:sz w:val="18"/>
          <w:szCs w:val="18"/>
        </w:rPr>
        <w:t xml:space="preserve"> EPBC</w:t>
      </w:r>
      <w:r w:rsidRPr="002625A0">
        <w:rPr>
          <w:rFonts w:cstheme="minorHAnsi"/>
          <w:sz w:val="18"/>
          <w:szCs w:val="18"/>
        </w:rPr>
        <w:t xml:space="preserve"> Act and from Commonwealth administrative law and practice, rather than being an express accreditation requirement.</w:t>
      </w:r>
    </w:p>
  </w:endnote>
  <w:endnote w:id="16">
    <w:p w:rsidR="001125C0" w:rsidRPr="0090001C" w:rsidRDefault="001125C0" w:rsidP="00CD26D3">
      <w:pPr>
        <w:pStyle w:val="EndnoteText"/>
        <w:rPr>
          <w:rFonts w:cstheme="minorHAnsi"/>
          <w:sz w:val="18"/>
          <w:szCs w:val="18"/>
        </w:rPr>
      </w:pPr>
      <w:r w:rsidRPr="0090001C">
        <w:rPr>
          <w:rStyle w:val="EndnoteReference"/>
          <w:rFonts w:cstheme="minorHAnsi"/>
          <w:sz w:val="18"/>
          <w:szCs w:val="18"/>
        </w:rPr>
        <w:endnoteRef/>
      </w:r>
      <w:r w:rsidRPr="001C6F20">
        <w:rPr>
          <w:rStyle w:val="EndnoteReference"/>
        </w:rPr>
        <w:t xml:space="preserve"> </w:t>
      </w:r>
      <w:r w:rsidRPr="0090001C">
        <w:rPr>
          <w:rFonts w:cstheme="minorHAnsi"/>
          <w:sz w:val="18"/>
          <w:szCs w:val="18"/>
        </w:rPr>
        <w:t xml:space="preserve">Currently the Act requires the preparation of a discrete World Heritage property management plan, but under proposed amendments the Commonwealth Minister could accredit an existing State plan as meeting EPBC </w:t>
      </w:r>
      <w:r>
        <w:rPr>
          <w:rFonts w:cstheme="minorHAnsi"/>
          <w:sz w:val="18"/>
          <w:szCs w:val="18"/>
        </w:rPr>
        <w:t xml:space="preserve">Act </w:t>
      </w:r>
      <w:r w:rsidRPr="0090001C">
        <w:rPr>
          <w:rFonts w:cstheme="minorHAnsi"/>
          <w:sz w:val="18"/>
          <w:szCs w:val="18"/>
        </w:rPr>
        <w:t>requirements.</w:t>
      </w:r>
    </w:p>
  </w:endnote>
  <w:endnote w:id="17">
    <w:p w:rsidR="001125C0" w:rsidRPr="00513E84" w:rsidRDefault="001125C0" w:rsidP="008A241A">
      <w:pPr>
        <w:pStyle w:val="Footnote"/>
      </w:pPr>
      <w:r>
        <w:rPr>
          <w:rStyle w:val="EndnoteReference"/>
        </w:rPr>
        <w:endnoteRef/>
      </w:r>
      <w:r>
        <w:t xml:space="preserve"> </w:t>
      </w:r>
      <w:r w:rsidRPr="00513E84">
        <w:t xml:space="preserve">See page 5 of the </w:t>
      </w:r>
      <w:r w:rsidRPr="00513E84">
        <w:rPr>
          <w:i/>
        </w:rPr>
        <w:t>Statement of Environmental and Assurance Outcomes</w:t>
      </w:r>
      <w:r w:rsidRPr="00513E84">
        <w:t>.</w:t>
      </w:r>
    </w:p>
  </w:endnote>
  <w:endnote w:id="18">
    <w:p w:rsidR="001125C0" w:rsidRPr="00513E84" w:rsidRDefault="001125C0" w:rsidP="008A241A">
      <w:pPr>
        <w:pStyle w:val="EndnoteText"/>
        <w:rPr>
          <w:rFonts w:cstheme="minorHAnsi"/>
        </w:rPr>
      </w:pPr>
      <w:r w:rsidRPr="00513E84">
        <w:rPr>
          <w:rStyle w:val="EndnoteReference"/>
          <w:rFonts w:cstheme="minorHAnsi"/>
          <w:sz w:val="18"/>
          <w:szCs w:val="18"/>
        </w:rPr>
        <w:endnoteRef/>
      </w:r>
      <w:r w:rsidRPr="00513E84">
        <w:rPr>
          <w:rFonts w:cstheme="minorHAnsi"/>
        </w:rPr>
        <w:t xml:space="preserve"> </w:t>
      </w:r>
      <w:r w:rsidRPr="00513E84">
        <w:rPr>
          <w:rFonts w:cstheme="minorHAnsi"/>
          <w:sz w:val="18"/>
          <w:szCs w:val="18"/>
        </w:rPr>
        <w:t>The EPBC Act also provides protection in relation to other matters, specifically, actions taken by Commonwealth agencies and actions on Commonwealth land.  These matters are not dealt with in this Framework of Standards document, as the EPBC Act does not contain specific requirements for bilateral agreements for these matters.</w:t>
      </w:r>
    </w:p>
  </w:endnote>
  <w:endnote w:id="19">
    <w:p w:rsidR="001125C0" w:rsidRPr="00513E84" w:rsidRDefault="001125C0" w:rsidP="00993E83">
      <w:pPr>
        <w:pStyle w:val="EndnoteText"/>
        <w:rPr>
          <w:rStyle w:val="FootnoteChar"/>
          <w:rFonts w:asciiTheme="minorHAnsi" w:hAnsiTheme="minorHAnsi"/>
        </w:rPr>
      </w:pPr>
      <w:r w:rsidRPr="00513E84">
        <w:rPr>
          <w:rStyle w:val="EndnoteReference"/>
          <w:rFonts w:cstheme="minorHAnsi"/>
          <w:sz w:val="18"/>
          <w:szCs w:val="18"/>
        </w:rPr>
        <w:endnoteRef/>
      </w:r>
      <w:r w:rsidRPr="002F0767">
        <w:rPr>
          <w:rStyle w:val="EndnoteReference"/>
        </w:rPr>
        <w:t xml:space="preserve"> </w:t>
      </w:r>
      <w:r w:rsidRPr="00513E84">
        <w:rPr>
          <w:rStyle w:val="FootnoteChar"/>
          <w:rFonts w:asciiTheme="minorHAnsi" w:hAnsiTheme="minorHAnsi"/>
        </w:rPr>
        <w:t>The matters protected are listed in section</w:t>
      </w:r>
      <w:r>
        <w:rPr>
          <w:rStyle w:val="FootnoteChar"/>
          <w:rFonts w:asciiTheme="minorHAnsi" w:hAnsiTheme="minorHAnsi"/>
        </w:rPr>
        <w:t xml:space="preserve"> </w:t>
      </w:r>
      <w:r w:rsidRPr="00513E84">
        <w:rPr>
          <w:rStyle w:val="FootnoteChar"/>
          <w:rFonts w:asciiTheme="minorHAnsi" w:hAnsiTheme="minorHAnsi"/>
        </w:rPr>
        <w:t>34 of the EPBC Act.</w:t>
      </w:r>
    </w:p>
  </w:endnote>
  <w:endnote w:id="20">
    <w:p w:rsidR="001125C0" w:rsidRDefault="001125C0">
      <w:pPr>
        <w:pStyle w:val="EndnoteText"/>
      </w:pPr>
      <w:r w:rsidRPr="001753FD">
        <w:rPr>
          <w:rStyle w:val="EndnoteReference"/>
          <w:rFonts w:cstheme="minorHAnsi"/>
          <w:sz w:val="18"/>
          <w:szCs w:val="18"/>
        </w:rPr>
        <w:endnoteRef/>
      </w:r>
      <w:r w:rsidRPr="001753FD">
        <w:rPr>
          <w:rStyle w:val="EndnoteReference"/>
          <w:rFonts w:cstheme="minorHAnsi"/>
          <w:sz w:val="18"/>
          <w:szCs w:val="18"/>
        </w:rPr>
        <w:t xml:space="preserve"> </w:t>
      </w:r>
      <w:r w:rsidRPr="001753FD">
        <w:rPr>
          <w:rStyle w:val="FootnoteChar"/>
          <w:rFonts w:asciiTheme="minorHAnsi" w:hAnsiTheme="minorHAnsi"/>
        </w:rPr>
        <w:t>EPBC Act, paragraph 46(3</w:t>
      </w:r>
      <w:proofErr w:type="gramStart"/>
      <w:r w:rsidRPr="001753FD">
        <w:rPr>
          <w:rStyle w:val="FootnoteChar"/>
          <w:rFonts w:asciiTheme="minorHAnsi" w:hAnsiTheme="minorHAnsi"/>
        </w:rPr>
        <w:t>)(</w:t>
      </w:r>
      <w:proofErr w:type="gramEnd"/>
      <w:r w:rsidRPr="001753FD">
        <w:rPr>
          <w:rStyle w:val="FootnoteChar"/>
          <w:rFonts w:asciiTheme="minorHAnsi" w:hAnsiTheme="minorHAnsi"/>
        </w:rPr>
        <w:t>c)</w:t>
      </w:r>
      <w:r>
        <w:rPr>
          <w:rStyle w:val="FootnoteChar"/>
          <w:rFonts w:asciiTheme="minorHAnsi" w:hAnsiTheme="minorHAnsi"/>
        </w:rPr>
        <w:t>.</w:t>
      </w:r>
    </w:p>
  </w:endnote>
  <w:endnote w:id="21">
    <w:p w:rsidR="001125C0" w:rsidRPr="00513E84" w:rsidRDefault="001125C0" w:rsidP="00993E83">
      <w:pPr>
        <w:pStyle w:val="EndnoteText"/>
        <w:rPr>
          <w:rFonts w:cstheme="minorHAnsi"/>
        </w:rPr>
      </w:pPr>
      <w:r w:rsidRPr="002F0767">
        <w:rPr>
          <w:rStyle w:val="EndnoteReference"/>
          <w:rFonts w:cstheme="minorHAnsi"/>
          <w:sz w:val="18"/>
          <w:szCs w:val="18"/>
        </w:rPr>
        <w:endnoteRef/>
      </w:r>
      <w:r w:rsidRPr="00513E84">
        <w:rPr>
          <w:rFonts w:cstheme="minorHAnsi"/>
        </w:rPr>
        <w:t xml:space="preserve"> </w:t>
      </w:r>
      <w:r w:rsidRPr="00513E84">
        <w:rPr>
          <w:rFonts w:cstheme="minorHAnsi"/>
          <w:sz w:val="18"/>
          <w:szCs w:val="18"/>
        </w:rPr>
        <w:t xml:space="preserve">As noted in the Department of Sustainability, Environment, Water, Population and Communities Environment </w:t>
      </w:r>
      <w:r w:rsidRPr="00513E84">
        <w:rPr>
          <w:rFonts w:cstheme="minorHAnsi"/>
          <w:i/>
          <w:sz w:val="18"/>
          <w:szCs w:val="18"/>
        </w:rPr>
        <w:t>Assessment Manual</w:t>
      </w:r>
      <w:r w:rsidRPr="00513E84">
        <w:rPr>
          <w:rFonts w:cstheme="minorHAnsi"/>
          <w:sz w:val="18"/>
          <w:szCs w:val="18"/>
        </w:rPr>
        <w:t xml:space="preserve"> </w:t>
      </w:r>
      <w:r w:rsidRPr="00513E84">
        <w:rPr>
          <w:rFonts w:cstheme="minorHAnsi"/>
          <w:i/>
          <w:sz w:val="18"/>
          <w:szCs w:val="18"/>
        </w:rPr>
        <w:t>May 2012</w:t>
      </w:r>
      <w:r w:rsidRPr="00513E84">
        <w:rPr>
          <w:rFonts w:cstheme="minorHAnsi"/>
          <w:sz w:val="18"/>
          <w:szCs w:val="18"/>
        </w:rPr>
        <w:t xml:space="preserve">, section 2F ‘Is the action clearly unacceptable?’  </w:t>
      </w:r>
      <w:hyperlink r:id="rId1" w:history="1">
        <w:r w:rsidRPr="00513E84">
          <w:rPr>
            <w:rStyle w:val="Hyperlink"/>
            <w:rFonts w:cstheme="minorHAnsi"/>
            <w:sz w:val="18"/>
            <w:szCs w:val="18"/>
          </w:rPr>
          <w:t>http://www.environment.gov.au/epbc/publications/pubs/environment-assessment-manual.pdf</w:t>
        </w:r>
      </w:hyperlink>
      <w:r w:rsidRPr="001753FD">
        <w:rPr>
          <w:rStyle w:val="Hyperlink"/>
          <w:rFonts w:cstheme="minorHAnsi"/>
          <w:color w:val="000000" w:themeColor="text1"/>
          <w:sz w:val="18"/>
          <w:szCs w:val="18"/>
          <w:u w:val="none"/>
        </w:rPr>
        <w:t>.</w:t>
      </w:r>
      <w:r w:rsidRPr="00513E84">
        <w:rPr>
          <w:rFonts w:cstheme="minorHAnsi"/>
        </w:rPr>
        <w:t xml:space="preserve"> </w:t>
      </w:r>
    </w:p>
  </w:endnote>
  <w:endnote w:id="22">
    <w:p w:rsidR="001125C0" w:rsidRPr="00513E84" w:rsidRDefault="001125C0" w:rsidP="00501350">
      <w:pPr>
        <w:pStyle w:val="EndnoteText"/>
      </w:pPr>
      <w:r w:rsidRPr="00513E84">
        <w:rPr>
          <w:rStyle w:val="EndnoteReference"/>
          <w:rFonts w:cstheme="minorHAnsi"/>
          <w:sz w:val="18"/>
          <w:szCs w:val="18"/>
        </w:rPr>
        <w:endnoteRef/>
      </w:r>
      <w:r w:rsidRPr="00513E84">
        <w:rPr>
          <w:rStyle w:val="EndnoteReference"/>
          <w:rFonts w:cstheme="minorHAnsi"/>
          <w:sz w:val="18"/>
          <w:szCs w:val="18"/>
        </w:rPr>
        <w:t xml:space="preserve"> </w:t>
      </w:r>
      <w:r w:rsidRPr="00513E84">
        <w:rPr>
          <w:rFonts w:cstheme="minorHAnsi"/>
          <w:sz w:val="18"/>
          <w:szCs w:val="18"/>
        </w:rPr>
        <w:t xml:space="preserve">Section 1(a) of Article 14 (Impact Assessment and Minimizing Adverse Impacts) of the Convention on Biological Diversity states that parties shall, as far as possible and as appropriate, introduce appropriate procedures requiring environmental impact assessment of its proposed projects that are likely to have significant adverse effects on biological diversity with a view to avoiding or minimizing such effects and, where appropriate, allow for public participation in such procedures. </w:t>
      </w:r>
      <w:r>
        <w:rPr>
          <w:rFonts w:cstheme="minorHAnsi"/>
          <w:sz w:val="18"/>
          <w:szCs w:val="18"/>
        </w:rPr>
        <w:t xml:space="preserve"> </w:t>
      </w:r>
      <w:r w:rsidRPr="00513E84">
        <w:rPr>
          <w:rFonts w:cstheme="minorHAnsi"/>
          <w:sz w:val="18"/>
          <w:szCs w:val="18"/>
        </w:rPr>
        <w:t xml:space="preserve">The Australian Government is developing a new policy </w:t>
      </w:r>
      <w:r>
        <w:rPr>
          <w:rFonts w:cstheme="minorHAnsi"/>
          <w:sz w:val="18"/>
          <w:szCs w:val="18"/>
        </w:rPr>
        <w:t>‘</w:t>
      </w:r>
      <w:r w:rsidRPr="00513E84">
        <w:rPr>
          <w:rFonts w:cstheme="minorHAnsi"/>
          <w:sz w:val="18"/>
          <w:szCs w:val="18"/>
        </w:rPr>
        <w:t>EPBC Act Environmental Offsets Policy</w:t>
      </w:r>
      <w:r>
        <w:rPr>
          <w:rFonts w:cstheme="minorHAnsi"/>
          <w:sz w:val="18"/>
          <w:szCs w:val="18"/>
        </w:rPr>
        <w:t>’</w:t>
      </w:r>
      <w:r w:rsidRPr="00513E84">
        <w:rPr>
          <w:rFonts w:cstheme="minorHAnsi"/>
          <w:sz w:val="18"/>
          <w:szCs w:val="18"/>
        </w:rPr>
        <w:t xml:space="preserve"> to inform the use of environmental offsets under the EPBC Act.  The Commonwealth</w:t>
      </w:r>
      <w:r>
        <w:rPr>
          <w:rFonts w:cstheme="minorHAnsi"/>
          <w:sz w:val="18"/>
          <w:szCs w:val="18"/>
        </w:rPr>
        <w:t>,</w:t>
      </w:r>
      <w:r w:rsidRPr="00513E84">
        <w:rPr>
          <w:rFonts w:cstheme="minorHAnsi"/>
          <w:sz w:val="18"/>
          <w:szCs w:val="18"/>
        </w:rPr>
        <w:t xml:space="preserve"> States and Territories are also cooperating through COAG to develop national approaches for environmental offsets and biodiversity banking.</w:t>
      </w:r>
    </w:p>
  </w:endnote>
  <w:endnote w:id="23">
    <w:p w:rsidR="001125C0" w:rsidRPr="00E453CE" w:rsidRDefault="001125C0">
      <w:pPr>
        <w:pStyle w:val="EndnoteText"/>
        <w:rPr>
          <w:rFonts w:cstheme="minorHAnsi"/>
          <w:sz w:val="18"/>
          <w:szCs w:val="18"/>
        </w:rPr>
      </w:pPr>
      <w:r w:rsidRPr="00E453CE">
        <w:rPr>
          <w:rStyle w:val="EndnoteReference"/>
          <w:rFonts w:cstheme="minorHAnsi"/>
          <w:sz w:val="18"/>
          <w:szCs w:val="18"/>
        </w:rPr>
        <w:endnoteRef/>
      </w:r>
      <w:r>
        <w:t xml:space="preserve"> </w:t>
      </w:r>
      <w:r w:rsidRPr="00E453CE">
        <w:rPr>
          <w:rFonts w:cstheme="minorHAnsi"/>
          <w:sz w:val="18"/>
          <w:szCs w:val="18"/>
        </w:rPr>
        <w:t xml:space="preserve">See the </w:t>
      </w:r>
      <w:r>
        <w:rPr>
          <w:rFonts w:cstheme="minorHAnsi"/>
          <w:i/>
          <w:sz w:val="18"/>
          <w:szCs w:val="18"/>
        </w:rPr>
        <w:t>EPBC</w:t>
      </w:r>
      <w:r w:rsidRPr="00E453CE">
        <w:rPr>
          <w:rFonts w:cstheme="minorHAnsi"/>
          <w:i/>
          <w:sz w:val="18"/>
          <w:szCs w:val="18"/>
        </w:rPr>
        <w:t xml:space="preserve"> Amendment (Independent Expert Scientific Committee on Coal Seam Gas and Large Coal Mining Development) Bill 2012</w:t>
      </w:r>
      <w:r>
        <w:rPr>
          <w:rFonts w:cstheme="minorHAnsi"/>
          <w:i/>
          <w:sz w:val="18"/>
          <w:szCs w:val="18"/>
        </w:rPr>
        <w:t>.</w:t>
      </w:r>
    </w:p>
  </w:endnote>
  <w:endnote w:id="24">
    <w:p w:rsidR="001125C0" w:rsidRDefault="001125C0" w:rsidP="00BE6F5B">
      <w:pPr>
        <w:pStyle w:val="EndnoteText"/>
      </w:pPr>
      <w:r w:rsidRPr="006F4FA2">
        <w:rPr>
          <w:rStyle w:val="EndnoteReference"/>
          <w:rFonts w:cstheme="minorHAnsi"/>
          <w:sz w:val="18"/>
          <w:szCs w:val="18"/>
        </w:rPr>
        <w:endnoteRef/>
      </w:r>
      <w:r w:rsidRPr="006F4FA2">
        <w:rPr>
          <w:rStyle w:val="EndnoteReference"/>
          <w:rFonts w:cstheme="minorHAnsi"/>
          <w:sz w:val="18"/>
          <w:szCs w:val="18"/>
        </w:rPr>
        <w:t xml:space="preserve"> </w:t>
      </w:r>
      <w:r w:rsidRPr="006F4FA2">
        <w:rPr>
          <w:rFonts w:eastAsia="Times New Roman" w:cstheme="minorHAnsi"/>
          <w:sz w:val="18"/>
          <w:szCs w:val="18"/>
          <w:lang w:eastAsia="en-AU"/>
        </w:rPr>
        <w:t>Note:  This policy is currently a draft under development.</w:t>
      </w:r>
    </w:p>
  </w:endnote>
  <w:endnote w:id="25">
    <w:p w:rsidR="001125C0" w:rsidRPr="00513E84" w:rsidRDefault="001125C0" w:rsidP="00FC41A6">
      <w:pPr>
        <w:pStyle w:val="EndnoteText"/>
        <w:rPr>
          <w:rFonts w:eastAsia="Times New Roman" w:cstheme="minorHAnsi"/>
          <w:sz w:val="18"/>
          <w:szCs w:val="18"/>
          <w:lang w:eastAsia="en-AU"/>
        </w:rPr>
      </w:pPr>
      <w:r w:rsidRPr="00513E84">
        <w:rPr>
          <w:rStyle w:val="EndnoteReference"/>
          <w:rFonts w:cstheme="minorHAnsi"/>
          <w:sz w:val="18"/>
          <w:szCs w:val="18"/>
        </w:rPr>
        <w:endnoteRef/>
      </w:r>
      <w:r w:rsidRPr="00513E84">
        <w:rPr>
          <w:rFonts w:cstheme="minorHAnsi"/>
          <w:sz w:val="18"/>
          <w:szCs w:val="18"/>
        </w:rPr>
        <w:t xml:space="preserve"> Note: the </w:t>
      </w:r>
      <w:r w:rsidRPr="009145A9">
        <w:rPr>
          <w:rFonts w:cstheme="minorHAnsi"/>
          <w:i/>
          <w:sz w:val="18"/>
          <w:szCs w:val="18"/>
        </w:rPr>
        <w:t>Statement of Environmental and Assurance Outcomes</w:t>
      </w:r>
      <w:r w:rsidRPr="00513E84">
        <w:rPr>
          <w:rFonts w:cstheme="minorHAnsi"/>
          <w:sz w:val="18"/>
          <w:szCs w:val="18"/>
        </w:rPr>
        <w:t xml:space="preserve"> uses the term ‘critical habitat’.  The full term is ‘habitat critical to the survival of a species or community’: </w:t>
      </w:r>
      <w:r>
        <w:rPr>
          <w:rFonts w:cstheme="minorHAnsi"/>
          <w:sz w:val="18"/>
          <w:szCs w:val="18"/>
        </w:rPr>
        <w:t>paragraph</w:t>
      </w:r>
      <w:r w:rsidRPr="00513E84">
        <w:rPr>
          <w:rFonts w:cstheme="minorHAnsi"/>
          <w:sz w:val="18"/>
          <w:szCs w:val="18"/>
        </w:rPr>
        <w:t xml:space="preserve"> 270(2</w:t>
      </w:r>
      <w:proofErr w:type="gramStart"/>
      <w:r w:rsidRPr="00513E84">
        <w:rPr>
          <w:rFonts w:cstheme="minorHAnsi"/>
          <w:sz w:val="18"/>
          <w:szCs w:val="18"/>
        </w:rPr>
        <w:t>)(</w:t>
      </w:r>
      <w:proofErr w:type="gramEnd"/>
      <w:r w:rsidRPr="00513E84">
        <w:rPr>
          <w:rFonts w:cstheme="minorHAnsi"/>
          <w:sz w:val="18"/>
          <w:szCs w:val="18"/>
        </w:rPr>
        <w:t xml:space="preserve">d). Subsection 53(1) of the </w:t>
      </w:r>
      <w:r w:rsidRPr="00513E84">
        <w:rPr>
          <w:rFonts w:eastAsia="Times New Roman" w:cstheme="minorHAnsi"/>
          <w:sz w:val="18"/>
          <w:szCs w:val="18"/>
          <w:lang w:eastAsia="en-AU"/>
        </w:rPr>
        <w:t>EPBC Act sets out specific requirements in relation to bilateral agreements for listed threatened species and ecological communities. Subsection 53(2) of the EPBC Act sets out similar requirements in relation to accrediting a management arrangement or authorisation process for listed threatened species and ecological communities: the Minister must be satisfied that the management arrangement or authorisation process is not inconsistent with Australia’s obligations under the Biodiversity Convention, the Apia Convention or CITES; will promote and/or enhance the conservation status of each relevant species or community; and is not inconsistent with any relevant recovery plan or threat abatement plan. The Minister must also have regard to any approved conservation advice for the species or community.</w:t>
      </w:r>
    </w:p>
  </w:endnote>
  <w:endnote w:id="26">
    <w:p w:rsidR="001125C0" w:rsidRPr="00513E84" w:rsidRDefault="001125C0" w:rsidP="00FC41A6">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This outcome statement reflects intended outcomes of Recovery Plans and Threat Abatement Plans under sections 269A, 270, 270B and 271 of the EPBC Act, and requirements for decision-making under section 139 of the EPBC Act.</w:t>
      </w:r>
    </w:p>
  </w:endnote>
  <w:endnote w:id="27">
    <w:p w:rsidR="001125C0" w:rsidRPr="009145A9" w:rsidRDefault="001125C0" w:rsidP="00FC41A6">
      <w:pPr>
        <w:pStyle w:val="EndnoteText"/>
        <w:rPr>
          <w:rFonts w:cstheme="minorHAnsi"/>
        </w:rPr>
      </w:pPr>
      <w:r w:rsidRPr="00513E84">
        <w:rPr>
          <w:rStyle w:val="EndnoteReference"/>
          <w:rFonts w:cstheme="minorHAnsi"/>
          <w:sz w:val="18"/>
          <w:szCs w:val="18"/>
        </w:rPr>
        <w:endnoteRef/>
      </w:r>
      <w:r w:rsidRPr="00513E84">
        <w:rPr>
          <w:rFonts w:cstheme="minorHAnsi"/>
          <w:sz w:val="18"/>
          <w:szCs w:val="18"/>
        </w:rPr>
        <w:t xml:space="preserve"> S</w:t>
      </w:r>
      <w:r>
        <w:rPr>
          <w:rFonts w:cstheme="minorHAnsi"/>
          <w:sz w:val="18"/>
          <w:szCs w:val="18"/>
        </w:rPr>
        <w:t>ubs</w:t>
      </w:r>
      <w:r w:rsidRPr="00513E84">
        <w:rPr>
          <w:rFonts w:cstheme="minorHAnsi"/>
          <w:sz w:val="18"/>
          <w:szCs w:val="18"/>
        </w:rPr>
        <w:t>ection 53</w:t>
      </w:r>
      <w:r>
        <w:rPr>
          <w:rFonts w:cstheme="minorHAnsi"/>
          <w:sz w:val="18"/>
          <w:szCs w:val="18"/>
        </w:rPr>
        <w:t>(1)</w:t>
      </w:r>
      <w:r w:rsidRPr="00513E84">
        <w:rPr>
          <w:rFonts w:cstheme="minorHAnsi"/>
          <w:sz w:val="18"/>
          <w:szCs w:val="18"/>
        </w:rPr>
        <w:t xml:space="preserve"> of the </w:t>
      </w:r>
      <w:r w:rsidRPr="00513E84">
        <w:rPr>
          <w:rFonts w:eastAsia="Times New Roman" w:cstheme="minorHAnsi"/>
          <w:sz w:val="18"/>
          <w:szCs w:val="18"/>
          <w:lang w:eastAsia="en-AU"/>
        </w:rPr>
        <w:t>EPBC Act sets out specific requirements in relation to bilateral agreements for listed threatened species and ecological communities.</w:t>
      </w:r>
      <w:r>
        <w:rPr>
          <w:rFonts w:eastAsia="Times New Roman" w:cstheme="minorHAnsi"/>
          <w:sz w:val="18"/>
          <w:szCs w:val="18"/>
          <w:lang w:eastAsia="en-AU"/>
        </w:rPr>
        <w:t xml:space="preserve"> Subsection 53</w:t>
      </w:r>
      <w:r w:rsidRPr="00513E84">
        <w:rPr>
          <w:rFonts w:eastAsia="Times New Roman" w:cstheme="minorHAnsi"/>
          <w:sz w:val="18"/>
          <w:szCs w:val="18"/>
          <w:lang w:eastAsia="en-AU"/>
        </w:rPr>
        <w:t xml:space="preserve">(2) of the EPBC Act sets out similar requirements in relation to accrediting a management arrangement or authorisation process for listed </w:t>
      </w:r>
      <w:r>
        <w:rPr>
          <w:rFonts w:eastAsia="Times New Roman" w:cstheme="minorHAnsi"/>
          <w:sz w:val="18"/>
          <w:szCs w:val="18"/>
          <w:lang w:eastAsia="en-AU"/>
        </w:rPr>
        <w:t>threatened</w:t>
      </w:r>
      <w:r w:rsidRPr="00513E84">
        <w:rPr>
          <w:rFonts w:eastAsia="Times New Roman" w:cstheme="minorHAnsi"/>
          <w:sz w:val="18"/>
          <w:szCs w:val="18"/>
          <w:lang w:eastAsia="en-AU"/>
        </w:rPr>
        <w:t xml:space="preserve"> species</w:t>
      </w:r>
      <w:r>
        <w:rPr>
          <w:rFonts w:eastAsia="Times New Roman" w:cstheme="minorHAnsi"/>
          <w:sz w:val="18"/>
          <w:szCs w:val="18"/>
          <w:lang w:eastAsia="en-AU"/>
        </w:rPr>
        <w:t xml:space="preserve"> and ecological communities</w:t>
      </w:r>
      <w:r w:rsidRPr="00513E84">
        <w:rPr>
          <w:rFonts w:eastAsia="Times New Roman" w:cstheme="minorHAnsi"/>
          <w:sz w:val="18"/>
          <w:szCs w:val="18"/>
          <w:lang w:eastAsia="en-AU"/>
        </w:rPr>
        <w:t xml:space="preserve">: the Minister must be satisfied that the management arrangement or authorisation process is not inconsistent with the </w:t>
      </w:r>
      <w:r>
        <w:rPr>
          <w:rFonts w:eastAsia="Times New Roman" w:cstheme="minorHAnsi"/>
          <w:sz w:val="18"/>
          <w:szCs w:val="18"/>
          <w:lang w:eastAsia="en-AU"/>
        </w:rPr>
        <w:t>Convention on Biological Diversity, the Apia Convention, CITES; that the management arrangement or authorisation process will promote and/or enhance the conservation status of each relevant species or community to which it relates and is not inconsistent with any relevant recovery plan or a threat abatement plan; and the Minister has had regard to any approved conservation advice for the species or community.</w:t>
      </w:r>
    </w:p>
  </w:endnote>
  <w:endnote w:id="28">
    <w:p w:rsidR="001125C0" w:rsidRPr="00513E84" w:rsidRDefault="001125C0" w:rsidP="00FC41A6">
      <w:pPr>
        <w:pStyle w:val="EndnoteText"/>
        <w:rPr>
          <w:rFonts w:cstheme="minorHAnsi"/>
        </w:rPr>
      </w:pPr>
      <w:r w:rsidRPr="00513E84">
        <w:rPr>
          <w:rStyle w:val="EndnoteReference"/>
          <w:rFonts w:cstheme="minorHAnsi"/>
          <w:sz w:val="18"/>
          <w:szCs w:val="18"/>
        </w:rPr>
        <w:endnoteRef/>
      </w:r>
      <w:r w:rsidRPr="00513E84">
        <w:rPr>
          <w:rFonts w:cstheme="minorHAnsi"/>
          <w:sz w:val="18"/>
          <w:szCs w:val="18"/>
        </w:rPr>
        <w:t xml:space="preserve"> See </w:t>
      </w:r>
      <w:r>
        <w:rPr>
          <w:rFonts w:cstheme="minorHAnsi"/>
          <w:b/>
          <w:sz w:val="18"/>
          <w:szCs w:val="18"/>
        </w:rPr>
        <w:t>Attachment B</w:t>
      </w:r>
      <w:r w:rsidRPr="00513E84">
        <w:rPr>
          <w:rFonts w:cstheme="minorHAnsi"/>
          <w:sz w:val="18"/>
          <w:szCs w:val="18"/>
        </w:rPr>
        <w:t xml:space="preserve"> for an overview of these conventions.</w:t>
      </w:r>
    </w:p>
  </w:endnote>
  <w:endnote w:id="29">
    <w:p w:rsidR="001125C0" w:rsidRPr="00513E84" w:rsidRDefault="001125C0" w:rsidP="00FC41A6">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See EPBC Act, section 269A.</w:t>
      </w:r>
    </w:p>
  </w:endnote>
  <w:endnote w:id="30">
    <w:p w:rsidR="001125C0" w:rsidRPr="00513E84" w:rsidRDefault="001125C0" w:rsidP="00FC41A6">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See EPBC Act, section 270B.</w:t>
      </w:r>
    </w:p>
  </w:endnote>
  <w:endnote w:id="31">
    <w:p w:rsidR="001125C0" w:rsidRPr="00513E84" w:rsidRDefault="001125C0" w:rsidP="00FC41A6">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See EPBC Act, section 266B.</w:t>
      </w:r>
    </w:p>
  </w:endnote>
  <w:endnote w:id="32">
    <w:p w:rsidR="001125C0" w:rsidRPr="00513E84" w:rsidRDefault="001125C0" w:rsidP="00FC41A6">
      <w:pPr>
        <w:pStyle w:val="EndnoteText"/>
        <w:rPr>
          <w:rFonts w:cstheme="minorHAnsi"/>
        </w:rPr>
      </w:pPr>
      <w:r w:rsidRPr="00513E84">
        <w:rPr>
          <w:rStyle w:val="EndnoteReference"/>
          <w:rFonts w:cstheme="minorHAnsi"/>
          <w:sz w:val="18"/>
          <w:szCs w:val="18"/>
        </w:rPr>
        <w:endnoteRef/>
      </w:r>
      <w:r w:rsidRPr="00513E84">
        <w:rPr>
          <w:rStyle w:val="EndnoteReference"/>
          <w:rFonts w:cstheme="minorHAnsi"/>
          <w:sz w:val="18"/>
          <w:szCs w:val="18"/>
        </w:rPr>
        <w:t xml:space="preserve"> </w:t>
      </w:r>
      <w:r w:rsidRPr="00513E84">
        <w:rPr>
          <w:rFonts w:cstheme="minorHAnsi"/>
          <w:sz w:val="18"/>
          <w:szCs w:val="18"/>
        </w:rPr>
        <w:t>No regulations are currently prescribed.</w:t>
      </w:r>
    </w:p>
  </w:endnote>
  <w:endnote w:id="33">
    <w:p w:rsidR="001125C0" w:rsidRPr="00513E84" w:rsidRDefault="001125C0" w:rsidP="00FC41A6">
      <w:pPr>
        <w:pStyle w:val="EndnoteText"/>
      </w:pPr>
      <w:r w:rsidRPr="00203F6E">
        <w:rPr>
          <w:rStyle w:val="EndnoteReference"/>
          <w:rFonts w:cstheme="minorHAnsi"/>
          <w:sz w:val="18"/>
          <w:szCs w:val="18"/>
        </w:rPr>
        <w:endnoteRef/>
      </w:r>
      <w:r w:rsidRPr="00203F6E">
        <w:rPr>
          <w:rStyle w:val="EndnoteReference"/>
          <w:rFonts w:cstheme="minorHAnsi"/>
          <w:sz w:val="18"/>
          <w:szCs w:val="18"/>
        </w:rPr>
        <w:t xml:space="preserve"> </w:t>
      </w:r>
      <w:r w:rsidRPr="00513E84">
        <w:rPr>
          <w:rFonts w:cstheme="minorHAnsi"/>
          <w:b/>
          <w:sz w:val="18"/>
          <w:szCs w:val="18"/>
        </w:rPr>
        <w:t>Attachment A</w:t>
      </w:r>
      <w:r w:rsidRPr="00513E84">
        <w:rPr>
          <w:rFonts w:cstheme="minorHAnsi"/>
          <w:sz w:val="18"/>
          <w:szCs w:val="18"/>
        </w:rPr>
        <w:t xml:space="preserve"> identifies relevant plans, policies and programs available under the EPBC Act. </w:t>
      </w:r>
    </w:p>
  </w:endnote>
  <w:endnote w:id="34">
    <w:p w:rsidR="001125C0" w:rsidRPr="00513E84" w:rsidRDefault="001125C0" w:rsidP="00993E83">
      <w:pPr>
        <w:pStyle w:val="EndnoteText"/>
        <w:rPr>
          <w:rFonts w:cstheme="minorHAnsi"/>
          <w:sz w:val="18"/>
          <w:szCs w:val="18"/>
        </w:rPr>
      </w:pPr>
      <w:r w:rsidRPr="00513E84">
        <w:rPr>
          <w:rStyle w:val="EndnoteReference"/>
          <w:rFonts w:cstheme="minorHAnsi"/>
          <w:sz w:val="18"/>
          <w:szCs w:val="18"/>
        </w:rPr>
        <w:endnoteRef/>
      </w:r>
      <w:r w:rsidRPr="00513E84">
        <w:rPr>
          <w:rStyle w:val="EndnoteReference"/>
          <w:rFonts w:cstheme="minorHAnsi"/>
          <w:sz w:val="18"/>
          <w:szCs w:val="18"/>
        </w:rPr>
        <w:t xml:space="preserve"> </w:t>
      </w:r>
      <w:r w:rsidRPr="00513E84">
        <w:rPr>
          <w:rFonts w:cstheme="minorHAnsi"/>
          <w:sz w:val="18"/>
          <w:szCs w:val="18"/>
        </w:rPr>
        <w:t xml:space="preserve">A list of migratory species can be found at: </w:t>
      </w:r>
      <w:hyperlink r:id="rId2" w:history="1">
        <w:r w:rsidRPr="00513E84">
          <w:rPr>
            <w:rFonts w:cstheme="minorHAnsi"/>
            <w:sz w:val="18"/>
            <w:szCs w:val="18"/>
          </w:rPr>
          <w:t>http://www.environment.gov.au/epbc/protect/migratory.html</w:t>
        </w:r>
      </w:hyperlink>
      <w:r w:rsidRPr="00513E84">
        <w:rPr>
          <w:rFonts w:cstheme="minorHAnsi"/>
          <w:sz w:val="18"/>
          <w:szCs w:val="18"/>
        </w:rPr>
        <w:t>.</w:t>
      </w:r>
    </w:p>
  </w:endnote>
  <w:endnote w:id="35">
    <w:p w:rsidR="001125C0" w:rsidRPr="00513E84" w:rsidRDefault="001125C0" w:rsidP="00993E83">
      <w:pPr>
        <w:pStyle w:val="EndnoteText"/>
        <w:rPr>
          <w:rFonts w:cstheme="minorHAnsi"/>
        </w:rPr>
      </w:pPr>
      <w:r w:rsidRPr="00513E84">
        <w:rPr>
          <w:rStyle w:val="EndnoteReference"/>
          <w:rFonts w:cstheme="minorHAnsi"/>
        </w:rPr>
        <w:endnoteRef/>
      </w:r>
      <w:r w:rsidRPr="00513E84">
        <w:rPr>
          <w:rFonts w:cstheme="minorHAnsi"/>
        </w:rPr>
        <w:t xml:space="preserve"> </w:t>
      </w:r>
      <w:r w:rsidRPr="00513E84">
        <w:rPr>
          <w:rFonts w:cstheme="minorHAnsi"/>
          <w:sz w:val="18"/>
          <w:szCs w:val="18"/>
        </w:rPr>
        <w:t xml:space="preserve">Subsection 54(1) of the </w:t>
      </w:r>
      <w:r w:rsidRPr="00513E84">
        <w:rPr>
          <w:rFonts w:eastAsia="Times New Roman" w:cstheme="minorHAnsi"/>
          <w:sz w:val="18"/>
          <w:szCs w:val="18"/>
          <w:lang w:eastAsia="en-AU"/>
        </w:rPr>
        <w:t xml:space="preserve">EPBC Act sets out specific requirements in relation to bilateral agreements for listed migratory species. Subsection 54(2) of the EPBC Act sets out similar requirements in relation to accrediting a management arrangement or authorisation process for listed migratory species: the Minister must be satisfied that the management arrangement or authorisation process is not inconsistent with the </w:t>
      </w:r>
      <w:r>
        <w:rPr>
          <w:rFonts w:eastAsia="Times New Roman" w:cstheme="minorHAnsi"/>
          <w:sz w:val="18"/>
          <w:szCs w:val="18"/>
          <w:lang w:eastAsia="en-AU"/>
        </w:rPr>
        <w:t>B</w:t>
      </w:r>
      <w:r w:rsidRPr="00513E84">
        <w:rPr>
          <w:rFonts w:eastAsia="Times New Roman" w:cstheme="minorHAnsi"/>
          <w:sz w:val="18"/>
          <w:szCs w:val="18"/>
          <w:lang w:eastAsia="en-AU"/>
        </w:rPr>
        <w:t>onn Convention, CAMBA, JAMBA, ROKAMBA or an international agreement approved under subsection 209(4) and that it will promote and/or enhance the conservation status of each relevant species.</w:t>
      </w:r>
    </w:p>
  </w:endnote>
  <w:endnote w:id="36">
    <w:p w:rsidR="001125C0" w:rsidRPr="00513E84" w:rsidRDefault="001125C0" w:rsidP="00993E83">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See </w:t>
      </w:r>
      <w:r>
        <w:rPr>
          <w:rFonts w:cstheme="minorHAnsi"/>
          <w:b/>
          <w:sz w:val="18"/>
          <w:szCs w:val="18"/>
        </w:rPr>
        <w:t>Attachment D</w:t>
      </w:r>
      <w:r w:rsidRPr="00513E84">
        <w:rPr>
          <w:rFonts w:cstheme="minorHAnsi"/>
          <w:b/>
          <w:sz w:val="18"/>
          <w:szCs w:val="18"/>
        </w:rPr>
        <w:t xml:space="preserve"> </w:t>
      </w:r>
      <w:r w:rsidRPr="00513E84">
        <w:rPr>
          <w:rFonts w:cstheme="minorHAnsi"/>
          <w:sz w:val="18"/>
          <w:szCs w:val="18"/>
        </w:rPr>
        <w:t>for an overview of these conventions.</w:t>
      </w:r>
    </w:p>
  </w:endnote>
  <w:endnote w:id="37">
    <w:p w:rsidR="001125C0" w:rsidRPr="00513E84" w:rsidRDefault="001125C0" w:rsidP="00993E83">
      <w:pPr>
        <w:pStyle w:val="EndnoteText"/>
      </w:pPr>
      <w:r w:rsidRPr="00203F6E">
        <w:rPr>
          <w:rStyle w:val="EndnoteReference"/>
          <w:rFonts w:cstheme="minorHAnsi"/>
          <w:sz w:val="18"/>
          <w:szCs w:val="18"/>
        </w:rPr>
        <w:endnoteRef/>
      </w:r>
      <w:r w:rsidRPr="00513E84">
        <w:t xml:space="preserve"> </w:t>
      </w:r>
      <w:r w:rsidRPr="00513E84">
        <w:rPr>
          <w:rStyle w:val="FootnoteChar"/>
          <w:rFonts w:asciiTheme="minorHAnsi" w:hAnsiTheme="minorHAnsi"/>
        </w:rPr>
        <w:t>ROKAMBA was approved under subsection 209(4) of the EPBC Act on 27 February 2007.</w:t>
      </w:r>
    </w:p>
  </w:endnote>
  <w:endnote w:id="38">
    <w:p w:rsidR="001125C0" w:rsidRPr="00513E84" w:rsidRDefault="001125C0" w:rsidP="00993E83">
      <w:pPr>
        <w:pStyle w:val="EndnoteText"/>
      </w:pPr>
      <w:r w:rsidRPr="00DC1948">
        <w:rPr>
          <w:rStyle w:val="EndnoteReference"/>
          <w:rFonts w:cstheme="minorHAnsi"/>
          <w:sz w:val="18"/>
          <w:szCs w:val="18"/>
        </w:rPr>
        <w:endnoteRef/>
      </w:r>
      <w:r w:rsidRPr="00513E84">
        <w:t xml:space="preserve"> </w:t>
      </w:r>
      <w:r w:rsidRPr="00513E84">
        <w:rPr>
          <w:rFonts w:cstheme="minorHAnsi"/>
          <w:b/>
          <w:sz w:val="18"/>
          <w:szCs w:val="18"/>
        </w:rPr>
        <w:t>Attachment A</w:t>
      </w:r>
      <w:r w:rsidRPr="00513E84">
        <w:rPr>
          <w:rFonts w:cstheme="minorHAnsi"/>
          <w:sz w:val="18"/>
          <w:szCs w:val="18"/>
        </w:rPr>
        <w:t xml:space="preserve"> identifies relevant plans, policies and programs available under the EPBC Act. </w:t>
      </w:r>
    </w:p>
  </w:endnote>
  <w:endnote w:id="39">
    <w:p w:rsidR="001125C0" w:rsidRDefault="001125C0">
      <w:pPr>
        <w:pStyle w:val="EndnoteText"/>
      </w:pPr>
      <w:r w:rsidRPr="00203F6E">
        <w:rPr>
          <w:rStyle w:val="EndnoteReference"/>
          <w:rFonts w:cstheme="minorHAnsi"/>
          <w:sz w:val="18"/>
          <w:szCs w:val="18"/>
        </w:rPr>
        <w:endnoteRef/>
      </w:r>
      <w:r w:rsidRPr="00203F6E">
        <w:rPr>
          <w:rStyle w:val="EndnoteReference"/>
          <w:rFonts w:cstheme="minorHAnsi"/>
          <w:sz w:val="18"/>
          <w:szCs w:val="18"/>
        </w:rPr>
        <w:t xml:space="preserve"> </w:t>
      </w:r>
      <w:proofErr w:type="spellStart"/>
      <w:r w:rsidRPr="009C1081">
        <w:rPr>
          <w:rFonts w:cstheme="minorHAnsi"/>
          <w:i/>
          <w:sz w:val="18"/>
          <w:szCs w:val="18"/>
        </w:rPr>
        <w:t>Ramsar</w:t>
      </w:r>
      <w:proofErr w:type="spellEnd"/>
      <w:r w:rsidRPr="009C1081">
        <w:rPr>
          <w:rFonts w:cstheme="minorHAnsi"/>
          <w:i/>
          <w:sz w:val="18"/>
          <w:szCs w:val="18"/>
        </w:rPr>
        <w:t xml:space="preserve"> Convention (2005). Resolution IX.1 Annex A. </w:t>
      </w:r>
      <w:proofErr w:type="gramStart"/>
      <w:r w:rsidRPr="009C1081">
        <w:rPr>
          <w:rFonts w:cstheme="minorHAnsi"/>
          <w:i/>
          <w:sz w:val="18"/>
          <w:szCs w:val="18"/>
        </w:rPr>
        <w:t>A Conceptual Framework for the wise use of wetlands and the maintenance of their ecological character.</w:t>
      </w:r>
      <w:proofErr w:type="gramEnd"/>
      <w:r w:rsidRPr="009C1081">
        <w:rPr>
          <w:rFonts w:cstheme="minorHAnsi"/>
          <w:i/>
          <w:sz w:val="18"/>
          <w:szCs w:val="18"/>
        </w:rPr>
        <w:t>  9th Meeting of the Conference of the Contracting Parties to the Convention on Wetlands</w:t>
      </w:r>
      <w:r w:rsidRPr="009C1081">
        <w:rPr>
          <w:rFonts w:cstheme="minorHAnsi"/>
          <w:sz w:val="18"/>
          <w:szCs w:val="18"/>
        </w:rPr>
        <w:t xml:space="preserve"> </w:t>
      </w:r>
      <w:r w:rsidRPr="009C1081">
        <w:rPr>
          <w:rFonts w:cstheme="minorHAnsi"/>
          <w:i/>
          <w:sz w:val="18"/>
          <w:szCs w:val="18"/>
        </w:rPr>
        <w:t>(</w:t>
      </w:r>
      <w:proofErr w:type="spellStart"/>
      <w:r w:rsidRPr="009C1081">
        <w:rPr>
          <w:rFonts w:cstheme="minorHAnsi"/>
          <w:i/>
          <w:sz w:val="18"/>
          <w:szCs w:val="18"/>
        </w:rPr>
        <w:t>Ramsar</w:t>
      </w:r>
      <w:proofErr w:type="spellEnd"/>
      <w:r w:rsidRPr="009C1081">
        <w:rPr>
          <w:rFonts w:cstheme="minorHAnsi"/>
          <w:i/>
          <w:sz w:val="18"/>
          <w:szCs w:val="18"/>
        </w:rPr>
        <w:t>, Iran, 1971) Kampala, Uganda, 8-15 November 2005</w:t>
      </w:r>
      <w:r w:rsidRPr="009C1081">
        <w:rPr>
          <w:rFonts w:cstheme="minorHAnsi"/>
          <w:sz w:val="18"/>
          <w:szCs w:val="18"/>
        </w:rPr>
        <w:t xml:space="preserve">. </w:t>
      </w:r>
      <w:hyperlink r:id="rId3" w:history="1">
        <w:r w:rsidRPr="009C1081">
          <w:rPr>
            <w:rFonts w:cstheme="minorHAnsi"/>
            <w:sz w:val="18"/>
            <w:szCs w:val="18"/>
          </w:rPr>
          <w:t>http://www.ramsar.org/cda/en/ramsar-documents-resol-resolution-ix-1-annex-a/main/ramsar/1-31-107%5E23536_4000_0__</w:t>
        </w:r>
      </w:hyperlink>
      <w:r>
        <w:rPr>
          <w:rFonts w:cstheme="minorHAnsi"/>
          <w:sz w:val="18"/>
          <w:szCs w:val="18"/>
        </w:rPr>
        <w:t>.</w:t>
      </w:r>
    </w:p>
  </w:endnote>
  <w:endnote w:id="40">
    <w:p w:rsidR="001125C0" w:rsidRPr="00513E84" w:rsidRDefault="001125C0" w:rsidP="00993E83">
      <w:pPr>
        <w:pStyle w:val="EndnoteText"/>
        <w:rPr>
          <w:rFonts w:cstheme="minorHAnsi"/>
          <w:sz w:val="18"/>
          <w:szCs w:val="18"/>
        </w:rPr>
      </w:pPr>
      <w:r w:rsidRPr="00513E84">
        <w:rPr>
          <w:rStyle w:val="EndnoteReference"/>
          <w:rFonts w:cstheme="minorHAnsi"/>
          <w:sz w:val="18"/>
          <w:szCs w:val="18"/>
        </w:rPr>
        <w:endnoteRef/>
      </w:r>
      <w:r w:rsidRPr="00203F6E">
        <w:rPr>
          <w:rStyle w:val="EndnoteReference"/>
        </w:rPr>
        <w:t xml:space="preserve"> </w:t>
      </w:r>
      <w:r w:rsidRPr="00513E84">
        <w:rPr>
          <w:rFonts w:cstheme="minorHAnsi"/>
          <w:sz w:val="18"/>
          <w:szCs w:val="18"/>
        </w:rPr>
        <w:t xml:space="preserve">Australian </w:t>
      </w:r>
      <w:proofErr w:type="spellStart"/>
      <w:r w:rsidRPr="00513E84">
        <w:rPr>
          <w:rFonts w:cstheme="minorHAnsi"/>
          <w:sz w:val="18"/>
          <w:szCs w:val="18"/>
        </w:rPr>
        <w:t>Ramsar</w:t>
      </w:r>
      <w:proofErr w:type="spellEnd"/>
      <w:r w:rsidRPr="00513E84">
        <w:rPr>
          <w:rFonts w:cstheme="minorHAnsi"/>
          <w:sz w:val="18"/>
          <w:szCs w:val="18"/>
        </w:rPr>
        <w:t xml:space="preserve"> management principles are set out in Schedule 6 of the EPBC Regulations. Each </w:t>
      </w:r>
      <w:proofErr w:type="spellStart"/>
      <w:r w:rsidRPr="00513E84">
        <w:rPr>
          <w:rFonts w:cstheme="minorHAnsi"/>
          <w:sz w:val="18"/>
          <w:szCs w:val="18"/>
        </w:rPr>
        <w:t>Ramsar</w:t>
      </w:r>
      <w:proofErr w:type="spellEnd"/>
      <w:r w:rsidRPr="00513E84">
        <w:rPr>
          <w:rFonts w:cstheme="minorHAnsi"/>
          <w:sz w:val="18"/>
          <w:szCs w:val="18"/>
        </w:rPr>
        <w:t xml:space="preserve"> site has an ecological character description which is developed by the site manager and endorsed by the State and Commonwealth governments. The list of current </w:t>
      </w:r>
      <w:proofErr w:type="spellStart"/>
      <w:r w:rsidRPr="00513E84">
        <w:rPr>
          <w:rFonts w:cstheme="minorHAnsi"/>
          <w:sz w:val="18"/>
          <w:szCs w:val="18"/>
        </w:rPr>
        <w:t>Ramsar</w:t>
      </w:r>
      <w:proofErr w:type="spellEnd"/>
      <w:r w:rsidRPr="00513E84">
        <w:rPr>
          <w:rFonts w:cstheme="minorHAnsi"/>
          <w:sz w:val="18"/>
          <w:szCs w:val="18"/>
        </w:rPr>
        <w:t xml:space="preserve"> listed sites can be found at: </w:t>
      </w:r>
      <w:hyperlink r:id="rId4" w:history="1">
        <w:r w:rsidRPr="00513E84">
          <w:rPr>
            <w:rFonts w:cstheme="minorHAnsi"/>
            <w:sz w:val="18"/>
            <w:szCs w:val="18"/>
          </w:rPr>
          <w:t>http://www.ramsar.org/cda/en/ramsar-documents-list/main/ramsar/1-31-218_4000_0__</w:t>
        </w:r>
      </w:hyperlink>
      <w:r w:rsidRPr="00513E84">
        <w:rPr>
          <w:rFonts w:cstheme="minorHAnsi"/>
          <w:sz w:val="18"/>
          <w:szCs w:val="18"/>
        </w:rPr>
        <w:t xml:space="preserve">.   The ecological character descriptions are subsequently appended to the </w:t>
      </w:r>
      <w:proofErr w:type="spellStart"/>
      <w:r w:rsidRPr="00513E84">
        <w:rPr>
          <w:rFonts w:cstheme="minorHAnsi"/>
          <w:sz w:val="18"/>
          <w:szCs w:val="18"/>
        </w:rPr>
        <w:t>Ramsar</w:t>
      </w:r>
      <w:proofErr w:type="spellEnd"/>
      <w:r w:rsidRPr="00513E84">
        <w:rPr>
          <w:rFonts w:cstheme="minorHAnsi"/>
          <w:sz w:val="18"/>
          <w:szCs w:val="18"/>
        </w:rPr>
        <w:t xml:space="preserve"> List. See </w:t>
      </w:r>
      <w:hyperlink r:id="rId5" w:history="1">
        <w:r w:rsidRPr="00513E84">
          <w:rPr>
            <w:rFonts w:cstheme="minorHAnsi"/>
            <w:sz w:val="18"/>
            <w:szCs w:val="18"/>
          </w:rPr>
          <w:t>http://ramsar.wetlands.org/Database/Searchforsites/tabid/765/Default.aspx</w:t>
        </w:r>
      </w:hyperlink>
      <w:r w:rsidRPr="00513E84">
        <w:rPr>
          <w:rFonts w:cstheme="minorHAnsi"/>
          <w:sz w:val="18"/>
          <w:szCs w:val="18"/>
        </w:rPr>
        <w:t>.</w:t>
      </w:r>
    </w:p>
  </w:endnote>
  <w:endnote w:id="41">
    <w:p w:rsidR="001125C0" w:rsidRPr="00513E84" w:rsidRDefault="001125C0" w:rsidP="00993E83">
      <w:pPr>
        <w:pStyle w:val="EndnoteText"/>
        <w:rPr>
          <w:rFonts w:eastAsia="Times New Roman" w:cstheme="minorHAnsi"/>
          <w:sz w:val="18"/>
          <w:szCs w:val="18"/>
          <w:lang w:eastAsia="en-AU"/>
        </w:rPr>
      </w:pPr>
      <w:r w:rsidRPr="00203F6E">
        <w:rPr>
          <w:rStyle w:val="EndnoteReference"/>
          <w:rFonts w:cstheme="minorHAnsi"/>
          <w:sz w:val="18"/>
          <w:szCs w:val="18"/>
        </w:rPr>
        <w:endnoteRef/>
      </w:r>
      <w:r w:rsidRPr="00513E84">
        <w:rPr>
          <w:rFonts w:cstheme="minorHAnsi"/>
        </w:rPr>
        <w:t xml:space="preserve"> </w:t>
      </w:r>
      <w:r w:rsidRPr="00513E84">
        <w:rPr>
          <w:rFonts w:cstheme="minorHAnsi"/>
          <w:sz w:val="18"/>
          <w:szCs w:val="18"/>
        </w:rPr>
        <w:t xml:space="preserve">Subsection 52(1) of the </w:t>
      </w:r>
      <w:r w:rsidRPr="00513E84">
        <w:rPr>
          <w:rFonts w:eastAsia="Times New Roman" w:cstheme="minorHAnsi"/>
          <w:sz w:val="18"/>
          <w:szCs w:val="18"/>
          <w:lang w:eastAsia="en-AU"/>
        </w:rPr>
        <w:t xml:space="preserve">EPBC Act sets out specific requirements in relation to bilateral agreements for </w:t>
      </w:r>
      <w:proofErr w:type="spellStart"/>
      <w:r w:rsidRPr="00513E84">
        <w:rPr>
          <w:rFonts w:eastAsia="Times New Roman" w:cstheme="minorHAnsi"/>
          <w:sz w:val="18"/>
          <w:szCs w:val="18"/>
          <w:lang w:eastAsia="en-AU"/>
        </w:rPr>
        <w:t>Ramsar</w:t>
      </w:r>
      <w:proofErr w:type="spellEnd"/>
      <w:r w:rsidRPr="00513E84">
        <w:rPr>
          <w:rFonts w:eastAsia="Times New Roman" w:cstheme="minorHAnsi"/>
          <w:sz w:val="18"/>
          <w:szCs w:val="18"/>
          <w:lang w:eastAsia="en-AU"/>
        </w:rPr>
        <w:t xml:space="preserve"> wetlands. Subsection 52(2) of the EPBC Act sets out similar requirements in relation to accrediting a management arrangement or authorisation process for </w:t>
      </w:r>
      <w:proofErr w:type="spellStart"/>
      <w:r w:rsidRPr="00513E84">
        <w:rPr>
          <w:rFonts w:eastAsia="Times New Roman" w:cstheme="minorHAnsi"/>
          <w:sz w:val="18"/>
          <w:szCs w:val="18"/>
          <w:lang w:eastAsia="en-AU"/>
        </w:rPr>
        <w:t>Ramsar</w:t>
      </w:r>
      <w:proofErr w:type="spellEnd"/>
      <w:r w:rsidRPr="00513E84">
        <w:rPr>
          <w:rFonts w:eastAsia="Times New Roman" w:cstheme="minorHAnsi"/>
          <w:sz w:val="18"/>
          <w:szCs w:val="18"/>
          <w:lang w:eastAsia="en-AU"/>
        </w:rPr>
        <w:t xml:space="preserve"> wetlands: the Minister must be satisfied that the management arrangement or authorisation process is not inconsistent with Australia’s obligations under the </w:t>
      </w:r>
      <w:proofErr w:type="spellStart"/>
      <w:r w:rsidRPr="00513E84">
        <w:rPr>
          <w:rFonts w:eastAsia="Times New Roman" w:cstheme="minorHAnsi"/>
          <w:sz w:val="18"/>
          <w:szCs w:val="18"/>
          <w:lang w:eastAsia="en-AU"/>
        </w:rPr>
        <w:t>Ramsar</w:t>
      </w:r>
      <w:proofErr w:type="spellEnd"/>
      <w:r w:rsidRPr="00513E84">
        <w:rPr>
          <w:rFonts w:eastAsia="Times New Roman" w:cstheme="minorHAnsi"/>
          <w:sz w:val="18"/>
          <w:szCs w:val="18"/>
          <w:lang w:eastAsia="en-AU"/>
        </w:rPr>
        <w:t xml:space="preserve"> Convention and will promote the management of the property in accordance with the Australian </w:t>
      </w:r>
      <w:proofErr w:type="spellStart"/>
      <w:r w:rsidRPr="00513E84">
        <w:rPr>
          <w:rFonts w:eastAsia="Times New Roman" w:cstheme="minorHAnsi"/>
          <w:sz w:val="18"/>
          <w:szCs w:val="18"/>
          <w:lang w:eastAsia="en-AU"/>
        </w:rPr>
        <w:t>Ramsar</w:t>
      </w:r>
      <w:proofErr w:type="spellEnd"/>
      <w:r w:rsidRPr="00513E84">
        <w:rPr>
          <w:rFonts w:eastAsia="Times New Roman" w:cstheme="minorHAnsi"/>
          <w:sz w:val="18"/>
          <w:szCs w:val="18"/>
          <w:lang w:eastAsia="en-AU"/>
        </w:rPr>
        <w:t xml:space="preserve"> management principles.</w:t>
      </w:r>
    </w:p>
  </w:endnote>
  <w:endnote w:id="42">
    <w:p w:rsidR="001125C0" w:rsidRPr="00513E84" w:rsidRDefault="001125C0" w:rsidP="00993E83">
      <w:pPr>
        <w:pStyle w:val="EndnoteText"/>
        <w:rPr>
          <w:rFonts w:cstheme="minorHAnsi"/>
          <w:sz w:val="18"/>
          <w:szCs w:val="18"/>
        </w:rPr>
      </w:pPr>
      <w:r w:rsidRPr="00513E84">
        <w:rPr>
          <w:rStyle w:val="EndnoteReference"/>
          <w:rFonts w:cstheme="minorHAnsi"/>
          <w:sz w:val="18"/>
          <w:szCs w:val="18"/>
        </w:rPr>
        <w:endnoteRef/>
      </w:r>
      <w:r w:rsidRPr="00203F6E">
        <w:rPr>
          <w:rStyle w:val="EndnoteReference"/>
        </w:rPr>
        <w:t xml:space="preserve"> </w:t>
      </w:r>
      <w:r w:rsidRPr="00513E84">
        <w:rPr>
          <w:rFonts w:cstheme="minorHAnsi"/>
          <w:sz w:val="18"/>
          <w:szCs w:val="18"/>
        </w:rPr>
        <w:t xml:space="preserve">See </w:t>
      </w:r>
      <w:r>
        <w:rPr>
          <w:rStyle w:val="FootnoteChar"/>
          <w:rFonts w:asciiTheme="minorHAnsi" w:hAnsiTheme="minorHAnsi"/>
          <w:b/>
        </w:rPr>
        <w:t>Attachment E</w:t>
      </w:r>
      <w:r w:rsidRPr="00513E84">
        <w:rPr>
          <w:rStyle w:val="FootnoteChar"/>
          <w:rFonts w:asciiTheme="minorHAnsi" w:hAnsiTheme="minorHAnsi"/>
        </w:rPr>
        <w:t xml:space="preserve"> for an overview of the </w:t>
      </w:r>
      <w:proofErr w:type="spellStart"/>
      <w:r w:rsidRPr="00513E84">
        <w:rPr>
          <w:rStyle w:val="FootnoteChar"/>
          <w:rFonts w:asciiTheme="minorHAnsi" w:hAnsiTheme="minorHAnsi"/>
        </w:rPr>
        <w:t>Ramsar</w:t>
      </w:r>
      <w:proofErr w:type="spellEnd"/>
      <w:r w:rsidRPr="00513E84">
        <w:rPr>
          <w:rStyle w:val="FootnoteChar"/>
          <w:rFonts w:asciiTheme="minorHAnsi" w:hAnsiTheme="minorHAnsi"/>
        </w:rPr>
        <w:t xml:space="preserve"> Convention.</w:t>
      </w:r>
    </w:p>
  </w:endnote>
  <w:endnote w:id="43">
    <w:p w:rsidR="001125C0" w:rsidRPr="00513E84" w:rsidRDefault="001125C0" w:rsidP="00BE6F5B">
      <w:pPr>
        <w:spacing w:after="0" w:line="240" w:lineRule="auto"/>
        <w:rPr>
          <w:rFonts w:cstheme="minorHAnsi"/>
        </w:rPr>
      </w:pPr>
      <w:r w:rsidRPr="00513E84">
        <w:rPr>
          <w:rStyle w:val="EndnoteReference"/>
          <w:rFonts w:eastAsia="Calibri" w:cstheme="minorHAnsi"/>
          <w:sz w:val="18"/>
          <w:szCs w:val="18"/>
        </w:rPr>
        <w:endnoteRef/>
      </w:r>
      <w:r w:rsidRPr="00513E84">
        <w:rPr>
          <w:rFonts w:cstheme="minorHAnsi"/>
        </w:rPr>
        <w:t xml:space="preserve"> </w:t>
      </w:r>
      <w:r w:rsidRPr="00490AD9">
        <w:rPr>
          <w:rFonts w:eastAsia="Times New Roman" w:cstheme="minorHAnsi"/>
          <w:sz w:val="18"/>
          <w:szCs w:val="18"/>
          <w:lang w:eastAsia="en-AU"/>
        </w:rPr>
        <w:t xml:space="preserve">Australian </w:t>
      </w:r>
      <w:proofErr w:type="spellStart"/>
      <w:r w:rsidRPr="00490AD9">
        <w:rPr>
          <w:rFonts w:eastAsia="Times New Roman" w:cstheme="minorHAnsi"/>
          <w:sz w:val="18"/>
          <w:szCs w:val="18"/>
          <w:lang w:eastAsia="en-AU"/>
        </w:rPr>
        <w:t>Ramsar</w:t>
      </w:r>
      <w:proofErr w:type="spellEnd"/>
      <w:r w:rsidRPr="00490AD9">
        <w:rPr>
          <w:rFonts w:eastAsia="Times New Roman" w:cstheme="minorHAnsi"/>
          <w:sz w:val="18"/>
          <w:szCs w:val="18"/>
          <w:lang w:eastAsia="en-AU"/>
        </w:rPr>
        <w:t xml:space="preserve"> management principles are set out in Schedule 6 of the EPBC Regulations. Each </w:t>
      </w:r>
      <w:proofErr w:type="spellStart"/>
      <w:r w:rsidRPr="00490AD9">
        <w:rPr>
          <w:rFonts w:eastAsia="Times New Roman" w:cstheme="minorHAnsi"/>
          <w:sz w:val="18"/>
          <w:szCs w:val="18"/>
          <w:lang w:eastAsia="en-AU"/>
        </w:rPr>
        <w:t>Ramsar</w:t>
      </w:r>
      <w:proofErr w:type="spellEnd"/>
      <w:r w:rsidRPr="00490AD9">
        <w:rPr>
          <w:rFonts w:eastAsia="Times New Roman" w:cstheme="minorHAnsi"/>
          <w:sz w:val="18"/>
          <w:szCs w:val="18"/>
          <w:lang w:eastAsia="en-AU"/>
        </w:rPr>
        <w:t xml:space="preserve"> site has an ecological character description which is developed by the site manager and endorsed by the State and Commonwealth governm</w:t>
      </w:r>
      <w:r w:rsidRPr="0087529A">
        <w:rPr>
          <w:rFonts w:eastAsia="Times New Roman" w:cstheme="minorHAnsi"/>
          <w:sz w:val="18"/>
          <w:szCs w:val="18"/>
          <w:lang w:eastAsia="en-AU"/>
        </w:rPr>
        <w:t xml:space="preserve">ents. The list of current </w:t>
      </w:r>
      <w:proofErr w:type="spellStart"/>
      <w:r w:rsidRPr="0087529A">
        <w:rPr>
          <w:rFonts w:eastAsia="Times New Roman" w:cstheme="minorHAnsi"/>
          <w:sz w:val="18"/>
          <w:szCs w:val="18"/>
          <w:lang w:eastAsia="en-AU"/>
        </w:rPr>
        <w:t>Ramsar</w:t>
      </w:r>
      <w:proofErr w:type="spellEnd"/>
      <w:r w:rsidRPr="0087529A">
        <w:rPr>
          <w:rFonts w:eastAsia="Times New Roman" w:cstheme="minorHAnsi"/>
          <w:sz w:val="18"/>
          <w:szCs w:val="18"/>
          <w:lang w:eastAsia="en-AU"/>
        </w:rPr>
        <w:t xml:space="preserve"> listed sites can be found at: </w:t>
      </w:r>
      <w:hyperlink r:id="rId6" w:history="1">
        <w:r w:rsidRPr="0087529A">
          <w:rPr>
            <w:rFonts w:eastAsia="Times New Roman" w:cstheme="minorHAnsi"/>
            <w:sz w:val="18"/>
            <w:szCs w:val="18"/>
            <w:lang w:eastAsia="en-AU"/>
          </w:rPr>
          <w:t>http://www.ramsar.org/cda/en/ramsar-documents-list/main/ramsar/1-31-218_4000_0__</w:t>
        </w:r>
      </w:hyperlink>
      <w:r>
        <w:rPr>
          <w:rFonts w:eastAsia="Times New Roman" w:cstheme="minorHAnsi"/>
          <w:sz w:val="18"/>
          <w:szCs w:val="18"/>
          <w:lang w:eastAsia="en-AU"/>
        </w:rPr>
        <w:t>. </w:t>
      </w:r>
      <w:r w:rsidRPr="0087529A">
        <w:rPr>
          <w:rFonts w:eastAsia="Times New Roman" w:cstheme="minorHAnsi"/>
          <w:sz w:val="18"/>
          <w:szCs w:val="18"/>
          <w:lang w:eastAsia="en-AU"/>
        </w:rPr>
        <w:t xml:space="preserve">The ecological character descriptions are subsequently appended to the </w:t>
      </w:r>
      <w:proofErr w:type="spellStart"/>
      <w:r w:rsidRPr="0087529A">
        <w:rPr>
          <w:rFonts w:eastAsia="Times New Roman" w:cstheme="minorHAnsi"/>
          <w:sz w:val="18"/>
          <w:szCs w:val="18"/>
          <w:lang w:eastAsia="en-AU"/>
        </w:rPr>
        <w:t>Ramsar</w:t>
      </w:r>
      <w:proofErr w:type="spellEnd"/>
      <w:r w:rsidRPr="0087529A">
        <w:rPr>
          <w:rFonts w:eastAsia="Times New Roman" w:cstheme="minorHAnsi"/>
          <w:sz w:val="18"/>
          <w:szCs w:val="18"/>
          <w:lang w:eastAsia="en-AU"/>
        </w:rPr>
        <w:t xml:space="preserve"> List. See </w:t>
      </w:r>
      <w:hyperlink r:id="rId7" w:history="1">
        <w:r w:rsidRPr="0087529A">
          <w:rPr>
            <w:rFonts w:eastAsia="Times New Roman" w:cstheme="minorHAnsi"/>
            <w:sz w:val="18"/>
            <w:szCs w:val="18"/>
            <w:lang w:eastAsia="en-AU"/>
          </w:rPr>
          <w:t>http://ramsar.wetlands.org/Database/Searchforsites/tabid/765/Default.aspx</w:t>
        </w:r>
      </w:hyperlink>
      <w:r w:rsidRPr="0087529A">
        <w:rPr>
          <w:rFonts w:eastAsia="Times New Roman" w:cstheme="minorHAnsi"/>
          <w:sz w:val="18"/>
          <w:szCs w:val="18"/>
          <w:lang w:eastAsia="en-AU"/>
        </w:rPr>
        <w:t xml:space="preserve">. </w:t>
      </w:r>
      <w:r w:rsidRPr="0087529A">
        <w:rPr>
          <w:rFonts w:cstheme="minorHAnsi"/>
          <w:sz w:val="18"/>
          <w:szCs w:val="18"/>
        </w:rPr>
        <w:t>See also EPBC Act, subsection 335(1) and EPBC Regulations, regulation 10.02.</w:t>
      </w:r>
      <w:r w:rsidRPr="00513E84">
        <w:rPr>
          <w:rFonts w:eastAsia="Calibri" w:cstheme="minorHAnsi"/>
          <w:sz w:val="18"/>
          <w:szCs w:val="18"/>
        </w:rPr>
        <w:t xml:space="preserve"> </w:t>
      </w:r>
    </w:p>
  </w:endnote>
  <w:endnote w:id="44">
    <w:p w:rsidR="001125C0" w:rsidRPr="00513E84" w:rsidRDefault="001125C0" w:rsidP="00993E83">
      <w:pPr>
        <w:pStyle w:val="EndnoteText"/>
      </w:pPr>
      <w:r w:rsidRPr="00513E84">
        <w:rPr>
          <w:rStyle w:val="EndnoteReference"/>
          <w:rFonts w:cstheme="minorHAnsi"/>
          <w:sz w:val="18"/>
          <w:szCs w:val="18"/>
        </w:rPr>
        <w:endnoteRef/>
      </w:r>
      <w:r w:rsidRPr="00513E84">
        <w:t xml:space="preserve"> </w:t>
      </w:r>
      <w:r w:rsidRPr="00513E84">
        <w:rPr>
          <w:rFonts w:cstheme="minorHAnsi"/>
          <w:b/>
          <w:sz w:val="18"/>
          <w:szCs w:val="18"/>
        </w:rPr>
        <w:t>Attachment A</w:t>
      </w:r>
      <w:r w:rsidRPr="00513E84">
        <w:rPr>
          <w:rFonts w:cstheme="minorHAnsi"/>
          <w:sz w:val="18"/>
          <w:szCs w:val="18"/>
        </w:rPr>
        <w:t xml:space="preserve"> identifies relevant plans, policies and programs available under the EPBC Act. </w:t>
      </w:r>
    </w:p>
  </w:endnote>
  <w:endnote w:id="45">
    <w:p w:rsidR="001125C0" w:rsidRPr="00513E84" w:rsidRDefault="001125C0" w:rsidP="00993E83">
      <w:pPr>
        <w:pStyle w:val="Heading1"/>
        <w:spacing w:before="0"/>
      </w:pPr>
      <w:r w:rsidRPr="00DC1948">
        <w:rPr>
          <w:rStyle w:val="EndnoteReference"/>
          <w:rFonts w:asciiTheme="minorHAnsi" w:eastAsia="Calibri" w:hAnsiTheme="minorHAnsi" w:cstheme="minorHAnsi"/>
          <w:b w:val="0"/>
          <w:bCs w:val="0"/>
          <w:color w:val="auto"/>
          <w:sz w:val="18"/>
          <w:szCs w:val="18"/>
        </w:rPr>
        <w:endnoteRef/>
      </w:r>
      <w:r w:rsidRPr="00513E84">
        <w:rPr>
          <w:rFonts w:asciiTheme="minorHAnsi" w:hAnsiTheme="minorHAnsi" w:cstheme="minorHAnsi"/>
          <w:b w:val="0"/>
          <w:sz w:val="18"/>
          <w:szCs w:val="18"/>
        </w:rPr>
        <w:t xml:space="preserve"> </w:t>
      </w:r>
      <w:r w:rsidRPr="00513E84">
        <w:rPr>
          <w:rFonts w:asciiTheme="minorHAnsi" w:eastAsiaTheme="minorHAnsi" w:hAnsiTheme="minorHAnsi" w:cstheme="minorHAnsi"/>
          <w:b w:val="0"/>
          <w:bCs w:val="0"/>
          <w:color w:val="auto"/>
          <w:sz w:val="18"/>
          <w:szCs w:val="18"/>
        </w:rPr>
        <w:t xml:space="preserve">See </w:t>
      </w:r>
      <w:hyperlink r:id="rId8" w:history="1">
        <w:r w:rsidRPr="00513E84">
          <w:rPr>
            <w:rFonts w:asciiTheme="minorHAnsi" w:eastAsiaTheme="minorHAnsi" w:hAnsiTheme="minorHAnsi"/>
            <w:b w:val="0"/>
            <w:bCs w:val="0"/>
            <w:color w:val="auto"/>
            <w:sz w:val="18"/>
            <w:szCs w:val="18"/>
          </w:rPr>
          <w:t>http://www.environment.gov.au/water/topics/wetlands/ramsar-convention/australian-guidelines.html</w:t>
        </w:r>
      </w:hyperlink>
      <w:r w:rsidRPr="00513E84">
        <w:rPr>
          <w:rFonts w:asciiTheme="minorHAnsi" w:eastAsiaTheme="minorHAnsi" w:hAnsiTheme="minorHAnsi"/>
          <w:b w:val="0"/>
          <w:bCs w:val="0"/>
          <w:color w:val="auto"/>
          <w:sz w:val="18"/>
          <w:szCs w:val="18"/>
        </w:rPr>
        <w:t>.</w:t>
      </w:r>
    </w:p>
  </w:endnote>
  <w:endnote w:id="46">
    <w:p w:rsidR="001125C0" w:rsidRDefault="001125C0" w:rsidP="00BE6F5B">
      <w:pPr>
        <w:pStyle w:val="EndnoteText"/>
      </w:pPr>
      <w:r w:rsidRPr="003247EE">
        <w:rPr>
          <w:rStyle w:val="EndnoteReference"/>
          <w:rFonts w:cstheme="minorHAnsi"/>
          <w:sz w:val="18"/>
          <w:szCs w:val="18"/>
        </w:rPr>
        <w:endnoteRef/>
      </w:r>
      <w:r>
        <w:t xml:space="preserve"> </w:t>
      </w:r>
      <w:proofErr w:type="gramStart"/>
      <w:r w:rsidRPr="003247EE">
        <w:rPr>
          <w:rFonts w:cstheme="minorHAnsi"/>
          <w:sz w:val="18"/>
          <w:szCs w:val="18"/>
        </w:rPr>
        <w:t>Department of the Environment, Water, Heritage and the Arts (2008).</w:t>
      </w:r>
      <w:proofErr w:type="gramEnd"/>
      <w:r w:rsidRPr="003247EE">
        <w:rPr>
          <w:rFonts w:cstheme="minorHAnsi"/>
          <w:sz w:val="18"/>
          <w:szCs w:val="18"/>
        </w:rPr>
        <w:t xml:space="preserve"> </w:t>
      </w:r>
      <w:proofErr w:type="gramStart"/>
      <w:r w:rsidRPr="003247EE">
        <w:rPr>
          <w:rFonts w:cstheme="minorHAnsi"/>
          <w:i/>
          <w:sz w:val="18"/>
          <w:szCs w:val="18"/>
        </w:rPr>
        <w:t xml:space="preserve">National Framework and Guidance for Describing the Ecological Character of Australia’s </w:t>
      </w:r>
      <w:proofErr w:type="spellStart"/>
      <w:r w:rsidRPr="003247EE">
        <w:rPr>
          <w:rFonts w:cstheme="minorHAnsi"/>
          <w:i/>
          <w:sz w:val="18"/>
          <w:szCs w:val="18"/>
        </w:rPr>
        <w:t>Ramsar</w:t>
      </w:r>
      <w:proofErr w:type="spellEnd"/>
      <w:r w:rsidRPr="003247EE">
        <w:rPr>
          <w:rFonts w:cstheme="minorHAnsi"/>
          <w:i/>
          <w:sz w:val="18"/>
          <w:szCs w:val="18"/>
        </w:rPr>
        <w:t xml:space="preserve"> Wetlands.</w:t>
      </w:r>
      <w:proofErr w:type="gramEnd"/>
      <w:r w:rsidRPr="003247EE">
        <w:rPr>
          <w:rFonts w:cstheme="minorHAnsi"/>
          <w:i/>
          <w:sz w:val="18"/>
          <w:szCs w:val="18"/>
        </w:rPr>
        <w:t xml:space="preserve"> </w:t>
      </w:r>
      <w:proofErr w:type="gramStart"/>
      <w:r w:rsidRPr="003247EE">
        <w:rPr>
          <w:rFonts w:cstheme="minorHAnsi"/>
          <w:i/>
          <w:sz w:val="18"/>
          <w:szCs w:val="18"/>
        </w:rPr>
        <w:t xml:space="preserve">Module 2 of the National Guidelines for </w:t>
      </w:r>
      <w:proofErr w:type="spellStart"/>
      <w:r w:rsidRPr="003247EE">
        <w:rPr>
          <w:rFonts w:cstheme="minorHAnsi"/>
          <w:i/>
          <w:sz w:val="18"/>
          <w:szCs w:val="18"/>
        </w:rPr>
        <w:t>Ramsar</w:t>
      </w:r>
      <w:proofErr w:type="spellEnd"/>
      <w:r w:rsidRPr="003247EE">
        <w:rPr>
          <w:rFonts w:cstheme="minorHAnsi"/>
          <w:i/>
          <w:sz w:val="18"/>
          <w:szCs w:val="18"/>
        </w:rPr>
        <w:t xml:space="preserve"> Wetlands—Implementing the </w:t>
      </w:r>
      <w:proofErr w:type="spellStart"/>
      <w:r w:rsidRPr="003247EE">
        <w:rPr>
          <w:rFonts w:cstheme="minorHAnsi"/>
          <w:i/>
          <w:sz w:val="18"/>
          <w:szCs w:val="18"/>
        </w:rPr>
        <w:t>Ramsar</w:t>
      </w:r>
      <w:proofErr w:type="spellEnd"/>
      <w:r w:rsidRPr="003247EE">
        <w:rPr>
          <w:rFonts w:cstheme="minorHAnsi"/>
          <w:i/>
          <w:sz w:val="18"/>
          <w:szCs w:val="18"/>
        </w:rPr>
        <w:t xml:space="preserve"> Convention in Australia.</w:t>
      </w:r>
      <w:proofErr w:type="gramEnd"/>
      <w:r w:rsidRPr="003247EE">
        <w:rPr>
          <w:rFonts w:cstheme="minorHAnsi"/>
          <w:sz w:val="18"/>
          <w:szCs w:val="18"/>
        </w:rPr>
        <w:t xml:space="preserve"> </w:t>
      </w:r>
      <w:proofErr w:type="gramStart"/>
      <w:r w:rsidRPr="003247EE">
        <w:rPr>
          <w:rFonts w:cstheme="minorHAnsi"/>
          <w:sz w:val="18"/>
          <w:szCs w:val="18"/>
        </w:rPr>
        <w:t>Australian Government Department of the Environment, Water, Heritage and the Arts, Canberra.</w:t>
      </w:r>
      <w:proofErr w:type="gramEnd"/>
    </w:p>
  </w:endnote>
  <w:endnote w:id="47">
    <w:p w:rsidR="001125C0" w:rsidRPr="003247EE" w:rsidRDefault="001125C0">
      <w:pPr>
        <w:pStyle w:val="EndnoteText"/>
        <w:rPr>
          <w:rFonts w:cstheme="minorHAnsi"/>
          <w:sz w:val="18"/>
          <w:szCs w:val="18"/>
        </w:rPr>
      </w:pPr>
      <w:r w:rsidRPr="003247EE">
        <w:rPr>
          <w:rStyle w:val="EndnoteReference"/>
          <w:rFonts w:cstheme="minorHAnsi"/>
          <w:sz w:val="18"/>
          <w:szCs w:val="18"/>
        </w:rPr>
        <w:endnoteRef/>
      </w:r>
      <w:r w:rsidRPr="003247EE">
        <w:rPr>
          <w:rStyle w:val="EndnoteReference"/>
          <w:rFonts w:cstheme="minorHAnsi"/>
          <w:sz w:val="18"/>
          <w:szCs w:val="18"/>
        </w:rPr>
        <w:t xml:space="preserve"> </w:t>
      </w:r>
      <w:proofErr w:type="gramStart"/>
      <w:r w:rsidRPr="003247EE">
        <w:rPr>
          <w:rFonts w:cstheme="minorHAnsi"/>
          <w:sz w:val="18"/>
          <w:szCs w:val="18"/>
        </w:rPr>
        <w:t>Department of the Environment, Water, Heritage and the Arts (2009).</w:t>
      </w:r>
      <w:proofErr w:type="gramEnd"/>
      <w:r w:rsidRPr="003247EE">
        <w:rPr>
          <w:rFonts w:cstheme="minorHAnsi"/>
          <w:sz w:val="18"/>
          <w:szCs w:val="18"/>
        </w:rPr>
        <w:t xml:space="preserve"> </w:t>
      </w:r>
      <w:proofErr w:type="gramStart"/>
      <w:r w:rsidRPr="003247EE">
        <w:rPr>
          <w:rFonts w:cstheme="minorHAnsi"/>
          <w:i/>
          <w:sz w:val="18"/>
          <w:szCs w:val="18"/>
        </w:rPr>
        <w:t xml:space="preserve">National Guidelines for Notifying Change in Ecological Character of Australian </w:t>
      </w:r>
      <w:proofErr w:type="spellStart"/>
      <w:r w:rsidRPr="003247EE">
        <w:rPr>
          <w:rFonts w:cstheme="minorHAnsi"/>
          <w:i/>
          <w:sz w:val="18"/>
          <w:szCs w:val="18"/>
        </w:rPr>
        <w:t>Ramsar</w:t>
      </w:r>
      <w:proofErr w:type="spellEnd"/>
      <w:r w:rsidRPr="003247EE">
        <w:rPr>
          <w:rFonts w:cstheme="minorHAnsi"/>
          <w:i/>
          <w:sz w:val="18"/>
          <w:szCs w:val="18"/>
        </w:rPr>
        <w:t xml:space="preserve"> Sites (Article 3.2).</w:t>
      </w:r>
      <w:proofErr w:type="gramEnd"/>
      <w:r w:rsidRPr="003247EE">
        <w:rPr>
          <w:rFonts w:cstheme="minorHAnsi"/>
          <w:sz w:val="18"/>
          <w:szCs w:val="18"/>
        </w:rPr>
        <w:t xml:space="preserve"> </w:t>
      </w:r>
      <w:proofErr w:type="gramStart"/>
      <w:r w:rsidRPr="003247EE">
        <w:rPr>
          <w:rFonts w:cstheme="minorHAnsi"/>
          <w:sz w:val="18"/>
          <w:szCs w:val="18"/>
        </w:rPr>
        <w:t xml:space="preserve">Module 3 of the National Guidelines for </w:t>
      </w:r>
      <w:proofErr w:type="spellStart"/>
      <w:r w:rsidRPr="003247EE">
        <w:rPr>
          <w:rFonts w:cstheme="minorHAnsi"/>
          <w:sz w:val="18"/>
          <w:szCs w:val="18"/>
        </w:rPr>
        <w:t>Ramsar</w:t>
      </w:r>
      <w:proofErr w:type="spellEnd"/>
      <w:r w:rsidRPr="003247EE">
        <w:rPr>
          <w:rFonts w:cstheme="minorHAnsi"/>
          <w:sz w:val="18"/>
          <w:szCs w:val="18"/>
        </w:rPr>
        <w:t xml:space="preserve"> Wetlands—Implementing the </w:t>
      </w:r>
      <w:proofErr w:type="spellStart"/>
      <w:r w:rsidRPr="003247EE">
        <w:rPr>
          <w:rFonts w:cstheme="minorHAnsi"/>
          <w:sz w:val="18"/>
          <w:szCs w:val="18"/>
        </w:rPr>
        <w:t>Ramsar</w:t>
      </w:r>
      <w:proofErr w:type="spellEnd"/>
      <w:r w:rsidRPr="003247EE">
        <w:rPr>
          <w:rFonts w:cstheme="minorHAnsi"/>
          <w:sz w:val="18"/>
          <w:szCs w:val="18"/>
        </w:rPr>
        <w:t xml:space="preserve"> Convention in Australia.</w:t>
      </w:r>
      <w:proofErr w:type="gramEnd"/>
      <w:r w:rsidRPr="003247EE">
        <w:rPr>
          <w:rFonts w:cstheme="minorHAnsi"/>
          <w:sz w:val="18"/>
          <w:szCs w:val="18"/>
        </w:rPr>
        <w:t xml:space="preserve"> </w:t>
      </w:r>
      <w:proofErr w:type="gramStart"/>
      <w:r w:rsidRPr="003247EE">
        <w:rPr>
          <w:rFonts w:cstheme="minorHAnsi"/>
          <w:sz w:val="18"/>
          <w:szCs w:val="18"/>
        </w:rPr>
        <w:t>Australian Government Department of the Environment, Water, Heritage and the Arts, Canberra.</w:t>
      </w:r>
      <w:proofErr w:type="gramEnd"/>
    </w:p>
  </w:endnote>
  <w:endnote w:id="48">
    <w:p w:rsidR="001125C0" w:rsidRDefault="001125C0" w:rsidP="00BE6F5B">
      <w:pPr>
        <w:pStyle w:val="EndnoteText"/>
      </w:pPr>
      <w:r w:rsidRPr="003247EE">
        <w:rPr>
          <w:rStyle w:val="EndnoteReference"/>
          <w:rFonts w:cstheme="minorHAnsi"/>
          <w:sz w:val="18"/>
          <w:szCs w:val="18"/>
        </w:rPr>
        <w:endnoteRef/>
      </w:r>
      <w:r>
        <w:t xml:space="preserve"> </w:t>
      </w:r>
      <w:proofErr w:type="gramStart"/>
      <w:r w:rsidRPr="003247EE">
        <w:rPr>
          <w:rFonts w:cstheme="minorHAnsi"/>
          <w:sz w:val="18"/>
          <w:szCs w:val="18"/>
        </w:rPr>
        <w:t>Department of the Environment, Water, Heritage and the Arts (2008).</w:t>
      </w:r>
      <w:proofErr w:type="gramEnd"/>
      <w:r w:rsidRPr="003247EE">
        <w:rPr>
          <w:rFonts w:cstheme="minorHAnsi"/>
          <w:sz w:val="18"/>
          <w:szCs w:val="18"/>
        </w:rPr>
        <w:t xml:space="preserve"> </w:t>
      </w:r>
      <w:proofErr w:type="gramStart"/>
      <w:r w:rsidRPr="003247EE">
        <w:rPr>
          <w:rFonts w:cstheme="minorHAnsi"/>
          <w:i/>
          <w:sz w:val="18"/>
          <w:szCs w:val="18"/>
        </w:rPr>
        <w:t xml:space="preserve">Mapping Specifications for Australian </w:t>
      </w:r>
      <w:proofErr w:type="spellStart"/>
      <w:r w:rsidRPr="003247EE">
        <w:rPr>
          <w:rFonts w:cstheme="minorHAnsi"/>
          <w:i/>
          <w:sz w:val="18"/>
          <w:szCs w:val="18"/>
        </w:rPr>
        <w:t>Ramsar</w:t>
      </w:r>
      <w:proofErr w:type="spellEnd"/>
      <w:r w:rsidRPr="003247EE">
        <w:rPr>
          <w:rFonts w:cstheme="minorHAnsi"/>
          <w:i/>
          <w:sz w:val="18"/>
          <w:szCs w:val="18"/>
        </w:rPr>
        <w:t xml:space="preserve"> Wetlands.</w:t>
      </w:r>
      <w:proofErr w:type="gramEnd"/>
      <w:r w:rsidRPr="003247EE">
        <w:rPr>
          <w:rFonts w:cstheme="minorHAnsi"/>
          <w:i/>
          <w:sz w:val="18"/>
          <w:szCs w:val="18"/>
        </w:rPr>
        <w:t xml:space="preserve"> </w:t>
      </w:r>
      <w:proofErr w:type="gramStart"/>
      <w:r w:rsidRPr="003247EE">
        <w:rPr>
          <w:rFonts w:cstheme="minorHAnsi"/>
          <w:i/>
          <w:sz w:val="18"/>
          <w:szCs w:val="18"/>
        </w:rPr>
        <w:t xml:space="preserve">Module 1 of the National Guidelines for </w:t>
      </w:r>
      <w:proofErr w:type="spellStart"/>
      <w:r w:rsidRPr="003247EE">
        <w:rPr>
          <w:rFonts w:cstheme="minorHAnsi"/>
          <w:i/>
          <w:sz w:val="18"/>
          <w:szCs w:val="18"/>
        </w:rPr>
        <w:t>Ramsar</w:t>
      </w:r>
      <w:proofErr w:type="spellEnd"/>
      <w:r w:rsidRPr="003247EE">
        <w:rPr>
          <w:rFonts w:cstheme="minorHAnsi"/>
          <w:i/>
          <w:sz w:val="18"/>
          <w:szCs w:val="18"/>
        </w:rPr>
        <w:t xml:space="preserve"> Wetlands – Implementing the </w:t>
      </w:r>
      <w:proofErr w:type="spellStart"/>
      <w:r w:rsidRPr="003247EE">
        <w:rPr>
          <w:rFonts w:cstheme="minorHAnsi"/>
          <w:i/>
          <w:sz w:val="18"/>
          <w:szCs w:val="18"/>
        </w:rPr>
        <w:t>Ramsar</w:t>
      </w:r>
      <w:proofErr w:type="spellEnd"/>
      <w:r w:rsidRPr="003247EE">
        <w:rPr>
          <w:rFonts w:cstheme="minorHAnsi"/>
          <w:i/>
          <w:sz w:val="18"/>
          <w:szCs w:val="18"/>
        </w:rPr>
        <w:t xml:space="preserve"> Convention in Australia.</w:t>
      </w:r>
      <w:proofErr w:type="gramEnd"/>
      <w:r w:rsidRPr="003247EE">
        <w:rPr>
          <w:rFonts w:cstheme="minorHAnsi"/>
          <w:sz w:val="18"/>
          <w:szCs w:val="18"/>
        </w:rPr>
        <w:t xml:space="preserve"> </w:t>
      </w:r>
      <w:proofErr w:type="gramStart"/>
      <w:r w:rsidRPr="003247EE">
        <w:rPr>
          <w:rFonts w:cstheme="minorHAnsi"/>
          <w:sz w:val="18"/>
          <w:szCs w:val="18"/>
        </w:rPr>
        <w:t>Australian Government Department of the Environment, Water, Heritage and the Arts, Canberra.</w:t>
      </w:r>
      <w:proofErr w:type="gramEnd"/>
    </w:p>
  </w:endnote>
  <w:endnote w:id="49">
    <w:p w:rsidR="001125C0" w:rsidRPr="00513E84" w:rsidRDefault="001125C0" w:rsidP="00993E83">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This outcome statement reflects the National Heritage management principles (in particular in the objective set out in Schedule 5B, item 1 of the EPBC Regulations 2000). The list of National Heritage properties can be viewed at: </w:t>
      </w:r>
      <w:hyperlink r:id="rId9" w:history="1">
        <w:r w:rsidRPr="00513E84">
          <w:rPr>
            <w:rFonts w:cstheme="minorHAnsi"/>
            <w:sz w:val="18"/>
            <w:szCs w:val="18"/>
          </w:rPr>
          <w:t>http://www.environment.gov.au/heritage/places/national/index.html</w:t>
        </w:r>
      </w:hyperlink>
      <w:r w:rsidRPr="00513E84">
        <w:rPr>
          <w:rFonts w:cstheme="minorHAnsi"/>
          <w:sz w:val="18"/>
          <w:szCs w:val="18"/>
        </w:rPr>
        <w:t xml:space="preserve">. Australia’s National Heritage properties include the Great Ocean Road, Bondi Beach and </w:t>
      </w:r>
      <w:proofErr w:type="spellStart"/>
      <w:r w:rsidRPr="00513E84">
        <w:rPr>
          <w:rFonts w:cstheme="minorHAnsi"/>
          <w:sz w:val="18"/>
          <w:szCs w:val="18"/>
        </w:rPr>
        <w:t>Ngarrabullgan</w:t>
      </w:r>
      <w:proofErr w:type="spellEnd"/>
      <w:r w:rsidRPr="00513E84">
        <w:rPr>
          <w:rFonts w:cstheme="minorHAnsi"/>
          <w:sz w:val="18"/>
          <w:szCs w:val="18"/>
        </w:rPr>
        <w:t xml:space="preserve">. Each property has a statutory statement of its values against the nine national heritage list criteria, available at: </w:t>
      </w:r>
      <w:hyperlink r:id="rId10" w:history="1">
        <w:r w:rsidRPr="00513E84">
          <w:rPr>
            <w:rFonts w:cstheme="minorHAnsi"/>
            <w:sz w:val="18"/>
            <w:szCs w:val="18"/>
          </w:rPr>
          <w:t>http://www.environment.gov.au/heritage/about/national/criteria.html</w:t>
        </w:r>
      </w:hyperlink>
      <w:r w:rsidRPr="00513E84">
        <w:rPr>
          <w:rFonts w:cstheme="minorHAnsi"/>
          <w:sz w:val="18"/>
          <w:szCs w:val="18"/>
        </w:rPr>
        <w:t>.</w:t>
      </w:r>
    </w:p>
  </w:endnote>
  <w:endnote w:id="50">
    <w:p w:rsidR="001125C0" w:rsidRPr="00513E84" w:rsidRDefault="001125C0" w:rsidP="00216279">
      <w:pPr>
        <w:spacing w:after="0" w:line="240" w:lineRule="auto"/>
        <w:rPr>
          <w:rFonts w:eastAsia="Times New Roman" w:cstheme="minorHAnsi"/>
          <w:sz w:val="18"/>
          <w:szCs w:val="18"/>
          <w:lang w:eastAsia="en-AU"/>
        </w:rPr>
      </w:pPr>
      <w:r w:rsidRPr="00513E84">
        <w:rPr>
          <w:rStyle w:val="EndnoteReference"/>
          <w:rFonts w:cstheme="minorHAnsi"/>
          <w:sz w:val="18"/>
          <w:szCs w:val="18"/>
        </w:rPr>
        <w:endnoteRef/>
      </w:r>
      <w:r w:rsidRPr="00513E84">
        <w:rPr>
          <w:rFonts w:cstheme="minorHAnsi"/>
          <w:sz w:val="18"/>
          <w:szCs w:val="18"/>
        </w:rPr>
        <w:t xml:space="preserve"> Subsection </w:t>
      </w:r>
      <w:proofErr w:type="gramStart"/>
      <w:r w:rsidRPr="00513E84">
        <w:rPr>
          <w:rFonts w:cstheme="minorHAnsi"/>
          <w:sz w:val="18"/>
          <w:szCs w:val="18"/>
        </w:rPr>
        <w:t>51A(</w:t>
      </w:r>
      <w:proofErr w:type="gramEnd"/>
      <w:r w:rsidRPr="00513E84">
        <w:rPr>
          <w:rFonts w:cstheme="minorHAnsi"/>
          <w:sz w:val="18"/>
          <w:szCs w:val="18"/>
        </w:rPr>
        <w:t xml:space="preserve">1) of the </w:t>
      </w:r>
      <w:r w:rsidRPr="00513E84">
        <w:rPr>
          <w:rFonts w:eastAsia="Times New Roman" w:cstheme="minorHAnsi"/>
          <w:sz w:val="18"/>
          <w:szCs w:val="18"/>
          <w:lang w:eastAsia="en-AU"/>
        </w:rPr>
        <w:t>EPBC Act sets out specific requirements in relation to bilateral agreements for National Heritage places. Subsection 51A(2) of the EPBC Act sets out similar requirements in relation to accrediting a management arrangement or authorisation process for National Heritage places: the Minister must be satisfied that the management arrangement or authorisation process will promote the management of the place concerned in accordance with the National Heritage management principles.</w:t>
      </w:r>
    </w:p>
  </w:endnote>
  <w:endnote w:id="51">
    <w:p w:rsidR="001125C0" w:rsidRPr="00513E84" w:rsidRDefault="001125C0" w:rsidP="00BE6F5B">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The Australian National Heritage management principles are set out in Schedule 5B to the EPBC Regulations. See also EPBC Act, subsection </w:t>
      </w:r>
      <w:proofErr w:type="gramStart"/>
      <w:r w:rsidRPr="00513E84">
        <w:rPr>
          <w:rFonts w:cstheme="minorHAnsi"/>
          <w:sz w:val="18"/>
          <w:szCs w:val="18"/>
        </w:rPr>
        <w:t>324Y(</w:t>
      </w:r>
      <w:proofErr w:type="gramEnd"/>
      <w:r w:rsidRPr="00513E84">
        <w:rPr>
          <w:rFonts w:cstheme="minorHAnsi"/>
          <w:sz w:val="18"/>
          <w:szCs w:val="18"/>
        </w:rPr>
        <w:t>1) and EPBC Regulations, regulation 10.01E.</w:t>
      </w:r>
    </w:p>
  </w:endnote>
  <w:endnote w:id="52">
    <w:p w:rsidR="001125C0" w:rsidRPr="00513E84" w:rsidRDefault="001125C0" w:rsidP="00216279">
      <w:pPr>
        <w:spacing w:after="0" w:line="240" w:lineRule="auto"/>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w:t>
      </w:r>
      <w:proofErr w:type="gramStart"/>
      <w:r w:rsidRPr="00F60210">
        <w:rPr>
          <w:rFonts w:eastAsia="Calibri" w:cstheme="minorHAnsi"/>
          <w:sz w:val="18"/>
          <w:szCs w:val="18"/>
        </w:rPr>
        <w:t>EPBC Regulations, Part 2B.</w:t>
      </w:r>
      <w:proofErr w:type="gramEnd"/>
    </w:p>
  </w:endnote>
  <w:endnote w:id="53">
    <w:p w:rsidR="001125C0" w:rsidRDefault="001125C0">
      <w:pPr>
        <w:pStyle w:val="EndnoteText"/>
      </w:pPr>
      <w:r w:rsidRPr="00633682">
        <w:rPr>
          <w:rStyle w:val="EndnoteReference"/>
          <w:rFonts w:cstheme="minorHAnsi"/>
          <w:sz w:val="18"/>
          <w:szCs w:val="18"/>
        </w:rPr>
        <w:endnoteRef/>
      </w:r>
      <w:r>
        <w:t xml:space="preserve"> See </w:t>
      </w:r>
      <w:r w:rsidRPr="00A953B9">
        <w:rPr>
          <w:rFonts w:cstheme="minorHAnsi"/>
          <w:sz w:val="18"/>
          <w:szCs w:val="18"/>
        </w:rPr>
        <w:t>EPBC Act</w:t>
      </w:r>
      <w:r>
        <w:rPr>
          <w:rFonts w:cstheme="minorHAnsi"/>
          <w:sz w:val="18"/>
          <w:szCs w:val="18"/>
        </w:rPr>
        <w:t>, paragraph 137A(c).</w:t>
      </w:r>
    </w:p>
  </w:endnote>
  <w:endnote w:id="54">
    <w:p w:rsidR="001125C0" w:rsidRPr="00F60210" w:rsidRDefault="001125C0" w:rsidP="00993E83">
      <w:pPr>
        <w:pStyle w:val="EndnoteText"/>
        <w:rPr>
          <w:rFonts w:cstheme="minorHAnsi"/>
          <w:sz w:val="18"/>
          <w:szCs w:val="18"/>
        </w:rPr>
      </w:pPr>
      <w:r w:rsidRPr="00513E84">
        <w:rPr>
          <w:rStyle w:val="EndnoteReference"/>
          <w:rFonts w:cstheme="minorHAnsi"/>
          <w:sz w:val="18"/>
          <w:szCs w:val="18"/>
        </w:rPr>
        <w:endnoteRef/>
      </w:r>
      <w:r w:rsidRPr="00513E84">
        <w:rPr>
          <w:rStyle w:val="EndnoteReference"/>
          <w:rFonts w:cstheme="minorHAnsi"/>
          <w:sz w:val="18"/>
          <w:szCs w:val="18"/>
        </w:rPr>
        <w:t xml:space="preserve"> </w:t>
      </w:r>
      <w:r w:rsidRPr="009145A9">
        <w:rPr>
          <w:rFonts w:cstheme="minorHAnsi"/>
          <w:b/>
          <w:sz w:val="18"/>
          <w:szCs w:val="18"/>
        </w:rPr>
        <w:t>Attachment A</w:t>
      </w:r>
      <w:r w:rsidRPr="00513E84">
        <w:rPr>
          <w:rFonts w:cstheme="minorHAnsi"/>
          <w:sz w:val="18"/>
          <w:szCs w:val="18"/>
        </w:rPr>
        <w:t xml:space="preserve"> </w:t>
      </w:r>
      <w:r w:rsidRPr="00F60210">
        <w:rPr>
          <w:rFonts w:cstheme="minorHAnsi"/>
          <w:sz w:val="18"/>
          <w:szCs w:val="18"/>
        </w:rPr>
        <w:t>identifies relevant plans, policies and programs available under the EPBC Act.</w:t>
      </w:r>
      <w:r w:rsidRPr="00513E84">
        <w:rPr>
          <w:rFonts w:cstheme="minorHAnsi"/>
          <w:sz w:val="18"/>
          <w:szCs w:val="18"/>
        </w:rPr>
        <w:t xml:space="preserve"> </w:t>
      </w:r>
    </w:p>
  </w:endnote>
  <w:endnote w:id="55">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Statements of Outstanding Universal Value are availa</w:t>
      </w:r>
      <w:r>
        <w:rPr>
          <w:rFonts w:cstheme="minorHAnsi"/>
          <w:sz w:val="18"/>
          <w:szCs w:val="18"/>
        </w:rPr>
        <w:t>ble for some of Australia’s 19 W</w:t>
      </w:r>
      <w:r w:rsidRPr="00513E84">
        <w:rPr>
          <w:rFonts w:cstheme="minorHAnsi"/>
          <w:sz w:val="18"/>
          <w:szCs w:val="18"/>
        </w:rPr>
        <w:t xml:space="preserve">orld heritage properties.  The requirement that the outstanding universal value of World Heritage properties must be identified, protected, conserved, presented and transmitted to future generations, reflects and is consistent with Australia's obligations under Arts 4 and 5(d) of the </w:t>
      </w:r>
      <w:r w:rsidRPr="00513E84">
        <w:rPr>
          <w:rFonts w:cstheme="minorHAnsi"/>
          <w:i/>
          <w:sz w:val="18"/>
          <w:szCs w:val="18"/>
        </w:rPr>
        <w:t>Convention for the Protection of the World Cultural and Natural Heritage</w:t>
      </w:r>
      <w:r w:rsidRPr="00513E84">
        <w:rPr>
          <w:rFonts w:cstheme="minorHAnsi"/>
          <w:sz w:val="18"/>
          <w:szCs w:val="18"/>
        </w:rPr>
        <w:t xml:space="preserve"> [1975] ATS 47 (World Heritage Convention).</w:t>
      </w:r>
    </w:p>
  </w:endnote>
  <w:endnote w:id="56">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w:t>
      </w:r>
      <w:r w:rsidRPr="00513E84">
        <w:rPr>
          <w:rFonts w:eastAsia="Times New Roman" w:cstheme="minorHAnsi"/>
          <w:sz w:val="18"/>
          <w:szCs w:val="18"/>
          <w:lang w:eastAsia="en-AU"/>
        </w:rPr>
        <w:t xml:space="preserve">The process for the delisting of World Heritage properties is set out in the </w:t>
      </w:r>
      <w:r w:rsidRPr="00513E84">
        <w:rPr>
          <w:rFonts w:eastAsia="Times New Roman" w:cstheme="minorHAnsi"/>
          <w:i/>
          <w:sz w:val="18"/>
          <w:szCs w:val="18"/>
          <w:lang w:eastAsia="en-AU"/>
        </w:rPr>
        <w:t xml:space="preserve">Operational Guidelines for the Implementation of the World Heritage Convention </w:t>
      </w:r>
      <w:r w:rsidRPr="00513E84">
        <w:rPr>
          <w:rFonts w:eastAsia="Times New Roman" w:cstheme="minorHAnsi"/>
          <w:sz w:val="18"/>
          <w:szCs w:val="18"/>
          <w:lang w:eastAsia="en-AU"/>
        </w:rPr>
        <w:t>(at [192] - [198]).</w:t>
      </w:r>
    </w:p>
  </w:endnote>
  <w:endnote w:id="57">
    <w:p w:rsidR="001125C0" w:rsidRPr="00513E84" w:rsidRDefault="001125C0" w:rsidP="0012432E">
      <w:pPr>
        <w:spacing w:after="0" w:line="240" w:lineRule="auto"/>
        <w:rPr>
          <w:rFonts w:eastAsia="Times New Roman" w:cstheme="minorHAnsi"/>
          <w:sz w:val="18"/>
          <w:szCs w:val="18"/>
          <w:lang w:eastAsia="en-AU"/>
        </w:rPr>
      </w:pPr>
      <w:r w:rsidRPr="00513E84">
        <w:rPr>
          <w:rStyle w:val="EndnoteReference"/>
          <w:rFonts w:cstheme="minorHAnsi"/>
        </w:rPr>
        <w:endnoteRef/>
      </w:r>
      <w:r w:rsidRPr="00513E84">
        <w:rPr>
          <w:rFonts w:cstheme="minorHAnsi"/>
        </w:rPr>
        <w:t xml:space="preserve"> </w:t>
      </w:r>
      <w:r w:rsidRPr="00513E84">
        <w:rPr>
          <w:rFonts w:cstheme="minorHAnsi"/>
          <w:sz w:val="18"/>
          <w:szCs w:val="18"/>
        </w:rPr>
        <w:t xml:space="preserve">Subsection 51(1) of the </w:t>
      </w:r>
      <w:r w:rsidRPr="00513E84">
        <w:rPr>
          <w:rFonts w:eastAsia="Times New Roman" w:cstheme="minorHAnsi"/>
          <w:sz w:val="18"/>
          <w:szCs w:val="18"/>
          <w:lang w:eastAsia="en-AU"/>
        </w:rPr>
        <w:t>EPBC Act sets out specific requirements in relation to bilateral agreements for World Heritage properties. Subsection 51(2) of the EPBC Act sets out similar requirements in relation to accrediting a management arrangement or authorisation process for World Heritage properties: the Minister must be satisfied that the management arrangement or authorisation process is not inconsistent with Australia’s obligations under the World Heritage Convention and will promote the management of the property in accordance with the Australian World Heritage management principles.</w:t>
      </w:r>
    </w:p>
  </w:endnote>
  <w:endnote w:id="58">
    <w:p w:rsidR="001125C0" w:rsidRPr="00513E84" w:rsidRDefault="001125C0" w:rsidP="008A241A">
      <w:pPr>
        <w:pStyle w:val="EndnoteText"/>
      </w:pPr>
      <w:r w:rsidRPr="00203F6E">
        <w:rPr>
          <w:rStyle w:val="EndnoteReference"/>
          <w:rFonts w:cstheme="minorHAnsi"/>
          <w:sz w:val="18"/>
          <w:szCs w:val="18"/>
        </w:rPr>
        <w:endnoteRef/>
      </w:r>
      <w:r w:rsidRPr="00513E84">
        <w:rPr>
          <w:rStyle w:val="EndnoteReference"/>
          <w:rFonts w:cstheme="minorHAnsi"/>
        </w:rPr>
        <w:t xml:space="preserve"> </w:t>
      </w:r>
      <w:r w:rsidRPr="00513E84">
        <w:rPr>
          <w:rStyle w:val="FootnoteChar"/>
          <w:rFonts w:asciiTheme="minorHAnsi" w:hAnsiTheme="minorHAnsi"/>
        </w:rPr>
        <w:t xml:space="preserve">See </w:t>
      </w:r>
      <w:r>
        <w:rPr>
          <w:rStyle w:val="FootnoteChar"/>
          <w:rFonts w:asciiTheme="minorHAnsi" w:hAnsiTheme="minorHAnsi"/>
          <w:b/>
        </w:rPr>
        <w:t>Attachment I</w:t>
      </w:r>
      <w:r w:rsidRPr="00513E84">
        <w:rPr>
          <w:rStyle w:val="FootnoteChar"/>
          <w:rFonts w:asciiTheme="minorHAnsi" w:hAnsiTheme="minorHAnsi"/>
        </w:rPr>
        <w:t xml:space="preserve"> for an overview of the World Heritage Convention.</w:t>
      </w:r>
    </w:p>
  </w:endnote>
  <w:endnote w:id="59">
    <w:p w:rsidR="001125C0" w:rsidRPr="00513E84" w:rsidRDefault="001125C0" w:rsidP="00BE6F5B">
      <w:pPr>
        <w:autoSpaceDE w:val="0"/>
        <w:autoSpaceDN w:val="0"/>
        <w:adjustRightInd w:val="0"/>
        <w:spacing w:after="0" w:line="240" w:lineRule="auto"/>
        <w:rPr>
          <w:rFonts w:cstheme="minorHAnsi"/>
          <w:b/>
          <w:sz w:val="18"/>
          <w:szCs w:val="18"/>
        </w:rPr>
      </w:pPr>
      <w:r w:rsidRPr="00203F6E">
        <w:rPr>
          <w:rStyle w:val="EndnoteReference"/>
          <w:rFonts w:eastAsia="Calibri" w:cstheme="minorHAnsi"/>
          <w:sz w:val="18"/>
          <w:szCs w:val="18"/>
        </w:rPr>
        <w:endnoteRef/>
      </w:r>
      <w:r w:rsidRPr="00203F6E">
        <w:rPr>
          <w:rStyle w:val="EndnoteReference"/>
          <w:rFonts w:eastAsia="Calibri"/>
          <w:sz w:val="18"/>
          <w:szCs w:val="18"/>
        </w:rPr>
        <w:t xml:space="preserve"> </w:t>
      </w:r>
      <w:r w:rsidRPr="00513E84">
        <w:rPr>
          <w:rFonts w:cstheme="minorHAnsi"/>
          <w:sz w:val="18"/>
          <w:szCs w:val="18"/>
        </w:rPr>
        <w:t xml:space="preserve">The Australian World Heritage management principles are set out in Schedule 5 to the </w:t>
      </w:r>
      <w:r w:rsidRPr="00513E84">
        <w:rPr>
          <w:rFonts w:cstheme="minorHAnsi"/>
          <w:i/>
          <w:sz w:val="18"/>
          <w:szCs w:val="18"/>
        </w:rPr>
        <w:t xml:space="preserve">Environment Protection and Biodiversity Conservation Regulations 2000 </w:t>
      </w:r>
      <w:r w:rsidRPr="00513E84">
        <w:rPr>
          <w:rFonts w:cstheme="minorHAnsi"/>
          <w:sz w:val="18"/>
          <w:szCs w:val="18"/>
        </w:rPr>
        <w:t xml:space="preserve">(EPBC Regulations). See also EPBC Act, subsection 323(1) and EPBC Regulations, regulation 10.01. </w:t>
      </w:r>
    </w:p>
  </w:endnote>
  <w:endnote w:id="60">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203F6E">
        <w:rPr>
          <w:rStyle w:val="EndnoteReference"/>
        </w:rPr>
        <w:t xml:space="preserve"> </w:t>
      </w:r>
      <w:proofErr w:type="gramStart"/>
      <w:r w:rsidRPr="00513E84">
        <w:rPr>
          <w:rFonts w:cstheme="minorHAnsi"/>
          <w:sz w:val="18"/>
          <w:szCs w:val="18"/>
        </w:rPr>
        <w:t>EPBC Regulations, Part 2B.</w:t>
      </w:r>
      <w:proofErr w:type="gramEnd"/>
    </w:p>
  </w:endnote>
  <w:endnote w:id="61">
    <w:p w:rsidR="001125C0" w:rsidRDefault="001125C0">
      <w:pPr>
        <w:pStyle w:val="EndnoteText"/>
      </w:pPr>
      <w:r w:rsidRPr="0066299C">
        <w:rPr>
          <w:rStyle w:val="EndnoteReference"/>
          <w:rFonts w:cstheme="minorHAnsi"/>
          <w:sz w:val="18"/>
          <w:szCs w:val="18"/>
        </w:rPr>
        <w:endnoteRef/>
      </w:r>
      <w:r>
        <w:t xml:space="preserve"> </w:t>
      </w:r>
      <w:r w:rsidRPr="00513E84">
        <w:rPr>
          <w:rFonts w:cstheme="minorHAnsi"/>
          <w:sz w:val="18"/>
          <w:szCs w:val="18"/>
        </w:rPr>
        <w:t xml:space="preserve">Consistent with clause 172 of the </w:t>
      </w:r>
      <w:r w:rsidRPr="0066299C">
        <w:rPr>
          <w:rFonts w:cstheme="minorHAnsi"/>
          <w:i/>
          <w:sz w:val="18"/>
          <w:szCs w:val="18"/>
        </w:rPr>
        <w:t>Operational Guidelines for the Implementation of the World Heritage Convention</w:t>
      </w:r>
      <w:r w:rsidRPr="00513E84">
        <w:rPr>
          <w:rFonts w:cstheme="minorHAnsi"/>
          <w:sz w:val="18"/>
          <w:szCs w:val="18"/>
        </w:rPr>
        <w:t>, the Commonwealth routinely notifies the World Heritage Committee of proposals to undertake or to authorize in an area protected under the Convention major restorations or new constructions which may affect the Outstanding Universal Value of the property.</w:t>
      </w:r>
    </w:p>
  </w:endnote>
  <w:endnote w:id="62">
    <w:p w:rsidR="001125C0" w:rsidRDefault="001125C0">
      <w:pPr>
        <w:pStyle w:val="EndnoteText"/>
      </w:pPr>
      <w:r w:rsidRPr="00F767AD">
        <w:rPr>
          <w:rStyle w:val="EndnoteReference"/>
          <w:rFonts w:cstheme="minorHAnsi"/>
          <w:sz w:val="18"/>
          <w:szCs w:val="18"/>
        </w:rPr>
        <w:endnoteRef/>
      </w:r>
      <w:r>
        <w:t xml:space="preserve"> See </w:t>
      </w:r>
      <w:r w:rsidRPr="001214DA">
        <w:rPr>
          <w:rStyle w:val="FootnoteChar"/>
          <w:rFonts w:asciiTheme="minorHAnsi" w:hAnsiTheme="minorHAnsi"/>
        </w:rPr>
        <w:t>EPBC Act, paragraph 137(c).</w:t>
      </w:r>
    </w:p>
  </w:endnote>
  <w:endnote w:id="63">
    <w:p w:rsidR="001125C0" w:rsidRPr="00513E84" w:rsidRDefault="001125C0" w:rsidP="000C1741">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w:t>
      </w:r>
      <w:r w:rsidRPr="00513E84">
        <w:rPr>
          <w:rFonts w:cstheme="minorHAnsi"/>
          <w:b/>
          <w:sz w:val="18"/>
          <w:szCs w:val="18"/>
        </w:rPr>
        <w:t>Attachment A</w:t>
      </w:r>
      <w:r w:rsidRPr="00513E84">
        <w:rPr>
          <w:rFonts w:cstheme="minorHAnsi"/>
          <w:sz w:val="18"/>
          <w:szCs w:val="18"/>
        </w:rPr>
        <w:t xml:space="preserve"> identifies relevant plans, policies and programs available under the EPBC Act. </w:t>
      </w:r>
    </w:p>
  </w:endnote>
  <w:endnote w:id="64">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Style w:val="EndnoteReference"/>
          <w:rFonts w:cstheme="minorHAnsi"/>
          <w:sz w:val="18"/>
          <w:szCs w:val="18"/>
        </w:rPr>
        <w:t xml:space="preserve"> </w:t>
      </w:r>
      <w:r w:rsidRPr="00513E84">
        <w:rPr>
          <w:rFonts w:cstheme="minorHAnsi"/>
          <w:sz w:val="18"/>
          <w:szCs w:val="18"/>
        </w:rPr>
        <w:t>This outcome statement reflects the scope of protection for the environment in relation to nuclear actions, under section21 of the EPBC Act.</w:t>
      </w:r>
    </w:p>
  </w:endnote>
  <w:endnote w:id="65">
    <w:p w:rsidR="001125C0" w:rsidRPr="00513E84" w:rsidRDefault="001125C0" w:rsidP="008A241A">
      <w:pPr>
        <w:pStyle w:val="EndnoteText"/>
        <w:rPr>
          <w:rFonts w:cstheme="minorHAnsi"/>
        </w:rPr>
      </w:pPr>
      <w:r w:rsidRPr="00513E84">
        <w:rPr>
          <w:rStyle w:val="EndnoteReference"/>
          <w:rFonts w:cstheme="minorHAnsi"/>
        </w:rPr>
        <w:endnoteRef/>
      </w:r>
      <w:r w:rsidRPr="00513E84">
        <w:rPr>
          <w:rFonts w:cstheme="minorHAnsi"/>
        </w:rPr>
        <w:t xml:space="preserve"> </w:t>
      </w:r>
      <w:proofErr w:type="gramStart"/>
      <w:r w:rsidRPr="00513E84">
        <w:rPr>
          <w:rFonts w:cstheme="minorHAnsi"/>
          <w:sz w:val="18"/>
          <w:szCs w:val="18"/>
        </w:rPr>
        <w:t xml:space="preserve">Section 55 of the </w:t>
      </w:r>
      <w:r w:rsidRPr="00513E84">
        <w:rPr>
          <w:rFonts w:eastAsia="Times New Roman" w:cstheme="minorHAnsi"/>
          <w:sz w:val="18"/>
          <w:szCs w:val="18"/>
          <w:lang w:eastAsia="en-AU"/>
        </w:rPr>
        <w:t xml:space="preserve">EPBC Act sets out specific requirements in relation to bilateral agreements </w:t>
      </w:r>
      <w:r>
        <w:rPr>
          <w:rFonts w:eastAsia="Times New Roman" w:cstheme="minorHAnsi"/>
          <w:sz w:val="18"/>
          <w:szCs w:val="18"/>
          <w:lang w:eastAsia="en-AU"/>
        </w:rPr>
        <w:t xml:space="preserve">and accrediting management arrangements or authorisation processes </w:t>
      </w:r>
      <w:r w:rsidRPr="00513E84">
        <w:rPr>
          <w:rFonts w:eastAsia="Times New Roman" w:cstheme="minorHAnsi"/>
          <w:sz w:val="18"/>
          <w:szCs w:val="18"/>
          <w:lang w:eastAsia="en-AU"/>
        </w:rPr>
        <w:t>for nuclear actions.</w:t>
      </w:r>
      <w:proofErr w:type="gramEnd"/>
    </w:p>
  </w:endnote>
  <w:endnote w:id="66">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Section 140A EPBC Act provides that the Commonwealth Minister for Environment must not approve these types of actions. </w:t>
      </w:r>
    </w:p>
  </w:endnote>
  <w:endnote w:id="67">
    <w:p w:rsidR="001125C0" w:rsidRDefault="001125C0">
      <w:pPr>
        <w:pStyle w:val="EndnoteText"/>
      </w:pPr>
      <w:r w:rsidRPr="00A953B9">
        <w:rPr>
          <w:rStyle w:val="EndnoteReference"/>
          <w:rFonts w:cstheme="minorHAnsi"/>
        </w:rPr>
        <w:endnoteRef/>
      </w:r>
      <w:r w:rsidRPr="00A953B9">
        <w:rPr>
          <w:rStyle w:val="EndnoteReference"/>
          <w:rFonts w:cstheme="minorHAnsi"/>
        </w:rPr>
        <w:t xml:space="preserve"> </w:t>
      </w:r>
      <w:r>
        <w:rPr>
          <w:rFonts w:cstheme="minorHAnsi"/>
          <w:sz w:val="18"/>
          <w:szCs w:val="18"/>
        </w:rPr>
        <w:t xml:space="preserve">Section 22A of the EPBC Act provides that </w:t>
      </w:r>
      <w:r>
        <w:rPr>
          <w:rFonts w:cstheme="minorHAnsi"/>
        </w:rPr>
        <w:t>w</w:t>
      </w:r>
      <w:r w:rsidRPr="00A953B9">
        <w:rPr>
          <w:rFonts w:cstheme="minorHAnsi"/>
          <w:sz w:val="18"/>
          <w:szCs w:val="18"/>
        </w:rPr>
        <w:t>here a nuclear action is proposed, the matter protected under the EPBC Act relates to significant impacts on the whole of the environment.</w:t>
      </w:r>
    </w:p>
  </w:endnote>
  <w:endnote w:id="68">
    <w:p w:rsidR="001125C0" w:rsidRPr="00513E84" w:rsidRDefault="001125C0" w:rsidP="00710998">
      <w:pPr>
        <w:pStyle w:val="EndnoteText"/>
      </w:pPr>
      <w:r w:rsidRPr="00513E84">
        <w:rPr>
          <w:rStyle w:val="EndnoteReference"/>
          <w:rFonts w:cstheme="minorHAnsi"/>
          <w:sz w:val="18"/>
          <w:szCs w:val="18"/>
        </w:rPr>
        <w:endnoteRef/>
      </w:r>
      <w:r w:rsidRPr="00513E84">
        <w:rPr>
          <w:rStyle w:val="EndnoteReference"/>
          <w:rFonts w:cstheme="minorHAnsi"/>
          <w:sz w:val="18"/>
          <w:szCs w:val="18"/>
        </w:rPr>
        <w:t xml:space="preserve"> </w:t>
      </w:r>
      <w:r w:rsidRPr="00513E84">
        <w:rPr>
          <w:rFonts w:cstheme="minorHAnsi"/>
          <w:b/>
          <w:sz w:val="18"/>
          <w:szCs w:val="18"/>
        </w:rPr>
        <w:t>Attachment A</w:t>
      </w:r>
      <w:r w:rsidRPr="00513E84">
        <w:rPr>
          <w:rFonts w:cstheme="minorHAnsi"/>
          <w:sz w:val="18"/>
          <w:szCs w:val="18"/>
        </w:rPr>
        <w:t xml:space="preserve"> identifies relevant plans, policies and programs available under the EPBC Act. </w:t>
      </w:r>
    </w:p>
  </w:endnote>
  <w:endnote w:id="69">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Style w:val="EndnoteReference"/>
          <w:rFonts w:cstheme="minorHAnsi"/>
          <w:sz w:val="18"/>
          <w:szCs w:val="18"/>
        </w:rPr>
        <w:t xml:space="preserve"> </w:t>
      </w:r>
      <w:r w:rsidRPr="00513E84">
        <w:rPr>
          <w:rFonts w:cstheme="minorHAnsi"/>
          <w:sz w:val="18"/>
          <w:szCs w:val="18"/>
        </w:rPr>
        <w:t>This outcome reflects the scope of protection under section 23 and the intended outcomes under subsection 176(5) of the EPBC Act.  The list of current marine bioregional plans can be found at: http://www.environment.gov.au/coasts/mbp/index.html.</w:t>
      </w:r>
    </w:p>
  </w:endnote>
  <w:endnote w:id="70">
    <w:p w:rsidR="001125C0" w:rsidRDefault="001125C0">
      <w:pPr>
        <w:pStyle w:val="EndnoteText"/>
      </w:pPr>
      <w:r w:rsidRPr="00BE6F5B">
        <w:rPr>
          <w:rStyle w:val="EndnoteReference"/>
        </w:rPr>
        <w:endnoteRef/>
      </w:r>
      <w:r w:rsidRPr="00BE6F5B">
        <w:t xml:space="preserve"> </w:t>
      </w:r>
      <w:r w:rsidRPr="00BE6F5B">
        <w:rPr>
          <w:sz w:val="18"/>
          <w:szCs w:val="18"/>
        </w:rPr>
        <w:t>EPBC Act, section 354.</w:t>
      </w:r>
    </w:p>
  </w:endnote>
  <w:endnote w:id="71">
    <w:p w:rsidR="001125C0" w:rsidRPr="00513E84" w:rsidRDefault="001125C0" w:rsidP="007249F6">
      <w:pPr>
        <w:pStyle w:val="EndnoteText"/>
        <w:rPr>
          <w:rFonts w:cstheme="minorHAnsi"/>
          <w:lang w:val="en-US"/>
        </w:rPr>
      </w:pPr>
      <w:r w:rsidRPr="00513E84">
        <w:rPr>
          <w:rStyle w:val="EndnoteReference"/>
          <w:rFonts w:cstheme="minorHAnsi"/>
          <w:sz w:val="18"/>
          <w:szCs w:val="18"/>
        </w:rPr>
        <w:endnoteRef/>
      </w:r>
      <w:r w:rsidRPr="00513E84">
        <w:rPr>
          <w:rFonts w:cstheme="minorHAnsi"/>
          <w:sz w:val="18"/>
          <w:szCs w:val="18"/>
        </w:rPr>
        <w:t xml:space="preserve"> EPBC Act, </w:t>
      </w:r>
      <w:r w:rsidRPr="00513E84">
        <w:rPr>
          <w:rFonts w:cstheme="minorHAnsi"/>
          <w:sz w:val="18"/>
          <w:szCs w:val="18"/>
          <w:lang w:val="en-US"/>
        </w:rPr>
        <w:t>subsection 176(5).</w:t>
      </w:r>
    </w:p>
  </w:endnote>
  <w:endnote w:id="72">
    <w:p w:rsidR="001125C0" w:rsidRPr="00513E84" w:rsidRDefault="001125C0" w:rsidP="00710998">
      <w:pPr>
        <w:pStyle w:val="EndnoteText"/>
      </w:pPr>
      <w:r w:rsidRPr="00513E84">
        <w:rPr>
          <w:rStyle w:val="EndnoteReference"/>
          <w:rFonts w:cstheme="minorHAnsi"/>
          <w:sz w:val="18"/>
          <w:szCs w:val="18"/>
        </w:rPr>
        <w:endnoteRef/>
      </w:r>
      <w:r w:rsidRPr="00513E84">
        <w:t xml:space="preserve"> </w:t>
      </w:r>
      <w:r w:rsidRPr="00513E84">
        <w:rPr>
          <w:rFonts w:cstheme="minorHAnsi"/>
          <w:b/>
          <w:sz w:val="18"/>
          <w:szCs w:val="18"/>
        </w:rPr>
        <w:t>Attachment A</w:t>
      </w:r>
      <w:r w:rsidRPr="00513E84">
        <w:rPr>
          <w:rFonts w:cstheme="minorHAnsi"/>
          <w:sz w:val="18"/>
          <w:szCs w:val="18"/>
        </w:rPr>
        <w:t xml:space="preserve"> identifies relevant plans, policies and programs available under the EPBC Act. </w:t>
      </w:r>
    </w:p>
  </w:endnote>
  <w:endnote w:id="73">
    <w:p w:rsidR="001125C0" w:rsidRPr="00513E84" w:rsidRDefault="001125C0" w:rsidP="009D2B04">
      <w:pPr>
        <w:pStyle w:val="EndnoteText"/>
        <w:rPr>
          <w:rFonts w:cstheme="minorHAnsi"/>
          <w:sz w:val="18"/>
          <w:szCs w:val="18"/>
        </w:rPr>
      </w:pPr>
      <w:r w:rsidRPr="00513E84">
        <w:rPr>
          <w:rStyle w:val="EndnoteReference"/>
          <w:rFonts w:cstheme="minorHAnsi"/>
          <w:sz w:val="18"/>
          <w:szCs w:val="18"/>
        </w:rPr>
        <w:endnoteRef/>
      </w:r>
      <w:r w:rsidRPr="00513E84">
        <w:rPr>
          <w:rStyle w:val="EndnoteReference"/>
          <w:rFonts w:cstheme="minorHAnsi"/>
          <w:sz w:val="18"/>
          <w:szCs w:val="18"/>
        </w:rPr>
        <w:t xml:space="preserve"> </w:t>
      </w:r>
      <w:r w:rsidRPr="00513E84">
        <w:rPr>
          <w:rFonts w:cstheme="minorHAnsi"/>
          <w:sz w:val="18"/>
          <w:szCs w:val="18"/>
        </w:rPr>
        <w:t xml:space="preserve">The requirement that the outstanding universal value of World Heritage properties must be identified, protected, conserved, presented and transmitted to future generations, reflects and is consistent with Australia's obligations under Arts 4 and 5(d) of the </w:t>
      </w:r>
      <w:r w:rsidRPr="00513E84">
        <w:rPr>
          <w:rFonts w:cstheme="minorHAnsi"/>
          <w:i/>
          <w:sz w:val="18"/>
          <w:szCs w:val="18"/>
        </w:rPr>
        <w:t>Convention for the Protection of the World Cultural and Natural Heritage</w:t>
      </w:r>
      <w:r w:rsidRPr="00513E84">
        <w:rPr>
          <w:rFonts w:cstheme="minorHAnsi"/>
          <w:sz w:val="18"/>
          <w:szCs w:val="18"/>
        </w:rPr>
        <w:t xml:space="preserve"> [1975] ATS 47 (World Heritage Convention).</w:t>
      </w:r>
    </w:p>
  </w:endnote>
  <w:endnote w:id="74">
    <w:p w:rsidR="001125C0" w:rsidRPr="00513E84" w:rsidRDefault="001125C0" w:rsidP="009D2B04">
      <w:pPr>
        <w:pStyle w:val="EndnoteText"/>
        <w:rPr>
          <w:rFonts w:cstheme="minorHAnsi"/>
          <w:sz w:val="18"/>
          <w:szCs w:val="18"/>
        </w:rPr>
      </w:pPr>
      <w:r w:rsidRPr="00513E84">
        <w:rPr>
          <w:rStyle w:val="EndnoteReference"/>
          <w:rFonts w:cstheme="minorHAnsi"/>
          <w:sz w:val="18"/>
          <w:szCs w:val="18"/>
        </w:rPr>
        <w:endnoteRef/>
      </w:r>
      <w:r w:rsidRPr="002F0767">
        <w:rPr>
          <w:rStyle w:val="EndnoteReference"/>
        </w:rPr>
        <w:t xml:space="preserve"> </w:t>
      </w:r>
      <w:r w:rsidRPr="00513E84">
        <w:rPr>
          <w:rFonts w:cstheme="minorHAnsi"/>
          <w:sz w:val="18"/>
          <w:szCs w:val="18"/>
        </w:rPr>
        <w:t xml:space="preserve">This outcome is consistent with Arts 4 and 5(d) of the World Heritage Convention and the </w:t>
      </w:r>
      <w:r w:rsidRPr="00513E84">
        <w:rPr>
          <w:rFonts w:cstheme="minorHAnsi"/>
          <w:i/>
          <w:sz w:val="18"/>
          <w:szCs w:val="18"/>
        </w:rPr>
        <w:t>Great Barrier Reef Marine Park Act 1975</w:t>
      </w:r>
      <w:r w:rsidRPr="00513E84">
        <w:rPr>
          <w:rFonts w:cstheme="minorHAnsi"/>
          <w:sz w:val="18"/>
          <w:szCs w:val="18"/>
        </w:rPr>
        <w:t>.</w:t>
      </w:r>
    </w:p>
  </w:endnote>
  <w:endnote w:id="75">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t xml:space="preserve"> </w:t>
      </w:r>
      <w:r w:rsidRPr="00513E84">
        <w:rPr>
          <w:rFonts w:cstheme="minorHAnsi"/>
          <w:sz w:val="18"/>
          <w:szCs w:val="18"/>
        </w:rPr>
        <w:t xml:space="preserve">See page 8 of the </w:t>
      </w:r>
      <w:r w:rsidRPr="00513E84">
        <w:rPr>
          <w:rFonts w:cstheme="minorHAnsi"/>
          <w:i/>
          <w:sz w:val="18"/>
          <w:szCs w:val="18"/>
        </w:rPr>
        <w:t>Statement of Environmental and Assurance Outcomes</w:t>
      </w:r>
      <w:r w:rsidRPr="00513E84">
        <w:rPr>
          <w:rFonts w:cstheme="minorHAnsi"/>
          <w:sz w:val="18"/>
          <w:szCs w:val="18"/>
        </w:rPr>
        <w:t>.</w:t>
      </w:r>
    </w:p>
  </w:endnote>
  <w:endnote w:id="76">
    <w:p w:rsidR="001125C0" w:rsidRPr="00513E84" w:rsidRDefault="001125C0" w:rsidP="008A241A">
      <w:pPr>
        <w:pStyle w:val="EndnoteText"/>
        <w:rPr>
          <w:rFonts w:cstheme="minorHAnsi"/>
        </w:rPr>
      </w:pPr>
      <w:r w:rsidRPr="00513E84">
        <w:rPr>
          <w:rStyle w:val="EndnoteReference"/>
          <w:rFonts w:cstheme="minorHAnsi"/>
        </w:rPr>
        <w:endnoteRef/>
      </w:r>
      <w:r w:rsidRPr="00513E84">
        <w:rPr>
          <w:rFonts w:cstheme="minorHAnsi"/>
        </w:rPr>
        <w:t xml:space="preserve"> </w:t>
      </w:r>
      <w:r w:rsidRPr="00513E84">
        <w:rPr>
          <w:rFonts w:cstheme="minorHAnsi"/>
          <w:sz w:val="18"/>
          <w:szCs w:val="18"/>
        </w:rPr>
        <w:t>EPBC Act, paragraph</w:t>
      </w:r>
      <w:r>
        <w:rPr>
          <w:rFonts w:cstheme="minorHAnsi"/>
          <w:sz w:val="18"/>
          <w:szCs w:val="18"/>
        </w:rPr>
        <w:t>s 46(2</w:t>
      </w:r>
      <w:proofErr w:type="gramStart"/>
      <w:r>
        <w:rPr>
          <w:rFonts w:cstheme="minorHAnsi"/>
          <w:sz w:val="18"/>
          <w:szCs w:val="18"/>
        </w:rPr>
        <w:t>)(</w:t>
      </w:r>
      <w:proofErr w:type="gramEnd"/>
      <w:r>
        <w:rPr>
          <w:rFonts w:cstheme="minorHAnsi"/>
          <w:sz w:val="18"/>
          <w:szCs w:val="18"/>
        </w:rPr>
        <w:t>a) and</w:t>
      </w:r>
      <w:r w:rsidRPr="00513E84">
        <w:rPr>
          <w:rFonts w:cstheme="minorHAnsi"/>
          <w:sz w:val="18"/>
          <w:szCs w:val="18"/>
        </w:rPr>
        <w:t xml:space="preserve"> 46(2A)(a). </w:t>
      </w:r>
    </w:p>
  </w:endnote>
  <w:endnote w:id="77">
    <w:p w:rsidR="001125C0" w:rsidRPr="00513E84" w:rsidRDefault="001125C0" w:rsidP="001055C3">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Part 7 of the EPBC Act provides for significant impacts on matters of national environmental significance to be referred and identified. </w:t>
      </w:r>
    </w:p>
  </w:endnote>
  <w:endnote w:id="78">
    <w:p w:rsidR="001125C0" w:rsidRPr="00513E84" w:rsidRDefault="001125C0" w:rsidP="008A241A">
      <w:pPr>
        <w:pStyle w:val="EndnoteText"/>
        <w:rPr>
          <w:rFonts w:cstheme="minorHAnsi"/>
        </w:rPr>
      </w:pPr>
      <w:r w:rsidRPr="00513E84">
        <w:rPr>
          <w:rStyle w:val="EndnoteReference"/>
          <w:rFonts w:cstheme="minorHAnsi"/>
        </w:rPr>
        <w:endnoteRef/>
      </w:r>
      <w:r w:rsidRPr="00513E84">
        <w:rPr>
          <w:rFonts w:cstheme="minorHAnsi"/>
        </w:rPr>
        <w:t xml:space="preserve"> </w:t>
      </w:r>
      <w:r w:rsidRPr="00513E84">
        <w:rPr>
          <w:rFonts w:cstheme="minorHAnsi"/>
          <w:sz w:val="18"/>
          <w:szCs w:val="18"/>
        </w:rPr>
        <w:t>EPBC Act, section 527E.</w:t>
      </w:r>
    </w:p>
  </w:endnote>
  <w:endnote w:id="79">
    <w:p w:rsidR="001125C0" w:rsidRPr="00513E84" w:rsidRDefault="001125C0" w:rsidP="008A241A">
      <w:pPr>
        <w:pStyle w:val="EndnoteText"/>
        <w:rPr>
          <w:rFonts w:cstheme="minorHAnsi"/>
        </w:rPr>
      </w:pPr>
      <w:r w:rsidRPr="00513E84">
        <w:rPr>
          <w:rStyle w:val="EndnoteReference"/>
          <w:rFonts w:cstheme="minorHAnsi"/>
          <w:sz w:val="18"/>
          <w:szCs w:val="18"/>
        </w:rPr>
        <w:endnoteRef/>
      </w:r>
      <w:r w:rsidRPr="00513E84">
        <w:rPr>
          <w:rFonts w:cstheme="minorHAnsi"/>
        </w:rPr>
        <w:t xml:space="preserve"> </w:t>
      </w:r>
      <w:r w:rsidRPr="00513E84">
        <w:rPr>
          <w:rFonts w:cstheme="minorHAnsi"/>
          <w:sz w:val="18"/>
          <w:szCs w:val="18"/>
        </w:rPr>
        <w:t xml:space="preserve">EPBC Act, </w:t>
      </w:r>
      <w:r>
        <w:rPr>
          <w:rFonts w:cstheme="minorHAnsi"/>
          <w:sz w:val="18"/>
          <w:szCs w:val="18"/>
        </w:rPr>
        <w:t>paragraph</w:t>
      </w:r>
      <w:r w:rsidRPr="00513E84">
        <w:rPr>
          <w:rFonts w:cstheme="minorHAnsi"/>
          <w:sz w:val="18"/>
          <w:szCs w:val="18"/>
        </w:rPr>
        <w:t xml:space="preserve"> 46(3</w:t>
      </w:r>
      <w:proofErr w:type="gramStart"/>
      <w:r w:rsidRPr="00513E84">
        <w:rPr>
          <w:rFonts w:cstheme="minorHAnsi"/>
          <w:sz w:val="18"/>
          <w:szCs w:val="18"/>
        </w:rPr>
        <w:t>)</w:t>
      </w:r>
      <w:r>
        <w:rPr>
          <w:rFonts w:cstheme="minorHAnsi"/>
          <w:sz w:val="18"/>
          <w:szCs w:val="18"/>
        </w:rPr>
        <w:t>(</w:t>
      </w:r>
      <w:proofErr w:type="gramEnd"/>
      <w:r>
        <w:rPr>
          <w:rFonts w:cstheme="minorHAnsi"/>
          <w:sz w:val="18"/>
          <w:szCs w:val="18"/>
        </w:rPr>
        <w:t>b)</w:t>
      </w:r>
      <w:r w:rsidRPr="00513E84">
        <w:rPr>
          <w:rFonts w:cstheme="minorHAnsi"/>
          <w:sz w:val="18"/>
          <w:szCs w:val="18"/>
        </w:rPr>
        <w:t>.</w:t>
      </w:r>
    </w:p>
  </w:endnote>
  <w:endnote w:id="80">
    <w:p w:rsidR="001125C0" w:rsidRPr="00513E84" w:rsidRDefault="001125C0" w:rsidP="00B8725A">
      <w:pPr>
        <w:pStyle w:val="EndnoteText"/>
      </w:pPr>
      <w:r w:rsidRPr="00513E84">
        <w:rPr>
          <w:rStyle w:val="EndnoteReference"/>
          <w:rFonts w:cstheme="minorHAnsi"/>
          <w:sz w:val="18"/>
          <w:szCs w:val="18"/>
        </w:rPr>
        <w:endnoteRef/>
      </w:r>
      <w:r w:rsidRPr="00513E84">
        <w:rPr>
          <w:rStyle w:val="EndnoteReference"/>
          <w:rFonts w:cstheme="minorHAnsi"/>
          <w:sz w:val="18"/>
          <w:szCs w:val="18"/>
        </w:rPr>
        <w:t xml:space="preserve"> </w:t>
      </w:r>
      <w:r w:rsidRPr="00513E84">
        <w:rPr>
          <w:rFonts w:cstheme="minorHAnsi"/>
          <w:sz w:val="18"/>
          <w:szCs w:val="18"/>
        </w:rPr>
        <w:t xml:space="preserve">Australian World Heritage management principles, paragraph 3.03(a). </w:t>
      </w:r>
      <w:r>
        <w:rPr>
          <w:rFonts w:cstheme="minorHAnsi"/>
          <w:sz w:val="18"/>
          <w:szCs w:val="18"/>
        </w:rPr>
        <w:t>Paragraph</w:t>
      </w:r>
      <w:r w:rsidRPr="00513E84">
        <w:rPr>
          <w:rFonts w:cstheme="minorHAnsi"/>
          <w:sz w:val="18"/>
          <w:szCs w:val="18"/>
        </w:rPr>
        <w:t xml:space="preserve"> 51(2)(a) requires the Minister to be satisfied that a management arrangement or authorisation process relating to World Heritage properties promotes the management of a property in accordance with the Australian World Heritage management principles.</w:t>
      </w:r>
    </w:p>
  </w:endnote>
  <w:endnote w:id="81">
    <w:p w:rsidR="001125C0" w:rsidRPr="00513E84" w:rsidRDefault="001125C0" w:rsidP="00256EE4">
      <w:pPr>
        <w:pStyle w:val="EndnoteText"/>
      </w:pPr>
      <w:r w:rsidRPr="00513E84">
        <w:rPr>
          <w:rStyle w:val="EndnoteReference"/>
          <w:rFonts w:cstheme="minorHAnsi"/>
          <w:sz w:val="18"/>
          <w:szCs w:val="18"/>
        </w:rPr>
        <w:endnoteRef/>
      </w:r>
      <w:r w:rsidRPr="00513E84">
        <w:rPr>
          <w:rStyle w:val="EndnoteReference"/>
          <w:rFonts w:cstheme="minorHAnsi"/>
          <w:sz w:val="18"/>
          <w:szCs w:val="18"/>
        </w:rPr>
        <w:t xml:space="preserve"> </w:t>
      </w:r>
      <w:r w:rsidRPr="00513E84">
        <w:rPr>
          <w:rFonts w:cstheme="minorHAnsi"/>
          <w:sz w:val="18"/>
          <w:szCs w:val="18"/>
        </w:rPr>
        <w:t xml:space="preserve">Australian </w:t>
      </w:r>
      <w:proofErr w:type="spellStart"/>
      <w:r w:rsidRPr="00513E84">
        <w:rPr>
          <w:rFonts w:cstheme="minorHAnsi"/>
          <w:sz w:val="18"/>
          <w:szCs w:val="18"/>
        </w:rPr>
        <w:t>Ramsar</w:t>
      </w:r>
      <w:proofErr w:type="spellEnd"/>
      <w:r w:rsidRPr="00513E84">
        <w:rPr>
          <w:rFonts w:cstheme="minorHAnsi"/>
          <w:sz w:val="18"/>
          <w:szCs w:val="18"/>
        </w:rPr>
        <w:t xml:space="preserve"> management principles, paragraph 3.03(a). </w:t>
      </w:r>
      <w:r>
        <w:rPr>
          <w:rFonts w:cstheme="minorHAnsi"/>
          <w:sz w:val="18"/>
          <w:szCs w:val="18"/>
        </w:rPr>
        <w:t>Paragraph</w:t>
      </w:r>
      <w:r w:rsidRPr="00513E84">
        <w:rPr>
          <w:rFonts w:cstheme="minorHAnsi"/>
          <w:sz w:val="18"/>
          <w:szCs w:val="18"/>
        </w:rPr>
        <w:t xml:space="preserve"> 52(2)(a) requires the Minister to be satisfied that a management arrangement or authorisation process relating to </w:t>
      </w:r>
      <w:proofErr w:type="spellStart"/>
      <w:r w:rsidRPr="00513E84">
        <w:rPr>
          <w:rFonts w:cstheme="minorHAnsi"/>
          <w:sz w:val="18"/>
          <w:szCs w:val="18"/>
        </w:rPr>
        <w:t>Ramsar</w:t>
      </w:r>
      <w:proofErr w:type="spellEnd"/>
      <w:r w:rsidRPr="00513E84">
        <w:rPr>
          <w:rFonts w:cstheme="minorHAnsi"/>
          <w:sz w:val="18"/>
          <w:szCs w:val="18"/>
        </w:rPr>
        <w:t xml:space="preserve"> wetlands promotes the management of the wetland in accordance with the Australian </w:t>
      </w:r>
      <w:proofErr w:type="spellStart"/>
      <w:r w:rsidRPr="00513E84">
        <w:rPr>
          <w:rFonts w:cstheme="minorHAnsi"/>
          <w:sz w:val="18"/>
          <w:szCs w:val="18"/>
        </w:rPr>
        <w:t>Ramsar</w:t>
      </w:r>
      <w:proofErr w:type="spellEnd"/>
      <w:r w:rsidRPr="00513E84">
        <w:rPr>
          <w:rFonts w:cstheme="minorHAnsi"/>
          <w:sz w:val="18"/>
          <w:szCs w:val="18"/>
        </w:rPr>
        <w:t xml:space="preserve"> management principles.</w:t>
      </w:r>
    </w:p>
  </w:endnote>
  <w:endnote w:id="82">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Act, section 68.</w:t>
      </w:r>
    </w:p>
  </w:endnote>
  <w:endnote w:id="83">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Act, section 74A.</w:t>
      </w:r>
    </w:p>
  </w:endnote>
  <w:endnote w:id="84">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Act, section 71.</w:t>
      </w:r>
    </w:p>
  </w:endnote>
  <w:endnote w:id="85">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See EPBC Act, section 72 and Schedule 2 to the EPBC Regulations. </w:t>
      </w:r>
    </w:p>
  </w:endnote>
  <w:endnote w:id="86">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Act, section 74A.</w:t>
      </w:r>
    </w:p>
  </w:endnote>
  <w:endnote w:id="87">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Pr>
          <w:rFonts w:cstheme="minorHAnsi"/>
          <w:sz w:val="18"/>
          <w:szCs w:val="18"/>
        </w:rPr>
        <w:t xml:space="preserve"> Outcome 3.5 </w:t>
      </w:r>
      <w:r w:rsidRPr="00513E84">
        <w:rPr>
          <w:rFonts w:cstheme="minorHAnsi"/>
          <w:sz w:val="18"/>
          <w:szCs w:val="18"/>
        </w:rPr>
        <w:t>(Transparent processes and decision-making) sets out standards for public consultation.</w:t>
      </w:r>
    </w:p>
  </w:endnote>
  <w:endnote w:id="88">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w:t>
      </w:r>
      <w:proofErr w:type="gramStart"/>
      <w:r w:rsidRPr="00513E84">
        <w:rPr>
          <w:rFonts w:cstheme="minorHAnsi"/>
          <w:sz w:val="18"/>
          <w:szCs w:val="18"/>
        </w:rPr>
        <w:t>EPBC Act, subsection 75(1A).</w:t>
      </w:r>
      <w:proofErr w:type="gramEnd"/>
    </w:p>
  </w:endnote>
  <w:endnote w:id="89">
    <w:p w:rsidR="001125C0" w:rsidRPr="00513E84" w:rsidRDefault="001125C0" w:rsidP="008A241A">
      <w:pPr>
        <w:pStyle w:val="EndnoteText"/>
      </w:pPr>
      <w:r w:rsidRPr="00513E84">
        <w:rPr>
          <w:rStyle w:val="EndnoteReference"/>
          <w:rFonts w:cstheme="minorHAnsi"/>
          <w:sz w:val="18"/>
          <w:szCs w:val="18"/>
        </w:rPr>
        <w:endnoteRef/>
      </w:r>
      <w:r w:rsidRPr="00513E84">
        <w:t xml:space="preserve"> </w:t>
      </w:r>
      <w:r w:rsidRPr="00513E84">
        <w:rPr>
          <w:rFonts w:cstheme="minorHAnsi"/>
          <w:sz w:val="18"/>
          <w:szCs w:val="18"/>
        </w:rPr>
        <w:t>See generally EPBC Act, section 134.</w:t>
      </w:r>
    </w:p>
  </w:endnote>
  <w:endnote w:id="90">
    <w:p w:rsidR="001125C0" w:rsidRPr="00513E84" w:rsidRDefault="001125C0" w:rsidP="008A241A">
      <w:pPr>
        <w:pStyle w:val="EndnoteText"/>
        <w:rPr>
          <w:rFonts w:cstheme="minorHAnsi"/>
        </w:rPr>
      </w:pPr>
      <w:r w:rsidRPr="00513E84">
        <w:rPr>
          <w:rStyle w:val="EndnoteReference"/>
          <w:rFonts w:cstheme="minorHAnsi"/>
        </w:rPr>
        <w:endnoteRef/>
      </w:r>
      <w:r w:rsidRPr="00513E84">
        <w:rPr>
          <w:rFonts w:cstheme="minorHAnsi"/>
        </w:rPr>
        <w:t xml:space="preserve"> </w:t>
      </w:r>
      <w:r w:rsidRPr="00513E84">
        <w:rPr>
          <w:rFonts w:cstheme="minorHAnsi"/>
          <w:sz w:val="18"/>
          <w:szCs w:val="18"/>
        </w:rPr>
        <w:t>EPBC Act, paragraph</w:t>
      </w:r>
      <w:r>
        <w:rPr>
          <w:rFonts w:cstheme="minorHAnsi"/>
          <w:sz w:val="18"/>
          <w:szCs w:val="18"/>
        </w:rPr>
        <w:t>s 46(2</w:t>
      </w:r>
      <w:proofErr w:type="gramStart"/>
      <w:r>
        <w:rPr>
          <w:rFonts w:cstheme="minorHAnsi"/>
          <w:sz w:val="18"/>
          <w:szCs w:val="18"/>
        </w:rPr>
        <w:t>)(</w:t>
      </w:r>
      <w:proofErr w:type="gramEnd"/>
      <w:r>
        <w:rPr>
          <w:rFonts w:cstheme="minorHAnsi"/>
          <w:sz w:val="18"/>
          <w:szCs w:val="18"/>
        </w:rPr>
        <w:t>a) and</w:t>
      </w:r>
      <w:r w:rsidRPr="00513E84">
        <w:rPr>
          <w:rFonts w:cstheme="minorHAnsi"/>
          <w:sz w:val="18"/>
          <w:szCs w:val="18"/>
        </w:rPr>
        <w:t xml:space="preserve"> 46(2A)(a). </w:t>
      </w:r>
    </w:p>
  </w:endnote>
  <w:endnote w:id="91">
    <w:p w:rsidR="001125C0" w:rsidRPr="00513E84" w:rsidRDefault="001125C0" w:rsidP="008A241A">
      <w:pPr>
        <w:pStyle w:val="EndnoteText"/>
        <w:rPr>
          <w:rFonts w:cstheme="minorHAnsi"/>
          <w:b/>
          <w:i/>
        </w:rPr>
      </w:pPr>
      <w:r w:rsidRPr="00513E84">
        <w:rPr>
          <w:rStyle w:val="EndnoteReference"/>
          <w:rFonts w:cstheme="minorHAnsi"/>
        </w:rPr>
        <w:endnoteRef/>
      </w:r>
      <w:r w:rsidRPr="00513E84">
        <w:rPr>
          <w:rFonts w:cstheme="minorHAnsi"/>
        </w:rPr>
        <w:t xml:space="preserve"> </w:t>
      </w:r>
      <w:r w:rsidRPr="00513E84">
        <w:rPr>
          <w:rFonts w:cstheme="minorHAnsi"/>
          <w:sz w:val="18"/>
          <w:szCs w:val="18"/>
        </w:rPr>
        <w:t xml:space="preserve">EPBC Act, </w:t>
      </w:r>
      <w:r>
        <w:rPr>
          <w:rFonts w:cstheme="minorHAnsi"/>
          <w:sz w:val="18"/>
          <w:szCs w:val="18"/>
        </w:rPr>
        <w:t>paragraph</w:t>
      </w:r>
      <w:r w:rsidRPr="00513E84">
        <w:rPr>
          <w:rFonts w:cstheme="minorHAnsi"/>
          <w:sz w:val="18"/>
          <w:szCs w:val="18"/>
        </w:rPr>
        <w:t xml:space="preserve"> 46(3</w:t>
      </w:r>
      <w:proofErr w:type="gramStart"/>
      <w:r w:rsidRPr="00513E84">
        <w:rPr>
          <w:rFonts w:cstheme="minorHAnsi"/>
          <w:sz w:val="18"/>
          <w:szCs w:val="18"/>
        </w:rPr>
        <w:t>)</w:t>
      </w:r>
      <w:r>
        <w:rPr>
          <w:rFonts w:cstheme="minorHAnsi"/>
          <w:sz w:val="18"/>
          <w:szCs w:val="18"/>
        </w:rPr>
        <w:t>(</w:t>
      </w:r>
      <w:proofErr w:type="gramEnd"/>
      <w:r>
        <w:rPr>
          <w:rFonts w:cstheme="minorHAnsi"/>
          <w:sz w:val="18"/>
          <w:szCs w:val="18"/>
        </w:rPr>
        <w:t>b)</w:t>
      </w:r>
      <w:r w:rsidRPr="00513E84">
        <w:rPr>
          <w:rFonts w:cstheme="minorHAnsi"/>
          <w:sz w:val="18"/>
          <w:szCs w:val="18"/>
        </w:rPr>
        <w:t xml:space="preserve">. </w:t>
      </w:r>
    </w:p>
  </w:endnote>
  <w:endnote w:id="92">
    <w:p w:rsidR="001125C0" w:rsidRPr="00513E84" w:rsidRDefault="001125C0" w:rsidP="0095447A">
      <w:pPr>
        <w:pStyle w:val="EndnoteText"/>
      </w:pPr>
      <w:r w:rsidRPr="00513E84">
        <w:rPr>
          <w:rStyle w:val="EndnoteReference"/>
          <w:rFonts w:cstheme="minorHAnsi"/>
          <w:sz w:val="18"/>
          <w:szCs w:val="18"/>
        </w:rPr>
        <w:endnoteRef/>
      </w:r>
      <w:r w:rsidRPr="00513E84">
        <w:rPr>
          <w:rStyle w:val="EndnoteReference"/>
          <w:rFonts w:cstheme="minorHAnsi"/>
          <w:sz w:val="18"/>
          <w:szCs w:val="18"/>
        </w:rPr>
        <w:t xml:space="preserve"> </w:t>
      </w:r>
      <w:r w:rsidRPr="00513E84">
        <w:rPr>
          <w:rFonts w:cstheme="minorHAnsi"/>
          <w:sz w:val="18"/>
          <w:szCs w:val="18"/>
        </w:rPr>
        <w:t>EPBC Act, subsection 87(3).</w:t>
      </w:r>
    </w:p>
  </w:endnote>
  <w:endnote w:id="93">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The notion of having ‘enough information to make an informed decision’ runs throughout the EPBC Act. See, for example, subsection 47(4), subsection 76(3), paragraph 84(3)(c), paragraph 87(4)(d), subsection 88(5) and paragraph 96A(3)(b). </w:t>
      </w:r>
    </w:p>
  </w:endnote>
  <w:endnote w:id="94">
    <w:p w:rsidR="001125C0" w:rsidRPr="00513E84" w:rsidRDefault="001125C0" w:rsidP="00AB1203">
      <w:pPr>
        <w:pStyle w:val="EndnoteText"/>
        <w:rPr>
          <w:rFonts w:cstheme="minorHAnsi"/>
        </w:rPr>
      </w:pPr>
      <w:r w:rsidRPr="00513E84">
        <w:rPr>
          <w:rStyle w:val="EndnoteReference"/>
          <w:rFonts w:cstheme="minorHAnsi"/>
        </w:rPr>
        <w:endnoteRef/>
      </w:r>
      <w:r w:rsidRPr="00513E84">
        <w:rPr>
          <w:rFonts w:cstheme="minorHAnsi"/>
        </w:rPr>
        <w:t xml:space="preserve"> </w:t>
      </w:r>
      <w:r w:rsidRPr="00513E84">
        <w:rPr>
          <w:rFonts w:cstheme="minorHAnsi"/>
          <w:sz w:val="18"/>
          <w:szCs w:val="18"/>
        </w:rPr>
        <w:t>These examples are drawn from Part 8 of the EPBC Act which sets out the assessment approaches available under the EPBC Act. They are also based on Part 3 of the EPBC Regulations which sets out the requirements that apply to setting the level of assessment under an assessment bilateral agreement.</w:t>
      </w:r>
    </w:p>
  </w:endnote>
  <w:endnote w:id="95">
    <w:p w:rsidR="001125C0" w:rsidRPr="00513E84" w:rsidRDefault="001125C0" w:rsidP="00AB1203">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See EPBC Act, Part 8, Division 3A.</w:t>
      </w:r>
    </w:p>
  </w:endnote>
  <w:endnote w:id="96">
    <w:p w:rsidR="001125C0" w:rsidRPr="00513E84" w:rsidRDefault="001125C0" w:rsidP="00AB1203">
      <w:pPr>
        <w:pStyle w:val="EndnoteText"/>
      </w:pPr>
      <w:r w:rsidRPr="00513E84">
        <w:rPr>
          <w:rStyle w:val="EndnoteReference"/>
          <w:rFonts w:cstheme="minorHAnsi"/>
          <w:sz w:val="18"/>
          <w:szCs w:val="18"/>
        </w:rPr>
        <w:endnoteRef/>
      </w:r>
      <w:r w:rsidRPr="00513E84">
        <w:rPr>
          <w:rStyle w:val="EndnoteReference"/>
          <w:rFonts w:cstheme="minorHAnsi"/>
          <w:sz w:val="18"/>
          <w:szCs w:val="18"/>
        </w:rPr>
        <w:t xml:space="preserve"> </w:t>
      </w:r>
      <w:r w:rsidRPr="00513E84">
        <w:rPr>
          <w:rFonts w:cstheme="minorHAnsi"/>
          <w:sz w:val="18"/>
          <w:szCs w:val="18"/>
        </w:rPr>
        <w:t>EPBC Act, subsection 87(4A) and EPBC Regulations, regulation 5.03A.</w:t>
      </w:r>
    </w:p>
  </w:endnote>
  <w:endnote w:id="97">
    <w:p w:rsidR="001125C0" w:rsidRPr="00513E84" w:rsidRDefault="001125C0" w:rsidP="00AB1203">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Part 4 of the EPBC Regulations includes provisions for the way in which referrals must be made, and the information to be contained in referrals. See also EPBC Act, Part 8, </w:t>
      </w:r>
      <w:proofErr w:type="gramStart"/>
      <w:r w:rsidRPr="00513E84">
        <w:rPr>
          <w:rFonts w:cstheme="minorHAnsi"/>
          <w:sz w:val="18"/>
          <w:szCs w:val="18"/>
        </w:rPr>
        <w:t>Division</w:t>
      </w:r>
      <w:proofErr w:type="gramEnd"/>
      <w:r w:rsidRPr="00513E84">
        <w:rPr>
          <w:rFonts w:cstheme="minorHAnsi"/>
          <w:sz w:val="18"/>
          <w:szCs w:val="18"/>
        </w:rPr>
        <w:t xml:space="preserve"> 4.</w:t>
      </w:r>
    </w:p>
  </w:endnote>
  <w:endnote w:id="98">
    <w:p w:rsidR="001125C0" w:rsidRPr="00513E84" w:rsidRDefault="001125C0" w:rsidP="00AB1203">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Act, Part 8, Divisions 5 and 6.</w:t>
      </w:r>
    </w:p>
  </w:endnote>
  <w:endnote w:id="99">
    <w:p w:rsidR="001125C0" w:rsidRPr="00513E84" w:rsidRDefault="001125C0" w:rsidP="00AB1203">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Act, Part 8, Division 7.</w:t>
      </w:r>
    </w:p>
  </w:endnote>
  <w:endnote w:id="100">
    <w:p w:rsidR="001125C0" w:rsidRPr="00513E84" w:rsidRDefault="001125C0" w:rsidP="008A241A">
      <w:pPr>
        <w:pStyle w:val="EndnoteText"/>
        <w:rPr>
          <w:rFonts w:cstheme="minorHAnsi"/>
          <w:i/>
        </w:rPr>
      </w:pPr>
      <w:r w:rsidRPr="00513E84">
        <w:rPr>
          <w:rStyle w:val="EndnoteReference"/>
          <w:rFonts w:cstheme="minorHAnsi"/>
        </w:rPr>
        <w:endnoteRef/>
      </w:r>
      <w:r w:rsidRPr="00513E84">
        <w:rPr>
          <w:rFonts w:cstheme="minorHAnsi"/>
        </w:rPr>
        <w:t xml:space="preserve"> </w:t>
      </w:r>
      <w:r w:rsidRPr="00513E84">
        <w:rPr>
          <w:rFonts w:cstheme="minorHAnsi"/>
          <w:b/>
          <w:sz w:val="18"/>
          <w:szCs w:val="18"/>
        </w:rPr>
        <w:t>Attachment K</w:t>
      </w:r>
      <w:r w:rsidRPr="00513E84">
        <w:rPr>
          <w:rFonts w:cstheme="minorHAnsi"/>
          <w:sz w:val="18"/>
          <w:szCs w:val="18"/>
        </w:rPr>
        <w:t xml:space="preserve"> extracts the principles of environmental policy from the </w:t>
      </w:r>
      <w:r w:rsidRPr="00513E84">
        <w:rPr>
          <w:rFonts w:cstheme="minorHAnsi"/>
          <w:i/>
          <w:sz w:val="18"/>
          <w:szCs w:val="18"/>
        </w:rPr>
        <w:t>Intergovernmental Agreement on the Environment, 1992.</w:t>
      </w:r>
    </w:p>
  </w:endnote>
  <w:endnote w:id="101">
    <w:p w:rsidR="001125C0" w:rsidRPr="00513E84" w:rsidRDefault="001125C0" w:rsidP="008A241A">
      <w:pPr>
        <w:pStyle w:val="EndnoteText"/>
        <w:rPr>
          <w:rFonts w:cstheme="minorHAnsi"/>
        </w:rPr>
      </w:pPr>
      <w:r w:rsidRPr="00513E84">
        <w:rPr>
          <w:rStyle w:val="EndnoteReference"/>
          <w:rFonts w:cstheme="minorHAnsi"/>
        </w:rPr>
        <w:endnoteRef/>
      </w:r>
      <w:r w:rsidRPr="00513E84">
        <w:rPr>
          <w:rFonts w:cstheme="minorHAnsi"/>
        </w:rPr>
        <w:t xml:space="preserve"> </w:t>
      </w:r>
      <w:r w:rsidRPr="00513E84">
        <w:rPr>
          <w:rFonts w:cstheme="minorHAnsi"/>
          <w:sz w:val="18"/>
          <w:szCs w:val="18"/>
        </w:rPr>
        <w:t>EPBC Act, paragraph</w:t>
      </w:r>
      <w:r>
        <w:rPr>
          <w:rFonts w:cstheme="minorHAnsi"/>
          <w:sz w:val="18"/>
          <w:szCs w:val="18"/>
        </w:rPr>
        <w:t>s 46(2</w:t>
      </w:r>
      <w:proofErr w:type="gramStart"/>
      <w:r>
        <w:rPr>
          <w:rFonts w:cstheme="minorHAnsi"/>
          <w:sz w:val="18"/>
          <w:szCs w:val="18"/>
        </w:rPr>
        <w:t>)(</w:t>
      </w:r>
      <w:proofErr w:type="gramEnd"/>
      <w:r>
        <w:rPr>
          <w:rFonts w:cstheme="minorHAnsi"/>
          <w:sz w:val="18"/>
          <w:szCs w:val="18"/>
        </w:rPr>
        <w:t>a) and</w:t>
      </w:r>
      <w:r w:rsidRPr="00513E84">
        <w:rPr>
          <w:rFonts w:cstheme="minorHAnsi"/>
          <w:sz w:val="18"/>
          <w:szCs w:val="18"/>
        </w:rPr>
        <w:t xml:space="preserve"> 46(2A)(a). </w:t>
      </w:r>
    </w:p>
  </w:endnote>
  <w:endnote w:id="102">
    <w:p w:rsidR="001125C0" w:rsidRPr="00513E84" w:rsidRDefault="001125C0" w:rsidP="008A241A">
      <w:pPr>
        <w:pStyle w:val="EndnoteText"/>
        <w:rPr>
          <w:rFonts w:cstheme="minorHAnsi"/>
        </w:rPr>
      </w:pPr>
      <w:r w:rsidRPr="00513E84">
        <w:rPr>
          <w:rStyle w:val="EndnoteReference"/>
          <w:rFonts w:cstheme="minorHAnsi"/>
        </w:rPr>
        <w:endnoteRef/>
      </w:r>
      <w:r w:rsidRPr="00513E84">
        <w:rPr>
          <w:rFonts w:cstheme="minorHAnsi"/>
        </w:rPr>
        <w:t xml:space="preserve"> </w:t>
      </w:r>
      <w:r w:rsidRPr="00513E84">
        <w:rPr>
          <w:rFonts w:cstheme="minorHAnsi"/>
          <w:sz w:val="18"/>
          <w:szCs w:val="18"/>
        </w:rPr>
        <w:t xml:space="preserve">EPBC Act, subsection 46(3). </w:t>
      </w:r>
    </w:p>
  </w:endnote>
  <w:endnote w:id="103">
    <w:p w:rsidR="001125C0" w:rsidRPr="00513E84" w:rsidRDefault="001125C0" w:rsidP="008A241A">
      <w:pPr>
        <w:pStyle w:val="EndnoteText"/>
        <w:rPr>
          <w:rFonts w:cstheme="minorHAnsi"/>
        </w:rPr>
      </w:pPr>
      <w:r w:rsidRPr="00513E84">
        <w:rPr>
          <w:rStyle w:val="EndnoteReference"/>
          <w:rFonts w:cstheme="minorHAnsi"/>
        </w:rPr>
        <w:endnoteRef/>
      </w:r>
      <w:r w:rsidRPr="00513E84">
        <w:rPr>
          <w:rFonts w:cstheme="minorHAnsi"/>
        </w:rPr>
        <w:t xml:space="preserve"> </w:t>
      </w:r>
      <w:r w:rsidRPr="00513E84">
        <w:rPr>
          <w:rFonts w:cstheme="minorHAnsi"/>
          <w:sz w:val="18"/>
          <w:szCs w:val="18"/>
        </w:rPr>
        <w:t xml:space="preserve">EPBC Act, subsection </w:t>
      </w:r>
      <w:proofErr w:type="gramStart"/>
      <w:r w:rsidRPr="00513E84">
        <w:rPr>
          <w:rFonts w:cstheme="minorHAnsi"/>
          <w:sz w:val="18"/>
          <w:szCs w:val="18"/>
        </w:rPr>
        <w:t>48A(</w:t>
      </w:r>
      <w:proofErr w:type="gramEnd"/>
      <w:r w:rsidRPr="00513E84">
        <w:rPr>
          <w:rFonts w:cstheme="minorHAnsi"/>
          <w:sz w:val="18"/>
          <w:szCs w:val="18"/>
        </w:rPr>
        <w:t xml:space="preserve">3). All existing assessment bilateral agreements contain an undertaking as required by subsection </w:t>
      </w:r>
      <w:proofErr w:type="gramStart"/>
      <w:r w:rsidRPr="00513E84">
        <w:rPr>
          <w:rFonts w:cstheme="minorHAnsi"/>
          <w:sz w:val="18"/>
          <w:szCs w:val="18"/>
        </w:rPr>
        <w:t>48A(</w:t>
      </w:r>
      <w:proofErr w:type="gramEnd"/>
      <w:r w:rsidRPr="00513E84">
        <w:rPr>
          <w:rFonts w:cstheme="minorHAnsi"/>
          <w:sz w:val="18"/>
          <w:szCs w:val="18"/>
        </w:rPr>
        <w:t>3). ACT, SA, NSW, TAS, VIC, WA bilateral agreements, clause 10; NT bilateral agreement, clause 9;  Qld bilateral agreement, clause 19;  WA bilateral agreement, clause 17.</w:t>
      </w:r>
    </w:p>
  </w:endnote>
  <w:endnote w:id="104">
    <w:p w:rsidR="001125C0" w:rsidRPr="00513E84" w:rsidRDefault="001125C0" w:rsidP="008A241A">
      <w:pPr>
        <w:pStyle w:val="EndnoteText"/>
      </w:pPr>
      <w:r w:rsidRPr="00513E84">
        <w:rPr>
          <w:rStyle w:val="EndnoteReference"/>
          <w:rFonts w:cstheme="minorHAnsi"/>
          <w:sz w:val="18"/>
          <w:szCs w:val="18"/>
        </w:rPr>
        <w:endnoteRef/>
      </w:r>
      <w:r w:rsidRPr="00513E84">
        <w:rPr>
          <w:rStyle w:val="EndnoteReference"/>
          <w:rFonts w:cstheme="minorHAnsi"/>
          <w:sz w:val="18"/>
          <w:szCs w:val="18"/>
        </w:rPr>
        <w:t xml:space="preserve"> </w:t>
      </w:r>
      <w:proofErr w:type="gramStart"/>
      <w:r w:rsidRPr="00513E84">
        <w:rPr>
          <w:rFonts w:cstheme="minorHAnsi"/>
          <w:sz w:val="18"/>
          <w:szCs w:val="18"/>
        </w:rPr>
        <w:t>Australian World Heritage management principles, clauses 3.02, 3.03 and 3.05.</w:t>
      </w:r>
      <w:proofErr w:type="gramEnd"/>
      <w:r w:rsidRPr="00513E84">
        <w:rPr>
          <w:rFonts w:cstheme="minorHAnsi"/>
          <w:sz w:val="18"/>
          <w:szCs w:val="18"/>
        </w:rPr>
        <w:t xml:space="preserve"> Subsection 51(2)(a) requires the Minister to be satisfied that a management arrangement or authorisation process relating to World Heritage properties promotes the management of a property in accordance with the Australian World Heritage management principles.</w:t>
      </w:r>
    </w:p>
  </w:endnote>
  <w:endnote w:id="105">
    <w:p w:rsidR="001125C0" w:rsidRPr="00513E84" w:rsidRDefault="001125C0" w:rsidP="008A241A">
      <w:pPr>
        <w:pStyle w:val="EndnoteText"/>
      </w:pPr>
      <w:r w:rsidRPr="00513E84">
        <w:rPr>
          <w:rStyle w:val="EndnoteReference"/>
          <w:rFonts w:cstheme="minorHAnsi"/>
          <w:sz w:val="18"/>
          <w:szCs w:val="18"/>
        </w:rPr>
        <w:endnoteRef/>
      </w:r>
      <w:r w:rsidRPr="00513E84">
        <w:rPr>
          <w:rStyle w:val="EndnoteReference"/>
          <w:rFonts w:cstheme="minorHAnsi"/>
          <w:sz w:val="18"/>
          <w:szCs w:val="18"/>
        </w:rPr>
        <w:t xml:space="preserve"> </w:t>
      </w:r>
      <w:proofErr w:type="gramStart"/>
      <w:r w:rsidRPr="00513E84">
        <w:rPr>
          <w:rFonts w:cstheme="minorHAnsi"/>
          <w:sz w:val="18"/>
          <w:szCs w:val="18"/>
        </w:rPr>
        <w:t xml:space="preserve">Australian </w:t>
      </w:r>
      <w:proofErr w:type="spellStart"/>
      <w:r w:rsidRPr="00513E84">
        <w:rPr>
          <w:rFonts w:cstheme="minorHAnsi"/>
          <w:sz w:val="18"/>
          <w:szCs w:val="18"/>
        </w:rPr>
        <w:t>Ramsar</w:t>
      </w:r>
      <w:proofErr w:type="spellEnd"/>
      <w:r w:rsidRPr="00513E84">
        <w:rPr>
          <w:rFonts w:cstheme="minorHAnsi"/>
          <w:sz w:val="18"/>
          <w:szCs w:val="18"/>
        </w:rPr>
        <w:t xml:space="preserve"> management principles, clauses 3.02, 3.03 and 3.05.</w:t>
      </w:r>
      <w:proofErr w:type="gramEnd"/>
      <w:r w:rsidRPr="00513E84">
        <w:rPr>
          <w:rFonts w:cstheme="minorHAnsi"/>
          <w:sz w:val="18"/>
          <w:szCs w:val="18"/>
        </w:rPr>
        <w:t xml:space="preserve"> Subsection 52(2)(a) requires the Minister to be satisfied that a management arrangement or authorisation process relating to </w:t>
      </w:r>
      <w:proofErr w:type="spellStart"/>
      <w:r w:rsidRPr="00513E84">
        <w:rPr>
          <w:rFonts w:cstheme="minorHAnsi"/>
          <w:sz w:val="18"/>
          <w:szCs w:val="18"/>
        </w:rPr>
        <w:t>Ramsar</w:t>
      </w:r>
      <w:proofErr w:type="spellEnd"/>
      <w:r w:rsidRPr="00513E84">
        <w:rPr>
          <w:rFonts w:cstheme="minorHAnsi"/>
          <w:sz w:val="18"/>
          <w:szCs w:val="18"/>
        </w:rPr>
        <w:t xml:space="preserve"> wetlands promotes the management of the wetland in accordance with the Australian </w:t>
      </w:r>
      <w:proofErr w:type="spellStart"/>
      <w:r w:rsidRPr="00513E84">
        <w:rPr>
          <w:rFonts w:cstheme="minorHAnsi"/>
          <w:sz w:val="18"/>
          <w:szCs w:val="18"/>
        </w:rPr>
        <w:t>Ramsar</w:t>
      </w:r>
      <w:proofErr w:type="spellEnd"/>
      <w:r w:rsidRPr="00513E84">
        <w:rPr>
          <w:rFonts w:cstheme="minorHAnsi"/>
          <w:sz w:val="18"/>
          <w:szCs w:val="18"/>
        </w:rPr>
        <w:t xml:space="preserve"> management principles.</w:t>
      </w:r>
    </w:p>
  </w:endnote>
  <w:endnote w:id="106">
    <w:p w:rsidR="001125C0" w:rsidRPr="00513E84" w:rsidRDefault="001125C0" w:rsidP="008A241A">
      <w:pPr>
        <w:pStyle w:val="EndnoteText"/>
      </w:pPr>
      <w:r w:rsidRPr="00513E84">
        <w:rPr>
          <w:rStyle w:val="EndnoteReference"/>
          <w:rFonts w:cstheme="minorHAnsi"/>
          <w:sz w:val="18"/>
          <w:szCs w:val="18"/>
        </w:rPr>
        <w:endnoteRef/>
      </w:r>
      <w:r w:rsidRPr="00513E84">
        <w:t xml:space="preserve"> </w:t>
      </w:r>
      <w:proofErr w:type="gramStart"/>
      <w:r w:rsidRPr="00513E84">
        <w:rPr>
          <w:rFonts w:cstheme="minorHAnsi"/>
          <w:sz w:val="18"/>
          <w:szCs w:val="18"/>
        </w:rPr>
        <w:t>National Heritage management principles, clause 6.</w:t>
      </w:r>
      <w:proofErr w:type="gramEnd"/>
      <w:r w:rsidRPr="00513E84">
        <w:rPr>
          <w:rFonts w:cstheme="minorHAnsi"/>
          <w:sz w:val="18"/>
          <w:szCs w:val="18"/>
        </w:rPr>
        <w:t xml:space="preserve"> Subsection 51A(2) requires the Minister to be satisfied that a management arrangement or authorisation process relating to National Heritage places promotes the management of the place in accordance with the National Heritage management principles.</w:t>
      </w:r>
    </w:p>
  </w:endnote>
  <w:endnote w:id="107">
    <w:p w:rsidR="001125C0" w:rsidRPr="00513E84" w:rsidRDefault="001125C0" w:rsidP="00AB1203">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Subsection 46(3) of the EPBC Act provides that the Minister must, to accredit an approval process, be satisfied that there will be an adequate assessment of the impacts that the action is likely to have on </w:t>
      </w:r>
      <w:r w:rsidRPr="00513E84">
        <w:rPr>
          <w:rFonts w:cstheme="minorHAnsi"/>
          <w:i/>
          <w:sz w:val="18"/>
          <w:szCs w:val="18"/>
        </w:rPr>
        <w:t xml:space="preserve">each </w:t>
      </w:r>
      <w:r w:rsidRPr="00513E84">
        <w:rPr>
          <w:rFonts w:cstheme="minorHAnsi"/>
          <w:sz w:val="18"/>
          <w:szCs w:val="18"/>
        </w:rPr>
        <w:t>matter of national environmental significance.</w:t>
      </w:r>
    </w:p>
  </w:endnote>
  <w:endnote w:id="108">
    <w:p w:rsidR="001125C0" w:rsidRPr="00513E84" w:rsidRDefault="001125C0" w:rsidP="00AB1203">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Act, section 527E.</w:t>
      </w:r>
    </w:p>
  </w:endnote>
  <w:endnote w:id="109">
    <w:p w:rsidR="001125C0" w:rsidRDefault="001125C0">
      <w:pPr>
        <w:pStyle w:val="EndnoteText"/>
      </w:pPr>
      <w:r>
        <w:rPr>
          <w:rStyle w:val="EndnoteReference"/>
        </w:rPr>
        <w:endnoteRef/>
      </w:r>
      <w:r>
        <w:t xml:space="preserve"> </w:t>
      </w:r>
      <w:r w:rsidRPr="00DE3DCA">
        <w:rPr>
          <w:sz w:val="18"/>
          <w:szCs w:val="18"/>
        </w:rPr>
        <w:t xml:space="preserve">See </w:t>
      </w:r>
      <w:r w:rsidRPr="00DE3DCA">
        <w:rPr>
          <w:i/>
          <w:sz w:val="18"/>
          <w:szCs w:val="18"/>
        </w:rPr>
        <w:t>Western Australian Land Authority (</w:t>
      </w:r>
      <w:proofErr w:type="spellStart"/>
      <w:r w:rsidRPr="00DE3DCA">
        <w:rPr>
          <w:i/>
          <w:sz w:val="18"/>
          <w:szCs w:val="18"/>
        </w:rPr>
        <w:t>Landcorp</w:t>
      </w:r>
      <w:proofErr w:type="spellEnd"/>
      <w:r w:rsidRPr="00DE3DCA">
        <w:rPr>
          <w:i/>
          <w:sz w:val="18"/>
          <w:szCs w:val="18"/>
        </w:rPr>
        <w:t xml:space="preserve">) v Minister for Sustainability, Environment, Water, Population and Communities </w:t>
      </w:r>
      <w:r w:rsidRPr="00DE3DCA">
        <w:rPr>
          <w:sz w:val="18"/>
          <w:szCs w:val="18"/>
        </w:rPr>
        <w:t>[2012] FCA 226.</w:t>
      </w:r>
      <w:r>
        <w:t xml:space="preserve"> </w:t>
      </w:r>
    </w:p>
  </w:endnote>
  <w:endnote w:id="110">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See EPBC Act, subsection 97(2) and paragraph 102(2</w:t>
      </w:r>
      <w:proofErr w:type="gramStart"/>
      <w:r w:rsidRPr="00513E84">
        <w:rPr>
          <w:rFonts w:cstheme="minorHAnsi"/>
          <w:sz w:val="18"/>
          <w:szCs w:val="18"/>
        </w:rPr>
        <w:t>)(</w:t>
      </w:r>
      <w:proofErr w:type="gramEnd"/>
      <w:r w:rsidRPr="00513E84">
        <w:rPr>
          <w:rFonts w:cstheme="minorHAnsi"/>
          <w:sz w:val="18"/>
          <w:szCs w:val="18"/>
        </w:rPr>
        <w:t xml:space="preserve">b). </w:t>
      </w:r>
    </w:p>
  </w:endnote>
  <w:endnote w:id="111">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All the above items reflect requirements set out in Schedule 4 to the EPBC Regulations for matters to be addressed by public environment reports and environmental impact statements.</w:t>
      </w:r>
    </w:p>
  </w:endnote>
  <w:endnote w:id="112">
    <w:p w:rsidR="001125C0" w:rsidRPr="00513E84" w:rsidRDefault="001125C0" w:rsidP="008A241A">
      <w:pPr>
        <w:pStyle w:val="EndnoteText"/>
        <w:rPr>
          <w:rFonts w:cstheme="minorHAnsi"/>
        </w:rPr>
      </w:pPr>
      <w:r w:rsidRPr="00513E84">
        <w:rPr>
          <w:rStyle w:val="EndnoteReference"/>
          <w:rFonts w:cstheme="minorHAnsi"/>
        </w:rPr>
        <w:endnoteRef/>
      </w:r>
      <w:r w:rsidRPr="00513E84">
        <w:rPr>
          <w:rFonts w:cstheme="minorHAnsi"/>
        </w:rPr>
        <w:t xml:space="preserve"> </w:t>
      </w:r>
      <w:r w:rsidRPr="00513E84">
        <w:rPr>
          <w:rFonts w:cstheme="minorHAnsi"/>
          <w:sz w:val="18"/>
          <w:szCs w:val="18"/>
        </w:rPr>
        <w:t xml:space="preserve">See EPBC Act, Part 8, </w:t>
      </w:r>
      <w:proofErr w:type="gramStart"/>
      <w:r w:rsidRPr="00513E84">
        <w:rPr>
          <w:rFonts w:cstheme="minorHAnsi"/>
          <w:sz w:val="18"/>
          <w:szCs w:val="18"/>
        </w:rPr>
        <w:t>Division</w:t>
      </w:r>
      <w:proofErr w:type="gramEnd"/>
      <w:r w:rsidRPr="00513E84">
        <w:rPr>
          <w:rFonts w:cstheme="minorHAnsi"/>
          <w:sz w:val="18"/>
          <w:szCs w:val="18"/>
        </w:rPr>
        <w:t xml:space="preserve"> 7 which deals with Inquiries.</w:t>
      </w:r>
    </w:p>
  </w:endnote>
  <w:endnote w:id="113">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Act, section 156B.</w:t>
      </w:r>
    </w:p>
  </w:endnote>
  <w:endnote w:id="114">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Act, sections 93, 95C, 100 and 105.</w:t>
      </w:r>
    </w:p>
  </w:endnote>
  <w:endnote w:id="115">
    <w:p w:rsidR="001125C0" w:rsidRPr="00513E84" w:rsidRDefault="001125C0" w:rsidP="008A241A">
      <w:pPr>
        <w:pStyle w:val="EndnoteText"/>
      </w:pPr>
      <w:r w:rsidRPr="00513E84">
        <w:rPr>
          <w:rStyle w:val="EndnoteReference"/>
          <w:rFonts w:cstheme="minorHAnsi"/>
          <w:sz w:val="18"/>
          <w:szCs w:val="18"/>
        </w:rPr>
        <w:endnoteRef/>
      </w:r>
      <w:r w:rsidRPr="00513E84">
        <w:t xml:space="preserve"> </w:t>
      </w:r>
      <w:r w:rsidRPr="00513E84">
        <w:rPr>
          <w:rFonts w:cstheme="minorHAnsi"/>
          <w:sz w:val="18"/>
          <w:szCs w:val="18"/>
        </w:rPr>
        <w:t xml:space="preserve">Subsection 46(3) of the EPBC Act provides that the Minister must, to accredit an approval process, be satisfied that there will be an adequate assessment of the impacts that the action is likely to have on </w:t>
      </w:r>
      <w:r w:rsidRPr="00513E84">
        <w:rPr>
          <w:rFonts w:cstheme="minorHAnsi"/>
          <w:i/>
          <w:sz w:val="18"/>
          <w:szCs w:val="18"/>
        </w:rPr>
        <w:t xml:space="preserve">each </w:t>
      </w:r>
      <w:r w:rsidRPr="00513E84">
        <w:rPr>
          <w:rFonts w:cstheme="minorHAnsi"/>
          <w:sz w:val="18"/>
          <w:szCs w:val="18"/>
        </w:rPr>
        <w:t>matter of national environmental significance.</w:t>
      </w:r>
    </w:p>
  </w:endnote>
  <w:endnote w:id="116">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Section 132 of the EPBC Act provides that the Minister may request further information if the Minister believes that he or she does not have enough information to make an informed decision on whether to approve the proposal.</w:t>
      </w:r>
    </w:p>
  </w:endnote>
  <w:endnote w:id="117">
    <w:p w:rsidR="001125C0" w:rsidRPr="00513E84" w:rsidRDefault="001125C0" w:rsidP="008A241A">
      <w:pPr>
        <w:pStyle w:val="EndnoteText"/>
      </w:pPr>
      <w:r w:rsidRPr="00513E84">
        <w:rPr>
          <w:rStyle w:val="EndnoteReference"/>
          <w:rFonts w:cstheme="minorHAnsi"/>
          <w:sz w:val="18"/>
          <w:szCs w:val="18"/>
        </w:rPr>
        <w:endnoteRef/>
      </w:r>
      <w:r w:rsidRPr="00513E84">
        <w:t xml:space="preserve"> </w:t>
      </w:r>
      <w:r w:rsidRPr="00513E84">
        <w:rPr>
          <w:rFonts w:cstheme="minorHAnsi"/>
          <w:sz w:val="18"/>
          <w:szCs w:val="18"/>
        </w:rPr>
        <w:t>EPBC Act, section 136.</w:t>
      </w:r>
    </w:p>
  </w:endnote>
  <w:endnote w:id="118">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Act, subsection 136(2).</w:t>
      </w:r>
    </w:p>
  </w:endnote>
  <w:endnote w:id="119">
    <w:p w:rsidR="001125C0" w:rsidRPr="00513E84" w:rsidRDefault="001125C0" w:rsidP="008A241A">
      <w:pPr>
        <w:pStyle w:val="EndnoteText"/>
        <w:rPr>
          <w:rFonts w:cstheme="minorHAnsi"/>
          <w:lang w:val="en-US"/>
        </w:rPr>
      </w:pPr>
      <w:r w:rsidRPr="00513E84">
        <w:rPr>
          <w:rStyle w:val="EndnoteReference"/>
          <w:rFonts w:cstheme="minorHAnsi"/>
        </w:rPr>
        <w:endnoteRef/>
      </w:r>
      <w:r w:rsidRPr="00513E84">
        <w:rPr>
          <w:rFonts w:cstheme="minorHAnsi"/>
        </w:rPr>
        <w:t xml:space="preserve"> </w:t>
      </w:r>
      <w:r w:rsidRPr="00513E84">
        <w:rPr>
          <w:rFonts w:cstheme="minorHAnsi"/>
          <w:sz w:val="18"/>
          <w:szCs w:val="18"/>
          <w:lang w:val="en-US"/>
        </w:rPr>
        <w:t>EPBC Act, section 3A.</w:t>
      </w:r>
    </w:p>
  </w:endnote>
  <w:endnote w:id="120">
    <w:p w:rsidR="001125C0" w:rsidRPr="00513E84" w:rsidRDefault="001125C0" w:rsidP="008A241A">
      <w:pPr>
        <w:pStyle w:val="EndnoteText"/>
        <w:rPr>
          <w:rFonts w:cstheme="minorHAnsi"/>
          <w:lang w:val="en-US"/>
        </w:rPr>
      </w:pPr>
      <w:r w:rsidRPr="00513E84">
        <w:rPr>
          <w:rStyle w:val="EndnoteReference"/>
          <w:rFonts w:cstheme="minorHAnsi"/>
        </w:rPr>
        <w:endnoteRef/>
      </w:r>
      <w:r w:rsidRPr="00513E84">
        <w:rPr>
          <w:rFonts w:cstheme="minorHAnsi"/>
        </w:rPr>
        <w:t xml:space="preserve"> </w:t>
      </w:r>
      <w:r w:rsidRPr="00513E84">
        <w:rPr>
          <w:rFonts w:cstheme="minorHAnsi"/>
          <w:sz w:val="18"/>
          <w:szCs w:val="18"/>
          <w:lang w:val="en-US"/>
        </w:rPr>
        <w:t>EPBC Act, section 3A and 136 (general considerations</w:t>
      </w:r>
      <w:proofErr w:type="gramStart"/>
      <w:r w:rsidRPr="00513E84">
        <w:rPr>
          <w:rFonts w:cstheme="minorHAnsi"/>
          <w:sz w:val="18"/>
          <w:szCs w:val="18"/>
          <w:lang w:val="en-US"/>
        </w:rPr>
        <w:t>) .</w:t>
      </w:r>
      <w:proofErr w:type="gramEnd"/>
    </w:p>
  </w:endnote>
  <w:endnote w:id="121">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Act, subsection 136(4).</w:t>
      </w:r>
    </w:p>
  </w:endnote>
  <w:endnote w:id="122">
    <w:p w:rsidR="001125C0" w:rsidRPr="00513E84" w:rsidRDefault="001125C0" w:rsidP="008A241A">
      <w:pPr>
        <w:pStyle w:val="EndnoteText"/>
      </w:pPr>
      <w:r w:rsidRPr="00513E84">
        <w:rPr>
          <w:rStyle w:val="EndnoteReference"/>
          <w:rFonts w:cstheme="minorHAnsi"/>
          <w:sz w:val="18"/>
          <w:szCs w:val="18"/>
        </w:rPr>
        <w:endnoteRef/>
      </w:r>
      <w:r w:rsidRPr="00513E84">
        <w:rPr>
          <w:rStyle w:val="EndnoteReference"/>
          <w:rFonts w:cstheme="minorHAnsi"/>
          <w:sz w:val="18"/>
          <w:szCs w:val="18"/>
        </w:rPr>
        <w:t xml:space="preserve"> </w:t>
      </w:r>
      <w:r w:rsidRPr="00513E84">
        <w:rPr>
          <w:rFonts w:cstheme="minorHAnsi"/>
          <w:sz w:val="18"/>
          <w:szCs w:val="18"/>
        </w:rPr>
        <w:t>See, for example EPBC Act, subsection 134(1). Other criteria for decision-making appear throughout the EPBC Act.</w:t>
      </w:r>
    </w:p>
  </w:endnote>
  <w:endnote w:id="123">
    <w:p w:rsidR="001125C0" w:rsidRPr="00513E84" w:rsidRDefault="001125C0" w:rsidP="008A241A">
      <w:pPr>
        <w:pStyle w:val="EndnoteText"/>
        <w:rPr>
          <w:rFonts w:cstheme="minorHAnsi"/>
        </w:rPr>
      </w:pPr>
      <w:r w:rsidRPr="00513E84">
        <w:rPr>
          <w:rStyle w:val="EndnoteReference"/>
          <w:rFonts w:cstheme="minorHAnsi"/>
          <w:sz w:val="18"/>
          <w:szCs w:val="18"/>
        </w:rPr>
        <w:endnoteRef/>
      </w:r>
      <w:r w:rsidRPr="00513E84">
        <w:rPr>
          <w:rFonts w:cstheme="minorHAnsi"/>
        </w:rPr>
        <w:t xml:space="preserve"> </w:t>
      </w:r>
      <w:r w:rsidRPr="00513E84">
        <w:rPr>
          <w:rFonts w:cstheme="minorHAnsi"/>
          <w:sz w:val="18"/>
          <w:szCs w:val="18"/>
        </w:rPr>
        <w:t>EPBC Act, Part 11, Division 1A.</w:t>
      </w:r>
    </w:p>
  </w:endnote>
  <w:endnote w:id="124">
    <w:p w:rsidR="001125C0" w:rsidRPr="00513E84" w:rsidRDefault="001125C0" w:rsidP="008A241A">
      <w:pPr>
        <w:pStyle w:val="EndnoteText"/>
        <w:rPr>
          <w:rFonts w:cstheme="minorHAnsi"/>
        </w:rPr>
      </w:pPr>
      <w:r w:rsidRPr="00513E84">
        <w:rPr>
          <w:rStyle w:val="EndnoteReference"/>
          <w:rFonts w:cstheme="minorHAnsi"/>
        </w:rPr>
        <w:endnoteRef/>
      </w:r>
      <w:r w:rsidRPr="00513E84">
        <w:rPr>
          <w:rFonts w:cstheme="minorHAnsi"/>
        </w:rPr>
        <w:t xml:space="preserve"> </w:t>
      </w:r>
      <w:r w:rsidRPr="00513E84">
        <w:rPr>
          <w:rFonts w:cstheme="minorHAnsi"/>
          <w:sz w:val="18"/>
          <w:szCs w:val="18"/>
        </w:rPr>
        <w:t>EPBC Act, paragraph</w:t>
      </w:r>
      <w:r>
        <w:rPr>
          <w:rFonts w:cstheme="minorHAnsi"/>
          <w:sz w:val="18"/>
          <w:szCs w:val="18"/>
        </w:rPr>
        <w:t>s 46(2</w:t>
      </w:r>
      <w:proofErr w:type="gramStart"/>
      <w:r>
        <w:rPr>
          <w:rFonts w:cstheme="minorHAnsi"/>
          <w:sz w:val="18"/>
          <w:szCs w:val="18"/>
        </w:rPr>
        <w:t>)(</w:t>
      </w:r>
      <w:proofErr w:type="gramEnd"/>
      <w:r>
        <w:rPr>
          <w:rFonts w:cstheme="minorHAnsi"/>
          <w:sz w:val="18"/>
          <w:szCs w:val="18"/>
        </w:rPr>
        <w:t>a) and</w:t>
      </w:r>
      <w:r w:rsidRPr="00513E84">
        <w:rPr>
          <w:rFonts w:cstheme="minorHAnsi"/>
          <w:sz w:val="18"/>
          <w:szCs w:val="18"/>
        </w:rPr>
        <w:t xml:space="preserve"> 46(2A)(a). </w:t>
      </w:r>
    </w:p>
  </w:endnote>
  <w:endnote w:id="125">
    <w:p w:rsidR="001125C0" w:rsidRPr="00513E84" w:rsidRDefault="001125C0" w:rsidP="008A241A">
      <w:pPr>
        <w:pStyle w:val="EndnoteText"/>
        <w:rPr>
          <w:rFonts w:cstheme="minorHAnsi"/>
        </w:rPr>
      </w:pPr>
      <w:r w:rsidRPr="00513E84">
        <w:rPr>
          <w:rStyle w:val="EndnoteReference"/>
          <w:rFonts w:cstheme="minorHAnsi"/>
        </w:rPr>
        <w:endnoteRef/>
      </w:r>
      <w:r w:rsidRPr="00513E84">
        <w:rPr>
          <w:rFonts w:cstheme="minorHAnsi"/>
        </w:rPr>
        <w:t xml:space="preserve"> </w:t>
      </w:r>
      <w:r w:rsidRPr="00513E84">
        <w:rPr>
          <w:rFonts w:cstheme="minorHAnsi"/>
          <w:sz w:val="18"/>
          <w:szCs w:val="18"/>
        </w:rPr>
        <w:t xml:space="preserve">EPBC Act, subsection 46(3). </w:t>
      </w:r>
    </w:p>
  </w:endnote>
  <w:endnote w:id="126">
    <w:p w:rsidR="001125C0" w:rsidRPr="00513E84" w:rsidRDefault="001125C0" w:rsidP="008A241A">
      <w:pPr>
        <w:pStyle w:val="EndnoteText"/>
      </w:pPr>
      <w:r w:rsidRPr="00513E84">
        <w:rPr>
          <w:rStyle w:val="EndnoteReference"/>
          <w:rFonts w:cstheme="minorHAnsi"/>
          <w:sz w:val="18"/>
          <w:szCs w:val="18"/>
        </w:rPr>
        <w:endnoteRef/>
      </w:r>
      <w:r w:rsidRPr="00513E84">
        <w:t xml:space="preserve"> </w:t>
      </w:r>
      <w:r w:rsidRPr="00513E84">
        <w:rPr>
          <w:rFonts w:cstheme="minorHAnsi"/>
          <w:sz w:val="18"/>
          <w:szCs w:val="18"/>
        </w:rPr>
        <w:t>EPBC Act, paragraph 3(1</w:t>
      </w:r>
      <w:proofErr w:type="gramStart"/>
      <w:r w:rsidRPr="00513E84">
        <w:rPr>
          <w:rFonts w:cstheme="minorHAnsi"/>
          <w:sz w:val="18"/>
          <w:szCs w:val="18"/>
        </w:rPr>
        <w:t>)(</w:t>
      </w:r>
      <w:proofErr w:type="gramEnd"/>
      <w:r w:rsidRPr="00513E84">
        <w:rPr>
          <w:rFonts w:cstheme="minorHAnsi"/>
          <w:sz w:val="18"/>
          <w:szCs w:val="18"/>
        </w:rPr>
        <w:t xml:space="preserve">d). In relation to World Heritage properties and </w:t>
      </w:r>
      <w:proofErr w:type="spellStart"/>
      <w:r w:rsidRPr="00513E84">
        <w:rPr>
          <w:rFonts w:cstheme="minorHAnsi"/>
          <w:sz w:val="18"/>
          <w:szCs w:val="18"/>
        </w:rPr>
        <w:t>Ramsar</w:t>
      </w:r>
      <w:proofErr w:type="spellEnd"/>
      <w:r w:rsidRPr="00513E84">
        <w:rPr>
          <w:rFonts w:cstheme="minorHAnsi"/>
          <w:sz w:val="18"/>
          <w:szCs w:val="18"/>
        </w:rPr>
        <w:t xml:space="preserve"> wetlands see paragraphs 3.03(c) of the Australian World Heritage management principles and Australian </w:t>
      </w:r>
      <w:proofErr w:type="spellStart"/>
      <w:r w:rsidRPr="00513E84">
        <w:rPr>
          <w:rFonts w:cstheme="minorHAnsi"/>
          <w:sz w:val="18"/>
          <w:szCs w:val="18"/>
        </w:rPr>
        <w:t>Ramsar</w:t>
      </w:r>
      <w:proofErr w:type="spellEnd"/>
      <w:r w:rsidRPr="00513E84">
        <w:rPr>
          <w:rFonts w:cstheme="minorHAnsi"/>
          <w:sz w:val="18"/>
          <w:szCs w:val="18"/>
        </w:rPr>
        <w:t xml:space="preserve"> wetland management principles respectively.</w:t>
      </w:r>
      <w:r w:rsidRPr="00513E84">
        <w:rPr>
          <w:rFonts w:cstheme="minorHAnsi"/>
        </w:rPr>
        <w:t xml:space="preserve"> </w:t>
      </w:r>
    </w:p>
  </w:endnote>
  <w:endnote w:id="127">
    <w:p w:rsidR="001125C0" w:rsidRDefault="001125C0" w:rsidP="000D20CA">
      <w:pPr>
        <w:pStyle w:val="EndnoteText"/>
      </w:pPr>
      <w:r>
        <w:rPr>
          <w:rStyle w:val="EndnoteReference"/>
          <w:rFonts w:cstheme="minorHAnsi"/>
          <w:sz w:val="18"/>
          <w:szCs w:val="18"/>
        </w:rPr>
        <w:endnoteRef/>
      </w:r>
      <w:r>
        <w:rPr>
          <w:rStyle w:val="EndnoteReference"/>
          <w:rFonts w:cstheme="minorHAnsi"/>
          <w:sz w:val="18"/>
          <w:szCs w:val="18"/>
        </w:rPr>
        <w:t xml:space="preserve"> </w:t>
      </w:r>
      <w:r>
        <w:rPr>
          <w:rFonts w:cstheme="minorHAnsi"/>
          <w:sz w:val="18"/>
          <w:szCs w:val="18"/>
        </w:rPr>
        <w:t>EPBC Act, paragraphs 3(1</w:t>
      </w:r>
      <w:proofErr w:type="gramStart"/>
      <w:r>
        <w:rPr>
          <w:rFonts w:cstheme="minorHAnsi"/>
          <w:sz w:val="18"/>
          <w:szCs w:val="18"/>
        </w:rPr>
        <w:t>)(</w:t>
      </w:r>
      <w:proofErr w:type="gramEnd"/>
      <w:r>
        <w:rPr>
          <w:rFonts w:cstheme="minorHAnsi"/>
          <w:sz w:val="18"/>
          <w:szCs w:val="18"/>
        </w:rPr>
        <w:t>f) and 49A(c).</w:t>
      </w:r>
    </w:p>
  </w:endnote>
  <w:endnote w:id="128">
    <w:p w:rsidR="001125C0" w:rsidRDefault="001125C0" w:rsidP="000D20CA">
      <w:pPr>
        <w:pStyle w:val="EndnoteText"/>
      </w:pPr>
      <w:r>
        <w:rPr>
          <w:rStyle w:val="EndnoteReference"/>
          <w:rFonts w:cstheme="minorHAnsi"/>
          <w:sz w:val="18"/>
          <w:szCs w:val="18"/>
        </w:rPr>
        <w:endnoteRef/>
      </w:r>
      <w:r>
        <w:rPr>
          <w:rStyle w:val="EndnoteReference"/>
          <w:rFonts w:cstheme="minorHAnsi"/>
          <w:sz w:val="18"/>
          <w:szCs w:val="18"/>
        </w:rPr>
        <w:t xml:space="preserve"> </w:t>
      </w:r>
      <w:r>
        <w:rPr>
          <w:rFonts w:cstheme="minorHAnsi"/>
          <w:sz w:val="18"/>
          <w:szCs w:val="18"/>
        </w:rPr>
        <w:t>EPBC Act, paragraphs 3(1</w:t>
      </w:r>
      <w:proofErr w:type="gramStart"/>
      <w:r>
        <w:rPr>
          <w:rFonts w:cstheme="minorHAnsi"/>
          <w:sz w:val="18"/>
          <w:szCs w:val="18"/>
        </w:rPr>
        <w:t>)(</w:t>
      </w:r>
      <w:proofErr w:type="gramEnd"/>
      <w:r>
        <w:rPr>
          <w:rFonts w:cstheme="minorHAnsi"/>
          <w:sz w:val="18"/>
          <w:szCs w:val="18"/>
        </w:rPr>
        <w:t>g) and 49A(c).</w:t>
      </w:r>
    </w:p>
  </w:endnote>
  <w:endnote w:id="129">
    <w:p w:rsidR="001125C0" w:rsidRDefault="001125C0" w:rsidP="000D20CA">
      <w:pPr>
        <w:pStyle w:val="EndnoteText"/>
      </w:pPr>
      <w:r>
        <w:rPr>
          <w:rStyle w:val="EndnoteReference"/>
          <w:rFonts w:cstheme="minorHAnsi"/>
          <w:sz w:val="18"/>
          <w:szCs w:val="18"/>
        </w:rPr>
        <w:endnoteRef/>
      </w:r>
      <w:r>
        <w:t xml:space="preserve"> </w:t>
      </w:r>
      <w:proofErr w:type="gramStart"/>
      <w:r>
        <w:rPr>
          <w:rFonts w:cstheme="minorHAnsi"/>
          <w:sz w:val="18"/>
          <w:szCs w:val="18"/>
        </w:rPr>
        <w:t>National Heritage management principles, clause 6; EPBC Act, paragraph 49A(c).</w:t>
      </w:r>
      <w:proofErr w:type="gramEnd"/>
    </w:p>
  </w:endnote>
  <w:endnote w:id="130">
    <w:p w:rsidR="001125C0" w:rsidRPr="00513E84" w:rsidRDefault="001125C0">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This reflects law and practice under the EPBC Act and other Commonwealth laws relating to administrative law such as the ADJR Act. </w:t>
      </w:r>
    </w:p>
  </w:endnote>
  <w:endnote w:id="131">
    <w:p w:rsidR="001125C0" w:rsidRPr="00513E84" w:rsidRDefault="001125C0" w:rsidP="00B23097">
      <w:pPr>
        <w:pStyle w:val="EndnoteText"/>
      </w:pPr>
      <w:r w:rsidRPr="00513E84">
        <w:rPr>
          <w:rStyle w:val="EndnoteReference"/>
          <w:rFonts w:cstheme="minorHAnsi"/>
          <w:sz w:val="18"/>
          <w:szCs w:val="18"/>
        </w:rPr>
        <w:endnoteRef/>
      </w:r>
      <w:r w:rsidRPr="00513E84">
        <w:t xml:space="preserve"> </w:t>
      </w:r>
      <w:r w:rsidRPr="00513E84">
        <w:rPr>
          <w:rFonts w:cstheme="minorHAnsi"/>
          <w:sz w:val="18"/>
          <w:szCs w:val="18"/>
        </w:rPr>
        <w:t xml:space="preserve">The Australian World Heritage management principles and the Australian </w:t>
      </w:r>
      <w:proofErr w:type="spellStart"/>
      <w:r w:rsidRPr="00513E84">
        <w:rPr>
          <w:rFonts w:cstheme="minorHAnsi"/>
          <w:sz w:val="18"/>
          <w:szCs w:val="18"/>
        </w:rPr>
        <w:t>Ramsar</w:t>
      </w:r>
      <w:proofErr w:type="spellEnd"/>
      <w:r w:rsidRPr="00513E84">
        <w:rPr>
          <w:rFonts w:cstheme="minorHAnsi"/>
          <w:sz w:val="18"/>
          <w:szCs w:val="18"/>
        </w:rPr>
        <w:t xml:space="preserve"> management principles provide that an assessment process should provide adequate opportunity for public consultation (see paragraph 3.03(c)).</w:t>
      </w:r>
    </w:p>
  </w:endnote>
  <w:endnote w:id="132">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Act, section 134. Under the EPBC Act, the Commonwealth Minister for Environment is a statutory decision-maker and must not act under the direction of any other person, including Cabinet or another Minister.</w:t>
      </w:r>
    </w:p>
  </w:endnote>
  <w:endnote w:id="133">
    <w:p w:rsidR="001125C0" w:rsidRPr="00513E84" w:rsidRDefault="001125C0" w:rsidP="008A241A">
      <w:pPr>
        <w:pStyle w:val="EndnoteText"/>
      </w:pPr>
      <w:r w:rsidRPr="00513E84">
        <w:rPr>
          <w:rStyle w:val="EndnoteReference"/>
          <w:rFonts w:cstheme="minorHAnsi"/>
          <w:sz w:val="18"/>
          <w:szCs w:val="18"/>
        </w:rPr>
        <w:endnoteRef/>
      </w:r>
      <w:r w:rsidRPr="00513E84">
        <w:t xml:space="preserve"> </w:t>
      </w:r>
      <w:r w:rsidRPr="00513E84">
        <w:rPr>
          <w:rFonts w:cstheme="minorHAnsi"/>
          <w:sz w:val="18"/>
          <w:szCs w:val="18"/>
        </w:rPr>
        <w:t xml:space="preserve">In accordance with the EPBC Act, assessment documentation is published on the Internet at: </w:t>
      </w:r>
      <w:hyperlink r:id="rId11" w:history="1">
        <w:r w:rsidRPr="00513E84">
          <w:rPr>
            <w:rStyle w:val="Hyperlink"/>
            <w:rFonts w:cstheme="minorHAnsi"/>
            <w:sz w:val="18"/>
            <w:szCs w:val="18"/>
          </w:rPr>
          <w:t>http://www.environment.gov.au/cgi-bin/epbc/epbc_ap.pl?name=current_referrals;limit=7</w:t>
        </w:r>
      </w:hyperlink>
      <w:r w:rsidRPr="00513E84">
        <w:rPr>
          <w:rFonts w:cstheme="minorHAnsi"/>
          <w:sz w:val="18"/>
          <w:szCs w:val="18"/>
        </w:rPr>
        <w:t>. See also Part 16 of the EPBC Regulations which sets out requirements for publication under the EPBC Act.</w:t>
      </w:r>
    </w:p>
  </w:endnote>
  <w:endnote w:id="134">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Act, subsection 74(3).</w:t>
      </w:r>
    </w:p>
  </w:endnote>
  <w:endnote w:id="135">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w:t>
      </w:r>
      <w:proofErr w:type="gramStart"/>
      <w:r w:rsidRPr="00513E84">
        <w:rPr>
          <w:rFonts w:cstheme="minorHAnsi"/>
          <w:sz w:val="18"/>
          <w:szCs w:val="18"/>
        </w:rPr>
        <w:t>Act,</w:t>
      </w:r>
      <w:proofErr w:type="gramEnd"/>
      <w:r w:rsidRPr="00513E84">
        <w:rPr>
          <w:rFonts w:cstheme="minorHAnsi"/>
          <w:sz w:val="18"/>
          <w:szCs w:val="18"/>
        </w:rPr>
        <w:t xml:space="preserve"> subsections 97(5) and 102(5).</w:t>
      </w:r>
    </w:p>
  </w:endnote>
  <w:endnote w:id="136">
    <w:p w:rsidR="001125C0" w:rsidRPr="00513E84" w:rsidRDefault="001125C0" w:rsidP="001055C3">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Act, sections 95, 98 and 103.</w:t>
      </w:r>
    </w:p>
  </w:endnote>
  <w:endnote w:id="137">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Act, sections 131AA, 133 and 134.</w:t>
      </w:r>
    </w:p>
  </w:endnote>
  <w:endnote w:id="138">
    <w:p w:rsidR="001125C0" w:rsidRPr="00513E84" w:rsidRDefault="001125C0" w:rsidP="008A241A">
      <w:pPr>
        <w:spacing w:after="0" w:line="240" w:lineRule="auto"/>
      </w:pPr>
      <w:r w:rsidRPr="00513E84">
        <w:rPr>
          <w:rStyle w:val="EndnoteReference"/>
          <w:rFonts w:cstheme="minorHAnsi"/>
          <w:sz w:val="18"/>
          <w:szCs w:val="18"/>
        </w:rPr>
        <w:endnoteRef/>
      </w:r>
      <w:r w:rsidRPr="00513E84">
        <w:rPr>
          <w:rFonts w:cstheme="minorHAnsi"/>
          <w:sz w:val="18"/>
          <w:szCs w:val="18"/>
        </w:rPr>
        <w:t xml:space="preserve"> Existing assessment bilateral provisions make provision for public access to assessment documentation, including </w:t>
      </w:r>
      <w:proofErr w:type="spellStart"/>
      <w:r w:rsidRPr="00513E84">
        <w:rPr>
          <w:rFonts w:cstheme="minorHAnsi"/>
          <w:sz w:val="18"/>
          <w:szCs w:val="18"/>
        </w:rPr>
        <w:t>to</w:t>
      </w:r>
      <w:proofErr w:type="spellEnd"/>
      <w:r w:rsidRPr="00513E84">
        <w:rPr>
          <w:rFonts w:cstheme="minorHAnsi"/>
          <w:sz w:val="18"/>
          <w:szCs w:val="18"/>
        </w:rPr>
        <w:t xml:space="preserve"> groups with particular needs. </w:t>
      </w:r>
      <w:proofErr w:type="spellStart"/>
      <w:r w:rsidRPr="00513E84">
        <w:rPr>
          <w:rFonts w:cstheme="minorHAnsi"/>
          <w:sz w:val="18"/>
          <w:szCs w:val="18"/>
        </w:rPr>
        <w:t>Subregulation</w:t>
      </w:r>
      <w:proofErr w:type="spellEnd"/>
      <w:r w:rsidRPr="00513E84">
        <w:rPr>
          <w:rFonts w:cstheme="minorHAnsi"/>
          <w:sz w:val="18"/>
          <w:szCs w:val="18"/>
        </w:rPr>
        <w:t xml:space="preserve"> </w:t>
      </w:r>
      <w:proofErr w:type="gramStart"/>
      <w:r w:rsidRPr="00513E84">
        <w:rPr>
          <w:rFonts w:cstheme="minorHAnsi"/>
          <w:sz w:val="18"/>
          <w:szCs w:val="18"/>
        </w:rPr>
        <w:t>16.04A(</w:t>
      </w:r>
      <w:proofErr w:type="gramEnd"/>
      <w:r w:rsidRPr="00513E84">
        <w:rPr>
          <w:rFonts w:cstheme="minorHAnsi"/>
          <w:sz w:val="18"/>
          <w:szCs w:val="18"/>
        </w:rPr>
        <w:t>1) of the EPBC Regulations specifies that a proponent must ensure that a person with special needs has reasonable access to the material in regulation 16.04 (publication of notices relating to assessments) in a form that satisfies the person’s needs. In approving the notice before it is first published under the EPBC Act, the Secretary ensures that it includes the contact details where people with special needs can access help in accessing the material.</w:t>
      </w:r>
    </w:p>
  </w:endnote>
  <w:endnote w:id="139">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The EPBC Act sets out minimum periods for comment. See, for example, subsection 93(3), 98(3) and 103(3).</w:t>
      </w:r>
    </w:p>
  </w:endnote>
  <w:endnote w:id="140">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The EPBC Act requires that public comment must be taken into account. See, for example, subsections 99(2) and 104(2).</w:t>
      </w:r>
    </w:p>
  </w:endnote>
  <w:endnote w:id="141">
    <w:p w:rsidR="001125C0" w:rsidRPr="00513E84" w:rsidRDefault="001125C0" w:rsidP="008A241A">
      <w:pPr>
        <w:pStyle w:val="EndnoteText"/>
      </w:pPr>
      <w:r w:rsidRPr="00513E84">
        <w:rPr>
          <w:rStyle w:val="EndnoteReference"/>
          <w:rFonts w:cstheme="minorHAnsi"/>
          <w:sz w:val="18"/>
          <w:szCs w:val="18"/>
        </w:rPr>
        <w:endnoteRef/>
      </w:r>
      <w:r w:rsidRPr="00513E84">
        <w:t xml:space="preserve"> </w:t>
      </w:r>
      <w:proofErr w:type="gramStart"/>
      <w:r w:rsidRPr="00513E84">
        <w:rPr>
          <w:rFonts w:cstheme="minorHAnsi"/>
          <w:sz w:val="18"/>
          <w:szCs w:val="18"/>
        </w:rPr>
        <w:t>EPBC Act, section 49A(c).</w:t>
      </w:r>
      <w:proofErr w:type="gramEnd"/>
      <w:r w:rsidRPr="00513E84">
        <w:rPr>
          <w:rFonts w:cstheme="minorHAnsi"/>
          <w:sz w:val="18"/>
          <w:szCs w:val="18"/>
        </w:rPr>
        <w:t xml:space="preserve"> The Indigenous Advisory Committee is established under Part 19, Division 2A. The agenda of the Indigenous Advisory Committee includes matters regarding the assessment and approval of proposed actions under the EPBC Act.</w:t>
      </w:r>
    </w:p>
  </w:endnote>
  <w:endnote w:id="142">
    <w:p w:rsidR="001125C0" w:rsidRPr="00513E84" w:rsidRDefault="001125C0" w:rsidP="008A241A">
      <w:pPr>
        <w:pStyle w:val="EndnoteText"/>
      </w:pPr>
      <w:r w:rsidRPr="00513E84">
        <w:rPr>
          <w:rStyle w:val="EndnoteReference"/>
          <w:rFonts w:cstheme="minorHAnsi"/>
          <w:sz w:val="18"/>
          <w:szCs w:val="18"/>
        </w:rPr>
        <w:endnoteRef/>
      </w:r>
      <w:r w:rsidRPr="00513E84">
        <w:t xml:space="preserve"> </w:t>
      </w:r>
      <w:r w:rsidRPr="00513E84">
        <w:rPr>
          <w:rFonts w:cstheme="minorHAnsi"/>
          <w:sz w:val="18"/>
          <w:szCs w:val="18"/>
        </w:rPr>
        <w:t>EPBC Act, paragraph 133(3</w:t>
      </w:r>
      <w:proofErr w:type="gramStart"/>
      <w:r w:rsidRPr="00513E84">
        <w:rPr>
          <w:rFonts w:cstheme="minorHAnsi"/>
          <w:sz w:val="18"/>
          <w:szCs w:val="18"/>
        </w:rPr>
        <w:t>)(</w:t>
      </w:r>
      <w:proofErr w:type="gramEnd"/>
      <w:r w:rsidRPr="00513E84">
        <w:rPr>
          <w:rFonts w:cstheme="minorHAnsi"/>
          <w:sz w:val="18"/>
          <w:szCs w:val="18"/>
        </w:rPr>
        <w:t xml:space="preserve">b). All approval decisions under Part 9 of the EPBC Act are published on the Internet at: </w:t>
      </w:r>
      <w:hyperlink r:id="rId12" w:history="1">
        <w:r w:rsidRPr="00513E84">
          <w:rPr>
            <w:rStyle w:val="Hyperlink"/>
            <w:rFonts w:cstheme="minorHAnsi"/>
            <w:sz w:val="18"/>
            <w:szCs w:val="18"/>
          </w:rPr>
          <w:t>http://www.environment.gov.au/cgi-bin/epbc/epbc_ap.pl?name=current_referrals;limit=7</w:t>
        </w:r>
      </w:hyperlink>
      <w:r w:rsidRPr="00513E84">
        <w:rPr>
          <w:rStyle w:val="Hyperlink"/>
          <w:rFonts w:cstheme="minorHAnsi"/>
          <w:sz w:val="18"/>
          <w:szCs w:val="18"/>
        </w:rPr>
        <w:t xml:space="preserve">. </w:t>
      </w:r>
    </w:p>
  </w:endnote>
  <w:endnote w:id="143">
    <w:p w:rsidR="001125C0" w:rsidRPr="00513E84" w:rsidRDefault="001125C0" w:rsidP="008A241A">
      <w:pPr>
        <w:pStyle w:val="EndnoteText"/>
        <w:rPr>
          <w:rFonts w:cstheme="minorHAnsi"/>
        </w:rPr>
      </w:pPr>
      <w:r w:rsidRPr="00513E84">
        <w:rPr>
          <w:rStyle w:val="EndnoteReference"/>
          <w:rFonts w:cstheme="minorHAnsi"/>
        </w:rPr>
        <w:endnoteRef/>
      </w:r>
      <w:r w:rsidRPr="00513E84">
        <w:rPr>
          <w:rFonts w:cstheme="minorHAnsi"/>
        </w:rPr>
        <w:t xml:space="preserve"> </w:t>
      </w:r>
      <w:r w:rsidRPr="00513E84">
        <w:rPr>
          <w:rFonts w:cstheme="minorHAnsi"/>
          <w:sz w:val="18"/>
          <w:szCs w:val="18"/>
        </w:rPr>
        <w:t xml:space="preserve">This is Commonwealth practice deriving from the </w:t>
      </w:r>
      <w:r w:rsidRPr="00513E84">
        <w:rPr>
          <w:rFonts w:cstheme="minorHAnsi"/>
          <w:i/>
          <w:sz w:val="18"/>
          <w:szCs w:val="18"/>
        </w:rPr>
        <w:t>Administrative Decisions (Judicial Review) Act 1977</w:t>
      </w:r>
      <w:r w:rsidRPr="00513E84">
        <w:rPr>
          <w:rFonts w:cstheme="minorHAnsi"/>
          <w:sz w:val="18"/>
          <w:szCs w:val="18"/>
        </w:rPr>
        <w:t xml:space="preserve"> (</w:t>
      </w:r>
      <w:proofErr w:type="spellStart"/>
      <w:r w:rsidRPr="00513E84">
        <w:rPr>
          <w:rFonts w:cstheme="minorHAnsi"/>
          <w:sz w:val="18"/>
          <w:szCs w:val="18"/>
        </w:rPr>
        <w:t>Cth</w:t>
      </w:r>
      <w:proofErr w:type="spellEnd"/>
      <w:r w:rsidRPr="00513E84">
        <w:rPr>
          <w:rFonts w:cstheme="minorHAnsi"/>
          <w:sz w:val="18"/>
          <w:szCs w:val="18"/>
        </w:rPr>
        <w:t>), section 13.</w:t>
      </w:r>
    </w:p>
  </w:endnote>
  <w:endnote w:id="144">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As a result of changes to the </w:t>
      </w:r>
      <w:r w:rsidRPr="00513E84">
        <w:rPr>
          <w:rStyle w:val="HTMLCite"/>
          <w:rFonts w:cstheme="minorHAnsi"/>
          <w:sz w:val="18"/>
          <w:szCs w:val="18"/>
        </w:rPr>
        <w:t>Freedom of Information Act 1982 (FOI Act)</w:t>
      </w:r>
      <w:r w:rsidRPr="00513E84">
        <w:rPr>
          <w:rFonts w:cstheme="minorHAnsi"/>
          <w:sz w:val="18"/>
          <w:szCs w:val="18"/>
        </w:rPr>
        <w:t>, Australian Government agencies which are subject to the FOI Act, are required to publish a range of information on their websites as part of an Information Publication Scheme.  Information that must be published includes operational information (which is information that assists the agency to exercise its functions or powers in making decisions or recommendations that affect members of the public). This includes the agency's rules, guidelines, practices and precedents relating to those decisions and recommendations.</w:t>
      </w:r>
    </w:p>
  </w:endnote>
  <w:endnote w:id="145">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Review rights in relation to decisions under the EPBC Act to approve individual developments stem from the </w:t>
      </w:r>
      <w:r w:rsidRPr="00513E84">
        <w:rPr>
          <w:rFonts w:cstheme="minorHAnsi"/>
          <w:i/>
          <w:sz w:val="18"/>
          <w:szCs w:val="18"/>
        </w:rPr>
        <w:t xml:space="preserve">Administrative Decisions (Judicial Review) Act 1977 </w:t>
      </w:r>
      <w:r w:rsidRPr="00513E84">
        <w:rPr>
          <w:rFonts w:cstheme="minorHAnsi"/>
          <w:sz w:val="18"/>
          <w:szCs w:val="18"/>
        </w:rPr>
        <w:t>(</w:t>
      </w:r>
      <w:proofErr w:type="spellStart"/>
      <w:r w:rsidRPr="00513E84">
        <w:rPr>
          <w:rFonts w:cstheme="minorHAnsi"/>
          <w:sz w:val="18"/>
          <w:szCs w:val="18"/>
        </w:rPr>
        <w:t>Cth</w:t>
      </w:r>
      <w:proofErr w:type="spellEnd"/>
      <w:r w:rsidRPr="00513E84">
        <w:rPr>
          <w:rFonts w:cstheme="minorHAnsi"/>
          <w:sz w:val="18"/>
          <w:szCs w:val="18"/>
        </w:rPr>
        <w:t>) which provides for judicial review, including of decisions under the EPBC Act.  Section 487 of the EPBC Act provides for extended standing in relation to judicial review.</w:t>
      </w:r>
    </w:p>
  </w:endnote>
  <w:endnote w:id="146">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Act, section 65.</w:t>
      </w:r>
    </w:p>
  </w:endnote>
  <w:endnote w:id="147">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Act, subparagraph 48(1</w:t>
      </w:r>
      <w:proofErr w:type="gramStart"/>
      <w:r w:rsidRPr="00513E84">
        <w:rPr>
          <w:rFonts w:cstheme="minorHAnsi"/>
          <w:sz w:val="18"/>
          <w:szCs w:val="18"/>
        </w:rPr>
        <w:t>)(</w:t>
      </w:r>
      <w:proofErr w:type="gramEnd"/>
      <w:r w:rsidRPr="00513E84">
        <w:rPr>
          <w:rFonts w:cstheme="minorHAnsi"/>
          <w:sz w:val="18"/>
          <w:szCs w:val="18"/>
        </w:rPr>
        <w:t>e)(iii). Existing bilateral agreements provide that reviews should be carried out jointly between the parties; evaluate the operation of the agreement against its objects, and seek views of stakeholders. Bilateral agreements have also been reviewed in response to amendments to state legislation for new forms of environmental impact assessment and to clarify administrative roles of the parties. Amendments to clarify administrative roles were made to the Queensland bilateral agreement on 14 June 2012.</w:t>
      </w:r>
    </w:p>
  </w:endnote>
  <w:endnote w:id="148">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Act, subparagraph 48(1</w:t>
      </w:r>
      <w:proofErr w:type="gramStart"/>
      <w:r w:rsidRPr="00513E84">
        <w:rPr>
          <w:rFonts w:cstheme="minorHAnsi"/>
          <w:sz w:val="18"/>
          <w:szCs w:val="18"/>
        </w:rPr>
        <w:t>)(</w:t>
      </w:r>
      <w:proofErr w:type="gramEnd"/>
      <w:r w:rsidRPr="00513E84">
        <w:rPr>
          <w:rFonts w:cstheme="minorHAnsi"/>
          <w:sz w:val="18"/>
          <w:szCs w:val="18"/>
        </w:rPr>
        <w:t>e)(ii).</w:t>
      </w:r>
    </w:p>
  </w:endnote>
  <w:endnote w:id="149">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Act, subsection </w:t>
      </w:r>
      <w:proofErr w:type="gramStart"/>
      <w:r w:rsidRPr="00513E84">
        <w:rPr>
          <w:rFonts w:cstheme="minorHAnsi"/>
          <w:sz w:val="18"/>
          <w:szCs w:val="18"/>
        </w:rPr>
        <w:t>48A(</w:t>
      </w:r>
      <w:proofErr w:type="gramEnd"/>
      <w:r w:rsidRPr="00513E84">
        <w:rPr>
          <w:rFonts w:cstheme="minorHAnsi"/>
          <w:sz w:val="18"/>
          <w:szCs w:val="18"/>
        </w:rPr>
        <w:t>4).</w:t>
      </w:r>
    </w:p>
  </w:endnote>
  <w:endnote w:id="150">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w:t>
      </w:r>
      <w:proofErr w:type="gramStart"/>
      <w:r w:rsidRPr="00513E84">
        <w:rPr>
          <w:rFonts w:cstheme="minorHAnsi"/>
          <w:sz w:val="18"/>
          <w:szCs w:val="18"/>
        </w:rPr>
        <w:t>Act,</w:t>
      </w:r>
      <w:proofErr w:type="gramEnd"/>
      <w:r w:rsidRPr="00513E84">
        <w:rPr>
          <w:rFonts w:cstheme="minorHAnsi"/>
          <w:sz w:val="18"/>
          <w:szCs w:val="18"/>
        </w:rPr>
        <w:t xml:space="preserve"> subsections 65(2) and (3).  Paragraph 48(1</w:t>
      </w:r>
      <w:proofErr w:type="gramStart"/>
      <w:r w:rsidRPr="00513E84">
        <w:rPr>
          <w:rFonts w:cstheme="minorHAnsi"/>
          <w:sz w:val="18"/>
          <w:szCs w:val="18"/>
        </w:rPr>
        <w:t>)(</w:t>
      </w:r>
      <w:proofErr w:type="gramEnd"/>
      <w:r w:rsidRPr="00513E84">
        <w:rPr>
          <w:rFonts w:cstheme="minorHAnsi"/>
          <w:sz w:val="18"/>
          <w:szCs w:val="18"/>
        </w:rPr>
        <w:t>d) also provides that bilateral agreements may include provisions for publication of information.</w:t>
      </w:r>
    </w:p>
  </w:endnote>
  <w:endnote w:id="151">
    <w:p w:rsidR="001125C0" w:rsidRPr="00513E84" w:rsidRDefault="001125C0" w:rsidP="00492CFF">
      <w:pPr>
        <w:pStyle w:val="EndnoteText"/>
        <w:rPr>
          <w:rFonts w:cstheme="minorHAnsi"/>
        </w:rPr>
      </w:pPr>
      <w:r w:rsidRPr="00513E84">
        <w:rPr>
          <w:rStyle w:val="EndnoteReference"/>
          <w:rFonts w:cstheme="minorHAnsi"/>
          <w:sz w:val="18"/>
          <w:szCs w:val="18"/>
        </w:rPr>
        <w:endnoteRef/>
      </w:r>
      <w:r w:rsidRPr="00513E84">
        <w:rPr>
          <w:rFonts w:cstheme="minorHAnsi"/>
        </w:rPr>
        <w:t xml:space="preserve"> </w:t>
      </w:r>
      <w:r w:rsidRPr="00513E84">
        <w:rPr>
          <w:rFonts w:cstheme="minorHAnsi"/>
          <w:sz w:val="18"/>
          <w:szCs w:val="18"/>
        </w:rPr>
        <w:t>Section 516 of the EPBC Act provides that the Secretary of SEWPAC must, as soon as practicable after 30 June in each year, prepare and give to the Minister a report on the operation of the EPBC Act for the 12 months ending on that 30 June.</w:t>
      </w:r>
      <w:r w:rsidRPr="00513E84">
        <w:rPr>
          <w:rFonts w:cstheme="minorHAnsi"/>
        </w:rPr>
        <w:t xml:space="preserve"> </w:t>
      </w:r>
    </w:p>
  </w:endnote>
  <w:endnote w:id="152">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Act, subparagraph 48(1</w:t>
      </w:r>
      <w:proofErr w:type="gramStart"/>
      <w:r w:rsidRPr="00513E84">
        <w:rPr>
          <w:rFonts w:cstheme="minorHAnsi"/>
          <w:sz w:val="18"/>
          <w:szCs w:val="18"/>
        </w:rPr>
        <w:t>)(</w:t>
      </w:r>
      <w:proofErr w:type="gramEnd"/>
      <w:r w:rsidRPr="00513E84">
        <w:rPr>
          <w:rFonts w:cstheme="minorHAnsi"/>
          <w:sz w:val="18"/>
          <w:szCs w:val="18"/>
        </w:rPr>
        <w:t>e)(ii)</w:t>
      </w:r>
      <w:r>
        <w:rPr>
          <w:rFonts w:cstheme="minorHAnsi"/>
          <w:sz w:val="18"/>
          <w:szCs w:val="18"/>
        </w:rPr>
        <w:t xml:space="preserve"> provides that b</w:t>
      </w:r>
      <w:r w:rsidRPr="00492CFF">
        <w:rPr>
          <w:rFonts w:cstheme="minorHAnsi"/>
          <w:sz w:val="18"/>
          <w:szCs w:val="18"/>
        </w:rPr>
        <w:t>ilateral agreements may include provisions for reporting on the operation and effectiveness of all or part of the agreement</w:t>
      </w:r>
      <w:r>
        <w:rPr>
          <w:rFonts w:cstheme="minorHAnsi"/>
          <w:sz w:val="18"/>
          <w:szCs w:val="18"/>
        </w:rPr>
        <w:t>.</w:t>
      </w:r>
    </w:p>
  </w:endnote>
  <w:endnote w:id="153">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Act, paragraph 48(1</w:t>
      </w:r>
      <w:proofErr w:type="gramStart"/>
      <w:r w:rsidRPr="00513E84">
        <w:rPr>
          <w:rFonts w:cstheme="minorHAnsi"/>
          <w:sz w:val="18"/>
          <w:szCs w:val="18"/>
        </w:rPr>
        <w:t>)(</w:t>
      </w:r>
      <w:proofErr w:type="gramEnd"/>
      <w:r w:rsidRPr="00513E84">
        <w:rPr>
          <w:rFonts w:cstheme="minorHAnsi"/>
          <w:sz w:val="18"/>
          <w:szCs w:val="18"/>
        </w:rPr>
        <w:t>c).</w:t>
      </w:r>
    </w:p>
  </w:endnote>
  <w:endnote w:id="154">
    <w:p w:rsidR="001125C0" w:rsidRDefault="001125C0">
      <w:pPr>
        <w:pStyle w:val="EndnoteText"/>
      </w:pPr>
      <w:r w:rsidRPr="002C4B72">
        <w:rPr>
          <w:rStyle w:val="EndnoteReference"/>
          <w:rFonts w:cstheme="minorHAnsi"/>
          <w:sz w:val="18"/>
          <w:szCs w:val="18"/>
        </w:rPr>
        <w:endnoteRef/>
      </w:r>
      <w:r w:rsidRPr="002C4B72">
        <w:rPr>
          <w:rStyle w:val="EndnoteReference"/>
          <w:rFonts w:cstheme="minorHAnsi"/>
          <w:sz w:val="18"/>
          <w:szCs w:val="18"/>
        </w:rPr>
        <w:t xml:space="preserve"> </w:t>
      </w:r>
      <w:r w:rsidRPr="002C4B72">
        <w:rPr>
          <w:rFonts w:cstheme="minorHAnsi"/>
          <w:sz w:val="18"/>
          <w:szCs w:val="18"/>
        </w:rPr>
        <w:t>EPBC Act, sections 57 - 64.</w:t>
      </w:r>
    </w:p>
  </w:endnote>
  <w:endnote w:id="155">
    <w:p w:rsidR="001125C0" w:rsidRPr="00513E84" w:rsidRDefault="001125C0" w:rsidP="008A241A">
      <w:pPr>
        <w:pStyle w:val="EndnoteText"/>
      </w:pPr>
      <w:r w:rsidRPr="00513E84">
        <w:rPr>
          <w:rStyle w:val="EndnoteReference"/>
          <w:rFonts w:cstheme="minorHAnsi"/>
          <w:sz w:val="18"/>
          <w:szCs w:val="18"/>
        </w:rPr>
        <w:endnoteRef/>
      </w:r>
      <w:r w:rsidRPr="00513E84">
        <w:t xml:space="preserve"> </w:t>
      </w:r>
      <w:r w:rsidRPr="00513E84">
        <w:rPr>
          <w:rFonts w:cstheme="minorHAnsi"/>
          <w:sz w:val="18"/>
          <w:szCs w:val="18"/>
        </w:rPr>
        <w:t xml:space="preserve">Existing assessment bilateral agreements provide for the parties to jointly develop administrative procedures to ensure that the requirements of the agreements are administered efficiently: NSW, SA, Tas, Vic, bilateral agreements, clause 19, ACT, </w:t>
      </w:r>
      <w:proofErr w:type="gramStart"/>
      <w:r w:rsidRPr="00513E84">
        <w:rPr>
          <w:rFonts w:cstheme="minorHAnsi"/>
          <w:sz w:val="18"/>
          <w:szCs w:val="18"/>
        </w:rPr>
        <w:t>Qld  bilateral</w:t>
      </w:r>
      <w:proofErr w:type="gramEnd"/>
      <w:r w:rsidRPr="00513E84">
        <w:rPr>
          <w:rFonts w:cstheme="minorHAnsi"/>
          <w:sz w:val="18"/>
          <w:szCs w:val="18"/>
        </w:rPr>
        <w:t xml:space="preserve"> agreements, clause 21; NT bilateral agreement, clause 18, WA bilateral agreement, clause 20.</w:t>
      </w:r>
    </w:p>
  </w:endnote>
  <w:endnote w:id="156">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rPr>
        <w:t xml:space="preserve"> </w:t>
      </w:r>
      <w:r w:rsidRPr="00513E84">
        <w:rPr>
          <w:rFonts w:cstheme="minorHAnsi"/>
          <w:sz w:val="18"/>
          <w:szCs w:val="18"/>
        </w:rPr>
        <w:t>Existing bilateral agreements include provisions for exchange of information between the parties: NSW, Tas, Vic, NT bilateral agreements, clauses 23, 24;  SA, Qld, Vic bilateral agreements, clauses 24, 25;  ACT bilateral agreement, clauses 27, 28;  WA bilateral agreement, clauses 25, 26.   Existing bilateral agreements also provide that administrative arrangements will include guidelines on the exchange of information:  NSW, SA, Tas, Vic bilateral agreements, clauses 19</w:t>
      </w:r>
      <w:proofErr w:type="gramStart"/>
      <w:r w:rsidRPr="00513E84">
        <w:rPr>
          <w:rFonts w:cstheme="minorHAnsi"/>
          <w:sz w:val="18"/>
          <w:szCs w:val="18"/>
        </w:rPr>
        <w:t>;  ACT</w:t>
      </w:r>
      <w:proofErr w:type="gramEnd"/>
      <w:r w:rsidRPr="00513E84">
        <w:rPr>
          <w:rFonts w:cstheme="minorHAnsi"/>
          <w:sz w:val="18"/>
          <w:szCs w:val="18"/>
        </w:rPr>
        <w:t xml:space="preserve"> bilateral agreement, clause 21; NT bilateral agreement, clause 18;  WA bilateral agreement, clause 20.</w:t>
      </w:r>
    </w:p>
  </w:endnote>
  <w:endnote w:id="157">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Style w:val="EndnoteReference"/>
          <w:rFonts w:cstheme="minorHAnsi"/>
          <w:sz w:val="18"/>
          <w:szCs w:val="18"/>
        </w:rPr>
        <w:t xml:space="preserve"> </w:t>
      </w:r>
      <w:r w:rsidRPr="00513E84">
        <w:rPr>
          <w:rFonts w:cstheme="minorHAnsi"/>
          <w:sz w:val="18"/>
          <w:szCs w:val="18"/>
        </w:rPr>
        <w:t>Existing bilateral agreements provide for exchange of information between the parties relating to the management or administration of assessments covered by the agreements.</w:t>
      </w:r>
    </w:p>
  </w:endnote>
  <w:endnote w:id="158">
    <w:p w:rsidR="001125C0" w:rsidRPr="00513E84" w:rsidRDefault="001125C0" w:rsidP="008A241A">
      <w:pPr>
        <w:pStyle w:val="EndnoteText"/>
        <w:rPr>
          <w:rFonts w:cstheme="minorHAnsi"/>
        </w:rPr>
      </w:pPr>
      <w:r w:rsidRPr="00513E84">
        <w:rPr>
          <w:rStyle w:val="EndnoteReference"/>
          <w:rFonts w:cstheme="minorHAnsi"/>
          <w:sz w:val="18"/>
          <w:szCs w:val="18"/>
        </w:rPr>
        <w:endnoteRef/>
      </w:r>
      <w:r w:rsidRPr="00513E84">
        <w:rPr>
          <w:rFonts w:cstheme="minorHAnsi"/>
        </w:rPr>
        <w:t xml:space="preserve"> </w:t>
      </w:r>
      <w:r w:rsidRPr="00513E84">
        <w:rPr>
          <w:rFonts w:cstheme="minorHAnsi"/>
          <w:sz w:val="18"/>
          <w:szCs w:val="18"/>
        </w:rPr>
        <w:t>Summaries of compliance audits under the EPBC Act are published at: http://environment.gov.au/epbc/compliance/auditing.html.</w:t>
      </w:r>
    </w:p>
  </w:endnote>
  <w:endnote w:id="159">
    <w:p w:rsidR="001125C0" w:rsidRPr="00513E84" w:rsidRDefault="001125C0" w:rsidP="008A241A">
      <w:pPr>
        <w:pStyle w:val="EndnoteText"/>
        <w:rPr>
          <w:rFonts w:cstheme="minorHAnsi"/>
        </w:rPr>
      </w:pPr>
      <w:r w:rsidRPr="00513E84">
        <w:rPr>
          <w:rStyle w:val="EndnoteReference"/>
          <w:rFonts w:cstheme="minorHAnsi"/>
          <w:sz w:val="18"/>
          <w:szCs w:val="18"/>
        </w:rPr>
        <w:endnoteRef/>
      </w:r>
      <w:r w:rsidRPr="00513E84">
        <w:rPr>
          <w:rStyle w:val="EndnoteReference"/>
          <w:rFonts w:cstheme="minorHAnsi"/>
          <w:sz w:val="18"/>
          <w:szCs w:val="18"/>
        </w:rPr>
        <w:t xml:space="preserve"> </w:t>
      </w:r>
      <w:r w:rsidRPr="00513E84">
        <w:rPr>
          <w:rFonts w:cstheme="minorHAnsi"/>
          <w:sz w:val="18"/>
          <w:szCs w:val="18"/>
        </w:rPr>
        <w:t>Existing bilateral agreements include provisions for the parties to cooperate in monitoring compliance with conditions attached to approvals, with the aim of reducing duplication: SA, NSW, Tas, Vic bilateral agreements, clauses 16;  ACT bilateral agreement, clause 20; NT bilateral agreement, clause 15;  Qld bilateral agreement, clause 19;  WA bilateral agreement, clause 17.  Under existing bilateral agreements, the parties also agree to inform the other of actions to prosecute a person for breaching conditions of an approval by both parties, where the conditions relate to a matter protected by the EPBC Act: SA, NSW, Tas, Vic bilateral agreements, clauses 17; ACT bilateral agreement, clause 20.2; NT bilateral agreement, clause 16; Qld bilateral agreement, clause 20; WA bilateral agreement, clause 18.</w:t>
      </w:r>
    </w:p>
  </w:endnote>
  <w:endnote w:id="160">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Style w:val="EndnoteReference"/>
          <w:rFonts w:cstheme="minorHAnsi"/>
          <w:sz w:val="18"/>
          <w:szCs w:val="18"/>
        </w:rPr>
        <w:t xml:space="preserve"> </w:t>
      </w:r>
      <w:r w:rsidRPr="00513E84">
        <w:rPr>
          <w:rFonts w:cstheme="minorHAnsi"/>
          <w:sz w:val="18"/>
          <w:szCs w:val="18"/>
        </w:rPr>
        <w:t xml:space="preserve">Standard conditions of approval under the EPBC Act require environmental management plans and environmental reports to be published on the Internet. </w:t>
      </w:r>
    </w:p>
  </w:endnote>
  <w:endnote w:id="161">
    <w:p w:rsidR="001125C0" w:rsidRPr="00513E84" w:rsidRDefault="001125C0" w:rsidP="008A241A">
      <w:pPr>
        <w:pStyle w:val="EndnoteText"/>
        <w:rPr>
          <w:rFonts w:cstheme="minorHAnsi"/>
        </w:rPr>
      </w:pPr>
      <w:r w:rsidRPr="00513E84">
        <w:rPr>
          <w:rStyle w:val="EndnoteReference"/>
          <w:rFonts w:cstheme="minorHAnsi"/>
          <w:sz w:val="18"/>
          <w:szCs w:val="18"/>
        </w:rPr>
        <w:endnoteRef/>
      </w:r>
      <w:r w:rsidRPr="00513E84">
        <w:rPr>
          <w:rFonts w:cstheme="minorHAnsi"/>
          <w:sz w:val="18"/>
          <w:szCs w:val="18"/>
        </w:rPr>
        <w:t xml:space="preserve"> Civil and criminal penalties for significant impacts on matters of national environmental significance are in Part 3 of the EPBC Act.  For example, maximum civil penalties for significant impacts on listed threatened species and communities include $550,000 for an individual and $5,500,000 for a company.  </w:t>
      </w:r>
      <w:proofErr w:type="gramStart"/>
      <w:r w:rsidRPr="00513E84">
        <w:rPr>
          <w:rFonts w:cstheme="minorHAnsi"/>
          <w:sz w:val="18"/>
          <w:szCs w:val="18"/>
        </w:rPr>
        <w:t>Part 17 of the EPBC Act deals generally with enforcement.</w:t>
      </w:r>
      <w:proofErr w:type="gramEnd"/>
    </w:p>
  </w:endnote>
  <w:endnote w:id="162">
    <w:p w:rsidR="001125C0" w:rsidRPr="00513E84" w:rsidRDefault="001125C0" w:rsidP="008A241A">
      <w:pPr>
        <w:pStyle w:val="EndnoteText"/>
      </w:pPr>
      <w:r w:rsidRPr="00513E84">
        <w:rPr>
          <w:rStyle w:val="EndnoteReference"/>
          <w:rFonts w:cstheme="minorHAnsi"/>
          <w:sz w:val="18"/>
          <w:szCs w:val="18"/>
        </w:rPr>
        <w:endnoteRef/>
      </w:r>
      <w:r w:rsidRPr="00513E84">
        <w:rPr>
          <w:rStyle w:val="EndnoteReference"/>
          <w:rFonts w:cstheme="minorHAnsi"/>
          <w:sz w:val="18"/>
          <w:szCs w:val="18"/>
        </w:rPr>
        <w:t xml:space="preserve"> </w:t>
      </w:r>
      <w:r w:rsidRPr="00513E84">
        <w:rPr>
          <w:rFonts w:cstheme="minorHAnsi"/>
          <w:sz w:val="18"/>
          <w:szCs w:val="18"/>
        </w:rPr>
        <w:t>EPBC Act, Part 18, Division 18 provides for liability of executive officers for corporations.</w:t>
      </w:r>
    </w:p>
  </w:endnote>
  <w:endnote w:id="163">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Fonts w:cstheme="minorHAnsi"/>
          <w:sz w:val="18"/>
          <w:szCs w:val="18"/>
        </w:rPr>
        <w:t xml:space="preserve"> EPBC Act, sections 57 - 64.</w:t>
      </w:r>
    </w:p>
  </w:endnote>
  <w:endnote w:id="164">
    <w:p w:rsidR="001125C0" w:rsidRPr="00513E84" w:rsidRDefault="001125C0" w:rsidP="008A241A">
      <w:pPr>
        <w:pStyle w:val="EndnoteText"/>
        <w:rPr>
          <w:rFonts w:cstheme="minorHAnsi"/>
          <w:sz w:val="18"/>
          <w:szCs w:val="18"/>
        </w:rPr>
      </w:pPr>
      <w:r w:rsidRPr="00513E84">
        <w:rPr>
          <w:rStyle w:val="EndnoteReference"/>
          <w:rFonts w:cstheme="minorHAnsi"/>
          <w:sz w:val="18"/>
          <w:szCs w:val="18"/>
        </w:rPr>
        <w:endnoteRef/>
      </w:r>
      <w:r w:rsidRPr="00513E84">
        <w:rPr>
          <w:rStyle w:val="EndnoteReference"/>
          <w:rFonts w:cstheme="minorHAnsi"/>
          <w:sz w:val="18"/>
          <w:szCs w:val="18"/>
        </w:rPr>
        <w:t xml:space="preserve"> </w:t>
      </w:r>
      <w:r w:rsidRPr="00513E84">
        <w:rPr>
          <w:rFonts w:cstheme="minorHAnsi"/>
          <w:sz w:val="18"/>
          <w:szCs w:val="18"/>
        </w:rPr>
        <w:t>EPBC Act, section 60.</w:t>
      </w:r>
    </w:p>
  </w:endnote>
  <w:endnote w:id="165">
    <w:p w:rsidR="001125C0" w:rsidRDefault="001125C0" w:rsidP="00F0756A">
      <w:pPr>
        <w:pStyle w:val="EndnoteText"/>
      </w:pPr>
      <w:r>
        <w:rPr>
          <w:rStyle w:val="EndnoteReference"/>
        </w:rPr>
        <w:endnoteRef/>
      </w:r>
      <w:r>
        <w:t xml:space="preserve"> </w:t>
      </w:r>
      <w:r w:rsidRPr="00513E84">
        <w:rPr>
          <w:rFonts w:cstheme="minorHAnsi"/>
          <w:sz w:val="18"/>
          <w:szCs w:val="18"/>
        </w:rPr>
        <w:t xml:space="preserve">Existing assessment bilateral agreements include a provision which enables the Commonwealth Environment Minister to determine that a particular action is not within a class of actions to which the bilateral agreement applies:  Qld bilateral agreement, clause 10; </w:t>
      </w:r>
      <w:proofErr w:type="gramStart"/>
      <w:r w:rsidRPr="00513E84">
        <w:rPr>
          <w:rFonts w:cstheme="minorHAnsi"/>
          <w:sz w:val="18"/>
          <w:szCs w:val="18"/>
        </w:rPr>
        <w:t>Tas</w:t>
      </w:r>
      <w:proofErr w:type="gramEnd"/>
      <w:r w:rsidRPr="00513E84">
        <w:rPr>
          <w:rFonts w:cstheme="minorHAnsi"/>
          <w:sz w:val="18"/>
          <w:szCs w:val="18"/>
        </w:rPr>
        <w:t xml:space="preserve"> bilateral agreement, clause 9.7; Vic bilateral agreement, clause 9.</w:t>
      </w:r>
    </w:p>
  </w:endnote>
  <w:endnote w:id="166">
    <w:p w:rsidR="001125C0" w:rsidRPr="00F805CE" w:rsidRDefault="001125C0" w:rsidP="00053D3F">
      <w:pPr>
        <w:pStyle w:val="EndnoteText"/>
        <w:rPr>
          <w:rFonts w:cstheme="minorHAnsi"/>
        </w:rPr>
      </w:pPr>
      <w:r w:rsidRPr="00F805CE">
        <w:rPr>
          <w:rStyle w:val="EndnoteReference"/>
          <w:rFonts w:cstheme="minorHAnsi"/>
        </w:rPr>
        <w:endnoteRef/>
      </w:r>
      <w:r w:rsidRPr="00F805CE">
        <w:rPr>
          <w:rFonts w:cstheme="minorHAnsi"/>
        </w:rPr>
        <w:t xml:space="preserve"> </w:t>
      </w:r>
      <w:r w:rsidRPr="000716EB">
        <w:rPr>
          <w:rFonts w:cstheme="minorHAnsi"/>
          <w:sz w:val="18"/>
          <w:szCs w:val="18"/>
        </w:rPr>
        <w:t>EPBC Act, section 528.</w:t>
      </w:r>
    </w:p>
  </w:endnote>
  <w:endnote w:id="167">
    <w:p w:rsidR="001125C0" w:rsidRPr="00F805CE" w:rsidRDefault="001125C0" w:rsidP="00053D3F">
      <w:pPr>
        <w:pStyle w:val="EndnoteText"/>
        <w:rPr>
          <w:rFonts w:cstheme="minorHAnsi"/>
        </w:rPr>
      </w:pPr>
      <w:r w:rsidRPr="00F805CE">
        <w:rPr>
          <w:rStyle w:val="EndnoteReference"/>
          <w:rFonts w:cstheme="minorHAnsi"/>
        </w:rPr>
        <w:endnoteRef/>
      </w:r>
      <w:r w:rsidRPr="00F805CE">
        <w:rPr>
          <w:rFonts w:cstheme="minorHAnsi"/>
        </w:rPr>
        <w:t xml:space="preserve"> </w:t>
      </w:r>
      <w:r w:rsidRPr="000716EB">
        <w:rPr>
          <w:rFonts w:cstheme="minorHAnsi"/>
          <w:sz w:val="18"/>
          <w:szCs w:val="18"/>
        </w:rPr>
        <w:t>EPBC Act, section 528.</w:t>
      </w:r>
    </w:p>
  </w:endnote>
  <w:endnote w:id="168">
    <w:p w:rsidR="001125C0" w:rsidRPr="00F805CE" w:rsidRDefault="001125C0" w:rsidP="00053D3F">
      <w:pPr>
        <w:pStyle w:val="EndnoteText"/>
        <w:rPr>
          <w:rFonts w:cstheme="minorHAnsi"/>
        </w:rPr>
      </w:pPr>
      <w:r w:rsidRPr="00F805CE">
        <w:rPr>
          <w:rStyle w:val="EndnoteReference"/>
          <w:rFonts w:cstheme="minorHAnsi"/>
        </w:rPr>
        <w:endnoteRef/>
      </w:r>
      <w:r w:rsidRPr="00F805CE">
        <w:rPr>
          <w:rFonts w:cstheme="minorHAnsi"/>
        </w:rPr>
        <w:t xml:space="preserve"> </w:t>
      </w:r>
      <w:r w:rsidRPr="000716EB">
        <w:rPr>
          <w:rFonts w:cstheme="minorHAnsi"/>
          <w:sz w:val="18"/>
          <w:szCs w:val="18"/>
        </w:rPr>
        <w:t>EPBC Act, section 528.</w:t>
      </w:r>
    </w:p>
  </w:endnote>
  <w:endnote w:id="169">
    <w:p w:rsidR="001125C0" w:rsidRPr="004D7B7D" w:rsidRDefault="001125C0" w:rsidP="00053D3F">
      <w:pPr>
        <w:pStyle w:val="EndnoteText"/>
        <w:rPr>
          <w:rFonts w:cstheme="minorHAnsi"/>
        </w:rPr>
      </w:pPr>
      <w:r w:rsidRPr="004D7B7D">
        <w:rPr>
          <w:rStyle w:val="EndnoteReference"/>
          <w:rFonts w:cstheme="minorHAnsi"/>
        </w:rPr>
        <w:endnoteRef/>
      </w:r>
      <w:r w:rsidRPr="004D7B7D">
        <w:rPr>
          <w:rFonts w:cstheme="minorHAnsi"/>
        </w:rPr>
        <w:t xml:space="preserve"> </w:t>
      </w:r>
      <w:proofErr w:type="gramStart"/>
      <w:r w:rsidRPr="000716EB">
        <w:rPr>
          <w:rFonts w:cstheme="minorHAnsi"/>
          <w:sz w:val="18"/>
          <w:szCs w:val="18"/>
        </w:rPr>
        <w:t>Referred to as the ‘Split Accountability Model’ in previous drafts.</w:t>
      </w:r>
      <w:proofErr w:type="gramEnd"/>
      <w:r w:rsidRPr="004D7B7D">
        <w:rPr>
          <w:rFonts w:cstheme="minorHAnsi"/>
        </w:rPr>
        <w:t xml:space="preserve"> </w:t>
      </w:r>
    </w:p>
  </w:endnote>
  <w:endnote w:id="170">
    <w:p w:rsidR="001125C0" w:rsidRPr="00340D58" w:rsidRDefault="001125C0" w:rsidP="00053D3F">
      <w:pPr>
        <w:pStyle w:val="EndnoteText"/>
        <w:rPr>
          <w:rFonts w:cstheme="minorHAnsi"/>
        </w:rPr>
      </w:pPr>
      <w:r w:rsidRPr="00340D58">
        <w:rPr>
          <w:rStyle w:val="EndnoteReference"/>
          <w:rFonts w:cstheme="minorHAnsi"/>
        </w:rPr>
        <w:endnoteRef/>
      </w:r>
      <w:r w:rsidRPr="00340D58">
        <w:rPr>
          <w:rFonts w:cstheme="minorHAnsi"/>
        </w:rPr>
        <w:t xml:space="preserve"> </w:t>
      </w:r>
      <w:r w:rsidRPr="000716EB">
        <w:rPr>
          <w:rFonts w:cstheme="minorHAnsi"/>
          <w:sz w:val="18"/>
          <w:szCs w:val="18"/>
        </w:rPr>
        <w:t>EPBC Act, section 528.</w:t>
      </w:r>
    </w:p>
  </w:endnote>
  <w:endnote w:id="171">
    <w:p w:rsidR="001125C0" w:rsidRPr="00340D58" w:rsidRDefault="001125C0" w:rsidP="00053D3F">
      <w:pPr>
        <w:pStyle w:val="EndnoteText"/>
        <w:rPr>
          <w:rFonts w:cstheme="minorHAnsi"/>
        </w:rPr>
      </w:pPr>
      <w:r w:rsidRPr="00340D58">
        <w:rPr>
          <w:rStyle w:val="EndnoteReference"/>
          <w:rFonts w:cstheme="minorHAnsi"/>
        </w:rPr>
        <w:endnoteRef/>
      </w:r>
      <w:r w:rsidRPr="00340D58">
        <w:rPr>
          <w:rFonts w:cstheme="minorHAnsi"/>
        </w:rPr>
        <w:t xml:space="preserve"> </w:t>
      </w:r>
      <w:r w:rsidRPr="000716EB">
        <w:rPr>
          <w:rFonts w:cstheme="minorHAnsi"/>
          <w:sz w:val="18"/>
          <w:szCs w:val="18"/>
        </w:rPr>
        <w:t>EPBC Act, section 528.</w:t>
      </w:r>
    </w:p>
  </w:endnote>
  <w:endnote w:id="172">
    <w:p w:rsidR="001125C0" w:rsidRPr="00340D58" w:rsidRDefault="001125C0" w:rsidP="00053D3F">
      <w:pPr>
        <w:pStyle w:val="EndnoteText"/>
        <w:rPr>
          <w:rFonts w:cstheme="minorHAnsi"/>
        </w:rPr>
      </w:pPr>
      <w:r w:rsidRPr="00340D58">
        <w:rPr>
          <w:rStyle w:val="EndnoteReference"/>
          <w:rFonts w:cstheme="minorHAnsi"/>
        </w:rPr>
        <w:endnoteRef/>
      </w:r>
      <w:r w:rsidRPr="00340D58">
        <w:rPr>
          <w:rFonts w:cstheme="minorHAnsi"/>
        </w:rPr>
        <w:t xml:space="preserve"> </w:t>
      </w:r>
      <w:r w:rsidRPr="000716EB">
        <w:rPr>
          <w:rFonts w:cstheme="minorHAnsi"/>
          <w:sz w:val="18"/>
          <w:szCs w:val="18"/>
        </w:rPr>
        <w:t>EPBC Act, section 528.</w:t>
      </w:r>
    </w:p>
  </w:endnote>
  <w:endnote w:id="173">
    <w:p w:rsidR="001125C0" w:rsidRPr="00F805CE" w:rsidRDefault="001125C0" w:rsidP="00053D3F">
      <w:pPr>
        <w:pStyle w:val="EndnoteText"/>
        <w:rPr>
          <w:rFonts w:cstheme="minorHAnsi"/>
        </w:rPr>
      </w:pPr>
      <w:r w:rsidRPr="00F805CE">
        <w:rPr>
          <w:rStyle w:val="EndnoteReference"/>
          <w:rFonts w:cstheme="minorHAnsi"/>
        </w:rPr>
        <w:endnoteRef/>
      </w:r>
      <w:r w:rsidRPr="00F805CE">
        <w:rPr>
          <w:rFonts w:cstheme="minorHAnsi"/>
        </w:rPr>
        <w:t xml:space="preserve"> </w:t>
      </w:r>
      <w:r w:rsidRPr="000716EB">
        <w:rPr>
          <w:rFonts w:cstheme="minorHAnsi"/>
          <w:sz w:val="18"/>
          <w:szCs w:val="18"/>
        </w:rPr>
        <w:t>EPBC Act, section 528.</w:t>
      </w:r>
    </w:p>
  </w:endnote>
  <w:endnote w:id="174">
    <w:p w:rsidR="001125C0" w:rsidRPr="00F805CE" w:rsidRDefault="001125C0" w:rsidP="00053D3F">
      <w:pPr>
        <w:pStyle w:val="EndnoteText"/>
        <w:rPr>
          <w:rFonts w:cstheme="minorHAnsi"/>
        </w:rPr>
      </w:pPr>
      <w:r w:rsidRPr="00F805CE">
        <w:rPr>
          <w:rStyle w:val="EndnoteReference"/>
          <w:rFonts w:cstheme="minorHAnsi"/>
        </w:rPr>
        <w:endnoteRef/>
      </w:r>
      <w:r w:rsidRPr="00F805CE">
        <w:rPr>
          <w:rFonts w:cstheme="minorHAnsi"/>
        </w:rPr>
        <w:t xml:space="preserve"> </w:t>
      </w:r>
      <w:r w:rsidRPr="000716EB">
        <w:rPr>
          <w:rFonts w:cstheme="minorHAnsi"/>
          <w:sz w:val="18"/>
          <w:szCs w:val="18"/>
        </w:rPr>
        <w:t>EPBC Act, section 528.</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334747"/>
      <w:docPartObj>
        <w:docPartGallery w:val="Page Numbers (Bottom of Page)"/>
        <w:docPartUnique/>
      </w:docPartObj>
    </w:sdtPr>
    <w:sdtEndPr>
      <w:rPr>
        <w:noProof/>
      </w:rPr>
    </w:sdtEndPr>
    <w:sdtContent>
      <w:p w:rsidR="001125C0" w:rsidRDefault="003A2851">
        <w:pPr>
          <w:pStyle w:val="Footer"/>
          <w:jc w:val="center"/>
        </w:pPr>
        <w:r>
          <w:fldChar w:fldCharType="begin"/>
        </w:r>
        <w:r w:rsidR="001125C0">
          <w:instrText xml:space="preserve"> PAGE   \* MERGEFORMAT </w:instrText>
        </w:r>
        <w:r>
          <w:fldChar w:fldCharType="separate"/>
        </w:r>
        <w:r w:rsidR="003F0C24">
          <w:rPr>
            <w:noProof/>
          </w:rPr>
          <w:t>26</w:t>
        </w:r>
        <w:r>
          <w:rPr>
            <w:noProof/>
          </w:rPr>
          <w:fldChar w:fldCharType="end"/>
        </w:r>
      </w:p>
    </w:sdtContent>
  </w:sdt>
  <w:p w:rsidR="001125C0" w:rsidRDefault="001125C0">
    <w:pPr>
      <w:pStyle w:val="Footer"/>
    </w:pPr>
  </w:p>
  <w:p w:rsidR="001125C0" w:rsidRDefault="001125C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769611"/>
      <w:docPartObj>
        <w:docPartGallery w:val="Page Numbers (Bottom of Page)"/>
        <w:docPartUnique/>
      </w:docPartObj>
    </w:sdtPr>
    <w:sdtEndPr>
      <w:rPr>
        <w:noProof/>
      </w:rPr>
    </w:sdtEndPr>
    <w:sdtContent>
      <w:p w:rsidR="001125C0" w:rsidRDefault="003A2851">
        <w:pPr>
          <w:pStyle w:val="Footer"/>
          <w:jc w:val="center"/>
        </w:pPr>
        <w:r>
          <w:fldChar w:fldCharType="begin"/>
        </w:r>
        <w:r w:rsidR="001125C0">
          <w:instrText xml:space="preserve"> PAGE   \* MERGEFORMAT </w:instrText>
        </w:r>
        <w:r>
          <w:fldChar w:fldCharType="separate"/>
        </w:r>
        <w:r w:rsidR="003F0C24">
          <w:rPr>
            <w:noProof/>
          </w:rPr>
          <w:t>28</w:t>
        </w:r>
        <w:r>
          <w:rPr>
            <w:noProof/>
          </w:rPr>
          <w:fldChar w:fldCharType="end"/>
        </w:r>
      </w:p>
    </w:sdtContent>
  </w:sdt>
  <w:p w:rsidR="001125C0" w:rsidRDefault="001125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263241"/>
      <w:docPartObj>
        <w:docPartGallery w:val="Page Numbers (Bottom of Page)"/>
        <w:docPartUnique/>
      </w:docPartObj>
    </w:sdtPr>
    <w:sdtEndPr>
      <w:rPr>
        <w:noProof/>
      </w:rPr>
    </w:sdtEndPr>
    <w:sdtContent>
      <w:p w:rsidR="001125C0" w:rsidRDefault="003A2851">
        <w:pPr>
          <w:pStyle w:val="Footer"/>
          <w:jc w:val="center"/>
        </w:pPr>
        <w:r>
          <w:fldChar w:fldCharType="begin"/>
        </w:r>
        <w:r w:rsidR="001125C0">
          <w:instrText xml:space="preserve"> PAGE   \* MERGEFORMAT </w:instrText>
        </w:r>
        <w:r>
          <w:fldChar w:fldCharType="separate"/>
        </w:r>
        <w:r w:rsidR="003F0C24">
          <w:rPr>
            <w:noProof/>
          </w:rPr>
          <w:t>64</w:t>
        </w:r>
        <w:r>
          <w:rPr>
            <w:noProof/>
          </w:rPr>
          <w:fldChar w:fldCharType="end"/>
        </w:r>
      </w:p>
    </w:sdtContent>
  </w:sdt>
  <w:p w:rsidR="001125C0" w:rsidRDefault="001125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5C0" w:rsidRDefault="001125C0" w:rsidP="00DB30C5">
      <w:pPr>
        <w:spacing w:after="0" w:line="240" w:lineRule="auto"/>
      </w:pPr>
      <w:r>
        <w:separator/>
      </w:r>
    </w:p>
  </w:footnote>
  <w:footnote w:type="continuationSeparator" w:id="0">
    <w:p w:rsidR="001125C0" w:rsidRDefault="001125C0" w:rsidP="00DB30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5C0" w:rsidRPr="00E172AF" w:rsidRDefault="001125C0" w:rsidP="002C604C">
    <w:pPr>
      <w:pStyle w:val="Header"/>
      <w:jc w:val="center"/>
      <w:rPr>
        <w:b/>
        <w:color w:val="FF0000"/>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5C0" w:rsidRDefault="001125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5C0" w:rsidRDefault="001125C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5C0" w:rsidRDefault="001125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6A87DC0"/>
    <w:lvl w:ilvl="0">
      <w:start w:val="1"/>
      <w:numFmt w:val="decimal"/>
      <w:pStyle w:val="ListNumber2"/>
      <w:lvlText w:val="%1."/>
      <w:lvlJc w:val="left"/>
      <w:pPr>
        <w:tabs>
          <w:tab w:val="num" w:pos="643"/>
        </w:tabs>
        <w:ind w:left="643" w:hanging="360"/>
      </w:pPr>
    </w:lvl>
  </w:abstractNum>
  <w:abstractNum w:abstractNumId="1">
    <w:nsid w:val="FFFFFF88"/>
    <w:multiLevelType w:val="singleLevel"/>
    <w:tmpl w:val="2FE48452"/>
    <w:lvl w:ilvl="0">
      <w:start w:val="1"/>
      <w:numFmt w:val="decimal"/>
      <w:pStyle w:val="ListNumber"/>
      <w:lvlText w:val="%1."/>
      <w:lvlJc w:val="left"/>
      <w:pPr>
        <w:tabs>
          <w:tab w:val="num" w:pos="360"/>
        </w:tabs>
        <w:ind w:left="360" w:hanging="360"/>
      </w:pPr>
    </w:lvl>
  </w:abstractNum>
  <w:abstractNum w:abstractNumId="2">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024D76FE"/>
    <w:multiLevelType w:val="hybridMultilevel"/>
    <w:tmpl w:val="3A1805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5110690"/>
    <w:multiLevelType w:val="hybridMultilevel"/>
    <w:tmpl w:val="E948EB46"/>
    <w:lvl w:ilvl="0" w:tplc="0C090017">
      <w:start w:val="1"/>
      <w:numFmt w:val="lowerLetter"/>
      <w:lvlText w:val="%1)"/>
      <w:lvlJc w:val="left"/>
      <w:pPr>
        <w:ind w:left="360" w:hanging="360"/>
      </w:pPr>
    </w:lvl>
    <w:lvl w:ilvl="1" w:tplc="0C090019">
      <w:start w:val="1"/>
      <w:numFmt w:val="lowerLetter"/>
      <w:lvlText w:val="%2."/>
      <w:lvlJc w:val="left"/>
      <w:pPr>
        <w:ind w:left="360" w:hanging="360"/>
      </w:pPr>
    </w:lvl>
    <w:lvl w:ilvl="2" w:tplc="0C09001B">
      <w:start w:val="1"/>
      <w:numFmt w:val="lowerRoman"/>
      <w:lvlText w:val="%3."/>
      <w:lvlJc w:val="right"/>
      <w:pPr>
        <w:ind w:left="1080" w:hanging="180"/>
      </w:pPr>
    </w:lvl>
    <w:lvl w:ilvl="3" w:tplc="0C09000F">
      <w:start w:val="1"/>
      <w:numFmt w:val="decimal"/>
      <w:lvlText w:val="%4."/>
      <w:lvlJc w:val="left"/>
      <w:pPr>
        <w:ind w:left="1800" w:hanging="360"/>
      </w:pPr>
    </w:lvl>
    <w:lvl w:ilvl="4" w:tplc="0C090019">
      <w:start w:val="1"/>
      <w:numFmt w:val="lowerLetter"/>
      <w:lvlText w:val="%5."/>
      <w:lvlJc w:val="left"/>
      <w:pPr>
        <w:ind w:left="2520" w:hanging="360"/>
      </w:pPr>
    </w:lvl>
    <w:lvl w:ilvl="5" w:tplc="0C09001B">
      <w:start w:val="1"/>
      <w:numFmt w:val="lowerRoman"/>
      <w:lvlText w:val="%6."/>
      <w:lvlJc w:val="right"/>
      <w:pPr>
        <w:ind w:left="3240" w:hanging="180"/>
      </w:pPr>
    </w:lvl>
    <w:lvl w:ilvl="6" w:tplc="0C09000F">
      <w:start w:val="1"/>
      <w:numFmt w:val="decimal"/>
      <w:lvlText w:val="%7."/>
      <w:lvlJc w:val="left"/>
      <w:pPr>
        <w:ind w:left="3960" w:hanging="360"/>
      </w:pPr>
    </w:lvl>
    <w:lvl w:ilvl="7" w:tplc="0C090019">
      <w:start w:val="1"/>
      <w:numFmt w:val="lowerLetter"/>
      <w:lvlText w:val="%8."/>
      <w:lvlJc w:val="left"/>
      <w:pPr>
        <w:ind w:left="4680" w:hanging="360"/>
      </w:pPr>
    </w:lvl>
    <w:lvl w:ilvl="8" w:tplc="0C09001B">
      <w:start w:val="1"/>
      <w:numFmt w:val="lowerRoman"/>
      <w:lvlText w:val="%9."/>
      <w:lvlJc w:val="right"/>
      <w:pPr>
        <w:ind w:left="5400" w:hanging="180"/>
      </w:pPr>
    </w:lvl>
  </w:abstractNum>
  <w:abstractNum w:abstractNumId="5">
    <w:nsid w:val="0A854491"/>
    <w:multiLevelType w:val="hybridMultilevel"/>
    <w:tmpl w:val="B9B4E062"/>
    <w:lvl w:ilvl="0" w:tplc="94DE6E90">
      <w:start w:val="1"/>
      <w:numFmt w:val="lowerLetter"/>
      <w:lvlText w:val="(%1)"/>
      <w:lvlJc w:val="left"/>
      <w:pPr>
        <w:ind w:left="717" w:hanging="360"/>
      </w:pPr>
      <w:rPr>
        <w:rFonts w:hint="default"/>
        <w:b w:val="0"/>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6">
    <w:nsid w:val="0B8654AE"/>
    <w:multiLevelType w:val="hybridMultilevel"/>
    <w:tmpl w:val="115C746E"/>
    <w:lvl w:ilvl="0" w:tplc="0CFEB10C">
      <w:start w:val="1"/>
      <w:numFmt w:val="lowerRoman"/>
      <w:lvlText w:val="%1."/>
      <w:lvlJc w:val="righ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0CE96BF3"/>
    <w:multiLevelType w:val="hybridMultilevel"/>
    <w:tmpl w:val="621E7C50"/>
    <w:lvl w:ilvl="0" w:tplc="8F7AC0B0">
      <w:start w:val="1"/>
      <w:numFmt w:val="lowerLetter"/>
      <w:lvlText w:val="(%1)"/>
      <w:lvlJc w:val="left"/>
      <w:pPr>
        <w:ind w:left="717" w:hanging="360"/>
      </w:pPr>
      <w:rPr>
        <w:rFonts w:hint="default"/>
        <w:b w:val="0"/>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8">
    <w:nsid w:val="11BF7084"/>
    <w:multiLevelType w:val="hybridMultilevel"/>
    <w:tmpl w:val="51A6D3E0"/>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2C705D2"/>
    <w:multiLevelType w:val="hybridMultilevel"/>
    <w:tmpl w:val="4F5CD6D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A36594"/>
    <w:multiLevelType w:val="hybridMultilevel"/>
    <w:tmpl w:val="7F5C5DCC"/>
    <w:lvl w:ilvl="0" w:tplc="B994D866">
      <w:start w:val="1"/>
      <w:numFmt w:val="lowerLetter"/>
      <w:lvlText w:val="(%1)"/>
      <w:lvlJc w:val="left"/>
      <w:pPr>
        <w:ind w:left="717" w:hanging="360"/>
      </w:pPr>
      <w:rPr>
        <w:rFonts w:hint="default"/>
        <w:b w:val="0"/>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1">
    <w:nsid w:val="161727BC"/>
    <w:multiLevelType w:val="hybridMultilevel"/>
    <w:tmpl w:val="2D403E5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6433799"/>
    <w:multiLevelType w:val="hybridMultilevel"/>
    <w:tmpl w:val="B942B7FE"/>
    <w:lvl w:ilvl="0" w:tplc="6D3AE3C0">
      <w:numFmt w:val="bullet"/>
      <w:lvlText w:val="-"/>
      <w:lvlJc w:val="left"/>
      <w:pPr>
        <w:ind w:left="687" w:hanging="360"/>
      </w:pPr>
      <w:rPr>
        <w:rFonts w:ascii="Calibri" w:eastAsiaTheme="minorHAnsi" w:hAnsi="Calibri" w:cs="Calibri" w:hint="default"/>
      </w:rPr>
    </w:lvl>
    <w:lvl w:ilvl="1" w:tplc="0C090003">
      <w:start w:val="1"/>
      <w:numFmt w:val="bullet"/>
      <w:lvlText w:val="o"/>
      <w:lvlJc w:val="left"/>
      <w:pPr>
        <w:ind w:left="1407" w:hanging="360"/>
      </w:pPr>
      <w:rPr>
        <w:rFonts w:ascii="Courier New" w:hAnsi="Courier New" w:cs="Courier New" w:hint="default"/>
      </w:rPr>
    </w:lvl>
    <w:lvl w:ilvl="2" w:tplc="0C090005" w:tentative="1">
      <w:start w:val="1"/>
      <w:numFmt w:val="bullet"/>
      <w:lvlText w:val=""/>
      <w:lvlJc w:val="left"/>
      <w:pPr>
        <w:ind w:left="2127" w:hanging="360"/>
      </w:pPr>
      <w:rPr>
        <w:rFonts w:ascii="Wingdings" w:hAnsi="Wingdings" w:hint="default"/>
      </w:rPr>
    </w:lvl>
    <w:lvl w:ilvl="3" w:tplc="0C090001" w:tentative="1">
      <w:start w:val="1"/>
      <w:numFmt w:val="bullet"/>
      <w:lvlText w:val=""/>
      <w:lvlJc w:val="left"/>
      <w:pPr>
        <w:ind w:left="2847" w:hanging="360"/>
      </w:pPr>
      <w:rPr>
        <w:rFonts w:ascii="Symbol" w:hAnsi="Symbol" w:hint="default"/>
      </w:rPr>
    </w:lvl>
    <w:lvl w:ilvl="4" w:tplc="0C090003" w:tentative="1">
      <w:start w:val="1"/>
      <w:numFmt w:val="bullet"/>
      <w:lvlText w:val="o"/>
      <w:lvlJc w:val="left"/>
      <w:pPr>
        <w:ind w:left="3567" w:hanging="360"/>
      </w:pPr>
      <w:rPr>
        <w:rFonts w:ascii="Courier New" w:hAnsi="Courier New" w:cs="Courier New" w:hint="default"/>
      </w:rPr>
    </w:lvl>
    <w:lvl w:ilvl="5" w:tplc="0C090005" w:tentative="1">
      <w:start w:val="1"/>
      <w:numFmt w:val="bullet"/>
      <w:lvlText w:val=""/>
      <w:lvlJc w:val="left"/>
      <w:pPr>
        <w:ind w:left="4287" w:hanging="360"/>
      </w:pPr>
      <w:rPr>
        <w:rFonts w:ascii="Wingdings" w:hAnsi="Wingdings" w:hint="default"/>
      </w:rPr>
    </w:lvl>
    <w:lvl w:ilvl="6" w:tplc="0C090001" w:tentative="1">
      <w:start w:val="1"/>
      <w:numFmt w:val="bullet"/>
      <w:lvlText w:val=""/>
      <w:lvlJc w:val="left"/>
      <w:pPr>
        <w:ind w:left="5007" w:hanging="360"/>
      </w:pPr>
      <w:rPr>
        <w:rFonts w:ascii="Symbol" w:hAnsi="Symbol" w:hint="default"/>
      </w:rPr>
    </w:lvl>
    <w:lvl w:ilvl="7" w:tplc="0C090003" w:tentative="1">
      <w:start w:val="1"/>
      <w:numFmt w:val="bullet"/>
      <w:lvlText w:val="o"/>
      <w:lvlJc w:val="left"/>
      <w:pPr>
        <w:ind w:left="5727" w:hanging="360"/>
      </w:pPr>
      <w:rPr>
        <w:rFonts w:ascii="Courier New" w:hAnsi="Courier New" w:cs="Courier New" w:hint="default"/>
      </w:rPr>
    </w:lvl>
    <w:lvl w:ilvl="8" w:tplc="0C090005" w:tentative="1">
      <w:start w:val="1"/>
      <w:numFmt w:val="bullet"/>
      <w:lvlText w:val=""/>
      <w:lvlJc w:val="left"/>
      <w:pPr>
        <w:ind w:left="6447" w:hanging="360"/>
      </w:pPr>
      <w:rPr>
        <w:rFonts w:ascii="Wingdings" w:hAnsi="Wingdings" w:hint="default"/>
      </w:rPr>
    </w:lvl>
  </w:abstractNum>
  <w:abstractNum w:abstractNumId="13">
    <w:nsid w:val="16C54885"/>
    <w:multiLevelType w:val="hybridMultilevel"/>
    <w:tmpl w:val="AFEEA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80D5A89"/>
    <w:multiLevelType w:val="hybridMultilevel"/>
    <w:tmpl w:val="F964264A"/>
    <w:lvl w:ilvl="0" w:tplc="0AF6DD5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9145C85"/>
    <w:multiLevelType w:val="hybridMultilevel"/>
    <w:tmpl w:val="5C2A546A"/>
    <w:lvl w:ilvl="0" w:tplc="22DA8C3E">
      <w:start w:val="1"/>
      <w:numFmt w:val="lowerLetter"/>
      <w:lvlText w:val="%1."/>
      <w:lvlJc w:val="left"/>
      <w:pPr>
        <w:ind w:left="360" w:hanging="360"/>
      </w:pPr>
    </w:lvl>
    <w:lvl w:ilvl="1" w:tplc="0C090019">
      <w:start w:val="1"/>
      <w:numFmt w:val="lowerLetter"/>
      <w:lvlText w:val="%2."/>
      <w:lvlJc w:val="left"/>
      <w:pPr>
        <w:ind w:left="360" w:hanging="360"/>
      </w:pPr>
    </w:lvl>
    <w:lvl w:ilvl="2" w:tplc="0C09001B">
      <w:start w:val="1"/>
      <w:numFmt w:val="lowerRoman"/>
      <w:lvlText w:val="%3."/>
      <w:lvlJc w:val="right"/>
      <w:pPr>
        <w:ind w:left="1080" w:hanging="180"/>
      </w:pPr>
    </w:lvl>
    <w:lvl w:ilvl="3" w:tplc="0C09000F">
      <w:start w:val="1"/>
      <w:numFmt w:val="decimal"/>
      <w:lvlText w:val="%4."/>
      <w:lvlJc w:val="left"/>
      <w:pPr>
        <w:ind w:left="1800" w:hanging="360"/>
      </w:pPr>
    </w:lvl>
    <w:lvl w:ilvl="4" w:tplc="0C090019">
      <w:start w:val="1"/>
      <w:numFmt w:val="lowerLetter"/>
      <w:lvlText w:val="%5."/>
      <w:lvlJc w:val="left"/>
      <w:pPr>
        <w:ind w:left="2520" w:hanging="360"/>
      </w:pPr>
    </w:lvl>
    <w:lvl w:ilvl="5" w:tplc="0C09001B">
      <w:start w:val="1"/>
      <w:numFmt w:val="lowerRoman"/>
      <w:lvlText w:val="%6."/>
      <w:lvlJc w:val="right"/>
      <w:pPr>
        <w:ind w:left="3240" w:hanging="180"/>
      </w:pPr>
    </w:lvl>
    <w:lvl w:ilvl="6" w:tplc="0C09000F">
      <w:start w:val="1"/>
      <w:numFmt w:val="decimal"/>
      <w:lvlText w:val="%7."/>
      <w:lvlJc w:val="left"/>
      <w:pPr>
        <w:ind w:left="3960" w:hanging="360"/>
      </w:pPr>
    </w:lvl>
    <w:lvl w:ilvl="7" w:tplc="0C090019">
      <w:start w:val="1"/>
      <w:numFmt w:val="lowerLetter"/>
      <w:lvlText w:val="%8."/>
      <w:lvlJc w:val="left"/>
      <w:pPr>
        <w:ind w:left="4680" w:hanging="360"/>
      </w:pPr>
    </w:lvl>
    <w:lvl w:ilvl="8" w:tplc="0C09001B">
      <w:start w:val="1"/>
      <w:numFmt w:val="lowerRoman"/>
      <w:lvlText w:val="%9."/>
      <w:lvlJc w:val="right"/>
      <w:pPr>
        <w:ind w:left="5400" w:hanging="180"/>
      </w:pPr>
    </w:lvl>
  </w:abstractNum>
  <w:abstractNum w:abstractNumId="16">
    <w:nsid w:val="1A3C31BB"/>
    <w:multiLevelType w:val="hybridMultilevel"/>
    <w:tmpl w:val="9C74753A"/>
    <w:lvl w:ilvl="0" w:tplc="0C090019">
      <w:start w:val="1"/>
      <w:numFmt w:val="lowerLetter"/>
      <w:lvlText w:val="%1."/>
      <w:lvlJc w:val="left"/>
      <w:pPr>
        <w:ind w:left="360" w:hanging="360"/>
      </w:pPr>
      <w:rPr>
        <w:rFonts w:hint="default"/>
        <w:b w:val="0"/>
      </w:rPr>
    </w:lvl>
    <w:lvl w:ilvl="1" w:tplc="0C09000F">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1D95035B"/>
    <w:multiLevelType w:val="hybridMultilevel"/>
    <w:tmpl w:val="DE446C4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1F745BC2"/>
    <w:multiLevelType w:val="multilevel"/>
    <w:tmpl w:val="E5E89F92"/>
    <w:numStyleLink w:val="BulletList"/>
  </w:abstractNum>
  <w:abstractNum w:abstractNumId="19">
    <w:nsid w:val="25991197"/>
    <w:multiLevelType w:val="hybridMultilevel"/>
    <w:tmpl w:val="D9482D12"/>
    <w:lvl w:ilvl="0" w:tplc="0C090019">
      <w:start w:val="1"/>
      <w:numFmt w:val="lowerLetter"/>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26D90D5E"/>
    <w:multiLevelType w:val="hybridMultilevel"/>
    <w:tmpl w:val="131CA03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2E814BD0"/>
    <w:multiLevelType w:val="hybridMultilevel"/>
    <w:tmpl w:val="4F5CD6D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072528F"/>
    <w:multiLevelType w:val="hybridMultilevel"/>
    <w:tmpl w:val="EDD45D9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3189238A"/>
    <w:multiLevelType w:val="hybridMultilevel"/>
    <w:tmpl w:val="1BB668C6"/>
    <w:lvl w:ilvl="0" w:tplc="C9ECFEDE">
      <w:start w:val="1"/>
      <w:numFmt w:val="lowerRoman"/>
      <w:lvlText w:val="%1."/>
      <w:lvlJc w:val="righ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31D2114A"/>
    <w:multiLevelType w:val="hybridMultilevel"/>
    <w:tmpl w:val="EE00FF28"/>
    <w:lvl w:ilvl="0" w:tplc="0C090001">
      <w:start w:val="1"/>
      <w:numFmt w:val="bullet"/>
      <w:lvlText w:val=""/>
      <w:lvlJc w:val="left"/>
      <w:pPr>
        <w:ind w:left="-1369" w:hanging="360"/>
      </w:pPr>
      <w:rPr>
        <w:rFonts w:ascii="Symbol" w:hAnsi="Symbol" w:hint="default"/>
      </w:rPr>
    </w:lvl>
    <w:lvl w:ilvl="1" w:tplc="0C090003" w:tentative="1">
      <w:start w:val="1"/>
      <w:numFmt w:val="bullet"/>
      <w:lvlText w:val="o"/>
      <w:lvlJc w:val="left"/>
      <w:pPr>
        <w:ind w:left="-649" w:hanging="360"/>
      </w:pPr>
      <w:rPr>
        <w:rFonts w:ascii="Courier New" w:hAnsi="Courier New" w:cs="Courier New" w:hint="default"/>
      </w:rPr>
    </w:lvl>
    <w:lvl w:ilvl="2" w:tplc="0C090005" w:tentative="1">
      <w:start w:val="1"/>
      <w:numFmt w:val="bullet"/>
      <w:lvlText w:val=""/>
      <w:lvlJc w:val="left"/>
      <w:pPr>
        <w:ind w:left="71" w:hanging="360"/>
      </w:pPr>
      <w:rPr>
        <w:rFonts w:ascii="Wingdings" w:hAnsi="Wingdings" w:hint="default"/>
      </w:rPr>
    </w:lvl>
    <w:lvl w:ilvl="3" w:tplc="0C090001" w:tentative="1">
      <w:start w:val="1"/>
      <w:numFmt w:val="bullet"/>
      <w:lvlText w:val=""/>
      <w:lvlJc w:val="left"/>
      <w:pPr>
        <w:ind w:left="791" w:hanging="360"/>
      </w:pPr>
      <w:rPr>
        <w:rFonts w:ascii="Symbol" w:hAnsi="Symbol" w:hint="default"/>
      </w:rPr>
    </w:lvl>
    <w:lvl w:ilvl="4" w:tplc="0C090003" w:tentative="1">
      <w:start w:val="1"/>
      <w:numFmt w:val="bullet"/>
      <w:lvlText w:val="o"/>
      <w:lvlJc w:val="left"/>
      <w:pPr>
        <w:ind w:left="1511" w:hanging="360"/>
      </w:pPr>
      <w:rPr>
        <w:rFonts w:ascii="Courier New" w:hAnsi="Courier New" w:cs="Courier New" w:hint="default"/>
      </w:rPr>
    </w:lvl>
    <w:lvl w:ilvl="5" w:tplc="0C090005" w:tentative="1">
      <w:start w:val="1"/>
      <w:numFmt w:val="bullet"/>
      <w:lvlText w:val=""/>
      <w:lvlJc w:val="left"/>
      <w:pPr>
        <w:ind w:left="2231" w:hanging="360"/>
      </w:pPr>
      <w:rPr>
        <w:rFonts w:ascii="Wingdings" w:hAnsi="Wingdings" w:hint="default"/>
      </w:rPr>
    </w:lvl>
    <w:lvl w:ilvl="6" w:tplc="0C090001" w:tentative="1">
      <w:start w:val="1"/>
      <w:numFmt w:val="bullet"/>
      <w:lvlText w:val=""/>
      <w:lvlJc w:val="left"/>
      <w:pPr>
        <w:ind w:left="2951" w:hanging="360"/>
      </w:pPr>
      <w:rPr>
        <w:rFonts w:ascii="Symbol" w:hAnsi="Symbol" w:hint="default"/>
      </w:rPr>
    </w:lvl>
    <w:lvl w:ilvl="7" w:tplc="0C090003" w:tentative="1">
      <w:start w:val="1"/>
      <w:numFmt w:val="bullet"/>
      <w:lvlText w:val="o"/>
      <w:lvlJc w:val="left"/>
      <w:pPr>
        <w:ind w:left="3671" w:hanging="360"/>
      </w:pPr>
      <w:rPr>
        <w:rFonts w:ascii="Courier New" w:hAnsi="Courier New" w:cs="Courier New" w:hint="default"/>
      </w:rPr>
    </w:lvl>
    <w:lvl w:ilvl="8" w:tplc="0C090005" w:tentative="1">
      <w:start w:val="1"/>
      <w:numFmt w:val="bullet"/>
      <w:lvlText w:val=""/>
      <w:lvlJc w:val="left"/>
      <w:pPr>
        <w:ind w:left="4391" w:hanging="360"/>
      </w:pPr>
      <w:rPr>
        <w:rFonts w:ascii="Wingdings" w:hAnsi="Wingdings" w:hint="default"/>
      </w:rPr>
    </w:lvl>
  </w:abstractNum>
  <w:abstractNum w:abstractNumId="25">
    <w:nsid w:val="377F2F2B"/>
    <w:multiLevelType w:val="hybridMultilevel"/>
    <w:tmpl w:val="5CC6B1B0"/>
    <w:lvl w:ilvl="0" w:tplc="0C090017">
      <w:start w:val="1"/>
      <w:numFmt w:val="lowerLetter"/>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26">
    <w:nsid w:val="3C164AE3"/>
    <w:multiLevelType w:val="hybridMultilevel"/>
    <w:tmpl w:val="131CA03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3E173F6F"/>
    <w:multiLevelType w:val="hybridMultilevel"/>
    <w:tmpl w:val="E9BA0BB0"/>
    <w:lvl w:ilvl="0" w:tplc="0C090017">
      <w:start w:val="1"/>
      <w:numFmt w:val="lowerLetter"/>
      <w:lvlText w:val="%1)"/>
      <w:lvlJc w:val="left"/>
      <w:pPr>
        <w:ind w:left="2145" w:hanging="360"/>
      </w:pPr>
      <w:rPr>
        <w:b w:val="0"/>
      </w:rPr>
    </w:lvl>
    <w:lvl w:ilvl="1" w:tplc="0C090019" w:tentative="1">
      <w:start w:val="1"/>
      <w:numFmt w:val="lowerLetter"/>
      <w:lvlText w:val="%2."/>
      <w:lvlJc w:val="left"/>
      <w:pPr>
        <w:ind w:left="2865" w:hanging="360"/>
      </w:pPr>
    </w:lvl>
    <w:lvl w:ilvl="2" w:tplc="0C09001B" w:tentative="1">
      <w:start w:val="1"/>
      <w:numFmt w:val="lowerRoman"/>
      <w:lvlText w:val="%3."/>
      <w:lvlJc w:val="right"/>
      <w:pPr>
        <w:ind w:left="3585" w:hanging="180"/>
      </w:pPr>
    </w:lvl>
    <w:lvl w:ilvl="3" w:tplc="0C09000F" w:tentative="1">
      <w:start w:val="1"/>
      <w:numFmt w:val="decimal"/>
      <w:lvlText w:val="%4."/>
      <w:lvlJc w:val="left"/>
      <w:pPr>
        <w:ind w:left="4305" w:hanging="360"/>
      </w:pPr>
    </w:lvl>
    <w:lvl w:ilvl="4" w:tplc="0C090019" w:tentative="1">
      <w:start w:val="1"/>
      <w:numFmt w:val="lowerLetter"/>
      <w:lvlText w:val="%5."/>
      <w:lvlJc w:val="left"/>
      <w:pPr>
        <w:ind w:left="5025" w:hanging="360"/>
      </w:pPr>
    </w:lvl>
    <w:lvl w:ilvl="5" w:tplc="0C09001B" w:tentative="1">
      <w:start w:val="1"/>
      <w:numFmt w:val="lowerRoman"/>
      <w:lvlText w:val="%6."/>
      <w:lvlJc w:val="right"/>
      <w:pPr>
        <w:ind w:left="5745" w:hanging="180"/>
      </w:pPr>
    </w:lvl>
    <w:lvl w:ilvl="6" w:tplc="0C09000F" w:tentative="1">
      <w:start w:val="1"/>
      <w:numFmt w:val="decimal"/>
      <w:lvlText w:val="%7."/>
      <w:lvlJc w:val="left"/>
      <w:pPr>
        <w:ind w:left="6465" w:hanging="360"/>
      </w:pPr>
    </w:lvl>
    <w:lvl w:ilvl="7" w:tplc="0C090019" w:tentative="1">
      <w:start w:val="1"/>
      <w:numFmt w:val="lowerLetter"/>
      <w:lvlText w:val="%8."/>
      <w:lvlJc w:val="left"/>
      <w:pPr>
        <w:ind w:left="7185" w:hanging="360"/>
      </w:pPr>
    </w:lvl>
    <w:lvl w:ilvl="8" w:tplc="0C09001B" w:tentative="1">
      <w:start w:val="1"/>
      <w:numFmt w:val="lowerRoman"/>
      <w:lvlText w:val="%9."/>
      <w:lvlJc w:val="right"/>
      <w:pPr>
        <w:ind w:left="7905" w:hanging="180"/>
      </w:pPr>
    </w:lvl>
  </w:abstractNum>
  <w:abstractNum w:abstractNumId="28">
    <w:nsid w:val="3F777C06"/>
    <w:multiLevelType w:val="hybridMultilevel"/>
    <w:tmpl w:val="3CE0BD2A"/>
    <w:lvl w:ilvl="0" w:tplc="A0FAFF6E">
      <w:start w:val="1"/>
      <w:numFmt w:val="lowerLetter"/>
      <w:lvlText w:val="(%1)"/>
      <w:lvlJc w:val="left"/>
      <w:pPr>
        <w:ind w:left="717" w:hanging="360"/>
      </w:pPr>
      <w:rPr>
        <w:rFonts w:hint="default"/>
        <w:b w:val="0"/>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9">
    <w:nsid w:val="432E700A"/>
    <w:multiLevelType w:val="hybridMultilevel"/>
    <w:tmpl w:val="E38C1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3497E8B"/>
    <w:multiLevelType w:val="hybridMultilevel"/>
    <w:tmpl w:val="3A1805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447C0423"/>
    <w:multiLevelType w:val="hybridMultilevel"/>
    <w:tmpl w:val="D05854FE"/>
    <w:lvl w:ilvl="0" w:tplc="F5F09BB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5504F79"/>
    <w:multiLevelType w:val="hybridMultilevel"/>
    <w:tmpl w:val="54C09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5A92069"/>
    <w:multiLevelType w:val="hybridMultilevel"/>
    <w:tmpl w:val="27E84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5B73E64"/>
    <w:multiLevelType w:val="hybridMultilevel"/>
    <w:tmpl w:val="91D28FC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7183820"/>
    <w:multiLevelType w:val="hybridMultilevel"/>
    <w:tmpl w:val="B57AB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A55604D"/>
    <w:multiLevelType w:val="hybridMultilevel"/>
    <w:tmpl w:val="C4CC3FE2"/>
    <w:lvl w:ilvl="0" w:tplc="8A8451F4">
      <w:start w:val="2"/>
      <w:numFmt w:val="decimal"/>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7">
    <w:nsid w:val="4AB01626"/>
    <w:multiLevelType w:val="hybridMultilevel"/>
    <w:tmpl w:val="51A6D3E0"/>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51C948EF"/>
    <w:multiLevelType w:val="hybridMultilevel"/>
    <w:tmpl w:val="DCAA00C6"/>
    <w:lvl w:ilvl="0" w:tplc="1DBE4884">
      <w:start w:val="1"/>
      <w:numFmt w:val="lowerRoman"/>
      <w:lvlText w:val="%1."/>
      <w:lvlJc w:val="righ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54FA51C7"/>
    <w:multiLevelType w:val="hybridMultilevel"/>
    <w:tmpl w:val="A42E20B0"/>
    <w:lvl w:ilvl="0" w:tplc="8A8451F4">
      <w:start w:val="2"/>
      <w:numFmt w:val="decimal"/>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40">
    <w:nsid w:val="5C031C94"/>
    <w:multiLevelType w:val="hybridMultilevel"/>
    <w:tmpl w:val="4170AFF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0945F63"/>
    <w:multiLevelType w:val="multilevel"/>
    <w:tmpl w:val="3FB8C79C"/>
    <w:lvl w:ilvl="0">
      <w:start w:val="1"/>
      <w:numFmt w:val="bullet"/>
      <w:lvlText w:val=""/>
      <w:lvlJc w:val="left"/>
      <w:pPr>
        <w:ind w:left="369" w:hanging="369"/>
      </w:pPr>
      <w:rPr>
        <w:rFonts w:ascii="Symbol" w:hAnsi="Symbol" w:hint="default"/>
        <w:sz w:val="22"/>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42">
    <w:nsid w:val="613A3AA0"/>
    <w:multiLevelType w:val="hybridMultilevel"/>
    <w:tmpl w:val="3A1805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63AE5FF1"/>
    <w:multiLevelType w:val="hybridMultilevel"/>
    <w:tmpl w:val="315AB894"/>
    <w:lvl w:ilvl="0" w:tplc="9CECB47A">
      <w:start w:val="1"/>
      <w:numFmt w:val="lowerLetter"/>
      <w:lvlText w:val="(%1)"/>
      <w:lvlJc w:val="left"/>
      <w:pPr>
        <w:ind w:left="717" w:hanging="360"/>
      </w:pPr>
      <w:rPr>
        <w:rFonts w:hint="default"/>
        <w:b w:val="0"/>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4">
    <w:nsid w:val="65BD61C7"/>
    <w:multiLevelType w:val="hybridMultilevel"/>
    <w:tmpl w:val="4F5CD6D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70D3650"/>
    <w:multiLevelType w:val="hybridMultilevel"/>
    <w:tmpl w:val="929E2A6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6A161E8F"/>
    <w:multiLevelType w:val="hybridMultilevel"/>
    <w:tmpl w:val="F4C25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A1B52B6"/>
    <w:multiLevelType w:val="hybridMultilevel"/>
    <w:tmpl w:val="90023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A9362A2"/>
    <w:multiLevelType w:val="hybridMultilevel"/>
    <w:tmpl w:val="C382D0B6"/>
    <w:lvl w:ilvl="0" w:tplc="5FC435FA">
      <w:start w:val="29"/>
      <w:numFmt w:val="decimal"/>
      <w:lvlText w:val="%1."/>
      <w:lvlJc w:val="left"/>
      <w:pPr>
        <w:ind w:left="360" w:hanging="360"/>
      </w:pPr>
      <w:rPr>
        <w:rFonts w:hint="default"/>
        <w:b w:val="0"/>
        <w:i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6E004931"/>
    <w:multiLevelType w:val="hybridMultilevel"/>
    <w:tmpl w:val="4B3A4BAE"/>
    <w:lvl w:ilvl="0" w:tplc="C714E5CE">
      <w:start w:val="1"/>
      <w:numFmt w:val="lowerLetter"/>
      <w:lvlText w:val="(%1)"/>
      <w:lvlJc w:val="left"/>
      <w:pPr>
        <w:ind w:left="717" w:hanging="360"/>
      </w:pPr>
      <w:rPr>
        <w:rFonts w:hint="default"/>
        <w:b w:val="0"/>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0">
    <w:nsid w:val="6F4D3254"/>
    <w:multiLevelType w:val="hybridMultilevel"/>
    <w:tmpl w:val="F3C0CC6C"/>
    <w:lvl w:ilvl="0" w:tplc="0AF6DD5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374744A"/>
    <w:multiLevelType w:val="hybridMultilevel"/>
    <w:tmpl w:val="02000C7A"/>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nsid w:val="75AB69D9"/>
    <w:multiLevelType w:val="hybridMultilevel"/>
    <w:tmpl w:val="06FA0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8"/>
  </w:num>
  <w:num w:numId="2">
    <w:abstractNumId w:val="6"/>
  </w:num>
  <w:num w:numId="3">
    <w:abstractNumId w:val="23"/>
  </w:num>
  <w:num w:numId="4">
    <w:abstractNumId w:val="0"/>
  </w:num>
  <w:num w:numId="5">
    <w:abstractNumId w:val="46"/>
  </w:num>
  <w:num w:numId="6">
    <w:abstractNumId w:val="24"/>
  </w:num>
  <w:num w:numId="7">
    <w:abstractNumId w:val="47"/>
  </w:num>
  <w:num w:numId="8">
    <w:abstractNumId w:val="2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2"/>
  </w:num>
  <w:num w:numId="12">
    <w:abstractNumId w:val="8"/>
  </w:num>
  <w:num w:numId="13">
    <w:abstractNumId w:val="33"/>
  </w:num>
  <w:num w:numId="14">
    <w:abstractNumId w:val="1"/>
  </w:num>
  <w:num w:numId="15">
    <w:abstractNumId w:val="13"/>
  </w:num>
  <w:num w:numId="16">
    <w:abstractNumId w:val="20"/>
  </w:num>
  <w:num w:numId="17">
    <w:abstractNumId w:val="8"/>
  </w:num>
  <w:num w:numId="18">
    <w:abstractNumId w:val="40"/>
    <w:lvlOverride w:ilvl="0">
      <w:startOverride w:val="1"/>
    </w:lvlOverride>
    <w:lvlOverride w:ilvl="1"/>
    <w:lvlOverride w:ilvl="2"/>
    <w:lvlOverride w:ilvl="3"/>
    <w:lvlOverride w:ilvl="4"/>
    <w:lvlOverride w:ilvl="5"/>
    <w:lvlOverride w:ilvl="6"/>
    <w:lvlOverride w:ilvl="7"/>
    <w:lvlOverride w:ilvl="8"/>
  </w:num>
  <w:num w:numId="19">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num>
  <w:num w:numId="21">
    <w:abstractNumId w:val="14"/>
  </w:num>
  <w:num w:numId="22">
    <w:abstractNumId w:val="35"/>
  </w:num>
  <w:num w:numId="23">
    <w:abstractNumId w:val="2"/>
  </w:num>
  <w:num w:numId="24">
    <w:abstractNumId w:val="18"/>
  </w:num>
  <w:num w:numId="25">
    <w:abstractNumId w:val="12"/>
  </w:num>
  <w:num w:numId="26">
    <w:abstractNumId w:val="31"/>
  </w:num>
  <w:num w:numId="27">
    <w:abstractNumId w:val="30"/>
  </w:num>
  <w:num w:numId="28">
    <w:abstractNumId w:val="3"/>
  </w:num>
  <w:num w:numId="29">
    <w:abstractNumId w:val="42"/>
  </w:num>
  <w:num w:numId="30">
    <w:abstractNumId w:val="52"/>
  </w:num>
  <w:num w:numId="31">
    <w:abstractNumId w:val="26"/>
  </w:num>
  <w:num w:numId="32">
    <w:abstractNumId w:val="16"/>
  </w:num>
  <w:num w:numId="33">
    <w:abstractNumId w:val="51"/>
  </w:num>
  <w:num w:numId="34">
    <w:abstractNumId w:val="45"/>
  </w:num>
  <w:num w:numId="35">
    <w:abstractNumId w:val="17"/>
  </w:num>
  <w:num w:numId="36">
    <w:abstractNumId w:val="15"/>
  </w:num>
  <w:num w:numId="37">
    <w:abstractNumId w:val="4"/>
  </w:num>
  <w:num w:numId="38">
    <w:abstractNumId w:val="34"/>
  </w:num>
  <w:num w:numId="39">
    <w:abstractNumId w:val="21"/>
  </w:num>
  <w:num w:numId="40">
    <w:abstractNumId w:val="22"/>
  </w:num>
  <w:num w:numId="41">
    <w:abstractNumId w:val="9"/>
  </w:num>
  <w:num w:numId="42">
    <w:abstractNumId w:val="37"/>
  </w:num>
  <w:num w:numId="43">
    <w:abstractNumId w:val="36"/>
  </w:num>
  <w:num w:numId="44">
    <w:abstractNumId w:val="39"/>
  </w:num>
  <w:num w:numId="45">
    <w:abstractNumId w:val="48"/>
  </w:num>
  <w:num w:numId="46">
    <w:abstractNumId w:val="25"/>
  </w:num>
  <w:num w:numId="47">
    <w:abstractNumId w:val="43"/>
  </w:num>
  <w:num w:numId="48">
    <w:abstractNumId w:val="7"/>
  </w:num>
  <w:num w:numId="49">
    <w:abstractNumId w:val="49"/>
  </w:num>
  <w:num w:numId="50">
    <w:abstractNumId w:val="10"/>
  </w:num>
  <w:num w:numId="51">
    <w:abstractNumId w:val="5"/>
  </w:num>
  <w:num w:numId="52">
    <w:abstractNumId w:val="28"/>
  </w:num>
  <w:num w:numId="53">
    <w:abstractNumId w:val="44"/>
  </w:num>
  <w:num w:numId="54">
    <w:abstractNumId w:val="19"/>
  </w:num>
  <w:num w:numId="55">
    <w:abstractNumId w:val="48"/>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4033"/>
  </w:hdrShapeDefaults>
  <w:footnotePr>
    <w:footnote w:id="-1"/>
    <w:footnote w:id="0"/>
  </w:footnotePr>
  <w:endnotePr>
    <w:numFmt w:val="decimal"/>
    <w:endnote w:id="-1"/>
    <w:endnote w:id="0"/>
  </w:endnotePr>
  <w:compat/>
  <w:docVars>
    <w:docVar w:name="dgnword-docGUID" w:val="{E8FB8711-A23A-41F0-BBF1-F3B05D40B2FC}"/>
    <w:docVar w:name="dgnword-eventsink" w:val="6909920"/>
  </w:docVars>
  <w:rsids>
    <w:rsidRoot w:val="00DB30C5"/>
    <w:rsid w:val="00003B06"/>
    <w:rsid w:val="00003E12"/>
    <w:rsid w:val="00005959"/>
    <w:rsid w:val="000062DC"/>
    <w:rsid w:val="00012A8D"/>
    <w:rsid w:val="0001354D"/>
    <w:rsid w:val="00013DAE"/>
    <w:rsid w:val="00016405"/>
    <w:rsid w:val="00016C54"/>
    <w:rsid w:val="00020539"/>
    <w:rsid w:val="00021ACA"/>
    <w:rsid w:val="000223B3"/>
    <w:rsid w:val="0002375F"/>
    <w:rsid w:val="00025192"/>
    <w:rsid w:val="00025DF9"/>
    <w:rsid w:val="0003072C"/>
    <w:rsid w:val="0003108A"/>
    <w:rsid w:val="00032ABE"/>
    <w:rsid w:val="00035430"/>
    <w:rsid w:val="00036188"/>
    <w:rsid w:val="00037225"/>
    <w:rsid w:val="00037A42"/>
    <w:rsid w:val="000401DE"/>
    <w:rsid w:val="000409A2"/>
    <w:rsid w:val="00042A9F"/>
    <w:rsid w:val="00046A90"/>
    <w:rsid w:val="00047AFD"/>
    <w:rsid w:val="000501CA"/>
    <w:rsid w:val="00050EC8"/>
    <w:rsid w:val="00053D3F"/>
    <w:rsid w:val="00061DCA"/>
    <w:rsid w:val="000625CF"/>
    <w:rsid w:val="0006391B"/>
    <w:rsid w:val="00063D50"/>
    <w:rsid w:val="000646D7"/>
    <w:rsid w:val="000716EB"/>
    <w:rsid w:val="00072640"/>
    <w:rsid w:val="000747B5"/>
    <w:rsid w:val="00075353"/>
    <w:rsid w:val="000765B0"/>
    <w:rsid w:val="000770BF"/>
    <w:rsid w:val="00077BD8"/>
    <w:rsid w:val="00087660"/>
    <w:rsid w:val="00094CD0"/>
    <w:rsid w:val="000A189A"/>
    <w:rsid w:val="000A339D"/>
    <w:rsid w:val="000B3543"/>
    <w:rsid w:val="000B5CD7"/>
    <w:rsid w:val="000B6717"/>
    <w:rsid w:val="000C1741"/>
    <w:rsid w:val="000C259E"/>
    <w:rsid w:val="000C46E9"/>
    <w:rsid w:val="000C7733"/>
    <w:rsid w:val="000D0DC4"/>
    <w:rsid w:val="000D1881"/>
    <w:rsid w:val="000D20CA"/>
    <w:rsid w:val="000E0BA9"/>
    <w:rsid w:val="000E2F3E"/>
    <w:rsid w:val="000E3890"/>
    <w:rsid w:val="000E5127"/>
    <w:rsid w:val="000E52CE"/>
    <w:rsid w:val="000E6457"/>
    <w:rsid w:val="000E6768"/>
    <w:rsid w:val="000F1AFB"/>
    <w:rsid w:val="000F5416"/>
    <w:rsid w:val="000F62EB"/>
    <w:rsid w:val="000F742B"/>
    <w:rsid w:val="000F7E34"/>
    <w:rsid w:val="001055C3"/>
    <w:rsid w:val="0010699E"/>
    <w:rsid w:val="00111D29"/>
    <w:rsid w:val="001125C0"/>
    <w:rsid w:val="0011475D"/>
    <w:rsid w:val="001153B8"/>
    <w:rsid w:val="00115D2E"/>
    <w:rsid w:val="001214DA"/>
    <w:rsid w:val="001228C1"/>
    <w:rsid w:val="0012353C"/>
    <w:rsid w:val="00123AD8"/>
    <w:rsid w:val="0012432E"/>
    <w:rsid w:val="00125D23"/>
    <w:rsid w:val="00135B6F"/>
    <w:rsid w:val="001420BA"/>
    <w:rsid w:val="00143059"/>
    <w:rsid w:val="00144CC9"/>
    <w:rsid w:val="0014510D"/>
    <w:rsid w:val="00145EFE"/>
    <w:rsid w:val="00151B49"/>
    <w:rsid w:val="00155671"/>
    <w:rsid w:val="0015631E"/>
    <w:rsid w:val="00166413"/>
    <w:rsid w:val="00170B3F"/>
    <w:rsid w:val="00174EA7"/>
    <w:rsid w:val="001753FD"/>
    <w:rsid w:val="00186DB1"/>
    <w:rsid w:val="00187CFC"/>
    <w:rsid w:val="001950B5"/>
    <w:rsid w:val="001954A2"/>
    <w:rsid w:val="0019721E"/>
    <w:rsid w:val="00197A4F"/>
    <w:rsid w:val="001B0D45"/>
    <w:rsid w:val="001B3F47"/>
    <w:rsid w:val="001B578E"/>
    <w:rsid w:val="001B60C1"/>
    <w:rsid w:val="001B6C2B"/>
    <w:rsid w:val="001C3D39"/>
    <w:rsid w:val="001C50B7"/>
    <w:rsid w:val="001C6B3F"/>
    <w:rsid w:val="001C6F20"/>
    <w:rsid w:val="001D0A2B"/>
    <w:rsid w:val="001D0F2C"/>
    <w:rsid w:val="001D1750"/>
    <w:rsid w:val="001D4938"/>
    <w:rsid w:val="001E2625"/>
    <w:rsid w:val="001E71B1"/>
    <w:rsid w:val="001E7626"/>
    <w:rsid w:val="001F1C5E"/>
    <w:rsid w:val="001F1DF2"/>
    <w:rsid w:val="001F2D5C"/>
    <w:rsid w:val="001F439F"/>
    <w:rsid w:val="001F4C03"/>
    <w:rsid w:val="002010B5"/>
    <w:rsid w:val="00203BDB"/>
    <w:rsid w:val="00203F6E"/>
    <w:rsid w:val="00210040"/>
    <w:rsid w:val="00210B33"/>
    <w:rsid w:val="00212687"/>
    <w:rsid w:val="00216279"/>
    <w:rsid w:val="00217F55"/>
    <w:rsid w:val="00222F2E"/>
    <w:rsid w:val="00224AFA"/>
    <w:rsid w:val="00233499"/>
    <w:rsid w:val="00237E5E"/>
    <w:rsid w:val="00237ED9"/>
    <w:rsid w:val="00240E9D"/>
    <w:rsid w:val="00254767"/>
    <w:rsid w:val="002558DF"/>
    <w:rsid w:val="002559B0"/>
    <w:rsid w:val="00256EE4"/>
    <w:rsid w:val="00257D71"/>
    <w:rsid w:val="00261866"/>
    <w:rsid w:val="002625A0"/>
    <w:rsid w:val="00265929"/>
    <w:rsid w:val="00265F6C"/>
    <w:rsid w:val="0027192E"/>
    <w:rsid w:val="00272E64"/>
    <w:rsid w:val="00272E65"/>
    <w:rsid w:val="00273CA9"/>
    <w:rsid w:val="00281EB8"/>
    <w:rsid w:val="002822E7"/>
    <w:rsid w:val="00293C27"/>
    <w:rsid w:val="00293D1E"/>
    <w:rsid w:val="002946CE"/>
    <w:rsid w:val="00296EA6"/>
    <w:rsid w:val="00297201"/>
    <w:rsid w:val="00297F13"/>
    <w:rsid w:val="002A1AF3"/>
    <w:rsid w:val="002A2214"/>
    <w:rsid w:val="002A370A"/>
    <w:rsid w:val="002A3921"/>
    <w:rsid w:val="002A4B80"/>
    <w:rsid w:val="002B1EB4"/>
    <w:rsid w:val="002B37CD"/>
    <w:rsid w:val="002B7021"/>
    <w:rsid w:val="002C4B72"/>
    <w:rsid w:val="002C604C"/>
    <w:rsid w:val="002D0B88"/>
    <w:rsid w:val="002D106C"/>
    <w:rsid w:val="002D1E5C"/>
    <w:rsid w:val="002D72A2"/>
    <w:rsid w:val="002D7F0F"/>
    <w:rsid w:val="002E0AB2"/>
    <w:rsid w:val="002E0B6D"/>
    <w:rsid w:val="002E3F39"/>
    <w:rsid w:val="002F00F1"/>
    <w:rsid w:val="002F0570"/>
    <w:rsid w:val="002F0767"/>
    <w:rsid w:val="002F2577"/>
    <w:rsid w:val="002F4E41"/>
    <w:rsid w:val="0030119B"/>
    <w:rsid w:val="003102D4"/>
    <w:rsid w:val="00313FDF"/>
    <w:rsid w:val="003145B7"/>
    <w:rsid w:val="00315FEF"/>
    <w:rsid w:val="00316BD0"/>
    <w:rsid w:val="003178B5"/>
    <w:rsid w:val="003213B2"/>
    <w:rsid w:val="003216CD"/>
    <w:rsid w:val="003235B4"/>
    <w:rsid w:val="003247EE"/>
    <w:rsid w:val="0033051D"/>
    <w:rsid w:val="003324A9"/>
    <w:rsid w:val="003359E5"/>
    <w:rsid w:val="00335B13"/>
    <w:rsid w:val="00335F39"/>
    <w:rsid w:val="00337F48"/>
    <w:rsid w:val="00341D1D"/>
    <w:rsid w:val="00341ED6"/>
    <w:rsid w:val="00351A63"/>
    <w:rsid w:val="00352F80"/>
    <w:rsid w:val="003567DB"/>
    <w:rsid w:val="0036396D"/>
    <w:rsid w:val="00366152"/>
    <w:rsid w:val="003676FD"/>
    <w:rsid w:val="0037211E"/>
    <w:rsid w:val="00373445"/>
    <w:rsid w:val="00380B0B"/>
    <w:rsid w:val="00381494"/>
    <w:rsid w:val="00386988"/>
    <w:rsid w:val="003A21E8"/>
    <w:rsid w:val="003A2851"/>
    <w:rsid w:val="003A4217"/>
    <w:rsid w:val="003A5356"/>
    <w:rsid w:val="003A5440"/>
    <w:rsid w:val="003A63CA"/>
    <w:rsid w:val="003B49C5"/>
    <w:rsid w:val="003B4E01"/>
    <w:rsid w:val="003C1AD4"/>
    <w:rsid w:val="003C553B"/>
    <w:rsid w:val="003D040D"/>
    <w:rsid w:val="003D08E0"/>
    <w:rsid w:val="003D18B7"/>
    <w:rsid w:val="003D2C45"/>
    <w:rsid w:val="003D742D"/>
    <w:rsid w:val="003D765E"/>
    <w:rsid w:val="003E03AA"/>
    <w:rsid w:val="003E2B64"/>
    <w:rsid w:val="003E54DC"/>
    <w:rsid w:val="003F0C24"/>
    <w:rsid w:val="003F172F"/>
    <w:rsid w:val="003F730D"/>
    <w:rsid w:val="00403EB2"/>
    <w:rsid w:val="0040561C"/>
    <w:rsid w:val="00406335"/>
    <w:rsid w:val="00407F91"/>
    <w:rsid w:val="0041452F"/>
    <w:rsid w:val="00414FD2"/>
    <w:rsid w:val="00415258"/>
    <w:rsid w:val="00417313"/>
    <w:rsid w:val="0042016C"/>
    <w:rsid w:val="00422C13"/>
    <w:rsid w:val="004257F6"/>
    <w:rsid w:val="004263CB"/>
    <w:rsid w:val="00432F1F"/>
    <w:rsid w:val="004345D6"/>
    <w:rsid w:val="0044036C"/>
    <w:rsid w:val="004431EC"/>
    <w:rsid w:val="00443571"/>
    <w:rsid w:val="004459D8"/>
    <w:rsid w:val="00445BF2"/>
    <w:rsid w:val="004467EC"/>
    <w:rsid w:val="00450C77"/>
    <w:rsid w:val="00451927"/>
    <w:rsid w:val="00453A44"/>
    <w:rsid w:val="00454C16"/>
    <w:rsid w:val="004553D1"/>
    <w:rsid w:val="00456190"/>
    <w:rsid w:val="004606BD"/>
    <w:rsid w:val="0046198D"/>
    <w:rsid w:val="00472A30"/>
    <w:rsid w:val="004744BC"/>
    <w:rsid w:val="00475930"/>
    <w:rsid w:val="00483584"/>
    <w:rsid w:val="00485D06"/>
    <w:rsid w:val="00490AD9"/>
    <w:rsid w:val="0049127B"/>
    <w:rsid w:val="00492CFF"/>
    <w:rsid w:val="00495CC3"/>
    <w:rsid w:val="004A4151"/>
    <w:rsid w:val="004A6DE0"/>
    <w:rsid w:val="004A7A27"/>
    <w:rsid w:val="004A7B60"/>
    <w:rsid w:val="004B0B57"/>
    <w:rsid w:val="004B0B8C"/>
    <w:rsid w:val="004B17F6"/>
    <w:rsid w:val="004B513E"/>
    <w:rsid w:val="004B6EE5"/>
    <w:rsid w:val="004C7620"/>
    <w:rsid w:val="004D397B"/>
    <w:rsid w:val="004D4A2A"/>
    <w:rsid w:val="004D59D2"/>
    <w:rsid w:val="004E1F99"/>
    <w:rsid w:val="004E23B2"/>
    <w:rsid w:val="004E440E"/>
    <w:rsid w:val="004E6367"/>
    <w:rsid w:val="004E69C0"/>
    <w:rsid w:val="004E7273"/>
    <w:rsid w:val="004F0A1A"/>
    <w:rsid w:val="004F13D0"/>
    <w:rsid w:val="004F1861"/>
    <w:rsid w:val="004F3116"/>
    <w:rsid w:val="004F38D3"/>
    <w:rsid w:val="004F39D3"/>
    <w:rsid w:val="004F5743"/>
    <w:rsid w:val="00501350"/>
    <w:rsid w:val="00503449"/>
    <w:rsid w:val="00503DA9"/>
    <w:rsid w:val="00505FA9"/>
    <w:rsid w:val="00506C34"/>
    <w:rsid w:val="00510571"/>
    <w:rsid w:val="00513C2A"/>
    <w:rsid w:val="00513E84"/>
    <w:rsid w:val="00515D1D"/>
    <w:rsid w:val="00520E90"/>
    <w:rsid w:val="00521286"/>
    <w:rsid w:val="00524051"/>
    <w:rsid w:val="005242CA"/>
    <w:rsid w:val="0052445B"/>
    <w:rsid w:val="005309FE"/>
    <w:rsid w:val="00536579"/>
    <w:rsid w:val="00540D39"/>
    <w:rsid w:val="00541599"/>
    <w:rsid w:val="0054391F"/>
    <w:rsid w:val="00543B21"/>
    <w:rsid w:val="00544776"/>
    <w:rsid w:val="00545B7D"/>
    <w:rsid w:val="005478FF"/>
    <w:rsid w:val="00547C61"/>
    <w:rsid w:val="00551748"/>
    <w:rsid w:val="00552AAA"/>
    <w:rsid w:val="00553A16"/>
    <w:rsid w:val="00562FEF"/>
    <w:rsid w:val="00565FF8"/>
    <w:rsid w:val="00566E00"/>
    <w:rsid w:val="00574FBD"/>
    <w:rsid w:val="00576E30"/>
    <w:rsid w:val="00577DF3"/>
    <w:rsid w:val="0058016B"/>
    <w:rsid w:val="00582B9B"/>
    <w:rsid w:val="00587A0A"/>
    <w:rsid w:val="00590286"/>
    <w:rsid w:val="00591881"/>
    <w:rsid w:val="00594475"/>
    <w:rsid w:val="00594BF6"/>
    <w:rsid w:val="00595C06"/>
    <w:rsid w:val="00595E90"/>
    <w:rsid w:val="0059786E"/>
    <w:rsid w:val="005A2112"/>
    <w:rsid w:val="005A4661"/>
    <w:rsid w:val="005A615C"/>
    <w:rsid w:val="005B024C"/>
    <w:rsid w:val="005B212C"/>
    <w:rsid w:val="005B2EAF"/>
    <w:rsid w:val="005B61F6"/>
    <w:rsid w:val="005B74F1"/>
    <w:rsid w:val="005C01EF"/>
    <w:rsid w:val="005C0A4C"/>
    <w:rsid w:val="005C12A2"/>
    <w:rsid w:val="005C1F5F"/>
    <w:rsid w:val="005C5CB9"/>
    <w:rsid w:val="005C6542"/>
    <w:rsid w:val="005D028A"/>
    <w:rsid w:val="005D0C5C"/>
    <w:rsid w:val="005D18FE"/>
    <w:rsid w:val="005D48A1"/>
    <w:rsid w:val="005D52E0"/>
    <w:rsid w:val="006031C6"/>
    <w:rsid w:val="006054D1"/>
    <w:rsid w:val="00607B65"/>
    <w:rsid w:val="00610DDC"/>
    <w:rsid w:val="00613EA3"/>
    <w:rsid w:val="00620872"/>
    <w:rsid w:val="00621A23"/>
    <w:rsid w:val="0062434D"/>
    <w:rsid w:val="0062492C"/>
    <w:rsid w:val="0062684F"/>
    <w:rsid w:val="00626C29"/>
    <w:rsid w:val="006300FA"/>
    <w:rsid w:val="006329EF"/>
    <w:rsid w:val="00633682"/>
    <w:rsid w:val="00637F7E"/>
    <w:rsid w:val="006401FC"/>
    <w:rsid w:val="00644CE3"/>
    <w:rsid w:val="00645F1E"/>
    <w:rsid w:val="00646D90"/>
    <w:rsid w:val="00651EFC"/>
    <w:rsid w:val="00654722"/>
    <w:rsid w:val="00654808"/>
    <w:rsid w:val="0066299C"/>
    <w:rsid w:val="00662DD5"/>
    <w:rsid w:val="006630FE"/>
    <w:rsid w:val="006641F4"/>
    <w:rsid w:val="006646CB"/>
    <w:rsid w:val="0066558B"/>
    <w:rsid w:val="00667579"/>
    <w:rsid w:val="00671BBC"/>
    <w:rsid w:val="0067273F"/>
    <w:rsid w:val="00674C5B"/>
    <w:rsid w:val="00690EA5"/>
    <w:rsid w:val="00691F77"/>
    <w:rsid w:val="0069207A"/>
    <w:rsid w:val="0069347B"/>
    <w:rsid w:val="006A258A"/>
    <w:rsid w:val="006A2DAD"/>
    <w:rsid w:val="006A6118"/>
    <w:rsid w:val="006B3B46"/>
    <w:rsid w:val="006B452C"/>
    <w:rsid w:val="006B601E"/>
    <w:rsid w:val="006C1D38"/>
    <w:rsid w:val="006C23FC"/>
    <w:rsid w:val="006C77B3"/>
    <w:rsid w:val="006D7837"/>
    <w:rsid w:val="006E0743"/>
    <w:rsid w:val="006F4FA2"/>
    <w:rsid w:val="006F61F0"/>
    <w:rsid w:val="006F677D"/>
    <w:rsid w:val="006F78AA"/>
    <w:rsid w:val="00700602"/>
    <w:rsid w:val="007021FD"/>
    <w:rsid w:val="00702F9F"/>
    <w:rsid w:val="007056BF"/>
    <w:rsid w:val="0070596C"/>
    <w:rsid w:val="007061B5"/>
    <w:rsid w:val="00707CB8"/>
    <w:rsid w:val="00710998"/>
    <w:rsid w:val="00713079"/>
    <w:rsid w:val="007153B4"/>
    <w:rsid w:val="00715F39"/>
    <w:rsid w:val="00722494"/>
    <w:rsid w:val="007236F3"/>
    <w:rsid w:val="007249F6"/>
    <w:rsid w:val="00725162"/>
    <w:rsid w:val="00725C69"/>
    <w:rsid w:val="007264AF"/>
    <w:rsid w:val="00727B6D"/>
    <w:rsid w:val="00730880"/>
    <w:rsid w:val="00735289"/>
    <w:rsid w:val="00736099"/>
    <w:rsid w:val="00741201"/>
    <w:rsid w:val="00743D2F"/>
    <w:rsid w:val="0074533B"/>
    <w:rsid w:val="00747028"/>
    <w:rsid w:val="00747F48"/>
    <w:rsid w:val="00752DE6"/>
    <w:rsid w:val="00755A86"/>
    <w:rsid w:val="00755AED"/>
    <w:rsid w:val="007642C4"/>
    <w:rsid w:val="00764FC6"/>
    <w:rsid w:val="007703F1"/>
    <w:rsid w:val="0077525B"/>
    <w:rsid w:val="00777424"/>
    <w:rsid w:val="00786288"/>
    <w:rsid w:val="00791563"/>
    <w:rsid w:val="00794AD4"/>
    <w:rsid w:val="007A190C"/>
    <w:rsid w:val="007A4FDA"/>
    <w:rsid w:val="007B0804"/>
    <w:rsid w:val="007B1EB6"/>
    <w:rsid w:val="007B26C3"/>
    <w:rsid w:val="007B3D14"/>
    <w:rsid w:val="007B46C7"/>
    <w:rsid w:val="007B4D47"/>
    <w:rsid w:val="007B7EB4"/>
    <w:rsid w:val="007D1292"/>
    <w:rsid w:val="007D4C86"/>
    <w:rsid w:val="007F213E"/>
    <w:rsid w:val="007F2492"/>
    <w:rsid w:val="007F44C1"/>
    <w:rsid w:val="00805798"/>
    <w:rsid w:val="00805855"/>
    <w:rsid w:val="0080637E"/>
    <w:rsid w:val="008065FC"/>
    <w:rsid w:val="00813CDE"/>
    <w:rsid w:val="00813DAB"/>
    <w:rsid w:val="00814F52"/>
    <w:rsid w:val="008205E5"/>
    <w:rsid w:val="0082289D"/>
    <w:rsid w:val="0082317F"/>
    <w:rsid w:val="0082652D"/>
    <w:rsid w:val="00834B83"/>
    <w:rsid w:val="00841D6B"/>
    <w:rsid w:val="00844C0A"/>
    <w:rsid w:val="00844F2C"/>
    <w:rsid w:val="00844F8D"/>
    <w:rsid w:val="008451E6"/>
    <w:rsid w:val="00847143"/>
    <w:rsid w:val="008476D5"/>
    <w:rsid w:val="00853688"/>
    <w:rsid w:val="00854A8C"/>
    <w:rsid w:val="00860A65"/>
    <w:rsid w:val="00861AA7"/>
    <w:rsid w:val="008626D5"/>
    <w:rsid w:val="008643F5"/>
    <w:rsid w:val="0086489A"/>
    <w:rsid w:val="00870976"/>
    <w:rsid w:val="00872386"/>
    <w:rsid w:val="0087353E"/>
    <w:rsid w:val="00874353"/>
    <w:rsid w:val="0087529A"/>
    <w:rsid w:val="00876298"/>
    <w:rsid w:val="0088052B"/>
    <w:rsid w:val="008826E0"/>
    <w:rsid w:val="008871A1"/>
    <w:rsid w:val="00887B4B"/>
    <w:rsid w:val="00890A23"/>
    <w:rsid w:val="008941DE"/>
    <w:rsid w:val="008A04A8"/>
    <w:rsid w:val="008A241A"/>
    <w:rsid w:val="008A2827"/>
    <w:rsid w:val="008A32A4"/>
    <w:rsid w:val="008A3BB6"/>
    <w:rsid w:val="008A51C2"/>
    <w:rsid w:val="008B2AB5"/>
    <w:rsid w:val="008B33CA"/>
    <w:rsid w:val="008C041A"/>
    <w:rsid w:val="008C1587"/>
    <w:rsid w:val="008C3878"/>
    <w:rsid w:val="008D16BC"/>
    <w:rsid w:val="008D3E1A"/>
    <w:rsid w:val="008D4388"/>
    <w:rsid w:val="008D4B20"/>
    <w:rsid w:val="008D57E5"/>
    <w:rsid w:val="008E5110"/>
    <w:rsid w:val="008E56FA"/>
    <w:rsid w:val="008E798D"/>
    <w:rsid w:val="008F0B41"/>
    <w:rsid w:val="0090001C"/>
    <w:rsid w:val="009006E5"/>
    <w:rsid w:val="009014B8"/>
    <w:rsid w:val="00903A08"/>
    <w:rsid w:val="00904AD1"/>
    <w:rsid w:val="00905829"/>
    <w:rsid w:val="00905EC1"/>
    <w:rsid w:val="009073D5"/>
    <w:rsid w:val="00911B9A"/>
    <w:rsid w:val="009145A9"/>
    <w:rsid w:val="00916523"/>
    <w:rsid w:val="00917CEC"/>
    <w:rsid w:val="00923A15"/>
    <w:rsid w:val="00925A29"/>
    <w:rsid w:val="00931A08"/>
    <w:rsid w:val="00933D8E"/>
    <w:rsid w:val="00935897"/>
    <w:rsid w:val="009361E4"/>
    <w:rsid w:val="009379C3"/>
    <w:rsid w:val="00937B80"/>
    <w:rsid w:val="009413BD"/>
    <w:rsid w:val="0094190B"/>
    <w:rsid w:val="00941AAD"/>
    <w:rsid w:val="00943F4B"/>
    <w:rsid w:val="00947D99"/>
    <w:rsid w:val="0095447A"/>
    <w:rsid w:val="0095752F"/>
    <w:rsid w:val="00963A29"/>
    <w:rsid w:val="00963DB0"/>
    <w:rsid w:val="00963E33"/>
    <w:rsid w:val="009679CD"/>
    <w:rsid w:val="009748B8"/>
    <w:rsid w:val="00976211"/>
    <w:rsid w:val="00984C72"/>
    <w:rsid w:val="00993E83"/>
    <w:rsid w:val="00995C62"/>
    <w:rsid w:val="009960E6"/>
    <w:rsid w:val="009969DD"/>
    <w:rsid w:val="009A1120"/>
    <w:rsid w:val="009A1790"/>
    <w:rsid w:val="009A4ABB"/>
    <w:rsid w:val="009A6781"/>
    <w:rsid w:val="009B2D0D"/>
    <w:rsid w:val="009B7064"/>
    <w:rsid w:val="009C07B6"/>
    <w:rsid w:val="009C0E20"/>
    <w:rsid w:val="009C47CC"/>
    <w:rsid w:val="009C681D"/>
    <w:rsid w:val="009C6D2A"/>
    <w:rsid w:val="009C768C"/>
    <w:rsid w:val="009D2B04"/>
    <w:rsid w:val="009D2EEE"/>
    <w:rsid w:val="009D75B0"/>
    <w:rsid w:val="009D771E"/>
    <w:rsid w:val="009E1623"/>
    <w:rsid w:val="009E22BC"/>
    <w:rsid w:val="009E317F"/>
    <w:rsid w:val="009E44F6"/>
    <w:rsid w:val="009E55C2"/>
    <w:rsid w:val="009F237F"/>
    <w:rsid w:val="009F3C76"/>
    <w:rsid w:val="009F5383"/>
    <w:rsid w:val="009F7691"/>
    <w:rsid w:val="00A00288"/>
    <w:rsid w:val="00A027F8"/>
    <w:rsid w:val="00A07609"/>
    <w:rsid w:val="00A11E16"/>
    <w:rsid w:val="00A13B16"/>
    <w:rsid w:val="00A17651"/>
    <w:rsid w:val="00A20E97"/>
    <w:rsid w:val="00A24A31"/>
    <w:rsid w:val="00A2688F"/>
    <w:rsid w:val="00A35D56"/>
    <w:rsid w:val="00A367A1"/>
    <w:rsid w:val="00A4131C"/>
    <w:rsid w:val="00A421E4"/>
    <w:rsid w:val="00A424A7"/>
    <w:rsid w:val="00A44C44"/>
    <w:rsid w:val="00A44E49"/>
    <w:rsid w:val="00A45033"/>
    <w:rsid w:val="00A46366"/>
    <w:rsid w:val="00A5740C"/>
    <w:rsid w:val="00A60A3C"/>
    <w:rsid w:val="00A61D75"/>
    <w:rsid w:val="00A63B63"/>
    <w:rsid w:val="00A65A7D"/>
    <w:rsid w:val="00A65EB7"/>
    <w:rsid w:val="00A66DDD"/>
    <w:rsid w:val="00A70BA7"/>
    <w:rsid w:val="00A711BC"/>
    <w:rsid w:val="00A72285"/>
    <w:rsid w:val="00A7381F"/>
    <w:rsid w:val="00A73A89"/>
    <w:rsid w:val="00A74FBA"/>
    <w:rsid w:val="00A7511D"/>
    <w:rsid w:val="00A76746"/>
    <w:rsid w:val="00A76AA2"/>
    <w:rsid w:val="00A76FD7"/>
    <w:rsid w:val="00A811EC"/>
    <w:rsid w:val="00A82127"/>
    <w:rsid w:val="00A825A8"/>
    <w:rsid w:val="00A8394E"/>
    <w:rsid w:val="00A844C6"/>
    <w:rsid w:val="00A844CA"/>
    <w:rsid w:val="00A86D98"/>
    <w:rsid w:val="00A90DC8"/>
    <w:rsid w:val="00A9207A"/>
    <w:rsid w:val="00A925FE"/>
    <w:rsid w:val="00A953B9"/>
    <w:rsid w:val="00A971DC"/>
    <w:rsid w:val="00AA159B"/>
    <w:rsid w:val="00AA2350"/>
    <w:rsid w:val="00AA61E5"/>
    <w:rsid w:val="00AB0E1A"/>
    <w:rsid w:val="00AB1203"/>
    <w:rsid w:val="00AC1C99"/>
    <w:rsid w:val="00AC324F"/>
    <w:rsid w:val="00AC4AC9"/>
    <w:rsid w:val="00AD535F"/>
    <w:rsid w:val="00AD5C31"/>
    <w:rsid w:val="00AD6409"/>
    <w:rsid w:val="00AE0680"/>
    <w:rsid w:val="00AE2625"/>
    <w:rsid w:val="00AF06FA"/>
    <w:rsid w:val="00AF1295"/>
    <w:rsid w:val="00AF24E8"/>
    <w:rsid w:val="00AF5FEB"/>
    <w:rsid w:val="00AF7812"/>
    <w:rsid w:val="00B04262"/>
    <w:rsid w:val="00B06874"/>
    <w:rsid w:val="00B12D0A"/>
    <w:rsid w:val="00B16782"/>
    <w:rsid w:val="00B17F50"/>
    <w:rsid w:val="00B23097"/>
    <w:rsid w:val="00B23CBA"/>
    <w:rsid w:val="00B25EC2"/>
    <w:rsid w:val="00B27B1E"/>
    <w:rsid w:val="00B30A40"/>
    <w:rsid w:val="00B31A9D"/>
    <w:rsid w:val="00B322D3"/>
    <w:rsid w:val="00B41BB1"/>
    <w:rsid w:val="00B44FE7"/>
    <w:rsid w:val="00B455CB"/>
    <w:rsid w:val="00B45936"/>
    <w:rsid w:val="00B45A0D"/>
    <w:rsid w:val="00B45FFA"/>
    <w:rsid w:val="00B47288"/>
    <w:rsid w:val="00B50611"/>
    <w:rsid w:val="00B51433"/>
    <w:rsid w:val="00B53B39"/>
    <w:rsid w:val="00B5494F"/>
    <w:rsid w:val="00B55334"/>
    <w:rsid w:val="00B6186D"/>
    <w:rsid w:val="00B640DE"/>
    <w:rsid w:val="00B6754E"/>
    <w:rsid w:val="00B70C4F"/>
    <w:rsid w:val="00B71259"/>
    <w:rsid w:val="00B715C1"/>
    <w:rsid w:val="00B72E64"/>
    <w:rsid w:val="00B7572E"/>
    <w:rsid w:val="00B77FCB"/>
    <w:rsid w:val="00B814DE"/>
    <w:rsid w:val="00B829AD"/>
    <w:rsid w:val="00B82D11"/>
    <w:rsid w:val="00B83C2B"/>
    <w:rsid w:val="00B8725A"/>
    <w:rsid w:val="00B91807"/>
    <w:rsid w:val="00B92387"/>
    <w:rsid w:val="00BA19BF"/>
    <w:rsid w:val="00BA3566"/>
    <w:rsid w:val="00BA3EDE"/>
    <w:rsid w:val="00BA6DC5"/>
    <w:rsid w:val="00BA700A"/>
    <w:rsid w:val="00BA76AC"/>
    <w:rsid w:val="00BB122E"/>
    <w:rsid w:val="00BB322A"/>
    <w:rsid w:val="00BB3664"/>
    <w:rsid w:val="00BB4463"/>
    <w:rsid w:val="00BB4FA3"/>
    <w:rsid w:val="00BB7A8F"/>
    <w:rsid w:val="00BC0D02"/>
    <w:rsid w:val="00BC58F6"/>
    <w:rsid w:val="00BD0E98"/>
    <w:rsid w:val="00BE218E"/>
    <w:rsid w:val="00BE6F5B"/>
    <w:rsid w:val="00BF5601"/>
    <w:rsid w:val="00BF73AB"/>
    <w:rsid w:val="00C0016A"/>
    <w:rsid w:val="00C07720"/>
    <w:rsid w:val="00C1269F"/>
    <w:rsid w:val="00C14AE7"/>
    <w:rsid w:val="00C166FE"/>
    <w:rsid w:val="00C1714D"/>
    <w:rsid w:val="00C21647"/>
    <w:rsid w:val="00C2216D"/>
    <w:rsid w:val="00C237B5"/>
    <w:rsid w:val="00C24911"/>
    <w:rsid w:val="00C26150"/>
    <w:rsid w:val="00C26460"/>
    <w:rsid w:val="00C2714B"/>
    <w:rsid w:val="00C40027"/>
    <w:rsid w:val="00C401DB"/>
    <w:rsid w:val="00C4391A"/>
    <w:rsid w:val="00C444B3"/>
    <w:rsid w:val="00C44C87"/>
    <w:rsid w:val="00C5265D"/>
    <w:rsid w:val="00C56040"/>
    <w:rsid w:val="00C61829"/>
    <w:rsid w:val="00C62024"/>
    <w:rsid w:val="00C649A9"/>
    <w:rsid w:val="00C65660"/>
    <w:rsid w:val="00C65B3D"/>
    <w:rsid w:val="00C67C1D"/>
    <w:rsid w:val="00C75D15"/>
    <w:rsid w:val="00C80A6E"/>
    <w:rsid w:val="00C86012"/>
    <w:rsid w:val="00C86E83"/>
    <w:rsid w:val="00C875C4"/>
    <w:rsid w:val="00C90734"/>
    <w:rsid w:val="00C90799"/>
    <w:rsid w:val="00C97FA1"/>
    <w:rsid w:val="00CA16EF"/>
    <w:rsid w:val="00CA2311"/>
    <w:rsid w:val="00CA2F88"/>
    <w:rsid w:val="00CA3237"/>
    <w:rsid w:val="00CA5A0E"/>
    <w:rsid w:val="00CA7F23"/>
    <w:rsid w:val="00CB0800"/>
    <w:rsid w:val="00CB1978"/>
    <w:rsid w:val="00CB2D34"/>
    <w:rsid w:val="00CB5452"/>
    <w:rsid w:val="00CB624E"/>
    <w:rsid w:val="00CB783A"/>
    <w:rsid w:val="00CC1DB2"/>
    <w:rsid w:val="00CC259F"/>
    <w:rsid w:val="00CC573D"/>
    <w:rsid w:val="00CC5ADC"/>
    <w:rsid w:val="00CD26D3"/>
    <w:rsid w:val="00CD2ACA"/>
    <w:rsid w:val="00CD3279"/>
    <w:rsid w:val="00CE7125"/>
    <w:rsid w:val="00CF2AC2"/>
    <w:rsid w:val="00CF5600"/>
    <w:rsid w:val="00CF7C07"/>
    <w:rsid w:val="00D0068C"/>
    <w:rsid w:val="00D01995"/>
    <w:rsid w:val="00D01CDE"/>
    <w:rsid w:val="00D02766"/>
    <w:rsid w:val="00D03D92"/>
    <w:rsid w:val="00D1190E"/>
    <w:rsid w:val="00D20B4E"/>
    <w:rsid w:val="00D20D3E"/>
    <w:rsid w:val="00D26733"/>
    <w:rsid w:val="00D31AE9"/>
    <w:rsid w:val="00D3328D"/>
    <w:rsid w:val="00D400F3"/>
    <w:rsid w:val="00D4243F"/>
    <w:rsid w:val="00D463CA"/>
    <w:rsid w:val="00D501EC"/>
    <w:rsid w:val="00D5092A"/>
    <w:rsid w:val="00D54A9F"/>
    <w:rsid w:val="00D54BF6"/>
    <w:rsid w:val="00D5518A"/>
    <w:rsid w:val="00D64415"/>
    <w:rsid w:val="00D65912"/>
    <w:rsid w:val="00D749C6"/>
    <w:rsid w:val="00D75DE5"/>
    <w:rsid w:val="00D76B15"/>
    <w:rsid w:val="00D771F5"/>
    <w:rsid w:val="00D80253"/>
    <w:rsid w:val="00D83558"/>
    <w:rsid w:val="00D83FC8"/>
    <w:rsid w:val="00D849C4"/>
    <w:rsid w:val="00D90040"/>
    <w:rsid w:val="00D97A5D"/>
    <w:rsid w:val="00DA046C"/>
    <w:rsid w:val="00DA0566"/>
    <w:rsid w:val="00DA111F"/>
    <w:rsid w:val="00DA1B6C"/>
    <w:rsid w:val="00DA4254"/>
    <w:rsid w:val="00DA6D6F"/>
    <w:rsid w:val="00DA6E4A"/>
    <w:rsid w:val="00DA70A7"/>
    <w:rsid w:val="00DB09D9"/>
    <w:rsid w:val="00DB30C5"/>
    <w:rsid w:val="00DC047B"/>
    <w:rsid w:val="00DC1948"/>
    <w:rsid w:val="00DC6CB2"/>
    <w:rsid w:val="00DD031A"/>
    <w:rsid w:val="00DD3288"/>
    <w:rsid w:val="00DD63C3"/>
    <w:rsid w:val="00DE2BBF"/>
    <w:rsid w:val="00DE3BCB"/>
    <w:rsid w:val="00DE3DCA"/>
    <w:rsid w:val="00DE5577"/>
    <w:rsid w:val="00DE6AD8"/>
    <w:rsid w:val="00DE7CCE"/>
    <w:rsid w:val="00DF42D1"/>
    <w:rsid w:val="00DF6523"/>
    <w:rsid w:val="00E0026C"/>
    <w:rsid w:val="00E01E86"/>
    <w:rsid w:val="00E036AF"/>
    <w:rsid w:val="00E05FBF"/>
    <w:rsid w:val="00E06860"/>
    <w:rsid w:val="00E07165"/>
    <w:rsid w:val="00E076A6"/>
    <w:rsid w:val="00E1345B"/>
    <w:rsid w:val="00E169C7"/>
    <w:rsid w:val="00E172AF"/>
    <w:rsid w:val="00E23B75"/>
    <w:rsid w:val="00E26D03"/>
    <w:rsid w:val="00E30024"/>
    <w:rsid w:val="00E30D02"/>
    <w:rsid w:val="00E32948"/>
    <w:rsid w:val="00E36955"/>
    <w:rsid w:val="00E37A45"/>
    <w:rsid w:val="00E42DEB"/>
    <w:rsid w:val="00E453CE"/>
    <w:rsid w:val="00E45C2C"/>
    <w:rsid w:val="00E467A7"/>
    <w:rsid w:val="00E5049D"/>
    <w:rsid w:val="00E51726"/>
    <w:rsid w:val="00E522E3"/>
    <w:rsid w:val="00E53A4F"/>
    <w:rsid w:val="00E649B7"/>
    <w:rsid w:val="00E64AEB"/>
    <w:rsid w:val="00E64FC7"/>
    <w:rsid w:val="00E72E29"/>
    <w:rsid w:val="00E7381A"/>
    <w:rsid w:val="00E750E5"/>
    <w:rsid w:val="00E75AC8"/>
    <w:rsid w:val="00E7759A"/>
    <w:rsid w:val="00E8209A"/>
    <w:rsid w:val="00E82F8B"/>
    <w:rsid w:val="00E84511"/>
    <w:rsid w:val="00E85273"/>
    <w:rsid w:val="00E874B7"/>
    <w:rsid w:val="00E90B79"/>
    <w:rsid w:val="00E91E45"/>
    <w:rsid w:val="00E92551"/>
    <w:rsid w:val="00E9759E"/>
    <w:rsid w:val="00EA299C"/>
    <w:rsid w:val="00EA6D5D"/>
    <w:rsid w:val="00EA71E0"/>
    <w:rsid w:val="00EA73FA"/>
    <w:rsid w:val="00EA7F73"/>
    <w:rsid w:val="00EB13AE"/>
    <w:rsid w:val="00EB51EC"/>
    <w:rsid w:val="00EC03AF"/>
    <w:rsid w:val="00EC4E62"/>
    <w:rsid w:val="00EC4E8C"/>
    <w:rsid w:val="00EC5982"/>
    <w:rsid w:val="00EC6C32"/>
    <w:rsid w:val="00EE0BFC"/>
    <w:rsid w:val="00EE187F"/>
    <w:rsid w:val="00EE6B40"/>
    <w:rsid w:val="00EF285D"/>
    <w:rsid w:val="00EF3DAB"/>
    <w:rsid w:val="00F00B83"/>
    <w:rsid w:val="00F0295B"/>
    <w:rsid w:val="00F02BEF"/>
    <w:rsid w:val="00F05E3B"/>
    <w:rsid w:val="00F0756A"/>
    <w:rsid w:val="00F1341B"/>
    <w:rsid w:val="00F14737"/>
    <w:rsid w:val="00F147B9"/>
    <w:rsid w:val="00F1575D"/>
    <w:rsid w:val="00F157EE"/>
    <w:rsid w:val="00F21723"/>
    <w:rsid w:val="00F21904"/>
    <w:rsid w:val="00F22EC7"/>
    <w:rsid w:val="00F3233A"/>
    <w:rsid w:val="00F32DBC"/>
    <w:rsid w:val="00F35526"/>
    <w:rsid w:val="00F4336D"/>
    <w:rsid w:val="00F45329"/>
    <w:rsid w:val="00F5203B"/>
    <w:rsid w:val="00F52B17"/>
    <w:rsid w:val="00F54AC0"/>
    <w:rsid w:val="00F555F4"/>
    <w:rsid w:val="00F56A52"/>
    <w:rsid w:val="00F60210"/>
    <w:rsid w:val="00F71CA4"/>
    <w:rsid w:val="00F735BF"/>
    <w:rsid w:val="00F745C9"/>
    <w:rsid w:val="00F74BF2"/>
    <w:rsid w:val="00F767AD"/>
    <w:rsid w:val="00F803FC"/>
    <w:rsid w:val="00F8058E"/>
    <w:rsid w:val="00F805CE"/>
    <w:rsid w:val="00F838B0"/>
    <w:rsid w:val="00F853AF"/>
    <w:rsid w:val="00F86709"/>
    <w:rsid w:val="00F87851"/>
    <w:rsid w:val="00F90B49"/>
    <w:rsid w:val="00F91077"/>
    <w:rsid w:val="00F93719"/>
    <w:rsid w:val="00F966E4"/>
    <w:rsid w:val="00FA2963"/>
    <w:rsid w:val="00FA58FA"/>
    <w:rsid w:val="00FA6393"/>
    <w:rsid w:val="00FB050B"/>
    <w:rsid w:val="00FB4ED0"/>
    <w:rsid w:val="00FB61AB"/>
    <w:rsid w:val="00FB7286"/>
    <w:rsid w:val="00FC34F4"/>
    <w:rsid w:val="00FC41A6"/>
    <w:rsid w:val="00FD0352"/>
    <w:rsid w:val="00FD437F"/>
    <w:rsid w:val="00FD4788"/>
    <w:rsid w:val="00FE0CFC"/>
    <w:rsid w:val="00FE3007"/>
    <w:rsid w:val="00FE3B5B"/>
    <w:rsid w:val="00FE65E5"/>
    <w:rsid w:val="00FE66F6"/>
    <w:rsid w:val="00FE71F6"/>
    <w:rsid w:val="00FE7354"/>
    <w:rsid w:val="00FF2CC2"/>
    <w:rsid w:val="00FF4CB2"/>
    <w:rsid w:val="00FF563E"/>
    <w:rsid w:val="00FF638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911"/>
  </w:style>
  <w:style w:type="paragraph" w:styleId="Heading1">
    <w:name w:val="heading 1"/>
    <w:basedOn w:val="Normal"/>
    <w:next w:val="Normal"/>
    <w:link w:val="Heading1Char"/>
    <w:uiPriority w:val="9"/>
    <w:qFormat/>
    <w:rsid w:val="004B0B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3B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3B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03B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B30C5"/>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sid w:val="00DB30C5"/>
    <w:rPr>
      <w:rFonts w:ascii="Arial" w:eastAsia="Calibri" w:hAnsi="Arial" w:cs="Times New Roman"/>
      <w:sz w:val="20"/>
      <w:szCs w:val="20"/>
    </w:rPr>
  </w:style>
  <w:style w:type="character" w:styleId="FootnoteReference">
    <w:name w:val="footnote reference"/>
    <w:basedOn w:val="DefaultParagraphFont"/>
    <w:uiPriority w:val="99"/>
    <w:unhideWhenUsed/>
    <w:rsid w:val="00DB30C5"/>
    <w:rPr>
      <w:vertAlign w:val="superscript"/>
    </w:rPr>
  </w:style>
  <w:style w:type="table" w:customStyle="1" w:styleId="LightList-Accent11">
    <w:name w:val="Light List - Accent 11"/>
    <w:basedOn w:val="TableNormal"/>
    <w:uiPriority w:val="61"/>
    <w:rsid w:val="00DB30C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003B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03B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03B06"/>
    <w:rPr>
      <w:rFonts w:asciiTheme="majorHAnsi" w:eastAsiaTheme="majorEastAsia" w:hAnsiTheme="majorHAnsi" w:cstheme="majorBidi"/>
      <w:b/>
      <w:bCs/>
      <w:i/>
      <w:iCs/>
      <w:color w:val="4F81BD" w:themeColor="accent1"/>
    </w:rPr>
  </w:style>
  <w:style w:type="paragraph" w:styleId="ListParagraph">
    <w:name w:val="List Paragraph"/>
    <w:aliases w:val="List Paragraph1,Recommendation,List Paragraph11"/>
    <w:basedOn w:val="Normal"/>
    <w:link w:val="ListParagraphChar"/>
    <w:uiPriority w:val="34"/>
    <w:qFormat/>
    <w:rsid w:val="00003B06"/>
    <w:pPr>
      <w:ind w:left="720"/>
      <w:contextualSpacing/>
    </w:pPr>
  </w:style>
  <w:style w:type="character" w:customStyle="1" w:styleId="ListParagraphChar">
    <w:name w:val="List Paragraph Char"/>
    <w:aliases w:val="List Paragraph1 Char,Recommendation Char,List Paragraph11 Char"/>
    <w:basedOn w:val="DefaultParagraphFont"/>
    <w:link w:val="ListParagraph"/>
    <w:uiPriority w:val="34"/>
    <w:locked/>
    <w:rsid w:val="00003B06"/>
  </w:style>
  <w:style w:type="character" w:styleId="Hyperlink">
    <w:name w:val="Hyperlink"/>
    <w:basedOn w:val="DefaultParagraphFont"/>
    <w:uiPriority w:val="99"/>
    <w:unhideWhenUsed/>
    <w:rsid w:val="00003B06"/>
    <w:rPr>
      <w:color w:val="0000FF" w:themeColor="hyperlink"/>
      <w:u w:val="single"/>
    </w:rPr>
  </w:style>
  <w:style w:type="paragraph" w:styleId="EndnoteText">
    <w:name w:val="endnote text"/>
    <w:basedOn w:val="Normal"/>
    <w:link w:val="EndnoteTextChar"/>
    <w:uiPriority w:val="99"/>
    <w:unhideWhenUsed/>
    <w:rsid w:val="00003B06"/>
    <w:pPr>
      <w:spacing w:after="0" w:line="240" w:lineRule="auto"/>
    </w:pPr>
    <w:rPr>
      <w:sz w:val="20"/>
      <w:szCs w:val="20"/>
    </w:rPr>
  </w:style>
  <w:style w:type="character" w:customStyle="1" w:styleId="EndnoteTextChar">
    <w:name w:val="Endnote Text Char"/>
    <w:basedOn w:val="DefaultParagraphFont"/>
    <w:link w:val="EndnoteText"/>
    <w:uiPriority w:val="99"/>
    <w:rsid w:val="00003B06"/>
    <w:rPr>
      <w:sz w:val="20"/>
      <w:szCs w:val="20"/>
    </w:rPr>
  </w:style>
  <w:style w:type="character" w:customStyle="1" w:styleId="Heading1Char">
    <w:name w:val="Heading 1 Char"/>
    <w:basedOn w:val="DefaultParagraphFont"/>
    <w:link w:val="Heading1"/>
    <w:uiPriority w:val="9"/>
    <w:rsid w:val="004B0B57"/>
    <w:rPr>
      <w:rFonts w:asciiTheme="majorHAnsi" w:eastAsiaTheme="majorEastAsia" w:hAnsiTheme="majorHAnsi" w:cstheme="majorBidi"/>
      <w:b/>
      <w:bCs/>
      <w:color w:val="365F91" w:themeColor="accent1" w:themeShade="BF"/>
      <w:sz w:val="28"/>
      <w:szCs w:val="28"/>
    </w:rPr>
  </w:style>
  <w:style w:type="paragraph" w:styleId="ListNumber2">
    <w:name w:val="List Number 2"/>
    <w:basedOn w:val="Normal"/>
    <w:uiPriority w:val="99"/>
    <w:unhideWhenUsed/>
    <w:rsid w:val="004B0B57"/>
    <w:pPr>
      <w:numPr>
        <w:numId w:val="4"/>
      </w:numPr>
      <w:contextualSpacing/>
    </w:pPr>
  </w:style>
  <w:style w:type="character" w:styleId="HTMLCite">
    <w:name w:val="HTML Cite"/>
    <w:basedOn w:val="DefaultParagraphFont"/>
    <w:uiPriority w:val="99"/>
    <w:semiHidden/>
    <w:unhideWhenUsed/>
    <w:rsid w:val="004B0B57"/>
    <w:rPr>
      <w:i/>
      <w:iCs/>
    </w:rPr>
  </w:style>
  <w:style w:type="character" w:styleId="Emphasis">
    <w:name w:val="Emphasis"/>
    <w:basedOn w:val="DefaultParagraphFont"/>
    <w:uiPriority w:val="20"/>
    <w:qFormat/>
    <w:rsid w:val="00A17651"/>
    <w:rPr>
      <w:i/>
      <w:iCs/>
    </w:rPr>
  </w:style>
  <w:style w:type="character" w:styleId="HTMLAcronym">
    <w:name w:val="HTML Acronym"/>
    <w:basedOn w:val="DefaultParagraphFont"/>
    <w:uiPriority w:val="99"/>
    <w:semiHidden/>
    <w:unhideWhenUsed/>
    <w:rsid w:val="00A17651"/>
  </w:style>
  <w:style w:type="paragraph" w:styleId="TOCHeading">
    <w:name w:val="TOC Heading"/>
    <w:basedOn w:val="Heading1"/>
    <w:next w:val="Normal"/>
    <w:uiPriority w:val="39"/>
    <w:semiHidden/>
    <w:unhideWhenUsed/>
    <w:qFormat/>
    <w:rsid w:val="005D0C5C"/>
    <w:pPr>
      <w:outlineLvl w:val="9"/>
    </w:pPr>
    <w:rPr>
      <w:lang w:val="en-US" w:eastAsia="ja-JP"/>
    </w:rPr>
  </w:style>
  <w:style w:type="paragraph" w:styleId="TOC1">
    <w:name w:val="toc 1"/>
    <w:basedOn w:val="Normal"/>
    <w:next w:val="Normal"/>
    <w:autoRedefine/>
    <w:uiPriority w:val="39"/>
    <w:unhideWhenUsed/>
    <w:rsid w:val="00032ABE"/>
    <w:pPr>
      <w:tabs>
        <w:tab w:val="left" w:pos="440"/>
        <w:tab w:val="right" w:leader="dot" w:pos="9016"/>
      </w:tabs>
      <w:spacing w:after="100"/>
    </w:pPr>
    <w:rPr>
      <w:b/>
      <w:noProof/>
    </w:rPr>
  </w:style>
  <w:style w:type="paragraph" w:styleId="TOC2">
    <w:name w:val="toc 2"/>
    <w:basedOn w:val="Normal"/>
    <w:next w:val="Normal"/>
    <w:autoRedefine/>
    <w:uiPriority w:val="39"/>
    <w:unhideWhenUsed/>
    <w:rsid w:val="005D0C5C"/>
    <w:pPr>
      <w:spacing w:after="100"/>
      <w:ind w:left="220"/>
    </w:pPr>
  </w:style>
  <w:style w:type="paragraph" w:styleId="TOC3">
    <w:name w:val="toc 3"/>
    <w:basedOn w:val="Normal"/>
    <w:next w:val="Normal"/>
    <w:autoRedefine/>
    <w:uiPriority w:val="39"/>
    <w:unhideWhenUsed/>
    <w:rsid w:val="005D0C5C"/>
    <w:pPr>
      <w:spacing w:after="100"/>
      <w:ind w:left="440"/>
    </w:pPr>
  </w:style>
  <w:style w:type="paragraph" w:styleId="BalloonText">
    <w:name w:val="Balloon Text"/>
    <w:basedOn w:val="Normal"/>
    <w:link w:val="BalloonTextChar"/>
    <w:uiPriority w:val="99"/>
    <w:semiHidden/>
    <w:unhideWhenUsed/>
    <w:rsid w:val="005D0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C5C"/>
    <w:rPr>
      <w:rFonts w:ascii="Tahoma" w:hAnsi="Tahoma" w:cs="Tahoma"/>
      <w:sz w:val="16"/>
      <w:szCs w:val="16"/>
    </w:rPr>
  </w:style>
  <w:style w:type="paragraph" w:styleId="Header">
    <w:name w:val="header"/>
    <w:basedOn w:val="Normal"/>
    <w:link w:val="HeaderChar"/>
    <w:unhideWhenUsed/>
    <w:rsid w:val="00AF1295"/>
    <w:pPr>
      <w:tabs>
        <w:tab w:val="center" w:pos="4513"/>
        <w:tab w:val="right" w:pos="9026"/>
      </w:tabs>
      <w:spacing w:after="0" w:line="240" w:lineRule="auto"/>
    </w:pPr>
  </w:style>
  <w:style w:type="character" w:customStyle="1" w:styleId="HeaderChar">
    <w:name w:val="Header Char"/>
    <w:basedOn w:val="DefaultParagraphFont"/>
    <w:link w:val="Header"/>
    <w:rsid w:val="00AF1295"/>
  </w:style>
  <w:style w:type="paragraph" w:styleId="Footer">
    <w:name w:val="footer"/>
    <w:basedOn w:val="Normal"/>
    <w:link w:val="FooterChar"/>
    <w:uiPriority w:val="99"/>
    <w:unhideWhenUsed/>
    <w:rsid w:val="00AF1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295"/>
  </w:style>
  <w:style w:type="paragraph" w:customStyle="1" w:styleId="HSR">
    <w:name w:val="HSR"/>
    <w:aliases w:val="Subregulation Heading"/>
    <w:basedOn w:val="Normal"/>
    <w:next w:val="Normal"/>
    <w:rsid w:val="00591881"/>
    <w:pPr>
      <w:keepNext/>
      <w:spacing w:before="300" w:after="0" w:line="240" w:lineRule="auto"/>
      <w:ind w:left="964"/>
    </w:pPr>
    <w:rPr>
      <w:rFonts w:ascii="Arial" w:eastAsia="Times New Roman" w:hAnsi="Arial" w:cs="Times New Roman"/>
      <w:i/>
      <w:sz w:val="24"/>
      <w:szCs w:val="24"/>
    </w:rPr>
  </w:style>
  <w:style w:type="paragraph" w:customStyle="1" w:styleId="Note">
    <w:name w:val="Note"/>
    <w:basedOn w:val="Normal"/>
    <w:rsid w:val="00591881"/>
    <w:pPr>
      <w:spacing w:before="120" w:after="0" w:line="221" w:lineRule="auto"/>
      <w:ind w:left="964"/>
      <w:jc w:val="both"/>
    </w:pPr>
    <w:rPr>
      <w:rFonts w:ascii="Times New Roman" w:eastAsia="Times New Roman" w:hAnsi="Times New Roman" w:cs="Times New Roman"/>
      <w:sz w:val="20"/>
      <w:szCs w:val="24"/>
      <w:lang w:eastAsia="en-AU"/>
    </w:rPr>
  </w:style>
  <w:style w:type="paragraph" w:customStyle="1" w:styleId="P1">
    <w:name w:val="P1"/>
    <w:aliases w:val="(a)"/>
    <w:basedOn w:val="Normal"/>
    <w:link w:val="P1Char"/>
    <w:rsid w:val="00591881"/>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P2">
    <w:name w:val="P2"/>
    <w:aliases w:val="(i)"/>
    <w:basedOn w:val="Normal"/>
    <w:link w:val="P2Char"/>
    <w:rsid w:val="00591881"/>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rPr>
  </w:style>
  <w:style w:type="paragraph" w:customStyle="1" w:styleId="R2">
    <w:name w:val="R2"/>
    <w:aliases w:val="(2)"/>
    <w:basedOn w:val="Normal"/>
    <w:rsid w:val="00591881"/>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ZP1">
    <w:name w:val="ZP1"/>
    <w:basedOn w:val="P1"/>
    <w:rsid w:val="00591881"/>
    <w:pPr>
      <w:keepNext/>
    </w:pPr>
  </w:style>
  <w:style w:type="paragraph" w:customStyle="1" w:styleId="ZR1">
    <w:name w:val="ZR1"/>
    <w:basedOn w:val="Normal"/>
    <w:rsid w:val="00591881"/>
    <w:pPr>
      <w:keepNext/>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ZR2">
    <w:name w:val="ZR2"/>
    <w:basedOn w:val="R2"/>
    <w:rsid w:val="00591881"/>
    <w:pPr>
      <w:keepNext/>
    </w:pPr>
  </w:style>
  <w:style w:type="character" w:customStyle="1" w:styleId="P1Char">
    <w:name w:val="P1 Char"/>
    <w:aliases w:val="(a) Char"/>
    <w:basedOn w:val="DefaultParagraphFont"/>
    <w:link w:val="P1"/>
    <w:rsid w:val="00591881"/>
    <w:rPr>
      <w:rFonts w:ascii="Times New Roman" w:eastAsia="Times New Roman" w:hAnsi="Times New Roman" w:cs="Times New Roman"/>
      <w:sz w:val="24"/>
      <w:szCs w:val="24"/>
    </w:rPr>
  </w:style>
  <w:style w:type="character" w:customStyle="1" w:styleId="P2Char">
    <w:name w:val="P2 Char"/>
    <w:aliases w:val="(i) Char"/>
    <w:basedOn w:val="DefaultParagraphFont"/>
    <w:link w:val="P2"/>
    <w:rsid w:val="00591881"/>
    <w:rPr>
      <w:rFonts w:ascii="Times New Roman" w:eastAsia="Times New Roman" w:hAnsi="Times New Roman" w:cs="Times New Roman"/>
      <w:sz w:val="24"/>
      <w:szCs w:val="24"/>
    </w:rPr>
  </w:style>
  <w:style w:type="character" w:customStyle="1" w:styleId="CharAmSchNo">
    <w:name w:val="CharAmSchNo"/>
    <w:basedOn w:val="DefaultParagraphFont"/>
    <w:rsid w:val="00CA3237"/>
  </w:style>
  <w:style w:type="character" w:customStyle="1" w:styleId="CharAmSchText">
    <w:name w:val="CharAmSchText"/>
    <w:basedOn w:val="DefaultParagraphFont"/>
    <w:rsid w:val="00CA3237"/>
  </w:style>
  <w:style w:type="character" w:customStyle="1" w:styleId="CharSchPTNo">
    <w:name w:val="CharSchPTNo"/>
    <w:basedOn w:val="DefaultParagraphFont"/>
    <w:rsid w:val="00CA3237"/>
  </w:style>
  <w:style w:type="character" w:customStyle="1" w:styleId="CharSchPTText">
    <w:name w:val="CharSchPTText"/>
    <w:basedOn w:val="DefaultParagraphFont"/>
    <w:rsid w:val="00CA3237"/>
  </w:style>
  <w:style w:type="paragraph" w:customStyle="1" w:styleId="ScheduleHeading">
    <w:name w:val="Schedule Heading"/>
    <w:basedOn w:val="Normal"/>
    <w:next w:val="Normal"/>
    <w:rsid w:val="00CA3237"/>
    <w:pPr>
      <w:keepNext/>
      <w:keepLines/>
      <w:spacing w:before="360" w:after="0" w:line="240" w:lineRule="auto"/>
      <w:ind w:left="964" w:hanging="964"/>
    </w:pPr>
    <w:rPr>
      <w:rFonts w:ascii="Arial" w:eastAsia="Times New Roman" w:hAnsi="Arial" w:cs="Times New Roman"/>
      <w:b/>
      <w:sz w:val="24"/>
      <w:szCs w:val="24"/>
    </w:rPr>
  </w:style>
  <w:style w:type="paragraph" w:customStyle="1" w:styleId="Schedulepara">
    <w:name w:val="Schedule para"/>
    <w:basedOn w:val="Normal"/>
    <w:rsid w:val="00CA3237"/>
    <w:pPr>
      <w:tabs>
        <w:tab w:val="right" w:pos="567"/>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Schedulereference">
    <w:name w:val="Schedule reference"/>
    <w:basedOn w:val="Normal"/>
    <w:next w:val="Normal"/>
    <w:rsid w:val="00CA3237"/>
    <w:pPr>
      <w:keepNext/>
      <w:keepLines/>
      <w:spacing w:before="60" w:after="0" w:line="200" w:lineRule="exact"/>
      <w:ind w:left="2410"/>
    </w:pPr>
    <w:rPr>
      <w:rFonts w:ascii="Arial" w:eastAsia="Times New Roman" w:hAnsi="Arial" w:cs="Times New Roman"/>
      <w:sz w:val="18"/>
      <w:szCs w:val="24"/>
    </w:rPr>
  </w:style>
  <w:style w:type="paragraph" w:customStyle="1" w:styleId="Scheduletitle">
    <w:name w:val="Schedule title"/>
    <w:basedOn w:val="Normal"/>
    <w:next w:val="Schedulereference"/>
    <w:rsid w:val="00CA3237"/>
    <w:pPr>
      <w:keepNext/>
      <w:keepLines/>
      <w:pageBreakBefore/>
      <w:spacing w:before="480" w:after="0" w:line="240" w:lineRule="auto"/>
      <w:ind w:left="2410" w:hanging="2410"/>
    </w:pPr>
    <w:rPr>
      <w:rFonts w:ascii="Arial" w:eastAsia="Times New Roman" w:hAnsi="Arial" w:cs="Times New Roman"/>
      <w:b/>
      <w:sz w:val="32"/>
      <w:szCs w:val="24"/>
    </w:rPr>
  </w:style>
  <w:style w:type="paragraph" w:styleId="ListNumber">
    <w:name w:val="List Number"/>
    <w:basedOn w:val="Normal"/>
    <w:uiPriority w:val="99"/>
    <w:unhideWhenUsed/>
    <w:rsid w:val="003A21E8"/>
    <w:pPr>
      <w:numPr>
        <w:numId w:val="14"/>
      </w:numPr>
      <w:contextualSpacing/>
    </w:pPr>
  </w:style>
  <w:style w:type="paragraph" w:customStyle="1" w:styleId="HR">
    <w:name w:val="HR"/>
    <w:aliases w:val="Regulation Heading"/>
    <w:basedOn w:val="Normal"/>
    <w:next w:val="Normal"/>
    <w:rsid w:val="009C07B6"/>
    <w:pPr>
      <w:keepNext/>
      <w:spacing w:before="360" w:after="0" w:line="240" w:lineRule="auto"/>
      <w:ind w:left="964" w:hanging="964"/>
    </w:pPr>
    <w:rPr>
      <w:rFonts w:ascii="Arial" w:eastAsia="Times New Roman" w:hAnsi="Arial" w:cs="Times New Roman"/>
      <w:b/>
      <w:sz w:val="24"/>
      <w:szCs w:val="24"/>
    </w:rPr>
  </w:style>
  <w:style w:type="character" w:customStyle="1" w:styleId="R1Char">
    <w:name w:val="R1 Char"/>
    <w:aliases w:val="1. or 1.(1) Char"/>
    <w:basedOn w:val="DefaultParagraphFont"/>
    <w:link w:val="R1"/>
    <w:locked/>
    <w:rsid w:val="009C07B6"/>
    <w:rPr>
      <w:sz w:val="24"/>
      <w:szCs w:val="24"/>
    </w:rPr>
  </w:style>
  <w:style w:type="paragraph" w:customStyle="1" w:styleId="R1">
    <w:name w:val="R1"/>
    <w:aliases w:val="1. or 1.(1)"/>
    <w:basedOn w:val="Normal"/>
    <w:next w:val="Normal"/>
    <w:link w:val="R1Char"/>
    <w:rsid w:val="009C07B6"/>
    <w:pPr>
      <w:keepLines/>
      <w:tabs>
        <w:tab w:val="right" w:pos="794"/>
      </w:tabs>
      <w:spacing w:before="120" w:after="0" w:line="260" w:lineRule="exact"/>
      <w:ind w:left="964" w:hanging="964"/>
      <w:jc w:val="both"/>
    </w:pPr>
    <w:rPr>
      <w:sz w:val="24"/>
      <w:szCs w:val="24"/>
    </w:rPr>
  </w:style>
  <w:style w:type="character" w:customStyle="1" w:styleId="CharSectno">
    <w:name w:val="CharSectno"/>
    <w:basedOn w:val="DefaultParagraphFont"/>
    <w:rsid w:val="009C07B6"/>
  </w:style>
  <w:style w:type="character" w:styleId="CommentReference">
    <w:name w:val="annotation reference"/>
    <w:basedOn w:val="DefaultParagraphFont"/>
    <w:uiPriority w:val="99"/>
    <w:semiHidden/>
    <w:unhideWhenUsed/>
    <w:rsid w:val="0033051D"/>
    <w:rPr>
      <w:sz w:val="16"/>
      <w:szCs w:val="16"/>
    </w:rPr>
  </w:style>
  <w:style w:type="paragraph" w:styleId="CommentText">
    <w:name w:val="annotation text"/>
    <w:basedOn w:val="Normal"/>
    <w:link w:val="CommentTextChar"/>
    <w:uiPriority w:val="99"/>
    <w:semiHidden/>
    <w:unhideWhenUsed/>
    <w:rsid w:val="0033051D"/>
    <w:pPr>
      <w:spacing w:line="240" w:lineRule="auto"/>
    </w:pPr>
    <w:rPr>
      <w:sz w:val="20"/>
      <w:szCs w:val="20"/>
    </w:rPr>
  </w:style>
  <w:style w:type="character" w:customStyle="1" w:styleId="CommentTextChar">
    <w:name w:val="Comment Text Char"/>
    <w:basedOn w:val="DefaultParagraphFont"/>
    <w:link w:val="CommentText"/>
    <w:uiPriority w:val="99"/>
    <w:semiHidden/>
    <w:rsid w:val="0033051D"/>
    <w:rPr>
      <w:sz w:val="20"/>
      <w:szCs w:val="20"/>
    </w:rPr>
  </w:style>
  <w:style w:type="paragraph" w:styleId="CommentSubject">
    <w:name w:val="annotation subject"/>
    <w:basedOn w:val="CommentText"/>
    <w:next w:val="CommentText"/>
    <w:link w:val="CommentSubjectChar"/>
    <w:uiPriority w:val="99"/>
    <w:semiHidden/>
    <w:unhideWhenUsed/>
    <w:rsid w:val="0033051D"/>
    <w:rPr>
      <w:b/>
      <w:bCs/>
    </w:rPr>
  </w:style>
  <w:style w:type="character" w:customStyle="1" w:styleId="CommentSubjectChar">
    <w:name w:val="Comment Subject Char"/>
    <w:basedOn w:val="CommentTextChar"/>
    <w:link w:val="CommentSubject"/>
    <w:uiPriority w:val="99"/>
    <w:semiHidden/>
    <w:rsid w:val="0033051D"/>
    <w:rPr>
      <w:b/>
      <w:bCs/>
      <w:sz w:val="20"/>
      <w:szCs w:val="20"/>
    </w:rPr>
  </w:style>
  <w:style w:type="table" w:styleId="TableGrid">
    <w:name w:val="Table Grid"/>
    <w:basedOn w:val="TableNormal"/>
    <w:uiPriority w:val="59"/>
    <w:rsid w:val="00943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ulletList">
    <w:name w:val="Bullet List"/>
    <w:uiPriority w:val="99"/>
    <w:rsid w:val="00D20D3E"/>
    <w:pPr>
      <w:numPr>
        <w:numId w:val="23"/>
      </w:numPr>
    </w:pPr>
  </w:style>
  <w:style w:type="paragraph" w:styleId="ListBullet">
    <w:name w:val="List Bullet"/>
    <w:basedOn w:val="Normal"/>
    <w:uiPriority w:val="99"/>
    <w:unhideWhenUsed/>
    <w:qFormat/>
    <w:rsid w:val="00D20D3E"/>
    <w:pPr>
      <w:numPr>
        <w:numId w:val="24"/>
      </w:numPr>
    </w:pPr>
    <w:rPr>
      <w:rFonts w:ascii="Arial" w:eastAsia="Calibri" w:hAnsi="Arial" w:cs="Times New Roman"/>
    </w:rPr>
  </w:style>
  <w:style w:type="paragraph" w:styleId="ListBullet2">
    <w:name w:val="List Bullet 2"/>
    <w:basedOn w:val="Normal"/>
    <w:uiPriority w:val="99"/>
    <w:unhideWhenUsed/>
    <w:rsid w:val="00D20D3E"/>
    <w:pPr>
      <w:numPr>
        <w:ilvl w:val="1"/>
        <w:numId w:val="24"/>
      </w:numPr>
    </w:pPr>
    <w:rPr>
      <w:rFonts w:ascii="Arial" w:eastAsia="Calibri" w:hAnsi="Arial" w:cs="Times New Roman"/>
    </w:rPr>
  </w:style>
  <w:style w:type="paragraph" w:styleId="ListBullet3">
    <w:name w:val="List Bullet 3"/>
    <w:basedOn w:val="Normal"/>
    <w:uiPriority w:val="99"/>
    <w:unhideWhenUsed/>
    <w:rsid w:val="00D20D3E"/>
    <w:pPr>
      <w:numPr>
        <w:ilvl w:val="2"/>
        <w:numId w:val="24"/>
      </w:numPr>
    </w:pPr>
    <w:rPr>
      <w:rFonts w:ascii="Arial" w:eastAsia="Calibri" w:hAnsi="Arial" w:cs="Times New Roman"/>
    </w:rPr>
  </w:style>
  <w:style w:type="paragraph" w:styleId="ListBullet4">
    <w:name w:val="List Bullet 4"/>
    <w:basedOn w:val="Normal"/>
    <w:uiPriority w:val="99"/>
    <w:unhideWhenUsed/>
    <w:rsid w:val="00D20D3E"/>
    <w:pPr>
      <w:numPr>
        <w:ilvl w:val="3"/>
        <w:numId w:val="24"/>
      </w:numPr>
    </w:pPr>
    <w:rPr>
      <w:rFonts w:ascii="Arial" w:eastAsia="Calibri" w:hAnsi="Arial" w:cs="Times New Roman"/>
    </w:rPr>
  </w:style>
  <w:style w:type="paragraph" w:styleId="ListBullet5">
    <w:name w:val="List Bullet 5"/>
    <w:basedOn w:val="Normal"/>
    <w:uiPriority w:val="99"/>
    <w:unhideWhenUsed/>
    <w:rsid w:val="00D20D3E"/>
    <w:pPr>
      <w:numPr>
        <w:ilvl w:val="4"/>
        <w:numId w:val="24"/>
      </w:numPr>
    </w:pPr>
    <w:rPr>
      <w:rFonts w:ascii="Arial" w:eastAsia="Calibri" w:hAnsi="Arial" w:cs="Times New Roman"/>
    </w:rPr>
  </w:style>
  <w:style w:type="paragraph" w:customStyle="1" w:styleId="Footnote">
    <w:name w:val="Footnote"/>
    <w:basedOn w:val="FootnoteText"/>
    <w:link w:val="FootnoteChar"/>
    <w:qFormat/>
    <w:rsid w:val="00123AD8"/>
    <w:rPr>
      <w:rFonts w:asciiTheme="minorHAnsi" w:hAnsiTheme="minorHAnsi" w:cstheme="minorHAnsi"/>
      <w:sz w:val="18"/>
      <w:szCs w:val="18"/>
    </w:rPr>
  </w:style>
  <w:style w:type="character" w:styleId="FollowedHyperlink">
    <w:name w:val="FollowedHyperlink"/>
    <w:basedOn w:val="DefaultParagraphFont"/>
    <w:uiPriority w:val="99"/>
    <w:semiHidden/>
    <w:unhideWhenUsed/>
    <w:rsid w:val="00BC0D02"/>
    <w:rPr>
      <w:color w:val="800080" w:themeColor="followedHyperlink"/>
      <w:u w:val="single"/>
    </w:rPr>
  </w:style>
  <w:style w:type="character" w:customStyle="1" w:styleId="FootnoteChar">
    <w:name w:val="Footnote Char"/>
    <w:basedOn w:val="FootnoteTextChar"/>
    <w:link w:val="Footnote"/>
    <w:rsid w:val="00123AD8"/>
    <w:rPr>
      <w:rFonts w:ascii="Arial" w:eastAsia="Calibri" w:hAnsi="Arial" w:cstheme="minorHAnsi"/>
      <w:sz w:val="18"/>
      <w:szCs w:val="18"/>
    </w:rPr>
  </w:style>
  <w:style w:type="paragraph" w:styleId="Revision">
    <w:name w:val="Revision"/>
    <w:hidden/>
    <w:uiPriority w:val="99"/>
    <w:semiHidden/>
    <w:rsid w:val="000F742B"/>
    <w:pPr>
      <w:spacing w:after="0" w:line="240" w:lineRule="auto"/>
    </w:pPr>
  </w:style>
  <w:style w:type="paragraph" w:styleId="HTMLPreformatted">
    <w:name w:val="HTML Preformatted"/>
    <w:basedOn w:val="Normal"/>
    <w:link w:val="HTMLPreformattedChar"/>
    <w:uiPriority w:val="99"/>
    <w:semiHidden/>
    <w:unhideWhenUsed/>
    <w:rsid w:val="009C6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9C681D"/>
    <w:rPr>
      <w:rFonts w:ascii="Courier New" w:eastAsia="Times New Roman" w:hAnsi="Courier New" w:cs="Courier New"/>
      <w:sz w:val="20"/>
      <w:szCs w:val="20"/>
      <w:lang w:eastAsia="en-AU"/>
    </w:rPr>
  </w:style>
  <w:style w:type="paragraph" w:styleId="NormalWeb">
    <w:name w:val="Normal (Web)"/>
    <w:basedOn w:val="Normal"/>
    <w:uiPriority w:val="99"/>
    <w:semiHidden/>
    <w:unhideWhenUsed/>
    <w:rsid w:val="00E53A4F"/>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LightShading-Accent1">
    <w:name w:val="Light Shading Accent 1"/>
    <w:basedOn w:val="TableNormal"/>
    <w:uiPriority w:val="60"/>
    <w:rsid w:val="00CD26D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ndnoteReference">
    <w:name w:val="endnote reference"/>
    <w:basedOn w:val="DefaultParagraphFont"/>
    <w:uiPriority w:val="99"/>
    <w:semiHidden/>
    <w:unhideWhenUsed/>
    <w:rsid w:val="00AD53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911"/>
  </w:style>
  <w:style w:type="paragraph" w:styleId="Heading1">
    <w:name w:val="heading 1"/>
    <w:basedOn w:val="Normal"/>
    <w:next w:val="Normal"/>
    <w:link w:val="Heading1Char"/>
    <w:uiPriority w:val="9"/>
    <w:qFormat/>
    <w:rsid w:val="004B0B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3B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3B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03B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B30C5"/>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sid w:val="00DB30C5"/>
    <w:rPr>
      <w:rFonts w:ascii="Arial" w:eastAsia="Calibri" w:hAnsi="Arial" w:cs="Times New Roman"/>
      <w:sz w:val="20"/>
      <w:szCs w:val="20"/>
    </w:rPr>
  </w:style>
  <w:style w:type="character" w:styleId="FootnoteReference">
    <w:name w:val="footnote reference"/>
    <w:basedOn w:val="DefaultParagraphFont"/>
    <w:uiPriority w:val="99"/>
    <w:unhideWhenUsed/>
    <w:rsid w:val="00DB30C5"/>
    <w:rPr>
      <w:vertAlign w:val="superscript"/>
    </w:rPr>
  </w:style>
  <w:style w:type="table" w:customStyle="1" w:styleId="LightList-Accent11">
    <w:name w:val="Light List - Accent 11"/>
    <w:basedOn w:val="TableNormal"/>
    <w:uiPriority w:val="61"/>
    <w:rsid w:val="00DB30C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003B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03B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03B06"/>
    <w:rPr>
      <w:rFonts w:asciiTheme="majorHAnsi" w:eastAsiaTheme="majorEastAsia" w:hAnsiTheme="majorHAnsi" w:cstheme="majorBidi"/>
      <w:b/>
      <w:bCs/>
      <w:i/>
      <w:iCs/>
      <w:color w:val="4F81BD" w:themeColor="accent1"/>
    </w:rPr>
  </w:style>
  <w:style w:type="paragraph" w:styleId="ListParagraph">
    <w:name w:val="List Paragraph"/>
    <w:aliases w:val="List Paragraph1,Recommendation,List Paragraph11"/>
    <w:basedOn w:val="Normal"/>
    <w:link w:val="ListParagraphChar"/>
    <w:uiPriority w:val="34"/>
    <w:qFormat/>
    <w:rsid w:val="00003B06"/>
    <w:pPr>
      <w:ind w:left="720"/>
      <w:contextualSpacing/>
    </w:pPr>
  </w:style>
  <w:style w:type="character" w:customStyle="1" w:styleId="ListParagraphChar">
    <w:name w:val="List Paragraph Char"/>
    <w:aliases w:val="List Paragraph1 Char,Recommendation Char,List Paragraph11 Char"/>
    <w:basedOn w:val="DefaultParagraphFont"/>
    <w:link w:val="ListParagraph"/>
    <w:uiPriority w:val="34"/>
    <w:locked/>
    <w:rsid w:val="00003B06"/>
  </w:style>
  <w:style w:type="character" w:styleId="Hyperlink">
    <w:name w:val="Hyperlink"/>
    <w:basedOn w:val="DefaultParagraphFont"/>
    <w:uiPriority w:val="99"/>
    <w:unhideWhenUsed/>
    <w:rsid w:val="00003B06"/>
    <w:rPr>
      <w:color w:val="0000FF" w:themeColor="hyperlink"/>
      <w:u w:val="single"/>
    </w:rPr>
  </w:style>
  <w:style w:type="paragraph" w:styleId="EndnoteText">
    <w:name w:val="endnote text"/>
    <w:basedOn w:val="Normal"/>
    <w:link w:val="EndnoteTextChar"/>
    <w:uiPriority w:val="99"/>
    <w:unhideWhenUsed/>
    <w:rsid w:val="00003B06"/>
    <w:pPr>
      <w:spacing w:after="0" w:line="240" w:lineRule="auto"/>
    </w:pPr>
    <w:rPr>
      <w:sz w:val="20"/>
      <w:szCs w:val="20"/>
    </w:rPr>
  </w:style>
  <w:style w:type="character" w:customStyle="1" w:styleId="EndnoteTextChar">
    <w:name w:val="Endnote Text Char"/>
    <w:basedOn w:val="DefaultParagraphFont"/>
    <w:link w:val="EndnoteText"/>
    <w:uiPriority w:val="99"/>
    <w:rsid w:val="00003B06"/>
    <w:rPr>
      <w:sz w:val="20"/>
      <w:szCs w:val="20"/>
    </w:rPr>
  </w:style>
  <w:style w:type="character" w:customStyle="1" w:styleId="Heading1Char">
    <w:name w:val="Heading 1 Char"/>
    <w:basedOn w:val="DefaultParagraphFont"/>
    <w:link w:val="Heading1"/>
    <w:uiPriority w:val="9"/>
    <w:rsid w:val="004B0B57"/>
    <w:rPr>
      <w:rFonts w:asciiTheme="majorHAnsi" w:eastAsiaTheme="majorEastAsia" w:hAnsiTheme="majorHAnsi" w:cstheme="majorBidi"/>
      <w:b/>
      <w:bCs/>
      <w:color w:val="365F91" w:themeColor="accent1" w:themeShade="BF"/>
      <w:sz w:val="28"/>
      <w:szCs w:val="28"/>
    </w:rPr>
  </w:style>
  <w:style w:type="paragraph" w:styleId="ListNumber2">
    <w:name w:val="List Number 2"/>
    <w:basedOn w:val="Normal"/>
    <w:uiPriority w:val="99"/>
    <w:unhideWhenUsed/>
    <w:rsid w:val="004B0B57"/>
    <w:pPr>
      <w:numPr>
        <w:numId w:val="4"/>
      </w:numPr>
      <w:contextualSpacing/>
    </w:pPr>
  </w:style>
  <w:style w:type="character" w:styleId="HTMLCite">
    <w:name w:val="HTML Cite"/>
    <w:basedOn w:val="DefaultParagraphFont"/>
    <w:uiPriority w:val="99"/>
    <w:semiHidden/>
    <w:unhideWhenUsed/>
    <w:rsid w:val="004B0B57"/>
    <w:rPr>
      <w:i/>
      <w:iCs/>
    </w:rPr>
  </w:style>
  <w:style w:type="character" w:styleId="Emphasis">
    <w:name w:val="Emphasis"/>
    <w:basedOn w:val="DefaultParagraphFont"/>
    <w:uiPriority w:val="20"/>
    <w:qFormat/>
    <w:rsid w:val="00A17651"/>
    <w:rPr>
      <w:i/>
      <w:iCs/>
    </w:rPr>
  </w:style>
  <w:style w:type="character" w:styleId="HTMLAcronym">
    <w:name w:val="HTML Acronym"/>
    <w:basedOn w:val="DefaultParagraphFont"/>
    <w:uiPriority w:val="99"/>
    <w:semiHidden/>
    <w:unhideWhenUsed/>
    <w:rsid w:val="00A17651"/>
  </w:style>
  <w:style w:type="paragraph" w:styleId="TOCHeading">
    <w:name w:val="TOC Heading"/>
    <w:basedOn w:val="Heading1"/>
    <w:next w:val="Normal"/>
    <w:uiPriority w:val="39"/>
    <w:semiHidden/>
    <w:unhideWhenUsed/>
    <w:qFormat/>
    <w:rsid w:val="005D0C5C"/>
    <w:pPr>
      <w:outlineLvl w:val="9"/>
    </w:pPr>
    <w:rPr>
      <w:lang w:val="en-US" w:eastAsia="ja-JP"/>
    </w:rPr>
  </w:style>
  <w:style w:type="paragraph" w:styleId="TOC1">
    <w:name w:val="toc 1"/>
    <w:basedOn w:val="Normal"/>
    <w:next w:val="Normal"/>
    <w:autoRedefine/>
    <w:uiPriority w:val="39"/>
    <w:unhideWhenUsed/>
    <w:rsid w:val="00032ABE"/>
    <w:pPr>
      <w:tabs>
        <w:tab w:val="left" w:pos="440"/>
        <w:tab w:val="right" w:leader="dot" w:pos="9016"/>
      </w:tabs>
      <w:spacing w:after="100"/>
    </w:pPr>
    <w:rPr>
      <w:b/>
      <w:noProof/>
    </w:rPr>
  </w:style>
  <w:style w:type="paragraph" w:styleId="TOC2">
    <w:name w:val="toc 2"/>
    <w:basedOn w:val="Normal"/>
    <w:next w:val="Normal"/>
    <w:autoRedefine/>
    <w:uiPriority w:val="39"/>
    <w:unhideWhenUsed/>
    <w:rsid w:val="005D0C5C"/>
    <w:pPr>
      <w:spacing w:after="100"/>
      <w:ind w:left="220"/>
    </w:pPr>
  </w:style>
  <w:style w:type="paragraph" w:styleId="TOC3">
    <w:name w:val="toc 3"/>
    <w:basedOn w:val="Normal"/>
    <w:next w:val="Normal"/>
    <w:autoRedefine/>
    <w:uiPriority w:val="39"/>
    <w:unhideWhenUsed/>
    <w:rsid w:val="005D0C5C"/>
    <w:pPr>
      <w:spacing w:after="100"/>
      <w:ind w:left="440"/>
    </w:pPr>
  </w:style>
  <w:style w:type="paragraph" w:styleId="BalloonText">
    <w:name w:val="Balloon Text"/>
    <w:basedOn w:val="Normal"/>
    <w:link w:val="BalloonTextChar"/>
    <w:uiPriority w:val="99"/>
    <w:semiHidden/>
    <w:unhideWhenUsed/>
    <w:rsid w:val="005D0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C5C"/>
    <w:rPr>
      <w:rFonts w:ascii="Tahoma" w:hAnsi="Tahoma" w:cs="Tahoma"/>
      <w:sz w:val="16"/>
      <w:szCs w:val="16"/>
    </w:rPr>
  </w:style>
  <w:style w:type="paragraph" w:styleId="Header">
    <w:name w:val="header"/>
    <w:basedOn w:val="Normal"/>
    <w:link w:val="HeaderChar"/>
    <w:unhideWhenUsed/>
    <w:rsid w:val="00AF1295"/>
    <w:pPr>
      <w:tabs>
        <w:tab w:val="center" w:pos="4513"/>
        <w:tab w:val="right" w:pos="9026"/>
      </w:tabs>
      <w:spacing w:after="0" w:line="240" w:lineRule="auto"/>
    </w:pPr>
  </w:style>
  <w:style w:type="character" w:customStyle="1" w:styleId="HeaderChar">
    <w:name w:val="Header Char"/>
    <w:basedOn w:val="DefaultParagraphFont"/>
    <w:link w:val="Header"/>
    <w:rsid w:val="00AF1295"/>
  </w:style>
  <w:style w:type="paragraph" w:styleId="Footer">
    <w:name w:val="footer"/>
    <w:basedOn w:val="Normal"/>
    <w:link w:val="FooterChar"/>
    <w:uiPriority w:val="99"/>
    <w:unhideWhenUsed/>
    <w:rsid w:val="00AF1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295"/>
  </w:style>
  <w:style w:type="paragraph" w:customStyle="1" w:styleId="HSR">
    <w:name w:val="HSR"/>
    <w:aliases w:val="Subregulation Heading"/>
    <w:basedOn w:val="Normal"/>
    <w:next w:val="Normal"/>
    <w:rsid w:val="00591881"/>
    <w:pPr>
      <w:keepNext/>
      <w:spacing w:before="300" w:after="0" w:line="240" w:lineRule="auto"/>
      <w:ind w:left="964"/>
    </w:pPr>
    <w:rPr>
      <w:rFonts w:ascii="Arial" w:eastAsia="Times New Roman" w:hAnsi="Arial" w:cs="Times New Roman"/>
      <w:i/>
      <w:sz w:val="24"/>
      <w:szCs w:val="24"/>
    </w:rPr>
  </w:style>
  <w:style w:type="paragraph" w:customStyle="1" w:styleId="Note">
    <w:name w:val="Note"/>
    <w:basedOn w:val="Normal"/>
    <w:rsid w:val="00591881"/>
    <w:pPr>
      <w:spacing w:before="120" w:after="0" w:line="221" w:lineRule="auto"/>
      <w:ind w:left="964"/>
      <w:jc w:val="both"/>
    </w:pPr>
    <w:rPr>
      <w:rFonts w:ascii="Times New Roman" w:eastAsia="Times New Roman" w:hAnsi="Times New Roman" w:cs="Times New Roman"/>
      <w:sz w:val="20"/>
      <w:szCs w:val="24"/>
      <w:lang w:eastAsia="en-AU"/>
    </w:rPr>
  </w:style>
  <w:style w:type="paragraph" w:customStyle="1" w:styleId="P1">
    <w:name w:val="P1"/>
    <w:aliases w:val="(a)"/>
    <w:basedOn w:val="Normal"/>
    <w:link w:val="P1Char"/>
    <w:rsid w:val="00591881"/>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P2">
    <w:name w:val="P2"/>
    <w:aliases w:val="(i)"/>
    <w:basedOn w:val="Normal"/>
    <w:link w:val="P2Char"/>
    <w:rsid w:val="00591881"/>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rPr>
  </w:style>
  <w:style w:type="paragraph" w:customStyle="1" w:styleId="R2">
    <w:name w:val="R2"/>
    <w:aliases w:val="(2)"/>
    <w:basedOn w:val="Normal"/>
    <w:rsid w:val="00591881"/>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ZP1">
    <w:name w:val="ZP1"/>
    <w:basedOn w:val="P1"/>
    <w:rsid w:val="00591881"/>
    <w:pPr>
      <w:keepNext/>
    </w:pPr>
  </w:style>
  <w:style w:type="paragraph" w:customStyle="1" w:styleId="ZR1">
    <w:name w:val="ZR1"/>
    <w:basedOn w:val="Normal"/>
    <w:rsid w:val="00591881"/>
    <w:pPr>
      <w:keepNext/>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ZR2">
    <w:name w:val="ZR2"/>
    <w:basedOn w:val="R2"/>
    <w:rsid w:val="00591881"/>
    <w:pPr>
      <w:keepNext/>
    </w:pPr>
  </w:style>
  <w:style w:type="character" w:customStyle="1" w:styleId="P1Char">
    <w:name w:val="P1 Char"/>
    <w:aliases w:val="(a) Char"/>
    <w:basedOn w:val="DefaultParagraphFont"/>
    <w:link w:val="P1"/>
    <w:rsid w:val="00591881"/>
    <w:rPr>
      <w:rFonts w:ascii="Times New Roman" w:eastAsia="Times New Roman" w:hAnsi="Times New Roman" w:cs="Times New Roman"/>
      <w:sz w:val="24"/>
      <w:szCs w:val="24"/>
    </w:rPr>
  </w:style>
  <w:style w:type="character" w:customStyle="1" w:styleId="P2Char">
    <w:name w:val="P2 Char"/>
    <w:aliases w:val="(i) Char"/>
    <w:basedOn w:val="DefaultParagraphFont"/>
    <w:link w:val="P2"/>
    <w:rsid w:val="00591881"/>
    <w:rPr>
      <w:rFonts w:ascii="Times New Roman" w:eastAsia="Times New Roman" w:hAnsi="Times New Roman" w:cs="Times New Roman"/>
      <w:sz w:val="24"/>
      <w:szCs w:val="24"/>
    </w:rPr>
  </w:style>
  <w:style w:type="character" w:customStyle="1" w:styleId="CharAmSchNo">
    <w:name w:val="CharAmSchNo"/>
    <w:basedOn w:val="DefaultParagraphFont"/>
    <w:rsid w:val="00CA3237"/>
  </w:style>
  <w:style w:type="character" w:customStyle="1" w:styleId="CharAmSchText">
    <w:name w:val="CharAmSchText"/>
    <w:basedOn w:val="DefaultParagraphFont"/>
    <w:rsid w:val="00CA3237"/>
  </w:style>
  <w:style w:type="character" w:customStyle="1" w:styleId="CharSchPTNo">
    <w:name w:val="CharSchPTNo"/>
    <w:basedOn w:val="DefaultParagraphFont"/>
    <w:rsid w:val="00CA3237"/>
  </w:style>
  <w:style w:type="character" w:customStyle="1" w:styleId="CharSchPTText">
    <w:name w:val="CharSchPTText"/>
    <w:basedOn w:val="DefaultParagraphFont"/>
    <w:rsid w:val="00CA3237"/>
  </w:style>
  <w:style w:type="paragraph" w:customStyle="1" w:styleId="ScheduleHeading">
    <w:name w:val="Schedule Heading"/>
    <w:basedOn w:val="Normal"/>
    <w:next w:val="Normal"/>
    <w:rsid w:val="00CA3237"/>
    <w:pPr>
      <w:keepNext/>
      <w:keepLines/>
      <w:spacing w:before="360" w:after="0" w:line="240" w:lineRule="auto"/>
      <w:ind w:left="964" w:hanging="964"/>
    </w:pPr>
    <w:rPr>
      <w:rFonts w:ascii="Arial" w:eastAsia="Times New Roman" w:hAnsi="Arial" w:cs="Times New Roman"/>
      <w:b/>
      <w:sz w:val="24"/>
      <w:szCs w:val="24"/>
    </w:rPr>
  </w:style>
  <w:style w:type="paragraph" w:customStyle="1" w:styleId="Schedulepara">
    <w:name w:val="Schedule para"/>
    <w:basedOn w:val="Normal"/>
    <w:rsid w:val="00CA3237"/>
    <w:pPr>
      <w:tabs>
        <w:tab w:val="right" w:pos="567"/>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Schedulereference">
    <w:name w:val="Schedule reference"/>
    <w:basedOn w:val="Normal"/>
    <w:next w:val="Normal"/>
    <w:rsid w:val="00CA3237"/>
    <w:pPr>
      <w:keepNext/>
      <w:keepLines/>
      <w:spacing w:before="60" w:after="0" w:line="200" w:lineRule="exact"/>
      <w:ind w:left="2410"/>
    </w:pPr>
    <w:rPr>
      <w:rFonts w:ascii="Arial" w:eastAsia="Times New Roman" w:hAnsi="Arial" w:cs="Times New Roman"/>
      <w:sz w:val="18"/>
      <w:szCs w:val="24"/>
    </w:rPr>
  </w:style>
  <w:style w:type="paragraph" w:customStyle="1" w:styleId="Scheduletitle">
    <w:name w:val="Schedule title"/>
    <w:basedOn w:val="Normal"/>
    <w:next w:val="Schedulereference"/>
    <w:rsid w:val="00CA3237"/>
    <w:pPr>
      <w:keepNext/>
      <w:keepLines/>
      <w:pageBreakBefore/>
      <w:spacing w:before="480" w:after="0" w:line="240" w:lineRule="auto"/>
      <w:ind w:left="2410" w:hanging="2410"/>
    </w:pPr>
    <w:rPr>
      <w:rFonts w:ascii="Arial" w:eastAsia="Times New Roman" w:hAnsi="Arial" w:cs="Times New Roman"/>
      <w:b/>
      <w:sz w:val="32"/>
      <w:szCs w:val="24"/>
    </w:rPr>
  </w:style>
  <w:style w:type="paragraph" w:styleId="ListNumber">
    <w:name w:val="List Number"/>
    <w:basedOn w:val="Normal"/>
    <w:uiPriority w:val="99"/>
    <w:unhideWhenUsed/>
    <w:rsid w:val="003A21E8"/>
    <w:pPr>
      <w:numPr>
        <w:numId w:val="14"/>
      </w:numPr>
      <w:contextualSpacing/>
    </w:pPr>
  </w:style>
  <w:style w:type="paragraph" w:customStyle="1" w:styleId="HR">
    <w:name w:val="HR"/>
    <w:aliases w:val="Regulation Heading"/>
    <w:basedOn w:val="Normal"/>
    <w:next w:val="Normal"/>
    <w:rsid w:val="009C07B6"/>
    <w:pPr>
      <w:keepNext/>
      <w:spacing w:before="360" w:after="0" w:line="240" w:lineRule="auto"/>
      <w:ind w:left="964" w:hanging="964"/>
    </w:pPr>
    <w:rPr>
      <w:rFonts w:ascii="Arial" w:eastAsia="Times New Roman" w:hAnsi="Arial" w:cs="Times New Roman"/>
      <w:b/>
      <w:sz w:val="24"/>
      <w:szCs w:val="24"/>
    </w:rPr>
  </w:style>
  <w:style w:type="character" w:customStyle="1" w:styleId="R1Char">
    <w:name w:val="R1 Char"/>
    <w:aliases w:val="1. or 1.(1) Char"/>
    <w:basedOn w:val="DefaultParagraphFont"/>
    <w:link w:val="R1"/>
    <w:locked/>
    <w:rsid w:val="009C07B6"/>
    <w:rPr>
      <w:sz w:val="24"/>
      <w:szCs w:val="24"/>
    </w:rPr>
  </w:style>
  <w:style w:type="paragraph" w:customStyle="1" w:styleId="R1">
    <w:name w:val="R1"/>
    <w:aliases w:val="1. or 1.(1)"/>
    <w:basedOn w:val="Normal"/>
    <w:next w:val="Normal"/>
    <w:link w:val="R1Char"/>
    <w:rsid w:val="009C07B6"/>
    <w:pPr>
      <w:keepLines/>
      <w:tabs>
        <w:tab w:val="right" w:pos="794"/>
      </w:tabs>
      <w:spacing w:before="120" w:after="0" w:line="260" w:lineRule="exact"/>
      <w:ind w:left="964" w:hanging="964"/>
      <w:jc w:val="both"/>
    </w:pPr>
    <w:rPr>
      <w:sz w:val="24"/>
      <w:szCs w:val="24"/>
    </w:rPr>
  </w:style>
  <w:style w:type="character" w:customStyle="1" w:styleId="CharSectno">
    <w:name w:val="CharSectno"/>
    <w:basedOn w:val="DefaultParagraphFont"/>
    <w:rsid w:val="009C07B6"/>
  </w:style>
  <w:style w:type="character" w:styleId="CommentReference">
    <w:name w:val="annotation reference"/>
    <w:basedOn w:val="DefaultParagraphFont"/>
    <w:uiPriority w:val="99"/>
    <w:semiHidden/>
    <w:unhideWhenUsed/>
    <w:rsid w:val="0033051D"/>
    <w:rPr>
      <w:sz w:val="16"/>
      <w:szCs w:val="16"/>
    </w:rPr>
  </w:style>
  <w:style w:type="paragraph" w:styleId="CommentText">
    <w:name w:val="annotation text"/>
    <w:basedOn w:val="Normal"/>
    <w:link w:val="CommentTextChar"/>
    <w:uiPriority w:val="99"/>
    <w:semiHidden/>
    <w:unhideWhenUsed/>
    <w:rsid w:val="0033051D"/>
    <w:pPr>
      <w:spacing w:line="240" w:lineRule="auto"/>
    </w:pPr>
    <w:rPr>
      <w:sz w:val="20"/>
      <w:szCs w:val="20"/>
    </w:rPr>
  </w:style>
  <w:style w:type="character" w:customStyle="1" w:styleId="CommentTextChar">
    <w:name w:val="Comment Text Char"/>
    <w:basedOn w:val="DefaultParagraphFont"/>
    <w:link w:val="CommentText"/>
    <w:uiPriority w:val="99"/>
    <w:semiHidden/>
    <w:rsid w:val="0033051D"/>
    <w:rPr>
      <w:sz w:val="20"/>
      <w:szCs w:val="20"/>
    </w:rPr>
  </w:style>
  <w:style w:type="paragraph" w:styleId="CommentSubject">
    <w:name w:val="annotation subject"/>
    <w:basedOn w:val="CommentText"/>
    <w:next w:val="CommentText"/>
    <w:link w:val="CommentSubjectChar"/>
    <w:uiPriority w:val="99"/>
    <w:semiHidden/>
    <w:unhideWhenUsed/>
    <w:rsid w:val="0033051D"/>
    <w:rPr>
      <w:b/>
      <w:bCs/>
    </w:rPr>
  </w:style>
  <w:style w:type="character" w:customStyle="1" w:styleId="CommentSubjectChar">
    <w:name w:val="Comment Subject Char"/>
    <w:basedOn w:val="CommentTextChar"/>
    <w:link w:val="CommentSubject"/>
    <w:uiPriority w:val="99"/>
    <w:semiHidden/>
    <w:rsid w:val="0033051D"/>
    <w:rPr>
      <w:b/>
      <w:bCs/>
      <w:sz w:val="20"/>
      <w:szCs w:val="20"/>
    </w:rPr>
  </w:style>
  <w:style w:type="table" w:styleId="TableGrid">
    <w:name w:val="Table Grid"/>
    <w:basedOn w:val="TableNormal"/>
    <w:uiPriority w:val="59"/>
    <w:rsid w:val="00943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ulletList">
    <w:name w:val="Bullet List"/>
    <w:uiPriority w:val="99"/>
    <w:rsid w:val="00D20D3E"/>
    <w:pPr>
      <w:numPr>
        <w:numId w:val="23"/>
      </w:numPr>
    </w:pPr>
  </w:style>
  <w:style w:type="paragraph" w:styleId="ListBullet">
    <w:name w:val="List Bullet"/>
    <w:basedOn w:val="Normal"/>
    <w:uiPriority w:val="99"/>
    <w:unhideWhenUsed/>
    <w:qFormat/>
    <w:rsid w:val="00D20D3E"/>
    <w:pPr>
      <w:numPr>
        <w:numId w:val="24"/>
      </w:numPr>
    </w:pPr>
    <w:rPr>
      <w:rFonts w:ascii="Arial" w:eastAsia="Calibri" w:hAnsi="Arial" w:cs="Times New Roman"/>
    </w:rPr>
  </w:style>
  <w:style w:type="paragraph" w:styleId="ListBullet2">
    <w:name w:val="List Bullet 2"/>
    <w:basedOn w:val="Normal"/>
    <w:uiPriority w:val="99"/>
    <w:unhideWhenUsed/>
    <w:rsid w:val="00D20D3E"/>
    <w:pPr>
      <w:numPr>
        <w:ilvl w:val="1"/>
        <w:numId w:val="24"/>
      </w:numPr>
    </w:pPr>
    <w:rPr>
      <w:rFonts w:ascii="Arial" w:eastAsia="Calibri" w:hAnsi="Arial" w:cs="Times New Roman"/>
    </w:rPr>
  </w:style>
  <w:style w:type="paragraph" w:styleId="ListBullet3">
    <w:name w:val="List Bullet 3"/>
    <w:basedOn w:val="Normal"/>
    <w:uiPriority w:val="99"/>
    <w:unhideWhenUsed/>
    <w:rsid w:val="00D20D3E"/>
    <w:pPr>
      <w:numPr>
        <w:ilvl w:val="2"/>
        <w:numId w:val="24"/>
      </w:numPr>
    </w:pPr>
    <w:rPr>
      <w:rFonts w:ascii="Arial" w:eastAsia="Calibri" w:hAnsi="Arial" w:cs="Times New Roman"/>
    </w:rPr>
  </w:style>
  <w:style w:type="paragraph" w:styleId="ListBullet4">
    <w:name w:val="List Bullet 4"/>
    <w:basedOn w:val="Normal"/>
    <w:uiPriority w:val="99"/>
    <w:unhideWhenUsed/>
    <w:rsid w:val="00D20D3E"/>
    <w:pPr>
      <w:numPr>
        <w:ilvl w:val="3"/>
        <w:numId w:val="24"/>
      </w:numPr>
    </w:pPr>
    <w:rPr>
      <w:rFonts w:ascii="Arial" w:eastAsia="Calibri" w:hAnsi="Arial" w:cs="Times New Roman"/>
    </w:rPr>
  </w:style>
  <w:style w:type="paragraph" w:styleId="ListBullet5">
    <w:name w:val="List Bullet 5"/>
    <w:basedOn w:val="Normal"/>
    <w:uiPriority w:val="99"/>
    <w:unhideWhenUsed/>
    <w:rsid w:val="00D20D3E"/>
    <w:pPr>
      <w:numPr>
        <w:ilvl w:val="4"/>
        <w:numId w:val="24"/>
      </w:numPr>
    </w:pPr>
    <w:rPr>
      <w:rFonts w:ascii="Arial" w:eastAsia="Calibri" w:hAnsi="Arial" w:cs="Times New Roman"/>
    </w:rPr>
  </w:style>
  <w:style w:type="paragraph" w:customStyle="1" w:styleId="Footnote">
    <w:name w:val="Footnote"/>
    <w:basedOn w:val="FootnoteText"/>
    <w:link w:val="FootnoteChar"/>
    <w:qFormat/>
    <w:rsid w:val="00123AD8"/>
    <w:rPr>
      <w:rFonts w:asciiTheme="minorHAnsi" w:hAnsiTheme="minorHAnsi" w:cstheme="minorHAnsi"/>
      <w:sz w:val="18"/>
      <w:szCs w:val="18"/>
    </w:rPr>
  </w:style>
  <w:style w:type="character" w:styleId="FollowedHyperlink">
    <w:name w:val="FollowedHyperlink"/>
    <w:basedOn w:val="DefaultParagraphFont"/>
    <w:uiPriority w:val="99"/>
    <w:semiHidden/>
    <w:unhideWhenUsed/>
    <w:rsid w:val="00BC0D02"/>
    <w:rPr>
      <w:color w:val="800080" w:themeColor="followedHyperlink"/>
      <w:u w:val="single"/>
    </w:rPr>
  </w:style>
  <w:style w:type="character" w:customStyle="1" w:styleId="FootnoteChar">
    <w:name w:val="Footnote Char"/>
    <w:basedOn w:val="FootnoteTextChar"/>
    <w:link w:val="Footnote"/>
    <w:rsid w:val="00123AD8"/>
    <w:rPr>
      <w:rFonts w:ascii="Arial" w:eastAsia="Calibri" w:hAnsi="Arial" w:cstheme="minorHAnsi"/>
      <w:sz w:val="18"/>
      <w:szCs w:val="18"/>
    </w:rPr>
  </w:style>
  <w:style w:type="paragraph" w:styleId="Revision">
    <w:name w:val="Revision"/>
    <w:hidden/>
    <w:uiPriority w:val="99"/>
    <w:semiHidden/>
    <w:rsid w:val="000F742B"/>
    <w:pPr>
      <w:spacing w:after="0" w:line="240" w:lineRule="auto"/>
    </w:pPr>
  </w:style>
  <w:style w:type="paragraph" w:styleId="HTMLPreformatted">
    <w:name w:val="HTML Preformatted"/>
    <w:basedOn w:val="Normal"/>
    <w:link w:val="HTMLPreformattedChar"/>
    <w:uiPriority w:val="99"/>
    <w:semiHidden/>
    <w:unhideWhenUsed/>
    <w:rsid w:val="009C6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9C681D"/>
    <w:rPr>
      <w:rFonts w:ascii="Courier New" w:eastAsia="Times New Roman" w:hAnsi="Courier New" w:cs="Courier New"/>
      <w:sz w:val="20"/>
      <w:szCs w:val="20"/>
      <w:lang w:eastAsia="en-AU"/>
    </w:rPr>
  </w:style>
  <w:style w:type="paragraph" w:styleId="NormalWeb">
    <w:name w:val="Normal (Web)"/>
    <w:basedOn w:val="Normal"/>
    <w:uiPriority w:val="99"/>
    <w:semiHidden/>
    <w:unhideWhenUsed/>
    <w:rsid w:val="00E53A4F"/>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LightShading-Accent1">
    <w:name w:val="Light Shading Accent 1"/>
    <w:basedOn w:val="TableNormal"/>
    <w:uiPriority w:val="60"/>
    <w:rsid w:val="00CD26D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ndnoteReference">
    <w:name w:val="endnote reference"/>
    <w:basedOn w:val="DefaultParagraphFont"/>
    <w:uiPriority w:val="99"/>
    <w:semiHidden/>
    <w:unhideWhenUsed/>
    <w:rsid w:val="00AD535F"/>
    <w:rPr>
      <w:vertAlign w:val="superscript"/>
    </w:rPr>
  </w:style>
</w:styles>
</file>

<file path=word/webSettings.xml><?xml version="1.0" encoding="utf-8"?>
<w:webSettings xmlns:r="http://schemas.openxmlformats.org/officeDocument/2006/relationships" xmlns:w="http://schemas.openxmlformats.org/wordprocessingml/2006/main">
  <w:divs>
    <w:div w:id="22021634">
      <w:bodyDiv w:val="1"/>
      <w:marLeft w:val="0"/>
      <w:marRight w:val="0"/>
      <w:marTop w:val="0"/>
      <w:marBottom w:val="0"/>
      <w:divBdr>
        <w:top w:val="none" w:sz="0" w:space="0" w:color="auto"/>
        <w:left w:val="none" w:sz="0" w:space="0" w:color="auto"/>
        <w:bottom w:val="none" w:sz="0" w:space="0" w:color="auto"/>
        <w:right w:val="none" w:sz="0" w:space="0" w:color="auto"/>
      </w:divBdr>
    </w:div>
    <w:div w:id="187725085">
      <w:bodyDiv w:val="1"/>
      <w:marLeft w:val="0"/>
      <w:marRight w:val="0"/>
      <w:marTop w:val="0"/>
      <w:marBottom w:val="0"/>
      <w:divBdr>
        <w:top w:val="none" w:sz="0" w:space="0" w:color="auto"/>
        <w:left w:val="none" w:sz="0" w:space="0" w:color="auto"/>
        <w:bottom w:val="none" w:sz="0" w:space="0" w:color="auto"/>
        <w:right w:val="none" w:sz="0" w:space="0" w:color="auto"/>
      </w:divBdr>
      <w:divsChild>
        <w:div w:id="983125651">
          <w:marLeft w:val="0"/>
          <w:marRight w:val="0"/>
          <w:marTop w:val="0"/>
          <w:marBottom w:val="0"/>
          <w:divBdr>
            <w:top w:val="none" w:sz="0" w:space="0" w:color="auto"/>
            <w:left w:val="none" w:sz="0" w:space="0" w:color="auto"/>
            <w:bottom w:val="none" w:sz="0" w:space="0" w:color="auto"/>
            <w:right w:val="none" w:sz="0" w:space="0" w:color="auto"/>
          </w:divBdr>
          <w:divsChild>
            <w:div w:id="1803572895">
              <w:marLeft w:val="0"/>
              <w:marRight w:val="0"/>
              <w:marTop w:val="0"/>
              <w:marBottom w:val="0"/>
              <w:divBdr>
                <w:top w:val="none" w:sz="0" w:space="0" w:color="auto"/>
                <w:left w:val="none" w:sz="0" w:space="0" w:color="auto"/>
                <w:bottom w:val="none" w:sz="0" w:space="0" w:color="auto"/>
                <w:right w:val="none" w:sz="0" w:space="0" w:color="auto"/>
              </w:divBdr>
              <w:divsChild>
                <w:div w:id="1026054260">
                  <w:marLeft w:val="0"/>
                  <w:marRight w:val="0"/>
                  <w:marTop w:val="0"/>
                  <w:marBottom w:val="0"/>
                  <w:divBdr>
                    <w:top w:val="none" w:sz="0" w:space="0" w:color="auto"/>
                    <w:left w:val="none" w:sz="0" w:space="0" w:color="auto"/>
                    <w:bottom w:val="none" w:sz="0" w:space="0" w:color="auto"/>
                    <w:right w:val="none" w:sz="0" w:space="0" w:color="auto"/>
                  </w:divBdr>
                  <w:divsChild>
                    <w:div w:id="375470886">
                      <w:marLeft w:val="0"/>
                      <w:marRight w:val="0"/>
                      <w:marTop w:val="0"/>
                      <w:marBottom w:val="0"/>
                      <w:divBdr>
                        <w:top w:val="none" w:sz="0" w:space="0" w:color="auto"/>
                        <w:left w:val="none" w:sz="0" w:space="0" w:color="auto"/>
                        <w:bottom w:val="none" w:sz="0" w:space="0" w:color="auto"/>
                        <w:right w:val="none" w:sz="0" w:space="0" w:color="auto"/>
                      </w:divBdr>
                      <w:divsChild>
                        <w:div w:id="859121460">
                          <w:marLeft w:val="0"/>
                          <w:marRight w:val="0"/>
                          <w:marTop w:val="0"/>
                          <w:marBottom w:val="0"/>
                          <w:divBdr>
                            <w:top w:val="single" w:sz="6" w:space="0" w:color="828282"/>
                            <w:left w:val="single" w:sz="6" w:space="0" w:color="828282"/>
                            <w:bottom w:val="single" w:sz="6" w:space="0" w:color="828282"/>
                            <w:right w:val="single" w:sz="6" w:space="0" w:color="828282"/>
                          </w:divBdr>
                          <w:divsChild>
                            <w:div w:id="404032841">
                              <w:marLeft w:val="0"/>
                              <w:marRight w:val="0"/>
                              <w:marTop w:val="0"/>
                              <w:marBottom w:val="0"/>
                              <w:divBdr>
                                <w:top w:val="none" w:sz="0" w:space="0" w:color="auto"/>
                                <w:left w:val="none" w:sz="0" w:space="0" w:color="auto"/>
                                <w:bottom w:val="none" w:sz="0" w:space="0" w:color="auto"/>
                                <w:right w:val="none" w:sz="0" w:space="0" w:color="auto"/>
                              </w:divBdr>
                              <w:divsChild>
                                <w:div w:id="600723409">
                                  <w:marLeft w:val="0"/>
                                  <w:marRight w:val="0"/>
                                  <w:marTop w:val="0"/>
                                  <w:marBottom w:val="0"/>
                                  <w:divBdr>
                                    <w:top w:val="none" w:sz="0" w:space="0" w:color="auto"/>
                                    <w:left w:val="none" w:sz="0" w:space="0" w:color="auto"/>
                                    <w:bottom w:val="none" w:sz="0" w:space="0" w:color="auto"/>
                                    <w:right w:val="none" w:sz="0" w:space="0" w:color="auto"/>
                                  </w:divBdr>
                                  <w:divsChild>
                                    <w:div w:id="1542791360">
                                      <w:marLeft w:val="0"/>
                                      <w:marRight w:val="0"/>
                                      <w:marTop w:val="0"/>
                                      <w:marBottom w:val="0"/>
                                      <w:divBdr>
                                        <w:top w:val="none" w:sz="0" w:space="0" w:color="auto"/>
                                        <w:left w:val="none" w:sz="0" w:space="0" w:color="auto"/>
                                        <w:bottom w:val="none" w:sz="0" w:space="0" w:color="auto"/>
                                        <w:right w:val="none" w:sz="0" w:space="0" w:color="auto"/>
                                      </w:divBdr>
                                      <w:divsChild>
                                        <w:div w:id="869952028">
                                          <w:marLeft w:val="0"/>
                                          <w:marRight w:val="0"/>
                                          <w:marTop w:val="0"/>
                                          <w:marBottom w:val="0"/>
                                          <w:divBdr>
                                            <w:top w:val="none" w:sz="0" w:space="0" w:color="auto"/>
                                            <w:left w:val="none" w:sz="0" w:space="0" w:color="auto"/>
                                            <w:bottom w:val="none" w:sz="0" w:space="0" w:color="auto"/>
                                            <w:right w:val="none" w:sz="0" w:space="0" w:color="auto"/>
                                          </w:divBdr>
                                          <w:divsChild>
                                            <w:div w:id="1740707376">
                                              <w:marLeft w:val="0"/>
                                              <w:marRight w:val="0"/>
                                              <w:marTop w:val="0"/>
                                              <w:marBottom w:val="0"/>
                                              <w:divBdr>
                                                <w:top w:val="none" w:sz="0" w:space="0" w:color="auto"/>
                                                <w:left w:val="none" w:sz="0" w:space="0" w:color="auto"/>
                                                <w:bottom w:val="none" w:sz="0" w:space="0" w:color="auto"/>
                                                <w:right w:val="none" w:sz="0" w:space="0" w:color="auto"/>
                                              </w:divBdr>
                                              <w:divsChild>
                                                <w:div w:id="14154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177883">
      <w:bodyDiv w:val="1"/>
      <w:marLeft w:val="0"/>
      <w:marRight w:val="0"/>
      <w:marTop w:val="0"/>
      <w:marBottom w:val="0"/>
      <w:divBdr>
        <w:top w:val="none" w:sz="0" w:space="0" w:color="auto"/>
        <w:left w:val="none" w:sz="0" w:space="0" w:color="auto"/>
        <w:bottom w:val="none" w:sz="0" w:space="0" w:color="auto"/>
        <w:right w:val="none" w:sz="0" w:space="0" w:color="auto"/>
      </w:divBdr>
    </w:div>
    <w:div w:id="351615634">
      <w:bodyDiv w:val="1"/>
      <w:marLeft w:val="0"/>
      <w:marRight w:val="0"/>
      <w:marTop w:val="0"/>
      <w:marBottom w:val="0"/>
      <w:divBdr>
        <w:top w:val="none" w:sz="0" w:space="0" w:color="auto"/>
        <w:left w:val="none" w:sz="0" w:space="0" w:color="auto"/>
        <w:bottom w:val="none" w:sz="0" w:space="0" w:color="auto"/>
        <w:right w:val="none" w:sz="0" w:space="0" w:color="auto"/>
      </w:divBdr>
    </w:div>
    <w:div w:id="466165046">
      <w:bodyDiv w:val="1"/>
      <w:marLeft w:val="0"/>
      <w:marRight w:val="0"/>
      <w:marTop w:val="0"/>
      <w:marBottom w:val="0"/>
      <w:divBdr>
        <w:top w:val="none" w:sz="0" w:space="0" w:color="auto"/>
        <w:left w:val="none" w:sz="0" w:space="0" w:color="auto"/>
        <w:bottom w:val="none" w:sz="0" w:space="0" w:color="auto"/>
        <w:right w:val="none" w:sz="0" w:space="0" w:color="auto"/>
      </w:divBdr>
    </w:div>
    <w:div w:id="592782252">
      <w:bodyDiv w:val="1"/>
      <w:marLeft w:val="0"/>
      <w:marRight w:val="0"/>
      <w:marTop w:val="0"/>
      <w:marBottom w:val="0"/>
      <w:divBdr>
        <w:top w:val="none" w:sz="0" w:space="0" w:color="auto"/>
        <w:left w:val="none" w:sz="0" w:space="0" w:color="auto"/>
        <w:bottom w:val="none" w:sz="0" w:space="0" w:color="auto"/>
        <w:right w:val="none" w:sz="0" w:space="0" w:color="auto"/>
      </w:divBdr>
    </w:div>
    <w:div w:id="719284334">
      <w:bodyDiv w:val="1"/>
      <w:marLeft w:val="0"/>
      <w:marRight w:val="0"/>
      <w:marTop w:val="0"/>
      <w:marBottom w:val="0"/>
      <w:divBdr>
        <w:top w:val="none" w:sz="0" w:space="0" w:color="auto"/>
        <w:left w:val="none" w:sz="0" w:space="0" w:color="auto"/>
        <w:bottom w:val="none" w:sz="0" w:space="0" w:color="auto"/>
        <w:right w:val="none" w:sz="0" w:space="0" w:color="auto"/>
      </w:divBdr>
      <w:divsChild>
        <w:div w:id="580987254">
          <w:marLeft w:val="0"/>
          <w:marRight w:val="0"/>
          <w:marTop w:val="0"/>
          <w:marBottom w:val="0"/>
          <w:divBdr>
            <w:top w:val="none" w:sz="0" w:space="0" w:color="auto"/>
            <w:left w:val="none" w:sz="0" w:space="0" w:color="auto"/>
            <w:bottom w:val="none" w:sz="0" w:space="0" w:color="auto"/>
            <w:right w:val="none" w:sz="0" w:space="0" w:color="auto"/>
          </w:divBdr>
        </w:div>
      </w:divsChild>
    </w:div>
    <w:div w:id="723337718">
      <w:bodyDiv w:val="1"/>
      <w:marLeft w:val="0"/>
      <w:marRight w:val="0"/>
      <w:marTop w:val="0"/>
      <w:marBottom w:val="0"/>
      <w:divBdr>
        <w:top w:val="none" w:sz="0" w:space="0" w:color="auto"/>
        <w:left w:val="none" w:sz="0" w:space="0" w:color="auto"/>
        <w:bottom w:val="none" w:sz="0" w:space="0" w:color="auto"/>
        <w:right w:val="none" w:sz="0" w:space="0" w:color="auto"/>
      </w:divBdr>
    </w:div>
    <w:div w:id="808015489">
      <w:bodyDiv w:val="1"/>
      <w:marLeft w:val="0"/>
      <w:marRight w:val="0"/>
      <w:marTop w:val="0"/>
      <w:marBottom w:val="0"/>
      <w:divBdr>
        <w:top w:val="none" w:sz="0" w:space="0" w:color="auto"/>
        <w:left w:val="none" w:sz="0" w:space="0" w:color="auto"/>
        <w:bottom w:val="none" w:sz="0" w:space="0" w:color="auto"/>
        <w:right w:val="none" w:sz="0" w:space="0" w:color="auto"/>
      </w:divBdr>
    </w:div>
    <w:div w:id="871117618">
      <w:bodyDiv w:val="1"/>
      <w:marLeft w:val="0"/>
      <w:marRight w:val="0"/>
      <w:marTop w:val="0"/>
      <w:marBottom w:val="0"/>
      <w:divBdr>
        <w:top w:val="none" w:sz="0" w:space="0" w:color="auto"/>
        <w:left w:val="none" w:sz="0" w:space="0" w:color="auto"/>
        <w:bottom w:val="none" w:sz="0" w:space="0" w:color="auto"/>
        <w:right w:val="none" w:sz="0" w:space="0" w:color="auto"/>
      </w:divBdr>
    </w:div>
    <w:div w:id="915166657">
      <w:bodyDiv w:val="1"/>
      <w:marLeft w:val="0"/>
      <w:marRight w:val="0"/>
      <w:marTop w:val="0"/>
      <w:marBottom w:val="0"/>
      <w:divBdr>
        <w:top w:val="none" w:sz="0" w:space="0" w:color="auto"/>
        <w:left w:val="none" w:sz="0" w:space="0" w:color="auto"/>
        <w:bottom w:val="none" w:sz="0" w:space="0" w:color="auto"/>
        <w:right w:val="none" w:sz="0" w:space="0" w:color="auto"/>
      </w:divBdr>
      <w:divsChild>
        <w:div w:id="1648432187">
          <w:marLeft w:val="0"/>
          <w:marRight w:val="0"/>
          <w:marTop w:val="0"/>
          <w:marBottom w:val="0"/>
          <w:divBdr>
            <w:top w:val="none" w:sz="0" w:space="0" w:color="auto"/>
            <w:left w:val="none" w:sz="0" w:space="0" w:color="auto"/>
            <w:bottom w:val="none" w:sz="0" w:space="0" w:color="auto"/>
            <w:right w:val="none" w:sz="0" w:space="0" w:color="auto"/>
          </w:divBdr>
        </w:div>
      </w:divsChild>
    </w:div>
    <w:div w:id="957107533">
      <w:bodyDiv w:val="1"/>
      <w:marLeft w:val="0"/>
      <w:marRight w:val="0"/>
      <w:marTop w:val="0"/>
      <w:marBottom w:val="0"/>
      <w:divBdr>
        <w:top w:val="none" w:sz="0" w:space="0" w:color="auto"/>
        <w:left w:val="none" w:sz="0" w:space="0" w:color="auto"/>
        <w:bottom w:val="none" w:sz="0" w:space="0" w:color="auto"/>
        <w:right w:val="none" w:sz="0" w:space="0" w:color="auto"/>
      </w:divBdr>
    </w:div>
    <w:div w:id="973950085">
      <w:bodyDiv w:val="1"/>
      <w:marLeft w:val="0"/>
      <w:marRight w:val="0"/>
      <w:marTop w:val="0"/>
      <w:marBottom w:val="0"/>
      <w:divBdr>
        <w:top w:val="none" w:sz="0" w:space="0" w:color="auto"/>
        <w:left w:val="none" w:sz="0" w:space="0" w:color="auto"/>
        <w:bottom w:val="none" w:sz="0" w:space="0" w:color="auto"/>
        <w:right w:val="none" w:sz="0" w:space="0" w:color="auto"/>
      </w:divBdr>
    </w:div>
    <w:div w:id="1301496487">
      <w:bodyDiv w:val="1"/>
      <w:marLeft w:val="0"/>
      <w:marRight w:val="0"/>
      <w:marTop w:val="0"/>
      <w:marBottom w:val="0"/>
      <w:divBdr>
        <w:top w:val="none" w:sz="0" w:space="0" w:color="auto"/>
        <w:left w:val="none" w:sz="0" w:space="0" w:color="auto"/>
        <w:bottom w:val="none" w:sz="0" w:space="0" w:color="auto"/>
        <w:right w:val="none" w:sz="0" w:space="0" w:color="auto"/>
      </w:divBdr>
    </w:div>
    <w:div w:id="1438479777">
      <w:bodyDiv w:val="1"/>
      <w:marLeft w:val="0"/>
      <w:marRight w:val="0"/>
      <w:marTop w:val="0"/>
      <w:marBottom w:val="0"/>
      <w:divBdr>
        <w:top w:val="none" w:sz="0" w:space="0" w:color="auto"/>
        <w:left w:val="none" w:sz="0" w:space="0" w:color="auto"/>
        <w:bottom w:val="none" w:sz="0" w:space="0" w:color="auto"/>
        <w:right w:val="none" w:sz="0" w:space="0" w:color="auto"/>
      </w:divBdr>
    </w:div>
    <w:div w:id="1491025397">
      <w:bodyDiv w:val="1"/>
      <w:marLeft w:val="0"/>
      <w:marRight w:val="0"/>
      <w:marTop w:val="0"/>
      <w:marBottom w:val="0"/>
      <w:divBdr>
        <w:top w:val="none" w:sz="0" w:space="0" w:color="auto"/>
        <w:left w:val="none" w:sz="0" w:space="0" w:color="auto"/>
        <w:bottom w:val="none" w:sz="0" w:space="0" w:color="auto"/>
        <w:right w:val="none" w:sz="0" w:space="0" w:color="auto"/>
      </w:divBdr>
    </w:div>
    <w:div w:id="1530794806">
      <w:bodyDiv w:val="1"/>
      <w:marLeft w:val="0"/>
      <w:marRight w:val="0"/>
      <w:marTop w:val="0"/>
      <w:marBottom w:val="0"/>
      <w:divBdr>
        <w:top w:val="none" w:sz="0" w:space="0" w:color="auto"/>
        <w:left w:val="none" w:sz="0" w:space="0" w:color="auto"/>
        <w:bottom w:val="none" w:sz="0" w:space="0" w:color="auto"/>
        <w:right w:val="none" w:sz="0" w:space="0" w:color="auto"/>
      </w:divBdr>
    </w:div>
    <w:div w:id="1546213911">
      <w:bodyDiv w:val="1"/>
      <w:marLeft w:val="0"/>
      <w:marRight w:val="0"/>
      <w:marTop w:val="0"/>
      <w:marBottom w:val="0"/>
      <w:divBdr>
        <w:top w:val="none" w:sz="0" w:space="0" w:color="auto"/>
        <w:left w:val="none" w:sz="0" w:space="0" w:color="auto"/>
        <w:bottom w:val="none" w:sz="0" w:space="0" w:color="auto"/>
        <w:right w:val="none" w:sz="0" w:space="0" w:color="auto"/>
      </w:divBdr>
    </w:div>
    <w:div w:id="1680500403">
      <w:bodyDiv w:val="1"/>
      <w:marLeft w:val="0"/>
      <w:marRight w:val="0"/>
      <w:marTop w:val="0"/>
      <w:marBottom w:val="0"/>
      <w:divBdr>
        <w:top w:val="none" w:sz="0" w:space="0" w:color="auto"/>
        <w:left w:val="none" w:sz="0" w:space="0" w:color="auto"/>
        <w:bottom w:val="none" w:sz="0" w:space="0" w:color="auto"/>
        <w:right w:val="none" w:sz="0" w:space="0" w:color="auto"/>
      </w:divBdr>
    </w:div>
    <w:div w:id="1755011334">
      <w:bodyDiv w:val="1"/>
      <w:marLeft w:val="0"/>
      <w:marRight w:val="0"/>
      <w:marTop w:val="0"/>
      <w:marBottom w:val="0"/>
      <w:divBdr>
        <w:top w:val="none" w:sz="0" w:space="0" w:color="auto"/>
        <w:left w:val="none" w:sz="0" w:space="0" w:color="auto"/>
        <w:bottom w:val="none" w:sz="0" w:space="0" w:color="auto"/>
        <w:right w:val="none" w:sz="0" w:space="0" w:color="auto"/>
      </w:divBdr>
    </w:div>
    <w:div w:id="2007829792">
      <w:bodyDiv w:val="1"/>
      <w:marLeft w:val="0"/>
      <w:marRight w:val="0"/>
      <w:marTop w:val="0"/>
      <w:marBottom w:val="0"/>
      <w:divBdr>
        <w:top w:val="none" w:sz="0" w:space="0" w:color="auto"/>
        <w:left w:val="none" w:sz="0" w:space="0" w:color="auto"/>
        <w:bottom w:val="none" w:sz="0" w:space="0" w:color="auto"/>
        <w:right w:val="none" w:sz="0" w:space="0" w:color="auto"/>
      </w:divBdr>
    </w:div>
    <w:div w:id="2077849558">
      <w:bodyDiv w:val="1"/>
      <w:marLeft w:val="0"/>
      <w:marRight w:val="0"/>
      <w:marTop w:val="0"/>
      <w:marBottom w:val="0"/>
      <w:divBdr>
        <w:top w:val="none" w:sz="0" w:space="0" w:color="auto"/>
        <w:left w:val="none" w:sz="0" w:space="0" w:color="auto"/>
        <w:bottom w:val="none" w:sz="0" w:space="0" w:color="auto"/>
        <w:right w:val="none" w:sz="0" w:space="0" w:color="auto"/>
      </w:divBdr>
      <w:divsChild>
        <w:div w:id="1839467751">
          <w:marLeft w:val="0"/>
          <w:marRight w:val="0"/>
          <w:marTop w:val="0"/>
          <w:marBottom w:val="0"/>
          <w:divBdr>
            <w:top w:val="none" w:sz="0" w:space="0" w:color="auto"/>
            <w:left w:val="none" w:sz="0" w:space="0" w:color="auto"/>
            <w:bottom w:val="none" w:sz="0" w:space="0" w:color="auto"/>
            <w:right w:val="none" w:sz="0" w:space="0" w:color="auto"/>
          </w:divBdr>
          <w:divsChild>
            <w:div w:id="872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ustlii.edu.au/au/legis/cth/consol_act/epabca1999588/s528.html" TargetMode="External"/><Relationship Id="rId18" Type="http://schemas.openxmlformats.org/officeDocument/2006/relationships/hyperlink" Target="http://www.austlii.edu.au/au/legis/cth/consol_act/epabca1999588/s528.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austlii.edu.au/au/legis/cth/consol_act/epabca1999588/s528.html" TargetMode="External"/><Relationship Id="rId7" Type="http://schemas.openxmlformats.org/officeDocument/2006/relationships/endnotes" Target="endnotes.xml"/><Relationship Id="rId12" Type="http://schemas.openxmlformats.org/officeDocument/2006/relationships/hyperlink" Target="http://www.austlii.edu.au/au/legis/cth/consol_act/epabca1999588/s528.html" TargetMode="External"/><Relationship Id="rId17" Type="http://schemas.openxmlformats.org/officeDocument/2006/relationships/hyperlink" Target="http://www.austlii.edu.au/au/legis/cth/consol_act/epabca1999588/s528.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ustlii.edu.au/au/legis/cth/consol_act/epabca1999588/s528.html" TargetMode="External"/><Relationship Id="rId20" Type="http://schemas.openxmlformats.org/officeDocument/2006/relationships/hyperlink" Target="http://www.austlii.edu.au/au/legis/cth/consol_act/epabca1999588/s528.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lii.edu.au/au/legis/cth/consol_act/epabca1999588/s528.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ustlii.edu.au/au/legis/cth/consol_act/epabca1999588/s528.html"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www.austlii.edu.au/au/legis/cth/consol_act/epabca1999588/s528.html" TargetMode="External"/><Relationship Id="rId19" Type="http://schemas.openxmlformats.org/officeDocument/2006/relationships/hyperlink" Target="http://www.austlii.edu.au/au/legis/cth/consol_act/epabca1999588/s528.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ustlii.edu.au/au/legis/cth/consol_act/epabca1999588/s528.html" TargetMode="External"/><Relationship Id="rId22" Type="http://schemas.openxmlformats.org/officeDocument/2006/relationships/hyperlink" Target="http://environment.gov.au/epbc/notices/assessments/great-barrier-reef.html" TargetMode="External"/><Relationship Id="rId27" Type="http://schemas.openxmlformats.org/officeDocument/2006/relationships/header" Target="header4.xml"/><Relationship Id="rId30" Type="http://schemas.microsoft.com/office/2007/relationships/stylesWithEffects" Target="stylesWithEffects.xml"/></Relationships>
</file>

<file path=word/_rels/endnotes.xml.rels><?xml version="1.0" encoding="UTF-8" standalone="yes"?>
<Relationships xmlns="http://schemas.openxmlformats.org/package/2006/relationships"><Relationship Id="rId8" Type="http://schemas.openxmlformats.org/officeDocument/2006/relationships/hyperlink" Target="http://www.environment.gov.au/water/topics/wetlands/ramsar-convention/australian-guidelines.html" TargetMode="External"/><Relationship Id="rId3" Type="http://schemas.openxmlformats.org/officeDocument/2006/relationships/hyperlink" Target="http://www.ramsar.org/cda/en/ramsar-documents-resol-resolution-ix-1-annex-a/main/ramsar/1-31-107%5E23536_4000_0__" TargetMode="External"/><Relationship Id="rId7" Type="http://schemas.openxmlformats.org/officeDocument/2006/relationships/hyperlink" Target="http://ramsar.wetlands.org/Database/Searchforsites/tabid/765/Default.aspx" TargetMode="External"/><Relationship Id="rId12" Type="http://schemas.openxmlformats.org/officeDocument/2006/relationships/hyperlink" Target="http://www.environment.gov.au/cgi-bin/epbc/epbc_ap.pl?name=current_referrals;limit=7" TargetMode="External"/><Relationship Id="rId2" Type="http://schemas.openxmlformats.org/officeDocument/2006/relationships/hyperlink" Target="http://www.environment.gov.au/epbc/protect/migratory.html" TargetMode="External"/><Relationship Id="rId1" Type="http://schemas.openxmlformats.org/officeDocument/2006/relationships/hyperlink" Target="http://www.environment.gov.au/epbc/publications/pubs/environment-assessment-manual.pdf" TargetMode="External"/><Relationship Id="rId6" Type="http://schemas.openxmlformats.org/officeDocument/2006/relationships/hyperlink" Target="http://www.ramsar.org/cda/en/ramsar-documents-list/main/ramsar/1-31-218_4000_0__" TargetMode="External"/><Relationship Id="rId11" Type="http://schemas.openxmlformats.org/officeDocument/2006/relationships/hyperlink" Target="http://www.environment.gov.au/cgi-bin/epbc/epbc_ap.pl?name=current_referrals;limit=7" TargetMode="External"/><Relationship Id="rId5" Type="http://schemas.openxmlformats.org/officeDocument/2006/relationships/hyperlink" Target="http://ramsar.wetlands.org/Database/Searchforsites/tabid/765/Default.aspx" TargetMode="External"/><Relationship Id="rId10" Type="http://schemas.openxmlformats.org/officeDocument/2006/relationships/hyperlink" Target="http://www.environment.gov.au/heritage/about/national/criteria.html" TargetMode="External"/><Relationship Id="rId4" Type="http://schemas.openxmlformats.org/officeDocument/2006/relationships/hyperlink" Target="http://www.ramsar.org/cda/en/ramsar-documents-list/main/ramsar/1-31-218_4000_0__" TargetMode="External"/><Relationship Id="rId9" Type="http://schemas.openxmlformats.org/officeDocument/2006/relationships/hyperlink" Target="http://www.environment.gov.au/heritage/places/nationa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7A773-9A22-4EEB-B2F2-499C372B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18827</Words>
  <Characters>107320</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125896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Framework of Standards for Accreditation</dc:title>
  <dc:creator>Australian Government Department of Sustainability, Environment, Water, Population and Communities</dc:creator>
  <cp:lastModifiedBy>a06368</cp:lastModifiedBy>
  <cp:revision>5</cp:revision>
  <cp:lastPrinted>2012-07-11T02:29:00Z</cp:lastPrinted>
  <dcterms:created xsi:type="dcterms:W3CDTF">2012-10-30T02:46:00Z</dcterms:created>
  <dcterms:modified xsi:type="dcterms:W3CDTF">2012-11-01T23:21:00Z</dcterms:modified>
</cp:coreProperties>
</file>