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CD1257A" w14:textId="0281E62F" w:rsidR="00680871" w:rsidRDefault="00680871" w:rsidP="00680871">
      <w:pPr>
        <w:rPr>
          <w:b/>
        </w:rPr>
      </w:pPr>
      <w:r>
        <w:rPr>
          <w:b/>
          <w:bCs/>
          <w:lang w:val="id"/>
        </w:rPr>
        <w:t>Kuota Tingkat Tarif Buah Jeruk Indonesia – Sistem Urutan Penerimaan (</w:t>
      </w:r>
      <w:r>
        <w:rPr>
          <w:b/>
          <w:bCs/>
          <w:i/>
          <w:iCs/>
          <w:lang w:val="id"/>
        </w:rPr>
        <w:t xml:space="preserve">First </w:t>
      </w:r>
      <w:proofErr w:type="spellStart"/>
      <w:r>
        <w:rPr>
          <w:b/>
          <w:bCs/>
          <w:i/>
          <w:iCs/>
          <w:lang w:val="id"/>
        </w:rPr>
        <w:t>Come</w:t>
      </w:r>
      <w:proofErr w:type="spellEnd"/>
      <w:r>
        <w:rPr>
          <w:b/>
          <w:bCs/>
          <w:i/>
          <w:iCs/>
          <w:lang w:val="id"/>
        </w:rPr>
        <w:t xml:space="preserve">, First </w:t>
      </w:r>
      <w:proofErr w:type="spellStart"/>
      <w:r>
        <w:rPr>
          <w:b/>
          <w:bCs/>
          <w:i/>
          <w:iCs/>
          <w:lang w:val="id"/>
        </w:rPr>
        <w:t>Served</w:t>
      </w:r>
      <w:proofErr w:type="spellEnd"/>
      <w:r>
        <w:rPr>
          <w:b/>
          <w:bCs/>
          <w:lang w:val="id"/>
        </w:rPr>
        <w:t>)</w:t>
      </w:r>
    </w:p>
    <w:p w14:paraId="5E97A4D7" w14:textId="189B79B2" w:rsidR="001222A8" w:rsidRDefault="001222A8" w:rsidP="001222A8">
      <w:r>
        <w:rPr>
          <w:lang w:val="id"/>
        </w:rPr>
        <w:t xml:space="preserve">Perjanjian Kemitraan Ekonomi </w:t>
      </w:r>
      <w:proofErr w:type="spellStart"/>
      <w:r w:rsidR="009B1BEE">
        <w:rPr>
          <w:lang w:val="en-US"/>
        </w:rPr>
        <w:t>Komprehensif</w:t>
      </w:r>
      <w:proofErr w:type="spellEnd"/>
      <w:r>
        <w:rPr>
          <w:lang w:val="id"/>
        </w:rPr>
        <w:t xml:space="preserve"> Indonesia-Australia (IA-CEPA) telah diratifikasi dan mulai berlaku pada tanggal 5 Juli 2020.  Sejak tanggal tersebut kuota tingkat tarif (TRQ) yang tercakup dalam IA-CEPA akan dapat diakses; untuk industri buah jeruk hal ini mencakup TRQ </w:t>
      </w:r>
      <w:proofErr w:type="spellStart"/>
      <w:r w:rsidR="009B1BEE">
        <w:rPr>
          <w:lang w:val="en-US"/>
        </w:rPr>
        <w:t>jeruk</w:t>
      </w:r>
      <w:proofErr w:type="spellEnd"/>
      <w:r>
        <w:rPr>
          <w:lang w:val="id"/>
        </w:rPr>
        <w:t xml:space="preserve">, TRQ </w:t>
      </w:r>
      <w:proofErr w:type="spellStart"/>
      <w:r w:rsidR="009B1BEE">
        <w:rPr>
          <w:lang w:val="en-US"/>
        </w:rPr>
        <w:t>jeruk</w:t>
      </w:r>
      <w:proofErr w:type="spellEnd"/>
      <w:r w:rsidR="009B1BEE">
        <w:rPr>
          <w:lang w:val="en-US"/>
        </w:rPr>
        <w:t xml:space="preserve"> </w:t>
      </w:r>
      <w:r>
        <w:rPr>
          <w:lang w:val="id"/>
        </w:rPr>
        <w:t>mandarin, dan TRQ lemon dan limau.</w:t>
      </w:r>
    </w:p>
    <w:p w14:paraId="7A9BBF0B" w14:textId="673B7721" w:rsidR="00680871" w:rsidRDefault="001222A8" w:rsidP="001222A8">
      <w:r>
        <w:rPr>
          <w:lang w:val="id"/>
        </w:rPr>
        <w:t>Para eksportir yang berminat mengakses salah satu TRQ ini harus membaca informasi berikut.</w:t>
      </w:r>
    </w:p>
    <w:p w14:paraId="43FCFB43" w14:textId="77777777" w:rsidR="001222A8" w:rsidRDefault="001222A8" w:rsidP="00680871"/>
    <w:p w14:paraId="5B401354" w14:textId="615CE88A" w:rsidR="00680871" w:rsidRDefault="006504DB" w:rsidP="00680871">
      <w:r>
        <w:rPr>
          <w:i/>
          <w:iCs/>
          <w:lang w:val="id"/>
        </w:rPr>
        <w:t>Berapakah kuota tingkat tarif buah jeruk untuk Indonesia?</w:t>
      </w:r>
    </w:p>
    <w:p w14:paraId="44325D20" w14:textId="0513CE29" w:rsidR="00905F94" w:rsidRDefault="006504DB" w:rsidP="00EB0D18">
      <w:pPr>
        <w:pStyle w:val="ListParagraph"/>
        <w:numPr>
          <w:ilvl w:val="0"/>
          <w:numId w:val="21"/>
        </w:numPr>
        <w:ind w:left="357" w:hanging="357"/>
        <w:contextualSpacing w:val="0"/>
      </w:pPr>
      <w:r>
        <w:rPr>
          <w:lang w:val="id"/>
        </w:rPr>
        <w:t>Ketiga TRQ buah jeruk tersebut memungkinkan Australia mengekspor produk buah jeruk tertentu ke Indonesia dengan tingkat tarif yang lebih rendah apabila disertai dengan sertifikat kuota tingkat tarif:</w:t>
      </w:r>
    </w:p>
    <w:p w14:paraId="5B2B65C5" w14:textId="35CE96A3" w:rsidR="00382B2C" w:rsidRPr="009B1BEE" w:rsidRDefault="009B1BEE" w:rsidP="00A52098">
      <w:pPr>
        <w:spacing w:before="240"/>
        <w:rPr>
          <w:lang w:val="en-US"/>
        </w:rPr>
      </w:pPr>
      <w:proofErr w:type="spellStart"/>
      <w:r>
        <w:rPr>
          <w:b/>
          <w:bCs/>
          <w:lang w:val="en-US"/>
        </w:rPr>
        <w:t>Jeruk</w:t>
      </w:r>
      <w:proofErr w:type="spellEnd"/>
    </w:p>
    <w:tbl>
      <w:tblPr>
        <w:tblStyle w:val="TableGrid"/>
        <w:tblW w:w="0" w:type="auto"/>
        <w:tblLook w:val="04A0" w:firstRow="1" w:lastRow="0" w:firstColumn="1" w:lastColumn="0" w:noHBand="0" w:noVBand="1"/>
      </w:tblPr>
      <w:tblGrid>
        <w:gridCol w:w="1555"/>
        <w:gridCol w:w="3402"/>
      </w:tblGrid>
      <w:tr w:rsidR="00382B2C" w14:paraId="2DD40468" w14:textId="77777777" w:rsidTr="00D750B1">
        <w:tc>
          <w:tcPr>
            <w:tcW w:w="1555" w:type="dxa"/>
            <w:vAlign w:val="center"/>
          </w:tcPr>
          <w:p w14:paraId="2AEC2BE8" w14:textId="77777777" w:rsidR="00382B2C" w:rsidRPr="00305509" w:rsidRDefault="00382B2C" w:rsidP="00382B2C">
            <w:pPr>
              <w:rPr>
                <w:b/>
              </w:rPr>
            </w:pPr>
            <w:r>
              <w:rPr>
                <w:b/>
                <w:bCs/>
                <w:lang w:val="id"/>
              </w:rPr>
              <w:t>Kode HS</w:t>
            </w:r>
          </w:p>
        </w:tc>
        <w:tc>
          <w:tcPr>
            <w:tcW w:w="3402" w:type="dxa"/>
            <w:vAlign w:val="center"/>
          </w:tcPr>
          <w:p w14:paraId="415D27FE" w14:textId="77777777" w:rsidR="00382B2C" w:rsidRPr="00305509" w:rsidRDefault="00382B2C" w:rsidP="00382B2C">
            <w:pPr>
              <w:rPr>
                <w:b/>
              </w:rPr>
            </w:pPr>
            <w:r>
              <w:rPr>
                <w:b/>
                <w:bCs/>
                <w:lang w:val="id"/>
              </w:rPr>
              <w:t>Uraian tentang Produk</w:t>
            </w:r>
          </w:p>
        </w:tc>
      </w:tr>
      <w:tr w:rsidR="00382B2C" w14:paraId="4F3D6FF3" w14:textId="77777777" w:rsidTr="00D750B1">
        <w:tc>
          <w:tcPr>
            <w:tcW w:w="1555" w:type="dxa"/>
            <w:vAlign w:val="center"/>
          </w:tcPr>
          <w:p w14:paraId="39B9C80C" w14:textId="3E27E6F5" w:rsidR="00382B2C" w:rsidRDefault="006504DB" w:rsidP="00382B2C">
            <w:pPr>
              <w:spacing w:before="0"/>
              <w:rPr>
                <w:sz w:val="24"/>
                <w:szCs w:val="24"/>
              </w:rPr>
            </w:pPr>
            <w:r>
              <w:rPr>
                <w:lang w:val="id"/>
              </w:rPr>
              <w:t>0805.10.10</w:t>
            </w:r>
          </w:p>
        </w:tc>
        <w:tc>
          <w:tcPr>
            <w:tcW w:w="3402" w:type="dxa"/>
            <w:vAlign w:val="center"/>
          </w:tcPr>
          <w:p w14:paraId="273C4C07" w14:textId="12C82213" w:rsidR="00382B2C" w:rsidRDefault="009B1BEE" w:rsidP="00382B2C">
            <w:proofErr w:type="spellStart"/>
            <w:r>
              <w:rPr>
                <w:lang w:val="en-US"/>
              </w:rPr>
              <w:t>Jeruk</w:t>
            </w:r>
            <w:proofErr w:type="spellEnd"/>
            <w:r w:rsidR="006504DB">
              <w:rPr>
                <w:lang w:val="id"/>
              </w:rPr>
              <w:t xml:space="preserve"> – Segar</w:t>
            </w:r>
          </w:p>
        </w:tc>
      </w:tr>
    </w:tbl>
    <w:p w14:paraId="02FC9B17" w14:textId="408CFA41" w:rsidR="00382B2C" w:rsidRDefault="006504DB" w:rsidP="0070595D">
      <w:pPr>
        <w:spacing w:before="240"/>
      </w:pPr>
      <w:r>
        <w:rPr>
          <w:b/>
          <w:bCs/>
          <w:lang w:val="id"/>
        </w:rPr>
        <w:t xml:space="preserve">Mandarin, </w:t>
      </w:r>
      <w:proofErr w:type="spellStart"/>
      <w:r>
        <w:rPr>
          <w:b/>
          <w:bCs/>
          <w:lang w:val="id"/>
        </w:rPr>
        <w:t>Clementine</w:t>
      </w:r>
      <w:proofErr w:type="spellEnd"/>
      <w:r>
        <w:rPr>
          <w:b/>
          <w:bCs/>
          <w:lang w:val="id"/>
        </w:rPr>
        <w:t xml:space="preserve">, </w:t>
      </w:r>
      <w:proofErr w:type="spellStart"/>
      <w:r>
        <w:rPr>
          <w:b/>
          <w:bCs/>
          <w:lang w:val="id"/>
        </w:rPr>
        <w:t>Wilking</w:t>
      </w:r>
      <w:proofErr w:type="spellEnd"/>
      <w:r>
        <w:rPr>
          <w:b/>
          <w:bCs/>
          <w:lang w:val="id"/>
        </w:rPr>
        <w:t>, dan buah jeruk hibrida semacamnya</w:t>
      </w:r>
    </w:p>
    <w:tbl>
      <w:tblPr>
        <w:tblStyle w:val="TableGrid"/>
        <w:tblW w:w="0" w:type="auto"/>
        <w:tblLook w:val="04A0" w:firstRow="1" w:lastRow="0" w:firstColumn="1" w:lastColumn="0" w:noHBand="0" w:noVBand="1"/>
      </w:tblPr>
      <w:tblGrid>
        <w:gridCol w:w="421"/>
        <w:gridCol w:w="1417"/>
        <w:gridCol w:w="6521"/>
      </w:tblGrid>
      <w:tr w:rsidR="00382B2C" w14:paraId="56D7CF0B" w14:textId="77777777" w:rsidTr="00D750B1">
        <w:tc>
          <w:tcPr>
            <w:tcW w:w="421" w:type="dxa"/>
          </w:tcPr>
          <w:p w14:paraId="2FD684B8" w14:textId="77777777" w:rsidR="00382B2C" w:rsidRDefault="00382B2C" w:rsidP="00382B2C"/>
        </w:tc>
        <w:tc>
          <w:tcPr>
            <w:tcW w:w="1417" w:type="dxa"/>
            <w:vAlign w:val="center"/>
          </w:tcPr>
          <w:p w14:paraId="53AE45A3" w14:textId="77777777" w:rsidR="00382B2C" w:rsidRPr="00305509" w:rsidRDefault="00382B2C" w:rsidP="00382B2C">
            <w:pPr>
              <w:rPr>
                <w:b/>
              </w:rPr>
            </w:pPr>
            <w:r>
              <w:rPr>
                <w:b/>
                <w:bCs/>
                <w:lang w:val="id"/>
              </w:rPr>
              <w:t>Kode HS</w:t>
            </w:r>
          </w:p>
        </w:tc>
        <w:tc>
          <w:tcPr>
            <w:tcW w:w="6521" w:type="dxa"/>
            <w:vAlign w:val="center"/>
          </w:tcPr>
          <w:p w14:paraId="5FB250EF" w14:textId="77777777" w:rsidR="00382B2C" w:rsidRPr="00305509" w:rsidRDefault="00382B2C" w:rsidP="00382B2C">
            <w:pPr>
              <w:rPr>
                <w:b/>
              </w:rPr>
            </w:pPr>
            <w:r>
              <w:rPr>
                <w:b/>
                <w:bCs/>
                <w:lang w:val="id"/>
              </w:rPr>
              <w:t>Uraian tentang Produk</w:t>
            </w:r>
          </w:p>
        </w:tc>
      </w:tr>
      <w:tr w:rsidR="006504DB" w14:paraId="77B2EDDA" w14:textId="77777777" w:rsidTr="00D750B1">
        <w:tc>
          <w:tcPr>
            <w:tcW w:w="421" w:type="dxa"/>
            <w:vAlign w:val="center"/>
          </w:tcPr>
          <w:p w14:paraId="302EBA41" w14:textId="378D8F27" w:rsidR="006504DB" w:rsidRDefault="006504DB" w:rsidP="006504DB">
            <w:pPr>
              <w:rPr>
                <w:sz w:val="24"/>
                <w:szCs w:val="24"/>
              </w:rPr>
            </w:pPr>
            <w:r>
              <w:rPr>
                <w:lang w:val="id"/>
              </w:rPr>
              <w:t>1</w:t>
            </w:r>
          </w:p>
        </w:tc>
        <w:tc>
          <w:tcPr>
            <w:tcW w:w="1417" w:type="dxa"/>
            <w:vAlign w:val="center"/>
          </w:tcPr>
          <w:p w14:paraId="0BAC209D" w14:textId="0943EC2B" w:rsidR="006504DB" w:rsidRDefault="006504DB" w:rsidP="006504DB">
            <w:r>
              <w:rPr>
                <w:lang w:val="id"/>
              </w:rPr>
              <w:t xml:space="preserve">0805.21.00 </w:t>
            </w:r>
          </w:p>
        </w:tc>
        <w:tc>
          <w:tcPr>
            <w:tcW w:w="6521" w:type="dxa"/>
            <w:vAlign w:val="center"/>
          </w:tcPr>
          <w:p w14:paraId="656BE812" w14:textId="49D0D9B5" w:rsidR="006504DB" w:rsidRDefault="006504DB" w:rsidP="006504DB">
            <w:r>
              <w:rPr>
                <w:lang w:val="id"/>
              </w:rPr>
              <w:t xml:space="preserve">Mandarin (termasuk </w:t>
            </w:r>
            <w:proofErr w:type="spellStart"/>
            <w:r>
              <w:rPr>
                <w:lang w:val="id"/>
              </w:rPr>
              <w:t>tangerin</w:t>
            </w:r>
            <w:proofErr w:type="spellEnd"/>
            <w:r>
              <w:rPr>
                <w:lang w:val="id"/>
              </w:rPr>
              <w:t xml:space="preserve"> dan </w:t>
            </w:r>
            <w:proofErr w:type="spellStart"/>
            <w:r>
              <w:rPr>
                <w:lang w:val="id"/>
              </w:rPr>
              <w:t>satsuma</w:t>
            </w:r>
            <w:proofErr w:type="spellEnd"/>
            <w:r>
              <w:rPr>
                <w:lang w:val="id"/>
              </w:rPr>
              <w:t>)</w:t>
            </w:r>
          </w:p>
        </w:tc>
      </w:tr>
      <w:tr w:rsidR="006504DB" w14:paraId="4B919621" w14:textId="77777777" w:rsidTr="00D750B1">
        <w:tc>
          <w:tcPr>
            <w:tcW w:w="421" w:type="dxa"/>
            <w:vAlign w:val="center"/>
          </w:tcPr>
          <w:p w14:paraId="265BB2F1" w14:textId="75BFB884" w:rsidR="006504DB" w:rsidRDefault="006504DB" w:rsidP="006504DB">
            <w:r>
              <w:rPr>
                <w:lang w:val="id"/>
              </w:rPr>
              <w:t>2</w:t>
            </w:r>
          </w:p>
        </w:tc>
        <w:tc>
          <w:tcPr>
            <w:tcW w:w="1417" w:type="dxa"/>
            <w:vAlign w:val="center"/>
          </w:tcPr>
          <w:p w14:paraId="26EC8D03" w14:textId="16A11799" w:rsidR="006504DB" w:rsidRDefault="006504DB" w:rsidP="006504DB">
            <w:r>
              <w:rPr>
                <w:lang w:val="id"/>
              </w:rPr>
              <w:t xml:space="preserve">0805.22.00 </w:t>
            </w:r>
          </w:p>
        </w:tc>
        <w:tc>
          <w:tcPr>
            <w:tcW w:w="6521" w:type="dxa"/>
            <w:vAlign w:val="center"/>
          </w:tcPr>
          <w:p w14:paraId="5BEA6E2D" w14:textId="1B5CC8A2" w:rsidR="006504DB" w:rsidRDefault="006504DB" w:rsidP="006504DB">
            <w:proofErr w:type="spellStart"/>
            <w:r>
              <w:rPr>
                <w:lang w:val="id"/>
              </w:rPr>
              <w:t>Clementine</w:t>
            </w:r>
            <w:proofErr w:type="spellEnd"/>
          </w:p>
        </w:tc>
      </w:tr>
      <w:tr w:rsidR="006504DB" w14:paraId="37EC1A89" w14:textId="77777777" w:rsidTr="00D750B1">
        <w:tc>
          <w:tcPr>
            <w:tcW w:w="421" w:type="dxa"/>
            <w:vAlign w:val="center"/>
          </w:tcPr>
          <w:p w14:paraId="0D8DF515" w14:textId="5189B762" w:rsidR="006504DB" w:rsidRDefault="006504DB" w:rsidP="006504DB">
            <w:r>
              <w:rPr>
                <w:lang w:val="id"/>
              </w:rPr>
              <w:t>3</w:t>
            </w:r>
          </w:p>
        </w:tc>
        <w:tc>
          <w:tcPr>
            <w:tcW w:w="1417" w:type="dxa"/>
            <w:vAlign w:val="center"/>
          </w:tcPr>
          <w:p w14:paraId="19FFCCC5" w14:textId="2B4CFDD9" w:rsidR="006504DB" w:rsidRDefault="006504DB" w:rsidP="006504DB">
            <w:r>
              <w:rPr>
                <w:lang w:val="id"/>
              </w:rPr>
              <w:t xml:space="preserve">0805.29.00 </w:t>
            </w:r>
          </w:p>
        </w:tc>
        <w:tc>
          <w:tcPr>
            <w:tcW w:w="6521" w:type="dxa"/>
            <w:vAlign w:val="center"/>
          </w:tcPr>
          <w:p w14:paraId="055F6681" w14:textId="43B3401A" w:rsidR="006504DB" w:rsidRDefault="006504DB" w:rsidP="006504DB">
            <w:proofErr w:type="spellStart"/>
            <w:r>
              <w:rPr>
                <w:lang w:val="id"/>
              </w:rPr>
              <w:t>Wilking</w:t>
            </w:r>
            <w:proofErr w:type="spellEnd"/>
            <w:r>
              <w:rPr>
                <w:lang w:val="id"/>
              </w:rPr>
              <w:t xml:space="preserve"> dan buah jeruk hibrida semacamnya</w:t>
            </w:r>
          </w:p>
        </w:tc>
      </w:tr>
    </w:tbl>
    <w:p w14:paraId="4AD4A0B2" w14:textId="2B05005C" w:rsidR="006504DB" w:rsidRPr="006504DB" w:rsidRDefault="006504DB" w:rsidP="0070595D">
      <w:pPr>
        <w:spacing w:before="240"/>
        <w:rPr>
          <w:b/>
        </w:rPr>
      </w:pPr>
      <w:r>
        <w:rPr>
          <w:b/>
          <w:bCs/>
          <w:lang w:val="id"/>
        </w:rPr>
        <w:t>Lemon dan Limau</w:t>
      </w:r>
    </w:p>
    <w:tbl>
      <w:tblPr>
        <w:tblStyle w:val="TableGrid"/>
        <w:tblW w:w="0" w:type="auto"/>
        <w:tblLook w:val="04A0" w:firstRow="1" w:lastRow="0" w:firstColumn="1" w:lastColumn="0" w:noHBand="0" w:noVBand="1"/>
      </w:tblPr>
      <w:tblGrid>
        <w:gridCol w:w="421"/>
        <w:gridCol w:w="1417"/>
        <w:gridCol w:w="6521"/>
      </w:tblGrid>
      <w:tr w:rsidR="006504DB" w14:paraId="717471D8" w14:textId="77777777" w:rsidTr="00AF0A0B">
        <w:tc>
          <w:tcPr>
            <w:tcW w:w="421" w:type="dxa"/>
          </w:tcPr>
          <w:p w14:paraId="6953B0A2" w14:textId="77777777" w:rsidR="006504DB" w:rsidRDefault="006504DB" w:rsidP="00AF0A0B"/>
        </w:tc>
        <w:tc>
          <w:tcPr>
            <w:tcW w:w="1417" w:type="dxa"/>
            <w:vAlign w:val="center"/>
          </w:tcPr>
          <w:p w14:paraId="4AAC2CCA" w14:textId="77777777" w:rsidR="006504DB" w:rsidRPr="00305509" w:rsidRDefault="006504DB" w:rsidP="00AF0A0B">
            <w:pPr>
              <w:rPr>
                <w:b/>
              </w:rPr>
            </w:pPr>
            <w:r>
              <w:rPr>
                <w:b/>
                <w:bCs/>
                <w:lang w:val="id"/>
              </w:rPr>
              <w:t>Kode HS</w:t>
            </w:r>
          </w:p>
        </w:tc>
        <w:tc>
          <w:tcPr>
            <w:tcW w:w="6521" w:type="dxa"/>
            <w:vAlign w:val="center"/>
          </w:tcPr>
          <w:p w14:paraId="4A3F177A" w14:textId="77777777" w:rsidR="006504DB" w:rsidRPr="00305509" w:rsidRDefault="006504DB" w:rsidP="00AF0A0B">
            <w:pPr>
              <w:rPr>
                <w:b/>
              </w:rPr>
            </w:pPr>
            <w:r>
              <w:rPr>
                <w:b/>
                <w:bCs/>
                <w:lang w:val="id"/>
              </w:rPr>
              <w:t>Uraian tentang Produk</w:t>
            </w:r>
          </w:p>
        </w:tc>
      </w:tr>
      <w:tr w:rsidR="006504DB" w14:paraId="35D15D58" w14:textId="77777777" w:rsidTr="00AF0A0B">
        <w:tc>
          <w:tcPr>
            <w:tcW w:w="421" w:type="dxa"/>
            <w:vAlign w:val="center"/>
          </w:tcPr>
          <w:p w14:paraId="1B405319" w14:textId="5C4D01EB" w:rsidR="006504DB" w:rsidRDefault="006504DB" w:rsidP="006504DB">
            <w:pPr>
              <w:rPr>
                <w:sz w:val="24"/>
                <w:szCs w:val="24"/>
              </w:rPr>
            </w:pPr>
            <w:r>
              <w:rPr>
                <w:lang w:val="id"/>
              </w:rPr>
              <w:t>1</w:t>
            </w:r>
          </w:p>
        </w:tc>
        <w:tc>
          <w:tcPr>
            <w:tcW w:w="1417" w:type="dxa"/>
            <w:vAlign w:val="center"/>
          </w:tcPr>
          <w:p w14:paraId="0DC0A1A7" w14:textId="301E5576" w:rsidR="006504DB" w:rsidRDefault="006504DB" w:rsidP="006504DB">
            <w:r>
              <w:rPr>
                <w:lang w:val="id"/>
              </w:rPr>
              <w:t xml:space="preserve">0805.50.10 </w:t>
            </w:r>
          </w:p>
        </w:tc>
        <w:tc>
          <w:tcPr>
            <w:tcW w:w="6521" w:type="dxa"/>
            <w:vAlign w:val="center"/>
          </w:tcPr>
          <w:p w14:paraId="320646A8" w14:textId="13FE6211" w:rsidR="006504DB" w:rsidRDefault="006504DB" w:rsidP="006504DB">
            <w:r>
              <w:rPr>
                <w:lang w:val="id"/>
              </w:rPr>
              <w:t>Lemon (</w:t>
            </w:r>
            <w:proofErr w:type="spellStart"/>
            <w:r>
              <w:rPr>
                <w:lang w:val="id"/>
              </w:rPr>
              <w:t>Citrus</w:t>
            </w:r>
            <w:proofErr w:type="spellEnd"/>
            <w:r>
              <w:rPr>
                <w:lang w:val="id"/>
              </w:rPr>
              <w:t xml:space="preserve"> lemon, </w:t>
            </w:r>
            <w:proofErr w:type="spellStart"/>
            <w:r>
              <w:rPr>
                <w:lang w:val="id"/>
              </w:rPr>
              <w:t>Citrus</w:t>
            </w:r>
            <w:proofErr w:type="spellEnd"/>
            <w:r>
              <w:rPr>
                <w:lang w:val="id"/>
              </w:rPr>
              <w:t xml:space="preserve"> </w:t>
            </w:r>
            <w:proofErr w:type="spellStart"/>
            <w:r>
              <w:rPr>
                <w:lang w:val="id"/>
              </w:rPr>
              <w:t>limonum</w:t>
            </w:r>
            <w:proofErr w:type="spellEnd"/>
            <w:r>
              <w:rPr>
                <w:lang w:val="id"/>
              </w:rPr>
              <w:t xml:space="preserve">) </w:t>
            </w:r>
          </w:p>
        </w:tc>
      </w:tr>
      <w:tr w:rsidR="006504DB" w14:paraId="287247E5" w14:textId="77777777" w:rsidTr="00AF0A0B">
        <w:tc>
          <w:tcPr>
            <w:tcW w:w="421" w:type="dxa"/>
            <w:vAlign w:val="center"/>
          </w:tcPr>
          <w:p w14:paraId="3BF6C94B" w14:textId="55E481E3" w:rsidR="006504DB" w:rsidRDefault="006504DB" w:rsidP="006504DB">
            <w:r>
              <w:rPr>
                <w:lang w:val="id"/>
              </w:rPr>
              <w:t>2</w:t>
            </w:r>
          </w:p>
        </w:tc>
        <w:tc>
          <w:tcPr>
            <w:tcW w:w="1417" w:type="dxa"/>
            <w:vAlign w:val="center"/>
          </w:tcPr>
          <w:p w14:paraId="0595114D" w14:textId="521E37FE" w:rsidR="006504DB" w:rsidRDefault="006504DB" w:rsidP="006504DB">
            <w:r>
              <w:rPr>
                <w:lang w:val="id"/>
              </w:rPr>
              <w:t>0805.50.20</w:t>
            </w:r>
          </w:p>
        </w:tc>
        <w:tc>
          <w:tcPr>
            <w:tcW w:w="6521" w:type="dxa"/>
            <w:vAlign w:val="center"/>
          </w:tcPr>
          <w:p w14:paraId="42C55C49" w14:textId="5B69E92C" w:rsidR="006504DB" w:rsidRDefault="006504DB" w:rsidP="006504DB">
            <w:r>
              <w:rPr>
                <w:lang w:val="id"/>
              </w:rPr>
              <w:t>Limau (</w:t>
            </w:r>
            <w:proofErr w:type="spellStart"/>
            <w:r>
              <w:rPr>
                <w:lang w:val="id"/>
              </w:rPr>
              <w:t>Citrus</w:t>
            </w:r>
            <w:proofErr w:type="spellEnd"/>
            <w:r>
              <w:rPr>
                <w:lang w:val="id"/>
              </w:rPr>
              <w:t xml:space="preserve"> </w:t>
            </w:r>
            <w:proofErr w:type="spellStart"/>
            <w:r>
              <w:rPr>
                <w:lang w:val="id"/>
              </w:rPr>
              <w:t>aurantifolia</w:t>
            </w:r>
            <w:proofErr w:type="spellEnd"/>
            <w:r>
              <w:rPr>
                <w:lang w:val="id"/>
              </w:rPr>
              <w:t xml:space="preserve">, </w:t>
            </w:r>
            <w:proofErr w:type="spellStart"/>
            <w:r>
              <w:rPr>
                <w:lang w:val="id"/>
              </w:rPr>
              <w:t>Citrus</w:t>
            </w:r>
            <w:proofErr w:type="spellEnd"/>
            <w:r>
              <w:rPr>
                <w:lang w:val="id"/>
              </w:rPr>
              <w:t xml:space="preserve"> </w:t>
            </w:r>
            <w:proofErr w:type="spellStart"/>
            <w:r>
              <w:rPr>
                <w:lang w:val="id"/>
              </w:rPr>
              <w:t>latifolia</w:t>
            </w:r>
            <w:proofErr w:type="spellEnd"/>
            <w:r>
              <w:rPr>
                <w:lang w:val="id"/>
              </w:rPr>
              <w:t>)</w:t>
            </w:r>
          </w:p>
        </w:tc>
      </w:tr>
    </w:tbl>
    <w:p w14:paraId="5D1EB50B" w14:textId="77777777" w:rsidR="006504DB" w:rsidRDefault="006504DB" w:rsidP="006504DB"/>
    <w:p w14:paraId="228678A1" w14:textId="22CFF058" w:rsidR="009A2137" w:rsidRDefault="009A2137" w:rsidP="009A2137">
      <w:pPr>
        <w:pStyle w:val="ListParagraph"/>
        <w:numPr>
          <w:ilvl w:val="0"/>
          <w:numId w:val="21"/>
        </w:numPr>
        <w:ind w:left="357" w:hanging="357"/>
        <w:contextualSpacing w:val="0"/>
      </w:pPr>
      <w:r>
        <w:rPr>
          <w:lang w:val="id"/>
        </w:rPr>
        <w:t>Karena perjanjian ini dimulai di tengah tahun kuota pertama, volume tahunan kuota tahun 2020 merupakan jumlah pro</w:t>
      </w:r>
      <w:r w:rsidR="009B1BEE">
        <w:rPr>
          <w:lang w:val="en-US"/>
        </w:rPr>
        <w:t>-</w:t>
      </w:r>
      <w:r>
        <w:rPr>
          <w:lang w:val="id"/>
        </w:rPr>
        <w:t>rata yang telah direvisi untuk masing-masing TRQ.</w:t>
      </w:r>
    </w:p>
    <w:p w14:paraId="2B394B67" w14:textId="15BAD923" w:rsidR="00275D15" w:rsidRDefault="00275D15" w:rsidP="00A52098">
      <w:pPr>
        <w:pStyle w:val="ListParagraph"/>
        <w:numPr>
          <w:ilvl w:val="0"/>
          <w:numId w:val="21"/>
        </w:numPr>
        <w:ind w:left="357" w:hanging="357"/>
        <w:contextualSpacing w:val="0"/>
      </w:pPr>
      <w:r>
        <w:rPr>
          <w:lang w:val="id"/>
        </w:rPr>
        <w:t xml:space="preserve">TRQ </w:t>
      </w:r>
      <w:proofErr w:type="spellStart"/>
      <w:r w:rsidR="009B1BEE">
        <w:rPr>
          <w:lang w:val="en-US"/>
        </w:rPr>
        <w:t>jeruk</w:t>
      </w:r>
      <w:proofErr w:type="spellEnd"/>
      <w:r>
        <w:rPr>
          <w:lang w:val="id"/>
        </w:rPr>
        <w:t xml:space="preserve"> tahun 2020 diberikan untuk jumlah pro</w:t>
      </w:r>
      <w:r w:rsidR="009B1BEE">
        <w:rPr>
          <w:lang w:val="en-US"/>
        </w:rPr>
        <w:t>-</w:t>
      </w:r>
      <w:r>
        <w:rPr>
          <w:lang w:val="id"/>
        </w:rPr>
        <w:t xml:space="preserve">rata sebesar 4.890,71 ton produk yang memenuhi syarat dengan tingkat tarif dalam kuota sebesar 0%.  TRQ akan diatur ulang pada tanggal 1 Januari 2021 dengan volume sebesar 10.500 ton. Volume ini akan meningkat setiap tahunnya.  </w:t>
      </w:r>
    </w:p>
    <w:p w14:paraId="76A174F8" w14:textId="2DC60490" w:rsidR="006504DB" w:rsidRDefault="006504DB" w:rsidP="00A52098">
      <w:pPr>
        <w:pStyle w:val="ListParagraph"/>
        <w:numPr>
          <w:ilvl w:val="0"/>
          <w:numId w:val="21"/>
        </w:numPr>
        <w:ind w:left="357" w:hanging="357"/>
        <w:contextualSpacing w:val="0"/>
      </w:pPr>
      <w:r>
        <w:rPr>
          <w:lang w:val="id"/>
        </w:rPr>
        <w:t xml:space="preserve">TRQ </w:t>
      </w:r>
      <w:proofErr w:type="spellStart"/>
      <w:r w:rsidR="009B1BEE">
        <w:rPr>
          <w:lang w:val="en-US"/>
        </w:rPr>
        <w:t>jeruk</w:t>
      </w:r>
      <w:proofErr w:type="spellEnd"/>
      <w:r w:rsidR="009B1BEE">
        <w:rPr>
          <w:lang w:val="en-US"/>
        </w:rPr>
        <w:t xml:space="preserve"> </w:t>
      </w:r>
      <w:r>
        <w:rPr>
          <w:lang w:val="id"/>
        </w:rPr>
        <w:t>mandarin tahun 2020 diberikan untuk jumlah pro</w:t>
      </w:r>
      <w:r w:rsidR="009B1BEE">
        <w:rPr>
          <w:lang w:val="en-US"/>
        </w:rPr>
        <w:t>-</w:t>
      </w:r>
      <w:r>
        <w:rPr>
          <w:lang w:val="id"/>
        </w:rPr>
        <w:t>rata sebesar 3.668,03 ton produk yang memenuhi syarat dengan tingkat tarif dalam kuota sebesar 10%. TRQ akan diatur ulang pada tanggal 1 Januari 2021 dengan volume sebesar 7.500 ton. Volume ini akan meningkat seiring berjalannya waktu, sementara tingkat tarif akan menurun.</w:t>
      </w:r>
    </w:p>
    <w:p w14:paraId="1F089623" w14:textId="20A9DD49" w:rsidR="006504DB" w:rsidRDefault="006504DB" w:rsidP="00A52098">
      <w:pPr>
        <w:pStyle w:val="ListParagraph"/>
        <w:numPr>
          <w:ilvl w:val="0"/>
          <w:numId w:val="21"/>
        </w:numPr>
        <w:ind w:left="357" w:hanging="357"/>
        <w:contextualSpacing w:val="0"/>
      </w:pPr>
      <w:r>
        <w:rPr>
          <w:lang w:val="id"/>
        </w:rPr>
        <w:t>TRQ lemon dan limau tahun 2020 diberikan untuk jumlah pro</w:t>
      </w:r>
      <w:r w:rsidR="009B1BEE">
        <w:rPr>
          <w:lang w:val="en-US"/>
        </w:rPr>
        <w:t>-</w:t>
      </w:r>
      <w:r>
        <w:rPr>
          <w:lang w:val="id"/>
        </w:rPr>
        <w:t xml:space="preserve">rata sebesar 2.445,35 ton produk yang memenuhi syarat dengan tingkat tarif dalam kuota sebesar 0%.  TRQ akan </w:t>
      </w:r>
      <w:r>
        <w:rPr>
          <w:lang w:val="id"/>
        </w:rPr>
        <w:lastRenderedPageBreak/>
        <w:t>diatur ulang pada tanggal 1 Januari 2021 dengan volume sebesar 5.125 ton. Volume ini akan meningkat setiap tahunnya.</w:t>
      </w:r>
    </w:p>
    <w:p w14:paraId="5643B808" w14:textId="77777777" w:rsidR="00382B2C" w:rsidRDefault="00275D15" w:rsidP="00A52098">
      <w:pPr>
        <w:pStyle w:val="ListParagraph"/>
        <w:numPr>
          <w:ilvl w:val="0"/>
          <w:numId w:val="21"/>
        </w:numPr>
        <w:ind w:left="357" w:hanging="357"/>
        <w:contextualSpacing w:val="0"/>
      </w:pPr>
      <w:r>
        <w:rPr>
          <w:lang w:val="id"/>
        </w:rPr>
        <w:t xml:space="preserve">Tabel lengkap berisi bobot dan tingkat tarif dari tahun ke tahun dapat dilihat di </w:t>
      </w:r>
      <w:hyperlink r:id="rId8" w:history="1">
        <w:r>
          <w:rPr>
            <w:rStyle w:val="Hyperlink"/>
            <w:lang w:val="id"/>
          </w:rPr>
          <w:t>situs web DFAT</w:t>
        </w:r>
      </w:hyperlink>
      <w:r>
        <w:rPr>
          <w:lang w:val="id"/>
        </w:rPr>
        <w:t>.</w:t>
      </w:r>
    </w:p>
    <w:p w14:paraId="20F8919A" w14:textId="1A3B5690" w:rsidR="00B53FCB" w:rsidRDefault="00B53FCB" w:rsidP="00EE400B"/>
    <w:p w14:paraId="543F4131" w14:textId="77777777" w:rsidR="00680871" w:rsidRDefault="00680871" w:rsidP="00905F94"/>
    <w:p w14:paraId="19B4D72F" w14:textId="77777777" w:rsidR="00680871" w:rsidRDefault="00680871" w:rsidP="00A52098">
      <w:pPr>
        <w:keepNext/>
      </w:pPr>
      <w:r>
        <w:rPr>
          <w:i/>
          <w:iCs/>
          <w:lang w:val="id"/>
        </w:rPr>
        <w:t>Bagaimana cara pemberian kuota tingkat tarif?</w:t>
      </w:r>
    </w:p>
    <w:p w14:paraId="49AFEC82" w14:textId="705EC3A2" w:rsidR="00DA19F2" w:rsidRDefault="00375E2B" w:rsidP="00EB0D18">
      <w:pPr>
        <w:pStyle w:val="ListParagraph"/>
        <w:numPr>
          <w:ilvl w:val="0"/>
          <w:numId w:val="21"/>
        </w:numPr>
        <w:ind w:left="357" w:hanging="357"/>
        <w:contextualSpacing w:val="0"/>
      </w:pPr>
      <w:r>
        <w:rPr>
          <w:lang w:val="id"/>
        </w:rPr>
        <w:t xml:space="preserve">Departemen Pertanian, Sumber Daya Air, dan Lingkungan Hidup (departemen) bertanggung jawab mengelola TRQ buah jeruk. </w:t>
      </w:r>
    </w:p>
    <w:p w14:paraId="114D1BEC" w14:textId="5FF0E00A" w:rsidR="00F244D5" w:rsidRDefault="00B53FCB" w:rsidP="00EB0D18">
      <w:pPr>
        <w:pStyle w:val="ListParagraph"/>
        <w:numPr>
          <w:ilvl w:val="0"/>
          <w:numId w:val="21"/>
        </w:numPr>
        <w:ind w:left="357" w:hanging="357"/>
        <w:contextualSpacing w:val="0"/>
      </w:pPr>
      <w:r>
        <w:rPr>
          <w:lang w:val="id"/>
        </w:rPr>
        <w:t>Ketiganya dijalankan berdasarkan sistem urutan penerimaan (</w:t>
      </w:r>
      <w:proofErr w:type="spellStart"/>
      <w:r>
        <w:rPr>
          <w:i/>
          <w:iCs/>
          <w:lang w:val="id"/>
        </w:rPr>
        <w:t>first</w:t>
      </w:r>
      <w:proofErr w:type="spellEnd"/>
      <w:r>
        <w:rPr>
          <w:i/>
          <w:iCs/>
          <w:lang w:val="id"/>
        </w:rPr>
        <w:t xml:space="preserve"> </w:t>
      </w:r>
      <w:proofErr w:type="spellStart"/>
      <w:r>
        <w:rPr>
          <w:i/>
          <w:iCs/>
          <w:lang w:val="id"/>
        </w:rPr>
        <w:t>come</w:t>
      </w:r>
      <w:proofErr w:type="spellEnd"/>
      <w:r>
        <w:rPr>
          <w:i/>
          <w:iCs/>
          <w:lang w:val="id"/>
        </w:rPr>
        <w:t xml:space="preserve">, </w:t>
      </w:r>
      <w:proofErr w:type="spellStart"/>
      <w:r>
        <w:rPr>
          <w:i/>
          <w:iCs/>
          <w:lang w:val="id"/>
        </w:rPr>
        <w:t>first</w:t>
      </w:r>
      <w:proofErr w:type="spellEnd"/>
      <w:r>
        <w:rPr>
          <w:i/>
          <w:iCs/>
          <w:lang w:val="id"/>
        </w:rPr>
        <w:t xml:space="preserve"> </w:t>
      </w:r>
      <w:proofErr w:type="spellStart"/>
      <w:r>
        <w:rPr>
          <w:i/>
          <w:iCs/>
          <w:lang w:val="id"/>
        </w:rPr>
        <w:t>served</w:t>
      </w:r>
      <w:proofErr w:type="spellEnd"/>
      <w:r>
        <w:rPr>
          <w:lang w:val="id"/>
        </w:rPr>
        <w:t>) di mana para eksportir mengajukan permohonan sertifikat TRQ setelah menyiapkan konsinyasi, dan kuota diberikan setelah sertifikat dikeluarkan.</w:t>
      </w:r>
    </w:p>
    <w:p w14:paraId="5634E6CE" w14:textId="0B6F7B22" w:rsidR="00680871" w:rsidRDefault="001222A8" w:rsidP="00EB0D18">
      <w:pPr>
        <w:pStyle w:val="ListParagraph"/>
        <w:numPr>
          <w:ilvl w:val="0"/>
          <w:numId w:val="21"/>
        </w:numPr>
        <w:ind w:left="357" w:hanging="357"/>
        <w:contextualSpacing w:val="0"/>
      </w:pPr>
      <w:r>
        <w:rPr>
          <w:lang w:val="id"/>
        </w:rPr>
        <w:t xml:space="preserve">Para eksportir harus membaca undang-undang terkait agar mereka memahami cara kerja sistem urutan penerimaan. Undang-undang tersebut dapat dibaca di: </w:t>
      </w:r>
      <w:hyperlink r:id="rId9" w:history="1">
        <w:r>
          <w:rPr>
            <w:rStyle w:val="Hyperlink"/>
            <w:rFonts w:ascii="Calibri" w:hAnsi="Calibri" w:cs="Calibri"/>
            <w:color w:val="954F72"/>
            <w:lang w:val="id"/>
          </w:rPr>
          <w:t>https://www.legislation.gov.au/Details/F2020C00177</w:t>
        </w:r>
      </w:hyperlink>
      <w:r>
        <w:rPr>
          <w:lang w:val="id"/>
        </w:rPr>
        <w:t>; bagian-bagian yang relevan adalah Bagian 1 dalam Bab 2 (Metode urutan penerimaan); dan Bagian 2, Bab 3 (Ekspor ke Indonesia).</w:t>
      </w:r>
    </w:p>
    <w:p w14:paraId="7A06490A" w14:textId="77777777" w:rsidR="00680871" w:rsidRDefault="00680871" w:rsidP="00905F94"/>
    <w:p w14:paraId="5E2D0489" w14:textId="77777777" w:rsidR="00680871" w:rsidRDefault="00680871" w:rsidP="00680871">
      <w:r>
        <w:rPr>
          <w:i/>
          <w:iCs/>
          <w:lang w:val="id"/>
        </w:rPr>
        <w:t>Bagaimana cara mengajukan permohonan sertifikat kuota tingkat tarif?</w:t>
      </w:r>
    </w:p>
    <w:p w14:paraId="0F2F1ED8" w14:textId="466DFC01" w:rsidR="000178AD" w:rsidRDefault="000178AD" w:rsidP="00EB0D18">
      <w:pPr>
        <w:pStyle w:val="ListParagraph"/>
        <w:numPr>
          <w:ilvl w:val="0"/>
          <w:numId w:val="21"/>
        </w:numPr>
        <w:ind w:left="357" w:hanging="357"/>
        <w:contextualSpacing w:val="0"/>
      </w:pPr>
      <w:r>
        <w:rPr>
          <w:lang w:val="id"/>
        </w:rPr>
        <w:t>Apabila Permohonan Izin (</w:t>
      </w:r>
      <w:proofErr w:type="spellStart"/>
      <w:r>
        <w:rPr>
          <w:lang w:val="id"/>
        </w:rPr>
        <w:t>Request</w:t>
      </w:r>
      <w:proofErr w:type="spellEnd"/>
      <w:r>
        <w:rPr>
          <w:lang w:val="id"/>
        </w:rPr>
        <w:t xml:space="preserve"> </w:t>
      </w:r>
      <w:proofErr w:type="spellStart"/>
      <w:r>
        <w:rPr>
          <w:lang w:val="id"/>
        </w:rPr>
        <w:t>for</w:t>
      </w:r>
      <w:proofErr w:type="spellEnd"/>
      <w:r>
        <w:rPr>
          <w:lang w:val="id"/>
        </w:rPr>
        <w:t xml:space="preserve"> </w:t>
      </w:r>
      <w:proofErr w:type="spellStart"/>
      <w:r>
        <w:rPr>
          <w:lang w:val="id"/>
        </w:rPr>
        <w:t>Permit</w:t>
      </w:r>
      <w:proofErr w:type="spellEnd"/>
      <w:r>
        <w:rPr>
          <w:lang w:val="id"/>
        </w:rPr>
        <w:t>/RFP) atas suatu pengiriman produk buah jeruk yang memenuhi syarat ke Indonesia telah berstatus COMP, maka permohonan tersebut akan masuk ke dalam Sistem Manajemen Kuota (</w:t>
      </w:r>
      <w:proofErr w:type="spellStart"/>
      <w:r>
        <w:rPr>
          <w:lang w:val="id"/>
        </w:rPr>
        <w:t>Quota</w:t>
      </w:r>
      <w:proofErr w:type="spellEnd"/>
      <w:r>
        <w:rPr>
          <w:lang w:val="id"/>
        </w:rPr>
        <w:t xml:space="preserve"> </w:t>
      </w:r>
      <w:proofErr w:type="spellStart"/>
      <w:r>
        <w:rPr>
          <w:lang w:val="id"/>
        </w:rPr>
        <w:t>Management</w:t>
      </w:r>
      <w:proofErr w:type="spellEnd"/>
      <w:r>
        <w:rPr>
          <w:lang w:val="id"/>
        </w:rPr>
        <w:t xml:space="preserve"> System/QMS) departemen.</w:t>
      </w:r>
    </w:p>
    <w:p w14:paraId="1DBEF1E1" w14:textId="62197EB9" w:rsidR="000178AD" w:rsidRDefault="000178AD" w:rsidP="00EB0D18">
      <w:pPr>
        <w:pStyle w:val="ListParagraph"/>
        <w:numPr>
          <w:ilvl w:val="0"/>
          <w:numId w:val="21"/>
        </w:numPr>
        <w:ind w:left="357" w:hanging="357"/>
        <w:contextualSpacing w:val="0"/>
      </w:pPr>
      <w:r>
        <w:rPr>
          <w:lang w:val="id"/>
        </w:rPr>
        <w:t xml:space="preserve">Eksportir yang membutuhkan sertifikat kuota untuk pengiriman tersebut harus melengkapi formulir permohonan sertifikat TRQ IA-CEPA untuk hortikultura (tersedia di </w:t>
      </w:r>
      <w:hyperlink r:id="rId10" w:history="1">
        <w:r>
          <w:rPr>
            <w:lang w:val="id"/>
          </w:rPr>
          <w:t>halaman web kuota buah jeruk</w:t>
        </w:r>
      </w:hyperlink>
      <w:r>
        <w:rPr>
          <w:lang w:val="id"/>
        </w:rPr>
        <w:t>). Permohonan tersebut harus menyertakan informasi berikut ini:</w:t>
      </w:r>
    </w:p>
    <w:p w14:paraId="4151FB10" w14:textId="77777777" w:rsidR="000178AD" w:rsidRDefault="000178AD" w:rsidP="000178AD">
      <w:pPr>
        <w:pStyle w:val="ListParagraph"/>
        <w:numPr>
          <w:ilvl w:val="1"/>
          <w:numId w:val="24"/>
        </w:numPr>
      </w:pPr>
      <w:r>
        <w:rPr>
          <w:lang w:val="id"/>
        </w:rPr>
        <w:t>keterangan tentang eksportir</w:t>
      </w:r>
    </w:p>
    <w:p w14:paraId="011962BE" w14:textId="2F4DE884" w:rsidR="000178AD" w:rsidRDefault="000178AD" w:rsidP="000178AD">
      <w:pPr>
        <w:pStyle w:val="ListParagraph"/>
        <w:numPr>
          <w:ilvl w:val="1"/>
          <w:numId w:val="24"/>
        </w:numPr>
      </w:pPr>
      <w:r>
        <w:rPr>
          <w:lang w:val="id"/>
        </w:rPr>
        <w:t xml:space="preserve">keterangan tentang importir (termasuk </w:t>
      </w:r>
      <w:r w:rsidR="00712470">
        <w:rPr>
          <w:lang w:val="id-ID"/>
        </w:rPr>
        <w:t xml:space="preserve">nomor Importir </w:t>
      </w:r>
      <w:r>
        <w:rPr>
          <w:lang w:val="id"/>
        </w:rPr>
        <w:t>dan nomor ID Pajak)</w:t>
      </w:r>
    </w:p>
    <w:p w14:paraId="4D5AF461" w14:textId="77777777" w:rsidR="000178AD" w:rsidRDefault="000178AD" w:rsidP="000178AD">
      <w:pPr>
        <w:pStyle w:val="ListParagraph"/>
        <w:numPr>
          <w:ilvl w:val="1"/>
          <w:numId w:val="24"/>
        </w:numPr>
      </w:pPr>
      <w:r>
        <w:rPr>
          <w:lang w:val="id"/>
        </w:rPr>
        <w:t>Nomor RFP</w:t>
      </w:r>
    </w:p>
    <w:p w14:paraId="355E1816" w14:textId="77777777" w:rsidR="000178AD" w:rsidRDefault="000178AD" w:rsidP="000178AD">
      <w:pPr>
        <w:pStyle w:val="ListParagraph"/>
        <w:numPr>
          <w:ilvl w:val="1"/>
          <w:numId w:val="24"/>
        </w:numPr>
      </w:pPr>
      <w:r>
        <w:rPr>
          <w:lang w:val="id"/>
        </w:rPr>
        <w:t>informasi produk</w:t>
      </w:r>
    </w:p>
    <w:p w14:paraId="75CEDE94" w14:textId="24CDC9A7" w:rsidR="000178AD" w:rsidRDefault="000178AD" w:rsidP="00EB0D18">
      <w:pPr>
        <w:pStyle w:val="ListParagraph"/>
        <w:numPr>
          <w:ilvl w:val="0"/>
          <w:numId w:val="21"/>
        </w:numPr>
        <w:ind w:left="357" w:hanging="357"/>
        <w:contextualSpacing w:val="0"/>
      </w:pPr>
      <w:r>
        <w:rPr>
          <w:lang w:val="id"/>
        </w:rPr>
        <w:t>Setelah formulir permohonan sertifikat yang lengkap telah diterima, formulir tersebut akan disesuaikan dengan RFP di dalam QMS dan sertifikat kuota IA-CEPA akan diberikan untuk produk yang memenuhi syarat. Salinan .</w:t>
      </w:r>
      <w:proofErr w:type="spellStart"/>
      <w:r>
        <w:rPr>
          <w:lang w:val="id"/>
        </w:rPr>
        <w:t>pdf</w:t>
      </w:r>
      <w:proofErr w:type="spellEnd"/>
      <w:r>
        <w:rPr>
          <w:lang w:val="id"/>
        </w:rPr>
        <w:t xml:space="preserve"> sertifikat akan dikirimkan ke alamat surel yang telah disebutkan eksportir di formulir permohonan. Di saat yang bersamaan, salinan sertifikat tersebut juga akan dikirimkan melalui surel kepada otoritas Indonesia sebagai informasi.</w:t>
      </w:r>
    </w:p>
    <w:p w14:paraId="3A887517" w14:textId="36789F9E" w:rsidR="00A22E16" w:rsidRDefault="00A22E16" w:rsidP="00EB0D18">
      <w:pPr>
        <w:pStyle w:val="ListParagraph"/>
        <w:numPr>
          <w:ilvl w:val="0"/>
          <w:numId w:val="21"/>
        </w:numPr>
        <w:ind w:left="357" w:hanging="357"/>
        <w:contextualSpacing w:val="0"/>
      </w:pPr>
      <w:r>
        <w:rPr>
          <w:lang w:val="id"/>
        </w:rPr>
        <w:t xml:space="preserve">Sertifikat </w:t>
      </w:r>
      <w:proofErr w:type="spellStart"/>
      <w:r>
        <w:rPr>
          <w:lang w:val="id"/>
        </w:rPr>
        <w:t>pdf</w:t>
      </w:r>
      <w:proofErr w:type="spellEnd"/>
      <w:r>
        <w:rPr>
          <w:lang w:val="id"/>
        </w:rPr>
        <w:t xml:space="preserve"> tersebut harus diteruskan kepada importir agar keterangannya (misalnya nomor sertifikat) dapat disampaikan kepada otoritas Indonesia dalam deklarasi impor.</w:t>
      </w:r>
    </w:p>
    <w:p w14:paraId="419E4598" w14:textId="77777777" w:rsidR="00680871" w:rsidRDefault="00680871" w:rsidP="00905F94"/>
    <w:p w14:paraId="6FE0AF5C" w14:textId="176D67E0" w:rsidR="00680871" w:rsidRDefault="00680871" w:rsidP="00680871">
      <w:r>
        <w:rPr>
          <w:i/>
          <w:iCs/>
          <w:lang w:val="id"/>
        </w:rPr>
        <w:t xml:space="preserve">Dapatkah saya membatalkan suatu sertifikat? </w:t>
      </w:r>
    </w:p>
    <w:p w14:paraId="0B0B90AC" w14:textId="5D85D4EC" w:rsidR="000178AD" w:rsidRDefault="00EB0D18" w:rsidP="00EB0D18">
      <w:pPr>
        <w:pStyle w:val="ListParagraph"/>
        <w:numPr>
          <w:ilvl w:val="0"/>
          <w:numId w:val="21"/>
        </w:numPr>
        <w:ind w:left="357" w:hanging="357"/>
        <w:contextualSpacing w:val="0"/>
      </w:pPr>
      <w:r>
        <w:rPr>
          <w:lang w:val="id"/>
        </w:rPr>
        <w:t xml:space="preserve">Ya – Sertifikat kuota dapat dibatalkan dengan mengirim surel kepada Unit Kuota dan meminta agar sertifikat tersebut dibatalkan. Nomor sertifikat (misalnya ID20ORXXXX) harus disebutkan. </w:t>
      </w:r>
    </w:p>
    <w:p w14:paraId="19B43FC8" w14:textId="6CB0CA55" w:rsidR="00680871" w:rsidRDefault="000178AD" w:rsidP="00EB0D18">
      <w:pPr>
        <w:pStyle w:val="ListParagraph"/>
        <w:numPr>
          <w:ilvl w:val="0"/>
          <w:numId w:val="21"/>
        </w:numPr>
        <w:ind w:left="357" w:hanging="357"/>
        <w:contextualSpacing w:val="0"/>
      </w:pPr>
      <w:r>
        <w:rPr>
          <w:lang w:val="id"/>
        </w:rPr>
        <w:lastRenderedPageBreak/>
        <w:t>RFP yang sesuai dengan sertifikat tersebut tidak harus dibatalkan terlebih dahulu. Jumlah kuota sertifikat tersebut kemudian akan dikreditkan kembali ke kumpulan kuota yang belum terpakai, sehingga tersedia untuk digunakan dalam pengiriman berikutnya.</w:t>
      </w:r>
    </w:p>
    <w:p w14:paraId="461FFFE6" w14:textId="186AC887" w:rsidR="00EB0D18" w:rsidRDefault="00EB0D18" w:rsidP="00EB0D18">
      <w:pPr>
        <w:pStyle w:val="ListParagraph"/>
        <w:numPr>
          <w:ilvl w:val="1"/>
          <w:numId w:val="24"/>
        </w:numPr>
      </w:pPr>
      <w:r>
        <w:rPr>
          <w:lang w:val="id"/>
        </w:rPr>
        <w:t>Akan tetapi, sertifikat kuota tidak dapat dibatalkan apabila telah diberikan kepada otoritas negara pengimpor.</w:t>
      </w:r>
    </w:p>
    <w:p w14:paraId="32FF89BD" w14:textId="77777777" w:rsidR="00680871" w:rsidRDefault="00680871" w:rsidP="00680871"/>
    <w:p w14:paraId="1053E657" w14:textId="77777777" w:rsidR="00680871" w:rsidRDefault="00680871" w:rsidP="00027DEC">
      <w:pPr>
        <w:keepNext/>
      </w:pPr>
      <w:r>
        <w:rPr>
          <w:i/>
          <w:iCs/>
          <w:lang w:val="id"/>
        </w:rPr>
        <w:t>Apa yang harus saya lakukan apabila sertifikat saya tidak tepat?</w:t>
      </w:r>
    </w:p>
    <w:p w14:paraId="1FF8EC09" w14:textId="77777777" w:rsidR="000178AD" w:rsidRDefault="000178AD" w:rsidP="00EB0D18">
      <w:pPr>
        <w:pStyle w:val="ListParagraph"/>
        <w:numPr>
          <w:ilvl w:val="0"/>
          <w:numId w:val="21"/>
        </w:numPr>
        <w:ind w:left="357" w:hanging="357"/>
        <w:contextualSpacing w:val="0"/>
      </w:pPr>
      <w:r>
        <w:rPr>
          <w:lang w:val="id"/>
        </w:rPr>
        <w:t>Unit Kuota akan memberikan sertifikat berdasarkan keterangan dalam RFP eksportir, permohonan sertifikat, dan dengan turut memperhitungkan produk yang memenuhi syarat kuota IA-CEPA.</w:t>
      </w:r>
    </w:p>
    <w:p w14:paraId="5D9244E3" w14:textId="2B80878B" w:rsidR="00F96267" w:rsidRDefault="000178AD" w:rsidP="00EB0D18">
      <w:pPr>
        <w:pStyle w:val="ListParagraph"/>
        <w:numPr>
          <w:ilvl w:val="0"/>
          <w:numId w:val="21"/>
        </w:numPr>
        <w:ind w:left="357" w:hanging="357"/>
        <w:contextualSpacing w:val="0"/>
      </w:pPr>
      <w:r>
        <w:rPr>
          <w:lang w:val="id"/>
        </w:rPr>
        <w:t>Jika eksportir meyakini sertifikat yang diterimanya tidak tepat mereka harus segera menghubungi Unit Kuota. Apabila diputuskan tidak tepat, sertifikat kuota yang ada dapat dibatalkan dan sertifikat pengganti dapat diberikan.</w:t>
      </w:r>
    </w:p>
    <w:p w14:paraId="17D6B23C" w14:textId="77777777" w:rsidR="00A52098" w:rsidRDefault="00A52098" w:rsidP="00A52098"/>
    <w:p w14:paraId="55782BC1" w14:textId="77777777" w:rsidR="00A52098" w:rsidRDefault="00A52098" w:rsidP="00A52098">
      <w:r>
        <w:rPr>
          <w:i/>
          <w:iCs/>
          <w:lang w:val="id"/>
        </w:rPr>
        <w:t>Bagaimana cara memeriksa jumlah kuota yang tersedia?</w:t>
      </w:r>
    </w:p>
    <w:p w14:paraId="7E3379DB" w14:textId="77777777" w:rsidR="00A52098" w:rsidRDefault="00A52098" w:rsidP="00A52098">
      <w:pPr>
        <w:pStyle w:val="ListParagraph"/>
        <w:numPr>
          <w:ilvl w:val="0"/>
          <w:numId w:val="24"/>
        </w:numPr>
      </w:pPr>
      <w:r>
        <w:rPr>
          <w:lang w:val="id"/>
        </w:rPr>
        <w:t>Status jumlah kuota yang tersedia dan jumlah kuota yang telah terpakai akan diterbitkan di situs web kuota buah jeruk.  Status ini akan diperbaharui secara berkala.</w:t>
      </w:r>
    </w:p>
    <w:p w14:paraId="56F4A682" w14:textId="77777777" w:rsidR="00A52098" w:rsidRDefault="00A52098" w:rsidP="00A52098"/>
    <w:p w14:paraId="25E8F0A6" w14:textId="77777777" w:rsidR="00027DEC" w:rsidRDefault="00027DEC" w:rsidP="00027DEC"/>
    <w:p w14:paraId="225D6C03" w14:textId="75057A17" w:rsidR="00027DEC" w:rsidRDefault="00027DEC" w:rsidP="00027DEC">
      <w:r>
        <w:rPr>
          <w:i/>
          <w:iCs/>
          <w:lang w:val="id"/>
        </w:rPr>
        <w:t>Informasi Kontak</w:t>
      </w:r>
    </w:p>
    <w:p w14:paraId="6E29BDBD" w14:textId="6966D02C" w:rsidR="00027DEC" w:rsidRDefault="00027DEC" w:rsidP="00027DEC">
      <w:r>
        <w:rPr>
          <w:lang w:val="id"/>
        </w:rPr>
        <w:t>Unit Administrasi Kuota dapat dihubungi melalui:</w:t>
      </w:r>
    </w:p>
    <w:p w14:paraId="5260DF64" w14:textId="4A9B498D" w:rsidR="00027DEC" w:rsidRDefault="00027DEC" w:rsidP="00027DEC">
      <w:r>
        <w:rPr>
          <w:lang w:val="id"/>
        </w:rPr>
        <w:t xml:space="preserve">Surel: </w:t>
      </w:r>
      <w:hyperlink r:id="rId11" w:history="1">
        <w:r>
          <w:rPr>
            <w:rStyle w:val="Hyperlink"/>
            <w:lang w:val="id"/>
          </w:rPr>
          <w:t>quota.admin@awe.gov.au</w:t>
        </w:r>
      </w:hyperlink>
    </w:p>
    <w:p w14:paraId="3626F386" w14:textId="4261798B" w:rsidR="00027DEC" w:rsidRPr="00027DEC" w:rsidRDefault="00027DEC" w:rsidP="00027DEC">
      <w:r>
        <w:rPr>
          <w:lang w:val="id"/>
        </w:rPr>
        <w:t>Telepon: (02) 6272 4068</w:t>
      </w:r>
    </w:p>
    <w:sectPr w:rsidR="00027DEC" w:rsidRPr="00027D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15559" w14:textId="77777777" w:rsidR="00413627" w:rsidRDefault="00413627">
      <w:r>
        <w:separator/>
      </w:r>
    </w:p>
  </w:endnote>
  <w:endnote w:type="continuationSeparator" w:id="0">
    <w:p w14:paraId="6AFC8D49" w14:textId="77777777" w:rsidR="00413627" w:rsidRDefault="0041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54D75" w14:textId="77777777" w:rsidR="009B1BEE" w:rsidRDefault="009B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262646"/>
      <w:docPartObj>
        <w:docPartGallery w:val="Page Numbers (Bottom of Page)"/>
        <w:docPartUnique/>
      </w:docPartObj>
    </w:sdtPr>
    <w:sdtEndPr>
      <w:rPr>
        <w:noProof/>
      </w:rPr>
    </w:sdtEndPr>
    <w:sdtContent>
      <w:p w14:paraId="27D0ADEC" w14:textId="25306C8E" w:rsidR="00C6669A" w:rsidRDefault="00C6669A" w:rsidP="00C6669A">
        <w:pPr>
          <w:pStyle w:val="Footer"/>
          <w:jc w:val="right"/>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0C85" w14:textId="77777777" w:rsidR="009B1BEE" w:rsidRDefault="009B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1BB7A" w14:textId="77777777" w:rsidR="00413627" w:rsidRDefault="00413627">
      <w:r>
        <w:separator/>
      </w:r>
    </w:p>
  </w:footnote>
  <w:footnote w:type="continuationSeparator" w:id="0">
    <w:p w14:paraId="6BC34F04" w14:textId="77777777" w:rsidR="00413627" w:rsidRDefault="0041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68EC" w14:textId="77777777" w:rsidR="009B1BEE" w:rsidRDefault="009B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F7C72" w14:textId="02CF18ED" w:rsidR="00626E31" w:rsidRDefault="004F6E81" w:rsidP="004F6E81">
    <w:pPr>
      <w:pStyle w:val="Header"/>
    </w:pPr>
    <w:r>
      <w:rPr>
        <w:noProof/>
        <w:lang w:val="id"/>
      </w:rPr>
      <w:drawing>
        <wp:inline distT="0" distB="0" distL="0" distR="0" wp14:anchorId="5DFBE8FA" wp14:editId="2425B776">
          <wp:extent cx="2417064" cy="725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p w14:paraId="46661914" w14:textId="77777777" w:rsidR="00351BD1" w:rsidRPr="004F6E81" w:rsidRDefault="00351BD1" w:rsidP="004F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7863" w14:textId="77777777" w:rsidR="009B1BEE" w:rsidRDefault="009B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D10782"/>
    <w:multiLevelType w:val="hybridMultilevel"/>
    <w:tmpl w:val="8A509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7F51B1F"/>
    <w:multiLevelType w:val="hybridMultilevel"/>
    <w:tmpl w:val="5BECFB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BAF1DDA"/>
    <w:multiLevelType w:val="hybridMultilevel"/>
    <w:tmpl w:val="E480A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425AB"/>
    <w:multiLevelType w:val="multilevel"/>
    <w:tmpl w:val="BC8603C0"/>
    <w:numStyleLink w:val="ListNumbers"/>
  </w:abstractNum>
  <w:abstractNum w:abstractNumId="13" w15:restartNumberingAfterBreak="0">
    <w:nsid w:val="37A332F0"/>
    <w:multiLevelType w:val="hybridMultilevel"/>
    <w:tmpl w:val="AE30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918A0"/>
    <w:multiLevelType w:val="hybridMultilevel"/>
    <w:tmpl w:val="43266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C936F4"/>
    <w:multiLevelType w:val="hybridMultilevel"/>
    <w:tmpl w:val="7AB2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9A149C"/>
    <w:multiLevelType w:val="hybridMultilevel"/>
    <w:tmpl w:val="95C08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7F59A4"/>
    <w:multiLevelType w:val="hybridMultilevel"/>
    <w:tmpl w:val="59429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55B0495"/>
    <w:multiLevelType w:val="hybridMultilevel"/>
    <w:tmpl w:val="FAA4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5"/>
  </w:num>
  <w:num w:numId="3">
    <w:abstractNumId w:val="6"/>
  </w:num>
  <w:num w:numId="4">
    <w:abstractNumId w:val="7"/>
  </w:num>
  <w:num w:numId="5">
    <w:abstractNumId w:val="3"/>
  </w:num>
  <w:num w:numId="6">
    <w:abstractNumId w:val="10"/>
  </w:num>
  <w:num w:numId="7">
    <w:abstractNumId w:val="23"/>
  </w:num>
  <w:num w:numId="8">
    <w:abstractNumId w:val="12"/>
  </w:num>
  <w:num w:numId="9">
    <w:abstractNumId w:val="2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2"/>
  </w:num>
  <w:num w:numId="15">
    <w:abstractNumId w:val="1"/>
  </w:num>
  <w:num w:numId="16">
    <w:abstractNumId w:val="0"/>
  </w:num>
  <w:num w:numId="17">
    <w:abstractNumId w:val="4"/>
  </w:num>
  <w:num w:numId="18">
    <w:abstractNumId w:val="11"/>
  </w:num>
  <w:num w:numId="19">
    <w:abstractNumId w:val="17"/>
  </w:num>
  <w:num w:numId="20">
    <w:abstractNumId w:val="24"/>
  </w:num>
  <w:num w:numId="21">
    <w:abstractNumId w:val="22"/>
  </w:num>
  <w:num w:numId="22">
    <w:abstractNumId w:val="13"/>
  </w:num>
  <w:num w:numId="23">
    <w:abstractNumId w:val="5"/>
  </w:num>
  <w:num w:numId="24">
    <w:abstractNumId w:val="8"/>
  </w:num>
  <w:num w:numId="25">
    <w:abstractNumId w:val="16"/>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71"/>
    <w:rsid w:val="000178AD"/>
    <w:rsid w:val="00027DEC"/>
    <w:rsid w:val="0004232D"/>
    <w:rsid w:val="000B499D"/>
    <w:rsid w:val="0011112B"/>
    <w:rsid w:val="001205C8"/>
    <w:rsid w:val="001222A8"/>
    <w:rsid w:val="0024791E"/>
    <w:rsid w:val="00275D15"/>
    <w:rsid w:val="002F6C4F"/>
    <w:rsid w:val="003477A0"/>
    <w:rsid w:val="00351BD1"/>
    <w:rsid w:val="00375E2B"/>
    <w:rsid w:val="00382B2C"/>
    <w:rsid w:val="00413627"/>
    <w:rsid w:val="00461807"/>
    <w:rsid w:val="004833C7"/>
    <w:rsid w:val="004F1E98"/>
    <w:rsid w:val="004F6E81"/>
    <w:rsid w:val="0054747E"/>
    <w:rsid w:val="00624C1D"/>
    <w:rsid w:val="00626E31"/>
    <w:rsid w:val="006504DB"/>
    <w:rsid w:val="00680871"/>
    <w:rsid w:val="0070595D"/>
    <w:rsid w:val="00712470"/>
    <w:rsid w:val="007266BC"/>
    <w:rsid w:val="008D08FA"/>
    <w:rsid w:val="00905F94"/>
    <w:rsid w:val="0091511E"/>
    <w:rsid w:val="009A2137"/>
    <w:rsid w:val="009B1BEE"/>
    <w:rsid w:val="009F1DBB"/>
    <w:rsid w:val="00A22E16"/>
    <w:rsid w:val="00A52098"/>
    <w:rsid w:val="00AA4B88"/>
    <w:rsid w:val="00B53FCB"/>
    <w:rsid w:val="00B56FDE"/>
    <w:rsid w:val="00B57188"/>
    <w:rsid w:val="00BF7378"/>
    <w:rsid w:val="00C57FBA"/>
    <w:rsid w:val="00C6669A"/>
    <w:rsid w:val="00D0498A"/>
    <w:rsid w:val="00D13FA7"/>
    <w:rsid w:val="00D750B1"/>
    <w:rsid w:val="00DA19F2"/>
    <w:rsid w:val="00DA24EA"/>
    <w:rsid w:val="00DA3DC2"/>
    <w:rsid w:val="00E04312"/>
    <w:rsid w:val="00E3214D"/>
    <w:rsid w:val="00E6504D"/>
    <w:rsid w:val="00EB0D18"/>
    <w:rsid w:val="00EE400B"/>
    <w:rsid w:val="00F244D5"/>
    <w:rsid w:val="00F67D3B"/>
    <w:rsid w:val="00F96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B0390"/>
  <w15:chartTrackingRefBased/>
  <w15:docId w15:val="{4083EDAA-DE45-4A5C-A978-84186490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71"/>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0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2133">
      <w:bodyDiv w:val="1"/>
      <w:marLeft w:val="0"/>
      <w:marRight w:val="0"/>
      <w:marTop w:val="0"/>
      <w:marBottom w:val="0"/>
      <w:divBdr>
        <w:top w:val="none" w:sz="0" w:space="0" w:color="auto"/>
        <w:left w:val="none" w:sz="0" w:space="0" w:color="auto"/>
        <w:bottom w:val="none" w:sz="0" w:space="0" w:color="auto"/>
        <w:right w:val="none" w:sz="0" w:space="0" w:color="auto"/>
      </w:divBdr>
    </w:div>
    <w:div w:id="607742145">
      <w:bodyDiv w:val="1"/>
      <w:marLeft w:val="0"/>
      <w:marRight w:val="0"/>
      <w:marTop w:val="0"/>
      <w:marBottom w:val="0"/>
      <w:divBdr>
        <w:top w:val="none" w:sz="0" w:space="0" w:color="auto"/>
        <w:left w:val="none" w:sz="0" w:space="0" w:color="auto"/>
        <w:bottom w:val="none" w:sz="0" w:space="0" w:color="auto"/>
        <w:right w:val="none" w:sz="0" w:space="0" w:color="auto"/>
      </w:divBdr>
    </w:div>
    <w:div w:id="1131051276">
      <w:bodyDiv w:val="1"/>
      <w:marLeft w:val="0"/>
      <w:marRight w:val="0"/>
      <w:marTop w:val="0"/>
      <w:marBottom w:val="0"/>
      <w:divBdr>
        <w:top w:val="none" w:sz="0" w:space="0" w:color="auto"/>
        <w:left w:val="none" w:sz="0" w:space="0" w:color="auto"/>
        <w:bottom w:val="none" w:sz="0" w:space="0" w:color="auto"/>
        <w:right w:val="none" w:sz="0" w:space="0" w:color="auto"/>
      </w:divBdr>
    </w:div>
    <w:div w:id="15739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trade/agreements/in-force/iacepa/iacepa-text/Pages/iacepa-appendix-2-a-1-tariff-rate-quot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admin@awe.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griculture.gov.au/export/from-australia/quota/cit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Details/F2020C0017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F9A8A-2CE3-467A-80E8-75A2D766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Gibbons, Damien</dc:creator>
  <cp:keywords/>
  <dc:description/>
  <cp:lastModifiedBy>Ade Diantini M Johansyah</cp:lastModifiedBy>
  <cp:revision>2</cp:revision>
  <cp:lastPrinted>2015-08-14T05:36:00Z</cp:lastPrinted>
  <dcterms:created xsi:type="dcterms:W3CDTF">2020-07-01T07:42:00Z</dcterms:created>
  <dcterms:modified xsi:type="dcterms:W3CDTF">2020-07-01T07:42:00Z</dcterms:modified>
</cp:coreProperties>
</file>