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CD1257A" w14:textId="68C2CCF4" w:rsidR="00680871" w:rsidRDefault="00680871" w:rsidP="00680871">
      <w:pPr>
        <w:rPr>
          <w:b/>
        </w:rPr>
      </w:pPr>
      <w:r>
        <w:rPr>
          <w:b/>
          <w:bCs/>
          <w:lang w:val="id"/>
        </w:rPr>
        <w:t>Kuota Tingkat Tarif Sayuran Indonesia – Sistem Alokasi</w:t>
      </w:r>
    </w:p>
    <w:p w14:paraId="5E97A4D7" w14:textId="20AFC540" w:rsidR="001222A8" w:rsidRDefault="001222A8" w:rsidP="001222A8">
      <w:r>
        <w:rPr>
          <w:lang w:val="id"/>
        </w:rPr>
        <w:t xml:space="preserve">Perjanjian Kemitraan Ekonomi </w:t>
      </w:r>
      <w:proofErr w:type="spellStart"/>
      <w:r w:rsidR="003172A7">
        <w:rPr>
          <w:lang w:val="en-US"/>
        </w:rPr>
        <w:t>Komprehensif</w:t>
      </w:r>
      <w:proofErr w:type="spellEnd"/>
      <w:r>
        <w:rPr>
          <w:lang w:val="id"/>
        </w:rPr>
        <w:t xml:space="preserve"> Indonesia-Australia (IA-CEPA) telah diratifikasi dan mulai berlaku pada tanggal 5 Juli 2020.  Sejak tanggal tersebut kuota tingkat tarif (TRQ) yang tercakup dalam IA-CEPA akan dapat diakses; untuk industri sayuran hal ini mencakup TRQ wortel dan TRQ kentang.</w:t>
      </w:r>
    </w:p>
    <w:p w14:paraId="7A9BBF0B" w14:textId="77777777" w:rsidR="00680871" w:rsidRDefault="001222A8" w:rsidP="001222A8">
      <w:r>
        <w:rPr>
          <w:lang w:val="id"/>
        </w:rPr>
        <w:t> Para eksportir yang berminat mengakses salah satu TRQ ini harus membaca informasi berikut.</w:t>
      </w:r>
    </w:p>
    <w:p w14:paraId="43FCFB43" w14:textId="77777777" w:rsidR="001222A8" w:rsidRDefault="001222A8" w:rsidP="00680871"/>
    <w:p w14:paraId="5B401354" w14:textId="77777777" w:rsidR="00680871" w:rsidRDefault="00680871" w:rsidP="00680871">
      <w:r>
        <w:rPr>
          <w:i/>
          <w:iCs/>
          <w:lang w:val="id"/>
        </w:rPr>
        <w:t>Berapakah kuota tingkat tarif wortel dan kentang untuk Indonesia?</w:t>
      </w:r>
    </w:p>
    <w:p w14:paraId="44325D20" w14:textId="77777777" w:rsidR="00905F94" w:rsidRDefault="00382B2C" w:rsidP="00382B2C">
      <w:pPr>
        <w:pStyle w:val="ListParagraph"/>
        <w:numPr>
          <w:ilvl w:val="0"/>
          <w:numId w:val="21"/>
        </w:numPr>
        <w:ind w:left="360"/>
      </w:pPr>
      <w:r>
        <w:rPr>
          <w:lang w:val="id"/>
        </w:rPr>
        <w:t>TRQ wortel dan kentang memungkinkan Australia mengekspor produk wortel dan kentang tertentu ke Indonesia dengan tingkat tarif yang lebih rendah apabila disertai dengan sertifikat tingkat tarif:</w:t>
      </w:r>
    </w:p>
    <w:p w14:paraId="5B2B65C5" w14:textId="77777777" w:rsidR="00382B2C" w:rsidRDefault="00382B2C" w:rsidP="00382B2C">
      <w:r>
        <w:rPr>
          <w:b/>
          <w:bCs/>
          <w:lang w:val="id"/>
        </w:rPr>
        <w:t>Wortel</w:t>
      </w:r>
    </w:p>
    <w:tbl>
      <w:tblPr>
        <w:tblStyle w:val="TableGrid"/>
        <w:tblW w:w="0" w:type="auto"/>
        <w:tblLook w:val="04A0" w:firstRow="1" w:lastRow="0" w:firstColumn="1" w:lastColumn="0" w:noHBand="0" w:noVBand="1"/>
      </w:tblPr>
      <w:tblGrid>
        <w:gridCol w:w="1555"/>
        <w:gridCol w:w="3402"/>
      </w:tblGrid>
      <w:tr w:rsidR="00382B2C" w14:paraId="2DD40468" w14:textId="77777777" w:rsidTr="00D750B1">
        <w:tc>
          <w:tcPr>
            <w:tcW w:w="1555" w:type="dxa"/>
            <w:vAlign w:val="center"/>
          </w:tcPr>
          <w:p w14:paraId="2AEC2BE8" w14:textId="77777777" w:rsidR="00382B2C" w:rsidRPr="00305509" w:rsidRDefault="00382B2C" w:rsidP="00382B2C">
            <w:pPr>
              <w:rPr>
                <w:b/>
              </w:rPr>
            </w:pPr>
            <w:r>
              <w:rPr>
                <w:b/>
                <w:bCs/>
                <w:lang w:val="id"/>
              </w:rPr>
              <w:t>Kode HS</w:t>
            </w:r>
          </w:p>
        </w:tc>
        <w:tc>
          <w:tcPr>
            <w:tcW w:w="3402" w:type="dxa"/>
            <w:vAlign w:val="center"/>
          </w:tcPr>
          <w:p w14:paraId="415D27FE" w14:textId="77777777" w:rsidR="00382B2C" w:rsidRPr="00305509" w:rsidRDefault="00382B2C" w:rsidP="00382B2C">
            <w:pPr>
              <w:rPr>
                <w:b/>
              </w:rPr>
            </w:pPr>
            <w:r>
              <w:rPr>
                <w:b/>
                <w:bCs/>
                <w:lang w:val="id"/>
              </w:rPr>
              <w:t>Uraian tentang Produk</w:t>
            </w:r>
          </w:p>
        </w:tc>
      </w:tr>
      <w:tr w:rsidR="00382B2C" w14:paraId="4F3D6FF3" w14:textId="77777777" w:rsidTr="00D750B1">
        <w:tc>
          <w:tcPr>
            <w:tcW w:w="1555" w:type="dxa"/>
            <w:vAlign w:val="center"/>
          </w:tcPr>
          <w:p w14:paraId="39B9C80C" w14:textId="77777777" w:rsidR="00382B2C" w:rsidRDefault="00382B2C" w:rsidP="00382B2C">
            <w:pPr>
              <w:spacing w:before="0"/>
              <w:rPr>
                <w:sz w:val="24"/>
                <w:szCs w:val="24"/>
              </w:rPr>
            </w:pPr>
            <w:r>
              <w:rPr>
                <w:lang w:val="id"/>
              </w:rPr>
              <w:t xml:space="preserve">0706.10.10 </w:t>
            </w:r>
          </w:p>
        </w:tc>
        <w:tc>
          <w:tcPr>
            <w:tcW w:w="3402" w:type="dxa"/>
            <w:vAlign w:val="center"/>
          </w:tcPr>
          <w:p w14:paraId="273C4C07" w14:textId="77777777" w:rsidR="00382B2C" w:rsidRDefault="00382B2C" w:rsidP="00382B2C">
            <w:r>
              <w:rPr>
                <w:lang w:val="id"/>
              </w:rPr>
              <w:t>Wortel</w:t>
            </w:r>
          </w:p>
        </w:tc>
      </w:tr>
    </w:tbl>
    <w:p w14:paraId="02FC9B17" w14:textId="77777777" w:rsidR="00382B2C" w:rsidRDefault="00382B2C" w:rsidP="00382B2C">
      <w:r>
        <w:rPr>
          <w:b/>
          <w:bCs/>
          <w:lang w:val="id"/>
        </w:rPr>
        <w:t>Kentang</w:t>
      </w:r>
    </w:p>
    <w:tbl>
      <w:tblPr>
        <w:tblStyle w:val="TableGrid"/>
        <w:tblW w:w="0" w:type="auto"/>
        <w:tblLook w:val="04A0" w:firstRow="1" w:lastRow="0" w:firstColumn="1" w:lastColumn="0" w:noHBand="0" w:noVBand="1"/>
      </w:tblPr>
      <w:tblGrid>
        <w:gridCol w:w="421"/>
        <w:gridCol w:w="1417"/>
        <w:gridCol w:w="6521"/>
      </w:tblGrid>
      <w:tr w:rsidR="00382B2C" w14:paraId="56D7CF0B" w14:textId="77777777" w:rsidTr="00D750B1">
        <w:tc>
          <w:tcPr>
            <w:tcW w:w="421" w:type="dxa"/>
          </w:tcPr>
          <w:p w14:paraId="2FD684B8" w14:textId="77777777" w:rsidR="00382B2C" w:rsidRDefault="00382B2C" w:rsidP="00382B2C"/>
        </w:tc>
        <w:tc>
          <w:tcPr>
            <w:tcW w:w="1417" w:type="dxa"/>
            <w:vAlign w:val="center"/>
          </w:tcPr>
          <w:p w14:paraId="53AE45A3" w14:textId="77777777" w:rsidR="00382B2C" w:rsidRPr="00305509" w:rsidRDefault="00382B2C" w:rsidP="00382B2C">
            <w:pPr>
              <w:rPr>
                <w:b/>
              </w:rPr>
            </w:pPr>
            <w:r>
              <w:rPr>
                <w:b/>
                <w:bCs/>
                <w:lang w:val="id"/>
              </w:rPr>
              <w:t>Kode HS</w:t>
            </w:r>
          </w:p>
        </w:tc>
        <w:tc>
          <w:tcPr>
            <w:tcW w:w="6521" w:type="dxa"/>
            <w:vAlign w:val="center"/>
          </w:tcPr>
          <w:p w14:paraId="5FB250EF" w14:textId="77777777" w:rsidR="00382B2C" w:rsidRPr="00305509" w:rsidRDefault="00382B2C" w:rsidP="00382B2C">
            <w:pPr>
              <w:rPr>
                <w:b/>
              </w:rPr>
            </w:pPr>
            <w:r>
              <w:rPr>
                <w:b/>
                <w:bCs/>
                <w:lang w:val="id"/>
              </w:rPr>
              <w:t>Uraian tentang Produk</w:t>
            </w:r>
          </w:p>
        </w:tc>
      </w:tr>
      <w:tr w:rsidR="00382B2C" w14:paraId="77B2EDDA" w14:textId="77777777" w:rsidTr="00D750B1">
        <w:tc>
          <w:tcPr>
            <w:tcW w:w="421" w:type="dxa"/>
            <w:vAlign w:val="center"/>
          </w:tcPr>
          <w:p w14:paraId="302EBA41" w14:textId="77777777" w:rsidR="00382B2C" w:rsidRDefault="00382B2C" w:rsidP="00382B2C">
            <w:pPr>
              <w:spacing w:before="0"/>
              <w:rPr>
                <w:sz w:val="24"/>
                <w:szCs w:val="24"/>
              </w:rPr>
            </w:pPr>
            <w:r>
              <w:rPr>
                <w:lang w:val="id"/>
              </w:rPr>
              <w:t>1</w:t>
            </w:r>
          </w:p>
        </w:tc>
        <w:tc>
          <w:tcPr>
            <w:tcW w:w="1417" w:type="dxa"/>
            <w:vAlign w:val="center"/>
          </w:tcPr>
          <w:p w14:paraId="0BAC209D" w14:textId="77777777" w:rsidR="00382B2C" w:rsidRDefault="00382B2C" w:rsidP="00382B2C">
            <w:r>
              <w:rPr>
                <w:lang w:val="id"/>
              </w:rPr>
              <w:t xml:space="preserve">0701.90.10 </w:t>
            </w:r>
          </w:p>
        </w:tc>
        <w:tc>
          <w:tcPr>
            <w:tcW w:w="6521" w:type="dxa"/>
            <w:vAlign w:val="center"/>
          </w:tcPr>
          <w:p w14:paraId="656BE812" w14:textId="77777777" w:rsidR="00382B2C" w:rsidRDefault="00382B2C" w:rsidP="00382B2C">
            <w:r>
              <w:rPr>
                <w:lang w:val="id"/>
              </w:rPr>
              <w:t>Kentang, segar atau dingin - Kentang untuk membuat keripik kentang</w:t>
            </w:r>
          </w:p>
        </w:tc>
      </w:tr>
      <w:tr w:rsidR="00382B2C" w14:paraId="4B919621" w14:textId="77777777" w:rsidTr="00D750B1">
        <w:tc>
          <w:tcPr>
            <w:tcW w:w="421" w:type="dxa"/>
            <w:vAlign w:val="center"/>
          </w:tcPr>
          <w:p w14:paraId="265BB2F1" w14:textId="77777777" w:rsidR="00382B2C" w:rsidRDefault="00382B2C" w:rsidP="00382B2C">
            <w:r>
              <w:rPr>
                <w:lang w:val="id"/>
              </w:rPr>
              <w:t>2</w:t>
            </w:r>
          </w:p>
        </w:tc>
        <w:tc>
          <w:tcPr>
            <w:tcW w:w="1417" w:type="dxa"/>
            <w:vAlign w:val="center"/>
          </w:tcPr>
          <w:p w14:paraId="26EC8D03" w14:textId="77777777" w:rsidR="00382B2C" w:rsidRDefault="00382B2C" w:rsidP="00382B2C">
            <w:r>
              <w:rPr>
                <w:lang w:val="id"/>
              </w:rPr>
              <w:t>0701.90.90</w:t>
            </w:r>
          </w:p>
        </w:tc>
        <w:tc>
          <w:tcPr>
            <w:tcW w:w="6521" w:type="dxa"/>
            <w:vAlign w:val="center"/>
          </w:tcPr>
          <w:p w14:paraId="5BEA6E2D" w14:textId="77777777" w:rsidR="00382B2C" w:rsidRDefault="00382B2C" w:rsidP="00382B2C">
            <w:r>
              <w:rPr>
                <w:lang w:val="id"/>
              </w:rPr>
              <w:t xml:space="preserve">Kentang, segar atau dingin - Selain kentang bibit dan kentang varietas </w:t>
            </w:r>
            <w:proofErr w:type="spellStart"/>
            <w:r>
              <w:rPr>
                <w:lang w:val="id"/>
              </w:rPr>
              <w:t>granola</w:t>
            </w:r>
            <w:proofErr w:type="spellEnd"/>
            <w:r>
              <w:rPr>
                <w:lang w:val="id"/>
              </w:rPr>
              <w:t xml:space="preserve">, median, </w:t>
            </w:r>
            <w:proofErr w:type="spellStart"/>
            <w:r>
              <w:rPr>
                <w:lang w:val="id"/>
              </w:rPr>
              <w:t>nadia</w:t>
            </w:r>
            <w:proofErr w:type="spellEnd"/>
            <w:r>
              <w:rPr>
                <w:lang w:val="id"/>
              </w:rPr>
              <w:t xml:space="preserve">, dan </w:t>
            </w:r>
            <w:proofErr w:type="spellStart"/>
            <w:r>
              <w:rPr>
                <w:lang w:val="id"/>
              </w:rPr>
              <w:t>blis</w:t>
            </w:r>
            <w:proofErr w:type="spellEnd"/>
          </w:p>
        </w:tc>
      </w:tr>
    </w:tbl>
    <w:p w14:paraId="2B394B67" w14:textId="77777777" w:rsidR="00275D15" w:rsidRDefault="00275D15" w:rsidP="00382B2C">
      <w:pPr>
        <w:pStyle w:val="ListParagraph"/>
        <w:numPr>
          <w:ilvl w:val="0"/>
          <w:numId w:val="21"/>
        </w:numPr>
        <w:ind w:left="360"/>
      </w:pPr>
      <w:r>
        <w:rPr>
          <w:lang w:val="id"/>
        </w:rPr>
        <w:t xml:space="preserve">TRQ wortel diberikan untuk 5.000 ton produk yang memenuhi syarat di tahun pertama dengan tingkat tarif dalam kuota sebesar 10%.  Volume ini akan meningkat seiring berjalannya waktu, sementara tingkat tarif akan menurun.  </w:t>
      </w:r>
    </w:p>
    <w:p w14:paraId="500E78F9" w14:textId="77777777" w:rsidR="00275D15" w:rsidRDefault="00275D15" w:rsidP="00382B2C">
      <w:pPr>
        <w:pStyle w:val="ListParagraph"/>
        <w:numPr>
          <w:ilvl w:val="0"/>
          <w:numId w:val="21"/>
        </w:numPr>
        <w:ind w:left="360"/>
      </w:pPr>
      <w:r>
        <w:rPr>
          <w:lang w:val="id"/>
        </w:rPr>
        <w:t>TRQ kentang diberikan untuk 10.000 ton produk yang memenuhi syarat di tahun pertama dengan tingkat tarif dalam kuota sebesar 10%.  Volume ini akan meningkat seiring berjalannya waktu, sementara tingkat tarif akan menurun.</w:t>
      </w:r>
    </w:p>
    <w:p w14:paraId="5643B808" w14:textId="77777777" w:rsidR="00382B2C" w:rsidRDefault="00275D15" w:rsidP="00382B2C">
      <w:pPr>
        <w:pStyle w:val="ListParagraph"/>
        <w:numPr>
          <w:ilvl w:val="0"/>
          <w:numId w:val="21"/>
        </w:numPr>
        <w:ind w:left="360"/>
      </w:pPr>
      <w:r>
        <w:rPr>
          <w:lang w:val="id"/>
        </w:rPr>
        <w:t xml:space="preserve">Tabel lengkap berisi bobot dan tingkat tarif dari tahun ke tahun dapat dilihat di </w:t>
      </w:r>
      <w:hyperlink r:id="rId8" w:history="1">
        <w:r>
          <w:rPr>
            <w:rStyle w:val="Hyperlink"/>
            <w:lang w:val="id"/>
          </w:rPr>
          <w:t>situs web DFAT</w:t>
        </w:r>
      </w:hyperlink>
      <w:r>
        <w:rPr>
          <w:lang w:val="id"/>
        </w:rPr>
        <w:t>.</w:t>
      </w:r>
    </w:p>
    <w:p w14:paraId="7EF7E0FF" w14:textId="4EAFE232" w:rsidR="00275D15" w:rsidRDefault="00275D15" w:rsidP="00382B2C">
      <w:pPr>
        <w:pStyle w:val="ListParagraph"/>
        <w:numPr>
          <w:ilvl w:val="0"/>
          <w:numId w:val="21"/>
        </w:numPr>
        <w:ind w:left="360"/>
      </w:pPr>
      <w:r>
        <w:rPr>
          <w:lang w:val="id"/>
        </w:rPr>
        <w:t xml:space="preserve">Karena perjanjian ini dimulai di tengah tahun kuota pertama, volume tahunan kuota tahun 2020 merupakan jumlah </w:t>
      </w:r>
      <w:proofErr w:type="spellStart"/>
      <w:r>
        <w:rPr>
          <w:lang w:val="id"/>
        </w:rPr>
        <w:t>prorata</w:t>
      </w:r>
      <w:proofErr w:type="spellEnd"/>
      <w:r>
        <w:rPr>
          <w:lang w:val="id"/>
        </w:rPr>
        <w:t xml:space="preserve"> yang telah direvisi untuk masing-masing TRQ:</w:t>
      </w:r>
    </w:p>
    <w:p w14:paraId="067F8B87" w14:textId="77777777" w:rsidR="00275D15" w:rsidRDefault="00275D15" w:rsidP="00275D15">
      <w:pPr>
        <w:pStyle w:val="ListParagraph"/>
        <w:numPr>
          <w:ilvl w:val="1"/>
          <w:numId w:val="21"/>
        </w:numPr>
      </w:pPr>
      <w:r>
        <w:rPr>
          <w:lang w:val="id"/>
        </w:rPr>
        <w:t>Wortel = 2.445 ton</w:t>
      </w:r>
    </w:p>
    <w:p w14:paraId="66187B4E" w14:textId="77777777" w:rsidR="00275D15" w:rsidRDefault="00275D15" w:rsidP="00275D15">
      <w:pPr>
        <w:pStyle w:val="ListParagraph"/>
        <w:numPr>
          <w:ilvl w:val="1"/>
          <w:numId w:val="21"/>
        </w:numPr>
      </w:pPr>
      <w:r>
        <w:rPr>
          <w:lang w:val="id"/>
        </w:rPr>
        <w:t>Kentang = 4.890 ton</w:t>
      </w:r>
    </w:p>
    <w:p w14:paraId="543F4131" w14:textId="77777777" w:rsidR="00680871" w:rsidRDefault="00680871" w:rsidP="00905F94"/>
    <w:p w14:paraId="19B4D72F" w14:textId="77777777" w:rsidR="00680871" w:rsidRDefault="00680871" w:rsidP="00680871">
      <w:r>
        <w:rPr>
          <w:i/>
          <w:iCs/>
          <w:lang w:val="id"/>
        </w:rPr>
        <w:t>Bagaimana cara pemberian kuota tingkat tarif?</w:t>
      </w:r>
    </w:p>
    <w:p w14:paraId="49AFEC82" w14:textId="77777777" w:rsidR="00DA19F2" w:rsidRDefault="00375E2B" w:rsidP="00DA19F2">
      <w:pPr>
        <w:pStyle w:val="ListParagraph"/>
        <w:numPr>
          <w:ilvl w:val="0"/>
          <w:numId w:val="21"/>
        </w:numPr>
        <w:ind w:left="360"/>
      </w:pPr>
      <w:r>
        <w:rPr>
          <w:lang w:val="id"/>
        </w:rPr>
        <w:t xml:space="preserve">Departemen Pertanian, Sumber Daya Air, dan Lingkungan Hidup (departemen) bertanggung jawab mengelola TRQ wortel dan kentang. </w:t>
      </w:r>
    </w:p>
    <w:p w14:paraId="7D11072C" w14:textId="77777777" w:rsidR="00375E2B" w:rsidRDefault="00375E2B" w:rsidP="00DA19F2">
      <w:pPr>
        <w:pStyle w:val="ListParagraph"/>
        <w:numPr>
          <w:ilvl w:val="0"/>
          <w:numId w:val="21"/>
        </w:numPr>
        <w:ind w:left="360"/>
      </w:pPr>
      <w:r>
        <w:rPr>
          <w:lang w:val="id"/>
        </w:rPr>
        <w:t>Keduanya dijalankan berdasarkan sistem alokasi di mana para eksportir mengajukan permohonan hak (</w:t>
      </w:r>
      <w:proofErr w:type="spellStart"/>
      <w:r>
        <w:rPr>
          <w:i/>
          <w:iCs/>
          <w:lang w:val="id"/>
        </w:rPr>
        <w:t>entitlement</w:t>
      </w:r>
      <w:proofErr w:type="spellEnd"/>
      <w:r>
        <w:rPr>
          <w:lang w:val="id"/>
        </w:rPr>
        <w:t>) di awal tahun kuota, atas volume sebanyak yang hendak mereka gunakan di sepanjang tahun tersebut.</w:t>
      </w:r>
    </w:p>
    <w:p w14:paraId="114D1BEC" w14:textId="77777777" w:rsidR="00F244D5" w:rsidRDefault="00F244D5" w:rsidP="00F67D3B">
      <w:pPr>
        <w:pStyle w:val="ListParagraph"/>
        <w:numPr>
          <w:ilvl w:val="0"/>
          <w:numId w:val="21"/>
        </w:numPr>
        <w:ind w:left="360"/>
      </w:pPr>
      <w:r>
        <w:rPr>
          <w:lang w:val="id"/>
        </w:rPr>
        <w:t>Hak akan dialokasikan secara proporsional berdasarkan riwayat ekspor produk terkait yang pernah dilakukan pemohon tersebut.  Hak ini kemudian dapat diakses saat mengekspor konsinyasi produk yang memenuhi syarat ke Indonesia.</w:t>
      </w:r>
    </w:p>
    <w:p w14:paraId="5634E6CE" w14:textId="4C8579F2" w:rsidR="00680871" w:rsidRDefault="001222A8" w:rsidP="00905F94">
      <w:pPr>
        <w:pStyle w:val="ListParagraph"/>
        <w:numPr>
          <w:ilvl w:val="0"/>
          <w:numId w:val="21"/>
        </w:numPr>
        <w:ind w:left="360"/>
      </w:pPr>
      <w:r>
        <w:rPr>
          <w:lang w:val="id"/>
        </w:rPr>
        <w:lastRenderedPageBreak/>
        <w:t>Para eksportir harus membaca undang-undang terkait agar mereka memahami cara kerja alokasi. Undang-undang tersebut dapat dibaca di:</w:t>
      </w:r>
      <w:r>
        <w:rPr>
          <w:rFonts w:ascii="Calibri" w:hAnsi="Calibri"/>
          <w:color w:val="1F497D"/>
          <w:lang w:val="id"/>
        </w:rPr>
        <w:t xml:space="preserve"> </w:t>
      </w:r>
      <w:hyperlink r:id="rId9" w:history="1">
        <w:r>
          <w:rPr>
            <w:rStyle w:val="Hyperlink"/>
            <w:rFonts w:ascii="Calibri" w:hAnsi="Calibri" w:cs="Calibri"/>
            <w:color w:val="954F72"/>
            <w:lang w:val="id"/>
          </w:rPr>
          <w:t>https://www.legislation.gov.au/Details/F2020C00177</w:t>
        </w:r>
      </w:hyperlink>
      <w:r>
        <w:rPr>
          <w:lang w:val="id"/>
        </w:rPr>
        <w:t>; bagian-bagian yang relevan adalah Bagian 3 dalam Bab 2 (Metode alokasi); dan Bagian 2, Bab 3 (Ekspor ke Indonesia).</w:t>
      </w:r>
    </w:p>
    <w:p w14:paraId="46873DE9" w14:textId="77777777" w:rsidR="00680871" w:rsidRDefault="00680871" w:rsidP="00905F94"/>
    <w:p w14:paraId="4D5EDBA6" w14:textId="77777777" w:rsidR="00680871" w:rsidRDefault="00680871" w:rsidP="00351BD1">
      <w:pPr>
        <w:keepNext/>
      </w:pPr>
      <w:r>
        <w:rPr>
          <w:i/>
          <w:iCs/>
          <w:lang w:val="id"/>
        </w:rPr>
        <w:t>Bagaimana cara mengajukan permohonan alokasi? Informasi apa yang harus saya berikan?</w:t>
      </w:r>
    </w:p>
    <w:p w14:paraId="4B1D5E7F" w14:textId="77777777" w:rsidR="00375E2B" w:rsidRPr="001205C8" w:rsidRDefault="00375E2B" w:rsidP="001205C8">
      <w:pPr>
        <w:pStyle w:val="ListParagraph"/>
        <w:numPr>
          <w:ilvl w:val="0"/>
          <w:numId w:val="21"/>
        </w:numPr>
        <w:ind w:left="360"/>
      </w:pPr>
      <w:r>
        <w:rPr>
          <w:lang w:val="id"/>
        </w:rPr>
        <w:t xml:space="preserve">Departemen dalam waktu dekat akan mulai menerima permohonan dan mengundang para eksportir yang berminat untuk mengajukan permohonan hak untuk TRQ wortel dan/atau kentang untuk tahun kuota 2020. </w:t>
      </w:r>
    </w:p>
    <w:p w14:paraId="40BF1D41" w14:textId="36BCFDD8" w:rsidR="00375E2B" w:rsidRDefault="00375E2B" w:rsidP="001205C8">
      <w:pPr>
        <w:pStyle w:val="ListParagraph"/>
        <w:numPr>
          <w:ilvl w:val="0"/>
          <w:numId w:val="21"/>
        </w:numPr>
        <w:ind w:left="360"/>
      </w:pPr>
      <w:r>
        <w:rPr>
          <w:lang w:val="id"/>
        </w:rPr>
        <w:t>Departemen akan mengirimkan undangan via surat elektronik dan melalui Pemberitahuan Tertulis Industri (</w:t>
      </w:r>
      <w:r>
        <w:rPr>
          <w:i/>
          <w:iCs/>
          <w:lang w:val="id"/>
        </w:rPr>
        <w:t xml:space="preserve">Industry </w:t>
      </w:r>
      <w:proofErr w:type="spellStart"/>
      <w:r>
        <w:rPr>
          <w:i/>
          <w:iCs/>
          <w:lang w:val="id"/>
        </w:rPr>
        <w:t>Advisory</w:t>
      </w:r>
      <w:proofErr w:type="spellEnd"/>
      <w:r>
        <w:rPr>
          <w:i/>
          <w:iCs/>
          <w:lang w:val="id"/>
        </w:rPr>
        <w:t xml:space="preserve"> </w:t>
      </w:r>
      <w:proofErr w:type="spellStart"/>
      <w:r>
        <w:rPr>
          <w:i/>
          <w:iCs/>
          <w:lang w:val="id"/>
        </w:rPr>
        <w:t>Notice</w:t>
      </w:r>
      <w:proofErr w:type="spellEnd"/>
      <w:r>
        <w:rPr>
          <w:lang w:val="id"/>
        </w:rPr>
        <w:t xml:space="preserve">) serta akan menyertakan formulir yang harus dilengkapi agar dapat mengajukan permohonan.  Formulir tersebut juga tersedia di </w:t>
      </w:r>
      <w:hyperlink r:id="rId10" w:history="1">
        <w:r>
          <w:rPr>
            <w:rStyle w:val="Hyperlink"/>
            <w:lang w:val="id"/>
          </w:rPr>
          <w:t>situs web departemen terkait kuota sayuran Indonesia</w:t>
        </w:r>
      </w:hyperlink>
      <w:r>
        <w:rPr>
          <w:lang w:val="id"/>
        </w:rPr>
        <w:t>.</w:t>
      </w:r>
    </w:p>
    <w:p w14:paraId="7ED22EC3" w14:textId="77777777" w:rsidR="001205C8" w:rsidRPr="001205C8" w:rsidRDefault="001205C8" w:rsidP="001205C8">
      <w:pPr>
        <w:pStyle w:val="ListParagraph"/>
        <w:numPr>
          <w:ilvl w:val="1"/>
          <w:numId w:val="21"/>
        </w:numPr>
      </w:pPr>
      <w:r>
        <w:rPr>
          <w:lang w:val="id"/>
        </w:rPr>
        <w:t>Formulir tersebut hanya mensyaratkan informasi kontak dan keterangan umum tentang perusahaan serta harus menyertakan volume kuota yang diminta.</w:t>
      </w:r>
    </w:p>
    <w:p w14:paraId="6058DB1C" w14:textId="77777777" w:rsidR="00375E2B" w:rsidRPr="001205C8" w:rsidRDefault="00375E2B" w:rsidP="001205C8">
      <w:pPr>
        <w:pStyle w:val="ListParagraph"/>
        <w:numPr>
          <w:ilvl w:val="0"/>
          <w:numId w:val="21"/>
        </w:numPr>
        <w:ind w:left="360"/>
      </w:pPr>
      <w:r>
        <w:rPr>
          <w:lang w:val="id"/>
        </w:rPr>
        <w:t>Para eksportir memiliki waktu 10 hari kerja untuk mengajukan permohonan dan setelah itu jangka waktu permohonan akan ditutup dan hak akan dihitung.  Departemen tidak dapat menerima permohonan setelah tanggal penutupan.</w:t>
      </w:r>
    </w:p>
    <w:p w14:paraId="4BDAAD25" w14:textId="77777777" w:rsidR="00680871" w:rsidRDefault="00680871" w:rsidP="00905F94"/>
    <w:p w14:paraId="1F313478" w14:textId="77777777" w:rsidR="00680871" w:rsidRDefault="00680871" w:rsidP="00905F94">
      <w:r>
        <w:rPr>
          <w:i/>
          <w:iCs/>
          <w:lang w:val="id"/>
        </w:rPr>
        <w:t>Bagaimana cara alokasi ditetapkan?</w:t>
      </w:r>
    </w:p>
    <w:p w14:paraId="3DB692C5" w14:textId="77777777" w:rsidR="007266BC" w:rsidRPr="001205C8" w:rsidRDefault="00375E2B" w:rsidP="001205C8">
      <w:pPr>
        <w:pStyle w:val="ListParagraph"/>
        <w:numPr>
          <w:ilvl w:val="0"/>
          <w:numId w:val="21"/>
        </w:numPr>
        <w:ind w:left="360"/>
      </w:pPr>
      <w:r>
        <w:rPr>
          <w:lang w:val="id"/>
        </w:rPr>
        <w:t xml:space="preserve">Apabila kuota volume yang tersedia melebihi jumlah yang diminta oleh seluruh pemohon, masing-masing pemohon akan menerima jumlah yang diminta (dengan kata lain, kuota yang ada cukup untuk memenuhi kebutuhan semua pemohon).  </w:t>
      </w:r>
    </w:p>
    <w:p w14:paraId="20296BBB" w14:textId="77777777" w:rsidR="009F1DBB" w:rsidRPr="001205C8" w:rsidRDefault="00375E2B" w:rsidP="009F1DBB">
      <w:pPr>
        <w:pStyle w:val="ListParagraph"/>
        <w:numPr>
          <w:ilvl w:val="0"/>
          <w:numId w:val="21"/>
        </w:numPr>
        <w:ind w:left="360"/>
      </w:pPr>
      <w:r>
        <w:rPr>
          <w:lang w:val="id"/>
        </w:rPr>
        <w:t>Akan tetapi, apabila volume yang tersedia kurang dari jumlah yang diminta oleh seluruh pemohon, hak akan diperhitungkan secara proporsional berdasarkan riwayat pengiriman (</w:t>
      </w:r>
      <w:proofErr w:type="spellStart"/>
      <w:r>
        <w:rPr>
          <w:i/>
          <w:iCs/>
          <w:lang w:val="id"/>
        </w:rPr>
        <w:t>shipment</w:t>
      </w:r>
      <w:proofErr w:type="spellEnd"/>
      <w:r>
        <w:rPr>
          <w:lang w:val="id"/>
        </w:rPr>
        <w:t xml:space="preserve">) mereka dibandingkan dengan riwayat pengiriman total seluruh pemohon.  </w:t>
      </w:r>
    </w:p>
    <w:p w14:paraId="7016A871" w14:textId="77777777" w:rsidR="007266BC" w:rsidRPr="001205C8" w:rsidRDefault="00375E2B" w:rsidP="001205C8">
      <w:pPr>
        <w:pStyle w:val="ListParagraph"/>
        <w:numPr>
          <w:ilvl w:val="0"/>
          <w:numId w:val="21"/>
        </w:numPr>
        <w:ind w:left="360"/>
      </w:pPr>
      <w:r>
        <w:rPr>
          <w:lang w:val="id"/>
        </w:rPr>
        <w:t>Selama 2 tahun pertama berjalannya TRQ, riwayat pengiriman didasarkan pada ekspor produk yang memenuhi syarat ke setiap negara selama 2 tahun sebelumnya (informasi lengkap dapat dibaca di bagian 81 undang-undang).</w:t>
      </w:r>
    </w:p>
    <w:p w14:paraId="3048EA24" w14:textId="79CC13C2" w:rsidR="007266BC" w:rsidRPr="001205C8" w:rsidRDefault="00351BD1" w:rsidP="009F1DBB">
      <w:pPr>
        <w:pStyle w:val="ListParagraph"/>
        <w:numPr>
          <w:ilvl w:val="1"/>
          <w:numId w:val="21"/>
        </w:numPr>
      </w:pPr>
      <w:r>
        <w:rPr>
          <w:lang w:val="id"/>
        </w:rPr>
        <w:t>Mulai tahun ketiga, riwayat pengiriman akan berubah menjadi didasarkan pada ekspor dalam kuota (</w:t>
      </w:r>
      <w:r>
        <w:rPr>
          <w:i/>
          <w:iCs/>
          <w:lang w:val="id"/>
        </w:rPr>
        <w:t>in-</w:t>
      </w:r>
      <w:proofErr w:type="spellStart"/>
      <w:r>
        <w:rPr>
          <w:i/>
          <w:iCs/>
          <w:lang w:val="id"/>
        </w:rPr>
        <w:t>quota</w:t>
      </w:r>
      <w:proofErr w:type="spellEnd"/>
      <w:r>
        <w:rPr>
          <w:lang w:val="id"/>
        </w:rPr>
        <w:t>) ke Indonesia selama 2 tahun sebelumnya.</w:t>
      </w:r>
    </w:p>
    <w:p w14:paraId="784B40EA" w14:textId="77777777" w:rsidR="00375E2B" w:rsidRPr="001205C8" w:rsidRDefault="00375E2B" w:rsidP="001205C8">
      <w:pPr>
        <w:pStyle w:val="ListParagraph"/>
        <w:numPr>
          <w:ilvl w:val="0"/>
          <w:numId w:val="21"/>
        </w:numPr>
        <w:ind w:left="360"/>
      </w:pPr>
      <w:r>
        <w:rPr>
          <w:lang w:val="id"/>
        </w:rPr>
        <w:t xml:space="preserve">Perhatikan, karena IA-CEPA dimulai di tengah tahun, total volume kuota yang tersedia merupakan jumlah </w:t>
      </w:r>
      <w:proofErr w:type="spellStart"/>
      <w:r>
        <w:rPr>
          <w:lang w:val="id"/>
        </w:rPr>
        <w:t>prorata</w:t>
      </w:r>
      <w:proofErr w:type="spellEnd"/>
      <w:r>
        <w:rPr>
          <w:lang w:val="id"/>
        </w:rPr>
        <w:t xml:space="preserve"> (kira-kira 4.890 ton kentang dan 2.445 ton wortel). Akan dilaksanakan proses alokasi yang baru untuk tahun 2021.</w:t>
      </w:r>
    </w:p>
    <w:p w14:paraId="7A06490A" w14:textId="77777777" w:rsidR="00680871" w:rsidRDefault="00680871" w:rsidP="00905F94"/>
    <w:p w14:paraId="5E2D0489" w14:textId="77777777" w:rsidR="00680871" w:rsidRDefault="00680871" w:rsidP="00680871">
      <w:r>
        <w:rPr>
          <w:i/>
          <w:iCs/>
          <w:lang w:val="id"/>
        </w:rPr>
        <w:t>Bagaimana cara mengajukan permohonan sertifikat kuota tingkat tarif?</w:t>
      </w:r>
    </w:p>
    <w:p w14:paraId="0F2F1ED8" w14:textId="34101ACA" w:rsidR="000178AD" w:rsidRDefault="000178AD" w:rsidP="000178AD">
      <w:pPr>
        <w:pStyle w:val="ListParagraph"/>
        <w:numPr>
          <w:ilvl w:val="0"/>
          <w:numId w:val="24"/>
        </w:numPr>
      </w:pPr>
      <w:r>
        <w:rPr>
          <w:lang w:val="id"/>
        </w:rPr>
        <w:t>Apabila Permohonan Izin (</w:t>
      </w:r>
      <w:proofErr w:type="spellStart"/>
      <w:r>
        <w:rPr>
          <w:lang w:val="id"/>
        </w:rPr>
        <w:t>Request</w:t>
      </w:r>
      <w:proofErr w:type="spellEnd"/>
      <w:r>
        <w:rPr>
          <w:lang w:val="id"/>
        </w:rPr>
        <w:t xml:space="preserve"> </w:t>
      </w:r>
      <w:proofErr w:type="spellStart"/>
      <w:r>
        <w:rPr>
          <w:lang w:val="id"/>
        </w:rPr>
        <w:t>for</w:t>
      </w:r>
      <w:proofErr w:type="spellEnd"/>
      <w:r>
        <w:rPr>
          <w:lang w:val="id"/>
        </w:rPr>
        <w:t xml:space="preserve"> </w:t>
      </w:r>
      <w:proofErr w:type="spellStart"/>
      <w:r>
        <w:rPr>
          <w:lang w:val="id"/>
        </w:rPr>
        <w:t>Permit</w:t>
      </w:r>
      <w:proofErr w:type="spellEnd"/>
      <w:r>
        <w:rPr>
          <w:lang w:val="id"/>
        </w:rPr>
        <w:t>/RFP) atas suatu pengiriman wortel atau kentang ke Indonesia telah berstatus COMP, maka permohonan tersebut akan masuk ke dalam Sistem Manajemen Kuota (</w:t>
      </w:r>
      <w:proofErr w:type="spellStart"/>
      <w:r>
        <w:rPr>
          <w:lang w:val="id"/>
        </w:rPr>
        <w:t>Quota</w:t>
      </w:r>
      <w:proofErr w:type="spellEnd"/>
      <w:r>
        <w:rPr>
          <w:lang w:val="id"/>
        </w:rPr>
        <w:t xml:space="preserve"> </w:t>
      </w:r>
      <w:proofErr w:type="spellStart"/>
      <w:r>
        <w:rPr>
          <w:lang w:val="id"/>
        </w:rPr>
        <w:t>Management</w:t>
      </w:r>
      <w:proofErr w:type="spellEnd"/>
      <w:r>
        <w:rPr>
          <w:lang w:val="id"/>
        </w:rPr>
        <w:t xml:space="preserve"> System/QMS) departemen.</w:t>
      </w:r>
    </w:p>
    <w:p w14:paraId="1DBEF1E1" w14:textId="4C71D538" w:rsidR="000178AD" w:rsidRDefault="000178AD" w:rsidP="000178AD">
      <w:pPr>
        <w:pStyle w:val="ListParagraph"/>
        <w:numPr>
          <w:ilvl w:val="0"/>
          <w:numId w:val="24"/>
        </w:numPr>
      </w:pPr>
      <w:r>
        <w:rPr>
          <w:lang w:val="id"/>
        </w:rPr>
        <w:t xml:space="preserve">Eksportir yang membutuhkan sertifikat kuota untuk pengiriman wortel atau kentang harus melengkapi formulir permohonan sertifikat TRQ IA-CEPA untuk sayuran (tersedia di </w:t>
      </w:r>
      <w:hyperlink r:id="rId11" w:history="1">
        <w:r>
          <w:rPr>
            <w:rStyle w:val="Hyperlink"/>
            <w:lang w:val="id"/>
          </w:rPr>
          <w:t>halaman web kuota sayuran</w:t>
        </w:r>
      </w:hyperlink>
      <w:r>
        <w:rPr>
          <w:lang w:val="id"/>
        </w:rPr>
        <w:t>). Permohonan tersebut harus menyertakan informasi berikut ini:</w:t>
      </w:r>
    </w:p>
    <w:p w14:paraId="4151FB10" w14:textId="77777777" w:rsidR="000178AD" w:rsidRDefault="000178AD" w:rsidP="000178AD">
      <w:pPr>
        <w:pStyle w:val="ListParagraph"/>
        <w:numPr>
          <w:ilvl w:val="1"/>
          <w:numId w:val="24"/>
        </w:numPr>
      </w:pPr>
      <w:r>
        <w:rPr>
          <w:lang w:val="id"/>
        </w:rPr>
        <w:t>keterangan tentang eksportir</w:t>
      </w:r>
    </w:p>
    <w:p w14:paraId="011962BE" w14:textId="316EE4FA" w:rsidR="000178AD" w:rsidRDefault="000178AD" w:rsidP="000178AD">
      <w:pPr>
        <w:pStyle w:val="ListParagraph"/>
        <w:numPr>
          <w:ilvl w:val="1"/>
          <w:numId w:val="24"/>
        </w:numPr>
      </w:pPr>
      <w:r>
        <w:rPr>
          <w:lang w:val="id"/>
        </w:rPr>
        <w:t xml:space="preserve">keterangan tentang importir (termasuk </w:t>
      </w:r>
      <w:r w:rsidR="001A07AB">
        <w:rPr>
          <w:lang w:val="id-ID"/>
        </w:rPr>
        <w:t xml:space="preserve">nomor Importir </w:t>
      </w:r>
      <w:r>
        <w:rPr>
          <w:lang w:val="id"/>
        </w:rPr>
        <w:t>dan nomor ID Pajak Importir)</w:t>
      </w:r>
    </w:p>
    <w:p w14:paraId="4D5AF461" w14:textId="77777777" w:rsidR="000178AD" w:rsidRDefault="000178AD" w:rsidP="000178AD">
      <w:pPr>
        <w:pStyle w:val="ListParagraph"/>
        <w:numPr>
          <w:ilvl w:val="1"/>
          <w:numId w:val="24"/>
        </w:numPr>
      </w:pPr>
      <w:r>
        <w:rPr>
          <w:lang w:val="id"/>
        </w:rPr>
        <w:t>Nomor RFP</w:t>
      </w:r>
    </w:p>
    <w:p w14:paraId="355E1816" w14:textId="77777777" w:rsidR="000178AD" w:rsidRDefault="000178AD" w:rsidP="000178AD">
      <w:pPr>
        <w:pStyle w:val="ListParagraph"/>
        <w:numPr>
          <w:ilvl w:val="1"/>
          <w:numId w:val="24"/>
        </w:numPr>
      </w:pPr>
      <w:r>
        <w:rPr>
          <w:lang w:val="id"/>
        </w:rPr>
        <w:lastRenderedPageBreak/>
        <w:t>informasi produk</w:t>
      </w:r>
    </w:p>
    <w:p w14:paraId="75CEDE94" w14:textId="1690AB6A" w:rsidR="000178AD" w:rsidRDefault="000178AD" w:rsidP="000178AD">
      <w:pPr>
        <w:pStyle w:val="ListParagraph"/>
        <w:numPr>
          <w:ilvl w:val="0"/>
          <w:numId w:val="24"/>
        </w:numPr>
      </w:pPr>
      <w:r>
        <w:rPr>
          <w:lang w:val="id"/>
        </w:rPr>
        <w:t xml:space="preserve">Setelah formulir permohonan sertifikat yang lengkap telah diterima, formulir tersebut akan </w:t>
      </w:r>
      <w:proofErr w:type="spellStart"/>
      <w:r w:rsidR="003172A7">
        <w:rPr>
          <w:lang w:val="en-US"/>
        </w:rPr>
        <w:t>diperiksa</w:t>
      </w:r>
      <w:proofErr w:type="spellEnd"/>
      <w:r>
        <w:rPr>
          <w:lang w:val="id"/>
        </w:rPr>
        <w:t xml:space="preserve"> dengan RFP di dalam QMS dan sertifikat kuota IA-CEPA akan diberikan untuk produk yang memenuhi syarat. Salinan .</w:t>
      </w:r>
      <w:proofErr w:type="spellStart"/>
      <w:r>
        <w:rPr>
          <w:lang w:val="id"/>
        </w:rPr>
        <w:t>pdf</w:t>
      </w:r>
      <w:proofErr w:type="spellEnd"/>
      <w:r>
        <w:rPr>
          <w:lang w:val="id"/>
        </w:rPr>
        <w:t xml:space="preserve"> sertifikat akan dikirimkan ke alamat surel yang telah disebutkan eksportir di formulir permohonan. Di saat yang bersamaan salinan sertifikat tersebut juga akan dikirimkan melalui surel kepada otoritas Indonesia sebagai informasi.</w:t>
      </w:r>
    </w:p>
    <w:p w14:paraId="1E905BCB" w14:textId="77777777" w:rsidR="00680871" w:rsidRDefault="00680871" w:rsidP="00905F94"/>
    <w:p w14:paraId="231E4347" w14:textId="77777777" w:rsidR="00680871" w:rsidRDefault="000B499D" w:rsidP="00351BD1">
      <w:pPr>
        <w:keepNext/>
      </w:pPr>
      <w:r>
        <w:rPr>
          <w:i/>
          <w:iCs/>
          <w:lang w:val="id"/>
        </w:rPr>
        <w:t>Adakah proses untuk membuat kuota yang tidak terpakai menjadi tersedia?</w:t>
      </w:r>
    </w:p>
    <w:p w14:paraId="5B07CE09" w14:textId="77777777" w:rsidR="000B499D" w:rsidRDefault="00BF7378" w:rsidP="00680871">
      <w:pPr>
        <w:pStyle w:val="ListParagraph"/>
        <w:numPr>
          <w:ilvl w:val="0"/>
          <w:numId w:val="18"/>
        </w:numPr>
        <w:ind w:left="360"/>
      </w:pPr>
      <w:r>
        <w:rPr>
          <w:lang w:val="id"/>
        </w:rPr>
        <w:t>Biasanya dalam suatu tahun kuota, akan diadakan proses permintaan kembali (</w:t>
      </w:r>
      <w:proofErr w:type="spellStart"/>
      <w:r>
        <w:rPr>
          <w:i/>
          <w:iCs/>
          <w:lang w:val="id"/>
        </w:rPr>
        <w:t>reclaim</w:t>
      </w:r>
      <w:proofErr w:type="spellEnd"/>
      <w:r>
        <w:rPr>
          <w:lang w:val="id"/>
        </w:rPr>
        <w:t>) dan realokasi di bulan Agustus, di mana para pemegang kuota harus memberitahukan jumlah kuota yang masih ingin mereka gunakan (dan oleh karenanya ingin mereka pertahankan) dan mengembalikan setiap kuota yang tidak ingin mereka gunakan.  Para eksportir juga berkesempatan mengajukan permohonan alokasi tambahan kuota apabila tersedia.</w:t>
      </w:r>
    </w:p>
    <w:p w14:paraId="557827E7" w14:textId="77777777" w:rsidR="000B499D" w:rsidRDefault="000B499D" w:rsidP="00680871">
      <w:pPr>
        <w:pStyle w:val="ListParagraph"/>
        <w:numPr>
          <w:ilvl w:val="0"/>
          <w:numId w:val="18"/>
        </w:numPr>
        <w:ind w:left="360"/>
      </w:pPr>
      <w:r>
        <w:rPr>
          <w:lang w:val="id"/>
        </w:rPr>
        <w:t>Untuk menghindari retensi yang tidak beralasan, penalti dapat dikenakan apabila hingga akhir tahun alokasi yang terpakai tidak mencapai 90 persen.</w:t>
      </w:r>
    </w:p>
    <w:p w14:paraId="7D9FB3B0" w14:textId="77777777" w:rsidR="00680871" w:rsidRDefault="00680871" w:rsidP="00680871">
      <w:pPr>
        <w:pStyle w:val="ListParagraph"/>
        <w:numPr>
          <w:ilvl w:val="0"/>
          <w:numId w:val="18"/>
        </w:numPr>
        <w:ind w:left="360"/>
      </w:pPr>
      <w:r>
        <w:rPr>
          <w:lang w:val="id"/>
        </w:rPr>
        <w:t xml:space="preserve">Akan tetapi, berhubung IA-CEPA dimulai di bulan Juli, proses permintaan kembali dan realokasi tidak akan diadakan untuk tahun 2020 dan penalti tidak akan dikenakan.  </w:t>
      </w:r>
    </w:p>
    <w:p w14:paraId="72BD60EB" w14:textId="77777777" w:rsidR="00680871" w:rsidRPr="00680871" w:rsidRDefault="00680871" w:rsidP="00680871">
      <w:pPr>
        <w:pStyle w:val="ListParagraph"/>
        <w:numPr>
          <w:ilvl w:val="0"/>
          <w:numId w:val="18"/>
        </w:numPr>
        <w:ind w:left="360"/>
      </w:pPr>
      <w:r>
        <w:rPr>
          <w:lang w:val="id"/>
        </w:rPr>
        <w:t>Proses ini akan berjalan seperti biasa mulai tahun 2021. Informasi tentang proses tersebut akan tersedia di situs web departemen.</w:t>
      </w:r>
    </w:p>
    <w:p w14:paraId="663C0C7B" w14:textId="77777777" w:rsidR="00680871" w:rsidRDefault="00680871" w:rsidP="00905F94"/>
    <w:p w14:paraId="28B7C74B" w14:textId="77777777" w:rsidR="00680871" w:rsidRDefault="00DA24EA" w:rsidP="009F1DBB">
      <w:r>
        <w:rPr>
          <w:i/>
          <w:iCs/>
          <w:lang w:val="id"/>
        </w:rPr>
        <w:t>Dapatkah saya mengembalikan kuota yang tidak akan saya gunakan?</w:t>
      </w:r>
    </w:p>
    <w:p w14:paraId="2D653E59" w14:textId="77777777" w:rsidR="00680871" w:rsidRDefault="009F1DBB" w:rsidP="009F1DBB">
      <w:pPr>
        <w:pStyle w:val="ListParagraph"/>
        <w:numPr>
          <w:ilvl w:val="0"/>
          <w:numId w:val="18"/>
        </w:numPr>
        <w:ind w:left="360"/>
      </w:pPr>
      <w:r>
        <w:rPr>
          <w:lang w:val="id"/>
        </w:rPr>
        <w:t xml:space="preserve">Para eksportir diimbau untuk mengembalikan jumlah kuota yang tidak akan mereka gunakan. Hal ini memastikan agar kuota tersedia bagi calon pengguna lainnya. </w:t>
      </w:r>
    </w:p>
    <w:p w14:paraId="2015955B" w14:textId="3F90C726" w:rsidR="009F1DBB" w:rsidRDefault="00BF7378" w:rsidP="009F1DBB">
      <w:pPr>
        <w:pStyle w:val="ListParagraph"/>
        <w:numPr>
          <w:ilvl w:val="0"/>
          <w:numId w:val="18"/>
        </w:numPr>
        <w:ind w:left="360"/>
      </w:pPr>
      <w:r>
        <w:rPr>
          <w:lang w:val="id"/>
        </w:rPr>
        <w:t>Formulirnya akan disediakan di situs web kuota sayuran.</w:t>
      </w:r>
    </w:p>
    <w:p w14:paraId="770F804C" w14:textId="77777777" w:rsidR="004833C7" w:rsidRDefault="004833C7" w:rsidP="00BF7378"/>
    <w:p w14:paraId="28B9E550" w14:textId="77777777" w:rsidR="00BF7378" w:rsidRDefault="00DA24EA" w:rsidP="00BF7378">
      <w:r>
        <w:rPr>
          <w:i/>
          <w:iCs/>
          <w:lang w:val="id"/>
        </w:rPr>
        <w:t>Dapatkah kuota dialihkan kepada sesama eksportir?</w:t>
      </w:r>
    </w:p>
    <w:p w14:paraId="7E9EF1B8" w14:textId="77777777" w:rsidR="00BF7378" w:rsidRDefault="00DA24EA" w:rsidP="00BF7378">
      <w:pPr>
        <w:pStyle w:val="ListParagraph"/>
        <w:numPr>
          <w:ilvl w:val="0"/>
          <w:numId w:val="18"/>
        </w:numPr>
        <w:ind w:left="360"/>
      </w:pPr>
      <w:r>
        <w:rPr>
          <w:lang w:val="id"/>
        </w:rPr>
        <w:t>Eksportir yang memegang hak kuota dapat mengalihkan kuota kepada eksportir yang lain apabila ingin. Pengalihan bersifat sukarela dan murni keputusan pemegang hak.</w:t>
      </w:r>
    </w:p>
    <w:p w14:paraId="32AC20DF" w14:textId="77777777" w:rsidR="00DA24EA" w:rsidRDefault="00DA24EA" w:rsidP="00BF7378">
      <w:pPr>
        <w:pStyle w:val="ListParagraph"/>
        <w:numPr>
          <w:ilvl w:val="0"/>
          <w:numId w:val="18"/>
        </w:numPr>
        <w:ind w:left="360"/>
      </w:pPr>
      <w:r>
        <w:rPr>
          <w:lang w:val="id"/>
        </w:rPr>
        <w:t>Untuk mengalihkan kuota, formulir terkait yang ada di situs web departemen harus dilengkapi. Formulir tersebut harus ditandatangani dan diserahkan oleh pemegang hak.</w:t>
      </w:r>
    </w:p>
    <w:p w14:paraId="1075DCC3" w14:textId="77777777" w:rsidR="00DA24EA" w:rsidRDefault="00DA24EA" w:rsidP="00BF7378">
      <w:pPr>
        <w:pStyle w:val="ListParagraph"/>
        <w:numPr>
          <w:ilvl w:val="0"/>
          <w:numId w:val="18"/>
        </w:numPr>
        <w:ind w:left="360"/>
      </w:pPr>
      <w:r>
        <w:rPr>
          <w:lang w:val="id"/>
        </w:rPr>
        <w:t>Terdapat batas pengalihan maksimum sebesar 50%; apabila eksportir mengalihkan hak mereka sebesar 50% atau lebih, mereka tidak akan dapat mengajukan permohonan hak selama 3 tahun.</w:t>
      </w:r>
    </w:p>
    <w:p w14:paraId="14A2DED6" w14:textId="161D955C" w:rsidR="00DA24EA" w:rsidRPr="00BF7378" w:rsidRDefault="00027DEC" w:rsidP="00BF7378">
      <w:pPr>
        <w:pStyle w:val="ListParagraph"/>
        <w:numPr>
          <w:ilvl w:val="0"/>
          <w:numId w:val="18"/>
        </w:numPr>
        <w:ind w:left="360"/>
      </w:pPr>
      <w:r>
        <w:rPr>
          <w:lang w:val="id"/>
        </w:rPr>
        <w:t xml:space="preserve">Daftar pemegang hak akan dikelola di situs web departemen untuk memungkinkan para eksportir menghubungi para pemegang hak </w:t>
      </w:r>
      <w:proofErr w:type="spellStart"/>
      <w:r>
        <w:rPr>
          <w:lang w:val="id"/>
        </w:rPr>
        <w:t>seandainya</w:t>
      </w:r>
      <w:proofErr w:type="spellEnd"/>
      <w:r>
        <w:rPr>
          <w:lang w:val="id"/>
        </w:rPr>
        <w:t xml:space="preserve"> mereka ingin meminta pengalihan.</w:t>
      </w:r>
    </w:p>
    <w:p w14:paraId="474B81D9" w14:textId="77777777" w:rsidR="00680871" w:rsidRDefault="00680871" w:rsidP="00905F94"/>
    <w:p w14:paraId="36C12DF6" w14:textId="77777777" w:rsidR="00680871" w:rsidRDefault="00680871" w:rsidP="00680871">
      <w:r>
        <w:rPr>
          <w:b/>
          <w:bCs/>
          <w:lang w:val="id"/>
        </w:rPr>
        <w:t>Pertanyaan Tambahan yang Sering Diajukan</w:t>
      </w:r>
    </w:p>
    <w:p w14:paraId="2C0CFED3" w14:textId="77777777" w:rsidR="00680871" w:rsidRDefault="00680871" w:rsidP="00680871"/>
    <w:p w14:paraId="0998B0EF" w14:textId="77777777" w:rsidR="00680871" w:rsidRDefault="00680871" w:rsidP="00905F94">
      <w:r>
        <w:rPr>
          <w:i/>
          <w:iCs/>
          <w:lang w:val="id"/>
        </w:rPr>
        <w:t>Bagaimana cara memeriksa jumlah kuota yang belum dialokasikan, dan jumlah yang telah terpakai?</w:t>
      </w:r>
    </w:p>
    <w:p w14:paraId="41C870DA" w14:textId="03C489D9" w:rsidR="00680871" w:rsidRDefault="008D08FA" w:rsidP="00905F94">
      <w:pPr>
        <w:pStyle w:val="ListParagraph"/>
        <w:numPr>
          <w:ilvl w:val="0"/>
          <w:numId w:val="24"/>
        </w:numPr>
      </w:pPr>
      <w:r>
        <w:rPr>
          <w:lang w:val="id"/>
        </w:rPr>
        <w:t>Status jumlah kuota yang tersedia dan jumlah kuota yang telah terpakai akan diterbitkan di situs web kuota sayuran.  Status ini akan diperbaharui secara berkala.</w:t>
      </w:r>
    </w:p>
    <w:p w14:paraId="419E4598" w14:textId="77777777" w:rsidR="00680871" w:rsidRDefault="00680871" w:rsidP="00905F94"/>
    <w:p w14:paraId="6FE0AF5C" w14:textId="176D67E0" w:rsidR="00680871" w:rsidRDefault="00680871" w:rsidP="00680871">
      <w:r>
        <w:rPr>
          <w:i/>
          <w:iCs/>
          <w:lang w:val="id"/>
        </w:rPr>
        <w:lastRenderedPageBreak/>
        <w:t xml:space="preserve">Dapatkah saya membatalkan suatu sertifikat? </w:t>
      </w:r>
    </w:p>
    <w:p w14:paraId="0B0B90AC" w14:textId="2FF1CCFA" w:rsidR="000178AD" w:rsidRDefault="000178AD" w:rsidP="000178AD">
      <w:pPr>
        <w:pStyle w:val="ListParagraph"/>
        <w:numPr>
          <w:ilvl w:val="0"/>
          <w:numId w:val="24"/>
        </w:numPr>
      </w:pPr>
      <w:r>
        <w:rPr>
          <w:lang w:val="id"/>
        </w:rPr>
        <w:t xml:space="preserve">Ya. Sertifikat kuota dapat dibatalkan dengan mengirim surel kepada Unit Kuota dan meminta agar sertifikat tersebut dibatalkan. Nomor sertifikat (misalnya, ID20CTXXXX) harus disebutkan. </w:t>
      </w:r>
    </w:p>
    <w:p w14:paraId="19B43FC8" w14:textId="7DD2F1FC" w:rsidR="00680871" w:rsidRDefault="000178AD" w:rsidP="00680871">
      <w:pPr>
        <w:pStyle w:val="ListParagraph"/>
        <w:numPr>
          <w:ilvl w:val="0"/>
          <w:numId w:val="24"/>
        </w:numPr>
      </w:pPr>
      <w:r>
        <w:rPr>
          <w:lang w:val="id"/>
        </w:rPr>
        <w:t>RFP yang sesuai dengan sertifikat tersebut tidak harus dibatalkan terlebih dahulu. Jumlah kuota sertifikat tersebut kemudian akan dikreditkan kembali ke jumlah hak eksportir dan akan tersedia untuk digunakan dalam pengiriman berikutnya.</w:t>
      </w:r>
    </w:p>
    <w:p w14:paraId="32FF89BD" w14:textId="77777777" w:rsidR="00680871" w:rsidRDefault="00680871" w:rsidP="00680871"/>
    <w:p w14:paraId="1053E657" w14:textId="77777777" w:rsidR="00680871" w:rsidRDefault="00680871" w:rsidP="00027DEC">
      <w:pPr>
        <w:keepNext/>
      </w:pPr>
      <w:r>
        <w:rPr>
          <w:i/>
          <w:iCs/>
          <w:lang w:val="id"/>
        </w:rPr>
        <w:t>Apa yang harus saya lakukan apabila sertifikat saya tidak tepat?</w:t>
      </w:r>
    </w:p>
    <w:p w14:paraId="1FF8EC09" w14:textId="77777777" w:rsidR="000178AD" w:rsidRDefault="000178AD" w:rsidP="000178AD">
      <w:pPr>
        <w:pStyle w:val="ListParagraph"/>
        <w:numPr>
          <w:ilvl w:val="0"/>
          <w:numId w:val="24"/>
        </w:numPr>
      </w:pPr>
      <w:r>
        <w:rPr>
          <w:lang w:val="id"/>
        </w:rPr>
        <w:t>Unit Kuota akan memberikan sertifikat berdasarkan keterangan dalam RFP eksportir, permohonan sertifikat, dan dengan turut memperhitungkan produk yang memenuhi syarat kuota IA-CEPA.</w:t>
      </w:r>
    </w:p>
    <w:p w14:paraId="5D9244E3" w14:textId="2B80878B" w:rsidR="00F96267" w:rsidRDefault="000178AD" w:rsidP="00905F94">
      <w:pPr>
        <w:pStyle w:val="ListParagraph"/>
        <w:numPr>
          <w:ilvl w:val="0"/>
          <w:numId w:val="24"/>
        </w:numPr>
      </w:pPr>
      <w:r>
        <w:rPr>
          <w:lang w:val="id"/>
        </w:rPr>
        <w:t>Jika eksportir meyakini sertifikat yang diterimanya tidak tepat mereka harus segera menghubungi Unit Kuota. Apabila diputuskan tidak tepat, sertifikat kuota yang ada dapat dibatalkan dan sertifikat pengganti dapat diberikan.</w:t>
      </w:r>
    </w:p>
    <w:p w14:paraId="25E8F0A6" w14:textId="77777777" w:rsidR="00027DEC" w:rsidRDefault="00027DEC" w:rsidP="00027DEC"/>
    <w:p w14:paraId="225D6C03" w14:textId="75057A17" w:rsidR="00027DEC" w:rsidRDefault="00027DEC" w:rsidP="00027DEC">
      <w:r>
        <w:rPr>
          <w:i/>
          <w:iCs/>
          <w:lang w:val="id"/>
        </w:rPr>
        <w:t>Informasi Kontak</w:t>
      </w:r>
    </w:p>
    <w:p w14:paraId="6E29BDBD" w14:textId="6966D02C" w:rsidR="00027DEC" w:rsidRDefault="00027DEC" w:rsidP="00027DEC">
      <w:r>
        <w:rPr>
          <w:lang w:val="id"/>
        </w:rPr>
        <w:t>Unit Administrasi Kuota dapat dihubungi melalui:</w:t>
      </w:r>
    </w:p>
    <w:p w14:paraId="5260DF64" w14:textId="4A9B498D" w:rsidR="00027DEC" w:rsidRDefault="00027DEC" w:rsidP="00027DEC">
      <w:r>
        <w:rPr>
          <w:lang w:val="id"/>
        </w:rPr>
        <w:t xml:space="preserve">Surel: </w:t>
      </w:r>
      <w:hyperlink r:id="rId12" w:history="1">
        <w:r>
          <w:rPr>
            <w:rStyle w:val="Hyperlink"/>
            <w:lang w:val="id"/>
          </w:rPr>
          <w:t>quota.admin@awe.gov.au</w:t>
        </w:r>
      </w:hyperlink>
    </w:p>
    <w:p w14:paraId="3626F386" w14:textId="4261798B" w:rsidR="00027DEC" w:rsidRPr="00027DEC" w:rsidRDefault="00027DEC" w:rsidP="00027DEC">
      <w:r>
        <w:rPr>
          <w:lang w:val="id"/>
        </w:rPr>
        <w:t>Telepon: (02) 6272 4068</w:t>
      </w:r>
    </w:p>
    <w:sectPr w:rsidR="00027DEC" w:rsidRPr="00027DE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98D43" w14:textId="77777777" w:rsidR="00EE14B5" w:rsidRDefault="00EE14B5">
      <w:r>
        <w:separator/>
      </w:r>
    </w:p>
  </w:endnote>
  <w:endnote w:type="continuationSeparator" w:id="0">
    <w:p w14:paraId="0B54A1E6" w14:textId="77777777" w:rsidR="00EE14B5" w:rsidRDefault="00EE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E6B24" w14:textId="77777777" w:rsidR="003172A7" w:rsidRDefault="00317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2262646"/>
      <w:docPartObj>
        <w:docPartGallery w:val="Page Numbers (Bottom of Page)"/>
        <w:docPartUnique/>
      </w:docPartObj>
    </w:sdtPr>
    <w:sdtEndPr>
      <w:rPr>
        <w:noProof/>
      </w:rPr>
    </w:sdtEndPr>
    <w:sdtContent>
      <w:p w14:paraId="27D0ADEC" w14:textId="25306C8E" w:rsidR="00C6669A" w:rsidRDefault="00C6669A" w:rsidP="00C6669A">
        <w:pPr>
          <w:pStyle w:val="Footer"/>
          <w:jc w:val="right"/>
        </w:pPr>
        <w:r>
          <w:rPr>
            <w:lang w:val="id"/>
          </w:rPr>
          <w:tab/>
        </w:r>
        <w:r>
          <w:rPr>
            <w:lang w:val="id"/>
          </w:rPr>
          <w:fldChar w:fldCharType="begin"/>
        </w:r>
        <w:r>
          <w:rPr>
            <w:lang w:val="id"/>
          </w:rPr>
          <w:instrText xml:space="preserve"> PAGE   \* MERGEFORMAT </w:instrText>
        </w:r>
        <w:r>
          <w:rPr>
            <w:lang w:val="id"/>
          </w:rPr>
          <w:fldChar w:fldCharType="separate"/>
        </w:r>
        <w:r>
          <w:rPr>
            <w:noProof/>
            <w:lang w:val="id"/>
          </w:rPr>
          <w:t>1</w:t>
        </w:r>
        <w:r>
          <w:rPr>
            <w:noProof/>
            <w:lang w:val="id"/>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69689" w14:textId="77777777" w:rsidR="003172A7" w:rsidRDefault="00317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DB68F" w14:textId="77777777" w:rsidR="00EE14B5" w:rsidRDefault="00EE14B5">
      <w:r>
        <w:separator/>
      </w:r>
    </w:p>
  </w:footnote>
  <w:footnote w:type="continuationSeparator" w:id="0">
    <w:p w14:paraId="515716AF" w14:textId="77777777" w:rsidR="00EE14B5" w:rsidRDefault="00EE1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17350" w14:textId="77777777" w:rsidR="003172A7" w:rsidRDefault="00317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F7C72" w14:textId="02CF18ED" w:rsidR="00626E31" w:rsidRDefault="004F6E81" w:rsidP="004F6E81">
    <w:pPr>
      <w:pStyle w:val="Header"/>
    </w:pPr>
    <w:r>
      <w:rPr>
        <w:noProof/>
        <w:lang w:val="id"/>
      </w:rPr>
      <w:drawing>
        <wp:inline distT="0" distB="0" distL="0" distR="0" wp14:anchorId="5DFBE8FA" wp14:editId="2425B776">
          <wp:extent cx="2417064" cy="7254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WE_Inline_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7064" cy="725424"/>
                  </a:xfrm>
                  <a:prstGeom prst="rect">
                    <a:avLst/>
                  </a:prstGeom>
                </pic:spPr>
              </pic:pic>
            </a:graphicData>
          </a:graphic>
        </wp:inline>
      </w:drawing>
    </w:r>
  </w:p>
  <w:p w14:paraId="46661914" w14:textId="77777777" w:rsidR="00351BD1" w:rsidRPr="004F6E81" w:rsidRDefault="00351BD1" w:rsidP="004F6E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D1DF1" w14:textId="77777777" w:rsidR="003172A7" w:rsidRDefault="00317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D10782"/>
    <w:multiLevelType w:val="hybridMultilevel"/>
    <w:tmpl w:val="8A509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27F51B1F"/>
    <w:multiLevelType w:val="hybridMultilevel"/>
    <w:tmpl w:val="5BECFB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2A913599"/>
    <w:multiLevelType w:val="multilevel"/>
    <w:tmpl w:val="02AA8FA0"/>
    <w:numStyleLink w:val="ListBullets"/>
  </w:abstractNum>
  <w:abstractNum w:abstractNumId="11" w15:restartNumberingAfterBreak="0">
    <w:nsid w:val="2BAF1DDA"/>
    <w:multiLevelType w:val="hybridMultilevel"/>
    <w:tmpl w:val="E480A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2425AB"/>
    <w:multiLevelType w:val="multilevel"/>
    <w:tmpl w:val="BC8603C0"/>
    <w:numStyleLink w:val="ListNumbers"/>
  </w:abstractNum>
  <w:abstractNum w:abstractNumId="13" w15:restartNumberingAfterBreak="0">
    <w:nsid w:val="37A332F0"/>
    <w:multiLevelType w:val="hybridMultilevel"/>
    <w:tmpl w:val="AE30D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DD5C12"/>
    <w:multiLevelType w:val="multilevel"/>
    <w:tmpl w:val="20F2356A"/>
    <w:numStyleLink w:val="Appendix"/>
  </w:abstractNum>
  <w:abstractNum w:abstractNumId="15"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9918A0"/>
    <w:multiLevelType w:val="hybridMultilevel"/>
    <w:tmpl w:val="43266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EC936F4"/>
    <w:multiLevelType w:val="hybridMultilevel"/>
    <w:tmpl w:val="7AB270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9"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0"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7F59A4"/>
    <w:multiLevelType w:val="hybridMultilevel"/>
    <w:tmpl w:val="59429B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928"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55B0495"/>
    <w:multiLevelType w:val="hybridMultilevel"/>
    <w:tmpl w:val="FAA4F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8"/>
  </w:num>
  <w:num w:numId="2">
    <w:abstractNumId w:val="15"/>
  </w:num>
  <w:num w:numId="3">
    <w:abstractNumId w:val="6"/>
  </w:num>
  <w:num w:numId="4">
    <w:abstractNumId w:val="7"/>
  </w:num>
  <w:num w:numId="5">
    <w:abstractNumId w:val="3"/>
  </w:num>
  <w:num w:numId="6">
    <w:abstractNumId w:val="10"/>
  </w:num>
  <w:num w:numId="7">
    <w:abstractNumId w:val="22"/>
  </w:num>
  <w:num w:numId="8">
    <w:abstractNumId w:val="12"/>
  </w:num>
  <w:num w:numId="9">
    <w:abstractNumId w:val="19"/>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0"/>
  </w:num>
  <w:num w:numId="14">
    <w:abstractNumId w:val="2"/>
  </w:num>
  <w:num w:numId="15">
    <w:abstractNumId w:val="1"/>
  </w:num>
  <w:num w:numId="16">
    <w:abstractNumId w:val="0"/>
  </w:num>
  <w:num w:numId="17">
    <w:abstractNumId w:val="4"/>
  </w:num>
  <w:num w:numId="18">
    <w:abstractNumId w:val="11"/>
  </w:num>
  <w:num w:numId="19">
    <w:abstractNumId w:val="17"/>
  </w:num>
  <w:num w:numId="20">
    <w:abstractNumId w:val="23"/>
  </w:num>
  <w:num w:numId="21">
    <w:abstractNumId w:val="21"/>
  </w:num>
  <w:num w:numId="22">
    <w:abstractNumId w:val="13"/>
  </w:num>
  <w:num w:numId="23">
    <w:abstractNumId w:val="5"/>
  </w:num>
  <w:num w:numId="24">
    <w:abstractNumId w:val="8"/>
  </w:num>
  <w:num w:numId="2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871"/>
    <w:rsid w:val="000178AD"/>
    <w:rsid w:val="00027DEC"/>
    <w:rsid w:val="0004232D"/>
    <w:rsid w:val="000B499D"/>
    <w:rsid w:val="0011112B"/>
    <w:rsid w:val="001205C8"/>
    <w:rsid w:val="001222A8"/>
    <w:rsid w:val="001A07AB"/>
    <w:rsid w:val="0024791E"/>
    <w:rsid w:val="00275D15"/>
    <w:rsid w:val="003172A7"/>
    <w:rsid w:val="003477A0"/>
    <w:rsid w:val="00351BD1"/>
    <w:rsid w:val="00375E2B"/>
    <w:rsid w:val="00382B2C"/>
    <w:rsid w:val="00461807"/>
    <w:rsid w:val="004833C7"/>
    <w:rsid w:val="004F1E98"/>
    <w:rsid w:val="004F6E81"/>
    <w:rsid w:val="0054747E"/>
    <w:rsid w:val="00601747"/>
    <w:rsid w:val="00624C1D"/>
    <w:rsid w:val="00626E31"/>
    <w:rsid w:val="00680871"/>
    <w:rsid w:val="007266BC"/>
    <w:rsid w:val="008D08FA"/>
    <w:rsid w:val="00905F94"/>
    <w:rsid w:val="009F1DBB"/>
    <w:rsid w:val="00AA4B88"/>
    <w:rsid w:val="00B56FDE"/>
    <w:rsid w:val="00B57188"/>
    <w:rsid w:val="00BF7378"/>
    <w:rsid w:val="00C6669A"/>
    <w:rsid w:val="00D0498A"/>
    <w:rsid w:val="00D750B1"/>
    <w:rsid w:val="00DA19F2"/>
    <w:rsid w:val="00DA24EA"/>
    <w:rsid w:val="00E04312"/>
    <w:rsid w:val="00E3214D"/>
    <w:rsid w:val="00E6504D"/>
    <w:rsid w:val="00EE14B5"/>
    <w:rsid w:val="00F244D5"/>
    <w:rsid w:val="00F67D3B"/>
    <w:rsid w:val="00F962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B0390"/>
  <w15:chartTrackingRefBased/>
  <w15:docId w15:val="{4083EDAA-DE45-4A5C-A978-84186490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871"/>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0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92133">
      <w:bodyDiv w:val="1"/>
      <w:marLeft w:val="0"/>
      <w:marRight w:val="0"/>
      <w:marTop w:val="0"/>
      <w:marBottom w:val="0"/>
      <w:divBdr>
        <w:top w:val="none" w:sz="0" w:space="0" w:color="auto"/>
        <w:left w:val="none" w:sz="0" w:space="0" w:color="auto"/>
        <w:bottom w:val="none" w:sz="0" w:space="0" w:color="auto"/>
        <w:right w:val="none" w:sz="0" w:space="0" w:color="auto"/>
      </w:divBdr>
    </w:div>
    <w:div w:id="607742145">
      <w:bodyDiv w:val="1"/>
      <w:marLeft w:val="0"/>
      <w:marRight w:val="0"/>
      <w:marTop w:val="0"/>
      <w:marBottom w:val="0"/>
      <w:divBdr>
        <w:top w:val="none" w:sz="0" w:space="0" w:color="auto"/>
        <w:left w:val="none" w:sz="0" w:space="0" w:color="auto"/>
        <w:bottom w:val="none" w:sz="0" w:space="0" w:color="auto"/>
        <w:right w:val="none" w:sz="0" w:space="0" w:color="auto"/>
      </w:divBdr>
    </w:div>
    <w:div w:id="1131051276">
      <w:bodyDiv w:val="1"/>
      <w:marLeft w:val="0"/>
      <w:marRight w:val="0"/>
      <w:marTop w:val="0"/>
      <w:marBottom w:val="0"/>
      <w:divBdr>
        <w:top w:val="none" w:sz="0" w:space="0" w:color="auto"/>
        <w:left w:val="none" w:sz="0" w:space="0" w:color="auto"/>
        <w:bottom w:val="none" w:sz="0" w:space="0" w:color="auto"/>
        <w:right w:val="none" w:sz="0" w:space="0" w:color="auto"/>
      </w:divBdr>
    </w:div>
    <w:div w:id="157393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fat.gov.au/trade/agreements/in-force/iacepa/iacepa-text/Pages/iacepa-appendix-2-a-1-tariff-rate-quota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quota.admin@awe.gov.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riculture.gov.au/export/from-australia/quota/vegetabl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griculture.gov.au/export/from-australia/quota/vegetabl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gov.au/Details/F2020C00177"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A48DA-BA27-47EB-A953-48F902BCE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Gibbons, Damien</dc:creator>
  <cp:keywords/>
  <dc:description/>
  <cp:lastModifiedBy>Ade Diantini M Johansyah</cp:lastModifiedBy>
  <cp:revision>2</cp:revision>
  <cp:lastPrinted>2015-08-14T05:36:00Z</cp:lastPrinted>
  <dcterms:created xsi:type="dcterms:W3CDTF">2020-07-01T07:47:00Z</dcterms:created>
  <dcterms:modified xsi:type="dcterms:W3CDTF">2020-07-01T07:47:00Z</dcterms:modified>
</cp:coreProperties>
</file>