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176" w:rsidRDefault="008E7176" w:rsidP="008E7176">
      <w:pPr>
        <w:pStyle w:val="BasicParagraph"/>
        <w:jc w:val="center"/>
        <w:rPr>
          <w:rFonts w:ascii="VAGRoundedLT-Bold" w:hAnsi="VAGRoundedLT-Bold" w:cs="VAGRoundedLT-Bold"/>
          <w:b/>
          <w:bCs/>
          <w:sz w:val="76"/>
          <w:szCs w:val="76"/>
        </w:rPr>
      </w:pPr>
      <w:r>
        <w:rPr>
          <w:rFonts w:ascii="VAGRoundedLT-Bold" w:hAnsi="VAGRoundedLT-Bold" w:cs="VAGRoundedLT-Bold"/>
          <w:b/>
          <w:bCs/>
          <w:sz w:val="76"/>
          <w:szCs w:val="76"/>
        </w:rPr>
        <w:t>Aquatic ecosystems toolkit</w:t>
      </w:r>
    </w:p>
    <w:p w:rsidR="008E7176" w:rsidRPr="008E7176" w:rsidRDefault="008E7176" w:rsidP="008E7176"/>
    <w:p w:rsidR="008E7176" w:rsidRPr="008E7176" w:rsidRDefault="008E7176" w:rsidP="008E7176">
      <w:pPr>
        <w:pStyle w:val="BasicParagraph"/>
        <w:jc w:val="right"/>
        <w:rPr>
          <w:rFonts w:ascii="VAGRoundedLT-Thin" w:hAnsi="VAGRoundedLT-Thin" w:cs="VAGRoundedLT-Thin"/>
          <w:color w:val="auto"/>
          <w:sz w:val="36"/>
          <w:szCs w:val="36"/>
        </w:rPr>
      </w:pPr>
      <w:r w:rsidRPr="008E7176">
        <w:rPr>
          <w:color w:val="auto"/>
        </w:rPr>
        <w:tab/>
      </w:r>
      <w:r w:rsidRPr="008E7176">
        <w:rPr>
          <w:rFonts w:ascii="VAGRoundedLT-Bold" w:hAnsi="VAGRoundedLT-Bold" w:cs="VAGRoundedLT-Bold"/>
          <w:b/>
          <w:bCs/>
          <w:color w:val="auto"/>
          <w:sz w:val="36"/>
          <w:szCs w:val="36"/>
        </w:rPr>
        <w:t xml:space="preserve">CASE STUDY 1: </w:t>
      </w:r>
      <w:r w:rsidRPr="008E7176">
        <w:rPr>
          <w:rFonts w:ascii="VAGRoundedLT-Bold" w:hAnsi="VAGRoundedLT-Bold" w:cs="VAGRoundedLT-Bold"/>
          <w:b/>
          <w:bCs/>
          <w:color w:val="auto"/>
          <w:sz w:val="36"/>
          <w:szCs w:val="36"/>
        </w:rPr>
        <w:br/>
      </w:r>
      <w:r w:rsidRPr="008E7176">
        <w:rPr>
          <w:rFonts w:ascii="VAGRoundedLT-Thin" w:hAnsi="VAGRoundedLT-Thin" w:cs="VAGRoundedLT-Thin"/>
          <w:color w:val="auto"/>
          <w:sz w:val="36"/>
          <w:szCs w:val="36"/>
        </w:rPr>
        <w:t>Lake Eyre Basin</w:t>
      </w:r>
    </w:p>
    <w:p w:rsidR="008E7176" w:rsidRDefault="008E7176" w:rsidP="008E7176">
      <w:pPr>
        <w:pStyle w:val="byline"/>
      </w:pPr>
      <w:r w:rsidRPr="000130F7">
        <w:rPr>
          <w:color w:val="auto"/>
        </w:rPr>
        <w:t xml:space="preserve">Based on work undertaken by </w:t>
      </w:r>
      <w:r>
        <w:rPr>
          <w:color w:val="auto"/>
        </w:rPr>
        <w:t>Ms Jennifer Hale and Dr Shane Brookes</w:t>
      </w:r>
      <w:r>
        <w:rPr>
          <w:color w:val="auto"/>
        </w:rPr>
        <w:br/>
      </w:r>
      <w:r w:rsidRPr="000130F7">
        <w:rPr>
          <w:color w:val="auto"/>
        </w:rPr>
        <w:t xml:space="preserve"> for the Aquatic Ecosystems Task Group</w:t>
      </w:r>
    </w:p>
    <w:p w:rsidR="008E7176" w:rsidRDefault="008E7176" w:rsidP="008E7176">
      <w:pPr>
        <w:pStyle w:val="byline"/>
        <w:rPr>
          <w:color w:val="auto"/>
        </w:rPr>
      </w:pPr>
      <w:r>
        <w:rPr>
          <w:color w:val="auto"/>
        </w:rPr>
        <w:t>2012</w:t>
      </w:r>
    </w:p>
    <w:p w:rsidR="0059451A" w:rsidRDefault="0059451A" w:rsidP="0059451A">
      <w:pPr>
        <w:pStyle w:val="byline"/>
        <w:spacing w:before="1610"/>
        <w:rPr>
          <w:color w:val="auto"/>
          <w:lang w:val="en-AU"/>
        </w:rPr>
      </w:pPr>
      <w:r>
        <w:rPr>
          <w:color w:val="auto"/>
        </w:rPr>
        <w:t xml:space="preserve">Part 1: </w:t>
      </w:r>
      <w:r w:rsidRPr="0059451A">
        <w:rPr>
          <w:color w:val="auto"/>
          <w:lang w:val="en-AU"/>
        </w:rPr>
        <w:t>Identifying High Ecological Value Aquatic Ecosystems (HEVAE)</w:t>
      </w:r>
    </w:p>
    <w:p w:rsidR="00091421" w:rsidRDefault="00091421" w:rsidP="00091421">
      <w:pPr>
        <w:pStyle w:val="byline"/>
        <w:spacing w:before="240"/>
        <w:rPr>
          <w:color w:val="auto"/>
        </w:rPr>
      </w:pPr>
      <w:r>
        <w:rPr>
          <w:color w:val="auto"/>
          <w:lang w:val="en-AU"/>
        </w:rPr>
        <w:t xml:space="preserve">1.1 </w:t>
      </w:r>
      <w:r w:rsidRPr="00091421">
        <w:rPr>
          <w:color w:val="auto"/>
          <w:lang w:val="en-AU"/>
        </w:rPr>
        <w:t>Groundwork before identifying HEVAE</w:t>
      </w:r>
    </w:p>
    <w:p w:rsidR="008E7176" w:rsidRDefault="008E7176">
      <w:pPr>
        <w:rPr>
          <w:rFonts w:ascii="VAGRoundedLT-Bold" w:hAnsi="VAGRoundedLT-Bold" w:cs="VAGRoundedLT-Bold"/>
          <w:b/>
          <w:bCs/>
          <w:sz w:val="20"/>
          <w:szCs w:val="20"/>
          <w:lang w:val="en-US" w:eastAsia="ja-JP"/>
        </w:rPr>
      </w:pPr>
      <w:r>
        <w:br w:type="page"/>
      </w:r>
    </w:p>
    <w:p w:rsidR="008E7176" w:rsidRPr="00CD4C0A" w:rsidRDefault="008E7176" w:rsidP="008E7176">
      <w:pPr>
        <w:pStyle w:val="Verso"/>
        <w:rPr>
          <w:rStyle w:val="Medium"/>
          <w:b/>
        </w:rPr>
      </w:pPr>
      <w:r w:rsidRPr="00CD4C0A">
        <w:rPr>
          <w:rStyle w:val="Medium"/>
          <w:b/>
        </w:rPr>
        <w:lastRenderedPageBreak/>
        <w:t>Published by</w:t>
      </w:r>
    </w:p>
    <w:p w:rsidR="008E7176" w:rsidRDefault="008E7176" w:rsidP="008E7176">
      <w:pPr>
        <w:pStyle w:val="Verso"/>
      </w:pPr>
      <w:r>
        <w:t>Department of Sustainability, Environment, Water, Population and Communities</w:t>
      </w:r>
    </w:p>
    <w:p w:rsidR="008E7176" w:rsidRPr="00CD4C0A" w:rsidRDefault="008E7176" w:rsidP="008E7176">
      <w:pPr>
        <w:pStyle w:val="Verso"/>
        <w:rPr>
          <w:rStyle w:val="Medium"/>
          <w:b/>
        </w:rPr>
      </w:pPr>
      <w:r w:rsidRPr="00CD4C0A">
        <w:rPr>
          <w:rStyle w:val="Medium"/>
          <w:b/>
        </w:rPr>
        <w:t>Authors/endorsement</w:t>
      </w:r>
    </w:p>
    <w:p w:rsidR="008E7176" w:rsidRPr="008E7176" w:rsidRDefault="008E7176" w:rsidP="008E7176">
      <w:pPr>
        <w:pStyle w:val="Verso"/>
        <w:rPr>
          <w:color w:val="auto"/>
        </w:rPr>
      </w:pPr>
      <w:r>
        <w:t xml:space="preserve">This case study is based on trials of the draft Guidelines for Identifying High Ecological Value Aquatic Ecosystems, and the draft </w:t>
      </w:r>
      <w:r w:rsidRPr="008E7176">
        <w:rPr>
          <w:color w:val="auto"/>
        </w:rPr>
        <w:t>Aquatic Ecosystem Delineation and Description Guidelines. The final reports from these trials are as follows:</w:t>
      </w:r>
    </w:p>
    <w:p w:rsidR="008E7176" w:rsidRPr="008E7176" w:rsidRDefault="008E7176" w:rsidP="008E7176">
      <w:pPr>
        <w:pStyle w:val="Body"/>
        <w:rPr>
          <w:color w:val="auto"/>
        </w:rPr>
      </w:pPr>
      <w:r w:rsidRPr="008E7176">
        <w:rPr>
          <w:rStyle w:val="InstructionText"/>
          <w:i w:val="0"/>
          <w:iCs w:val="0"/>
          <w:color w:val="auto"/>
        </w:rPr>
        <w:t xml:space="preserve">Hale, J. (ed.) (2010). </w:t>
      </w:r>
      <w:proofErr w:type="gramStart"/>
      <w:r w:rsidRPr="008E7176">
        <w:rPr>
          <w:rStyle w:val="InstructionText"/>
          <w:i w:val="0"/>
          <w:iCs w:val="0"/>
          <w:color w:val="auto"/>
        </w:rPr>
        <w:t>Lake Eyre Basin High Conservation Aquatic Ecosystem Pilot Project.</w:t>
      </w:r>
      <w:proofErr w:type="gramEnd"/>
      <w:r w:rsidRPr="008E7176">
        <w:rPr>
          <w:rStyle w:val="InstructionText"/>
          <w:i w:val="0"/>
          <w:iCs w:val="0"/>
          <w:color w:val="auto"/>
        </w:rPr>
        <w:t xml:space="preserve"> Report prepared for the Aquatic Ecosystems Task Group and the Department of Environment, Water, Heritage and the Arts. Jennifer Hale, </w:t>
      </w:r>
      <w:proofErr w:type="spellStart"/>
      <w:r w:rsidRPr="008E7176">
        <w:rPr>
          <w:rStyle w:val="InstructionText"/>
          <w:i w:val="0"/>
          <w:iCs w:val="0"/>
          <w:color w:val="auto"/>
        </w:rPr>
        <w:t>Kinglake</w:t>
      </w:r>
      <w:proofErr w:type="spellEnd"/>
      <w:r w:rsidRPr="008E7176">
        <w:rPr>
          <w:color w:val="auto"/>
        </w:rPr>
        <w:t>.</w:t>
      </w:r>
    </w:p>
    <w:p w:rsidR="008E7176" w:rsidRPr="008E7176" w:rsidRDefault="008E7176" w:rsidP="008E7176">
      <w:pPr>
        <w:pStyle w:val="Verso"/>
        <w:rPr>
          <w:color w:val="auto"/>
        </w:rPr>
      </w:pPr>
      <w:r w:rsidRPr="008E7176">
        <w:rPr>
          <w:color w:val="auto"/>
        </w:rPr>
        <w:t xml:space="preserve">Hale, J., and Brooks, S. (2011). </w:t>
      </w:r>
      <w:proofErr w:type="spellStart"/>
      <w:r w:rsidRPr="008E7176">
        <w:rPr>
          <w:rStyle w:val="ital"/>
          <w:color w:val="auto"/>
        </w:rPr>
        <w:t>Trialling</w:t>
      </w:r>
      <w:proofErr w:type="spellEnd"/>
      <w:r w:rsidRPr="008E7176">
        <w:rPr>
          <w:rStyle w:val="ital"/>
          <w:color w:val="auto"/>
        </w:rPr>
        <w:t xml:space="preserve"> the guidelines for the delineation of High Ecological Value Aquatic Ecosystems (HEVAE) in the Lake Eyre Basin (LEB)</w:t>
      </w:r>
      <w:r w:rsidRPr="008E7176">
        <w:rPr>
          <w:color w:val="auto"/>
        </w:rPr>
        <w:t xml:space="preserve">. Report prepared for the Aquatic Ecosystems Task Group and the Department of Sustainability, Environment, Water, Population and Communities. </w:t>
      </w:r>
      <w:r w:rsidRPr="008E7176">
        <w:rPr>
          <w:rStyle w:val="InstructionText"/>
          <w:i w:val="0"/>
          <w:iCs w:val="0"/>
          <w:color w:val="auto"/>
        </w:rPr>
        <w:t xml:space="preserve">Jennifer Hale, </w:t>
      </w:r>
      <w:proofErr w:type="spellStart"/>
      <w:r w:rsidRPr="008E7176">
        <w:rPr>
          <w:rStyle w:val="InstructionText"/>
          <w:i w:val="0"/>
          <w:iCs w:val="0"/>
          <w:color w:val="auto"/>
        </w:rPr>
        <w:t>Kinglake</w:t>
      </w:r>
      <w:proofErr w:type="spellEnd"/>
      <w:r w:rsidRPr="008E7176">
        <w:rPr>
          <w:color w:val="auto"/>
        </w:rPr>
        <w:t xml:space="preserve">. </w:t>
      </w:r>
    </w:p>
    <w:p w:rsidR="008E7176" w:rsidRDefault="008E7176" w:rsidP="008E7176">
      <w:pPr>
        <w:pStyle w:val="Body"/>
      </w:pPr>
      <w:r>
        <w:t>These reports are available on request from the Australian Government Department of Sustainability, Environment, Water, Population and Communities.</w:t>
      </w:r>
    </w:p>
    <w:p w:rsidR="008E7176" w:rsidRDefault="008E7176" w:rsidP="008E7176">
      <w:pPr>
        <w:pStyle w:val="Verso"/>
      </w:pPr>
      <w:proofErr w:type="gramStart"/>
      <w:r>
        <w:t>Endorsed by the Standing Council on Environment and Water, 2012.</w:t>
      </w:r>
      <w:proofErr w:type="gramEnd"/>
      <w:r>
        <w:t xml:space="preserve"> </w:t>
      </w:r>
    </w:p>
    <w:p w:rsidR="008E7176" w:rsidRDefault="008E7176" w:rsidP="008E7176">
      <w:pPr>
        <w:pStyle w:val="Verso"/>
      </w:pPr>
      <w:r>
        <w:t>© Copyright Commonwealth of Australia 2012</w:t>
      </w:r>
    </w:p>
    <w:p w:rsidR="008E7176" w:rsidRDefault="008E7176" w:rsidP="008E7176">
      <w:pPr>
        <w:pStyle w:val="Verso"/>
      </w:pPr>
      <w:r>
        <w:t xml:space="preserve">This work is copyright. You may download, display, print and reproduce this material in unaltered form only (retaining this notice) for your personal, non-commercial use or use within your </w:t>
      </w:r>
      <w:proofErr w:type="spellStart"/>
      <w:r>
        <w:t>organisation</w:t>
      </w:r>
      <w:proofErr w:type="spellEnd"/>
      <w:r>
        <w:t xml:space="preserve">. Apart from any use as permitted under the </w:t>
      </w:r>
      <w:r>
        <w:rPr>
          <w:rStyle w:val="ital"/>
        </w:rPr>
        <w:t>Copyright Act 1968</w:t>
      </w:r>
      <w:r>
        <w:t xml:space="preserve"> (</w:t>
      </w:r>
      <w:proofErr w:type="spellStart"/>
      <w:r>
        <w:t>Cwlth</w:t>
      </w:r>
      <w:proofErr w:type="spellEnd"/>
      <w:r>
        <w:t>), all other rights are reserved. Requests and enquiries concerning reproduction and rights should be addressed to Department of Sustainability, Environment, Water, Population and Communities, Public Affairs, GPO Box 787 Canberra ACT 2601 or email &lt;</w:t>
      </w:r>
      <w:hyperlink r:id="rId8" w:history="1">
        <w:r>
          <w:rPr>
            <w:rStyle w:val="Hyperlink"/>
          </w:rPr>
          <w:t>public.affairs@environment.gov.au</w:t>
        </w:r>
      </w:hyperlink>
      <w:r>
        <w:t>&gt;.</w:t>
      </w:r>
    </w:p>
    <w:p w:rsidR="008E7176" w:rsidRPr="00F20662" w:rsidRDefault="008E7176" w:rsidP="008E7176">
      <w:pPr>
        <w:pStyle w:val="Verso"/>
        <w:rPr>
          <w:rStyle w:val="Medium"/>
          <w:b/>
        </w:rPr>
      </w:pPr>
      <w:r w:rsidRPr="00F20662">
        <w:rPr>
          <w:rStyle w:val="Medium"/>
          <w:b/>
        </w:rPr>
        <w:t>Disclaimer</w:t>
      </w:r>
    </w:p>
    <w:p w:rsidR="008E7176" w:rsidRDefault="008E7176" w:rsidP="008E7176">
      <w:pPr>
        <w:pStyle w:val="Verso"/>
      </w:pPr>
      <w:r>
        <w:t>The views and opinions expressed in this publication are those of the authors and do not necessarily reflect those of the Australian Government or the Minister for Sustainability, Environment, Water, Population and Communities, nor the participating jurisdictional governments or ministers (Queensland, NSW, South Australia and Northern Territory).</w:t>
      </w:r>
    </w:p>
    <w:p w:rsidR="008E7176" w:rsidRDefault="008E7176" w:rsidP="008E7176">
      <w:pPr>
        <w:pStyle w:val="Verso"/>
      </w:pPr>
      <w: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8E7176" w:rsidRDefault="008E7176" w:rsidP="008E7176">
      <w:pPr>
        <w:pStyle w:val="Verso"/>
      </w:pPr>
      <w:r>
        <w:t>These trials were undertaken during the time when guidance on the identification, delineation and description of aquatic ecosystems was an area of active policy development. The work informing the contents of this publication was carried out under budgetary and time restraints, resulting in limited ability to incorporate all available datasets and information into the process.</w:t>
      </w:r>
    </w:p>
    <w:p w:rsidR="008E7176" w:rsidRPr="00F20662" w:rsidRDefault="008E7176" w:rsidP="008E7176">
      <w:pPr>
        <w:pStyle w:val="Verso"/>
        <w:rPr>
          <w:rStyle w:val="Medium"/>
          <w:b/>
        </w:rPr>
      </w:pPr>
      <w:r w:rsidRPr="00F20662">
        <w:rPr>
          <w:rStyle w:val="Medium"/>
          <w:b/>
        </w:rPr>
        <w:t>Citation</w:t>
      </w:r>
    </w:p>
    <w:p w:rsidR="008E7176" w:rsidRDefault="008E7176" w:rsidP="008E7176">
      <w:pPr>
        <w:pStyle w:val="Verso"/>
        <w:ind w:left="567" w:hanging="567"/>
      </w:pPr>
      <w:r>
        <w:t xml:space="preserve">Aquatic Ecosystems Task Group (2012). </w:t>
      </w:r>
      <w:proofErr w:type="gramStart"/>
      <w:r>
        <w:t>Aquatic Ecosystems Toolkit.</w:t>
      </w:r>
      <w:proofErr w:type="gramEnd"/>
      <w:r>
        <w:t xml:space="preserve"> </w:t>
      </w:r>
      <w:r>
        <w:rPr>
          <w:rStyle w:val="ital"/>
        </w:rPr>
        <w:t>Case Study 1: Lake Eyre Basin</w:t>
      </w:r>
      <w:r>
        <w:t xml:space="preserve">. </w:t>
      </w:r>
      <w:proofErr w:type="gramStart"/>
      <w:r>
        <w:t>Department of Sustainability, Environment, Water Population and Communities, Canberra.</w:t>
      </w:r>
      <w:proofErr w:type="gramEnd"/>
    </w:p>
    <w:p w:rsidR="005B19E0" w:rsidRPr="005B19E0" w:rsidRDefault="005B19E0" w:rsidP="005B19E0">
      <w:pPr>
        <w:pStyle w:val="Verso"/>
      </w:pPr>
      <w:r w:rsidRPr="005B19E0">
        <w:t>For citation purposes, the PDF version of this document is considered the official version.  The PDF is available from:</w:t>
      </w:r>
    </w:p>
    <w:p w:rsidR="008E7176" w:rsidRDefault="005B19E0" w:rsidP="008E7176">
      <w:pPr>
        <w:pStyle w:val="Verso"/>
      </w:pPr>
      <w:r>
        <w:t>&lt;</w:t>
      </w:r>
      <w:hyperlink r:id="rId9" w:history="1">
        <w:r w:rsidRPr="005B19E0">
          <w:rPr>
            <w:rStyle w:val="Hyperlink"/>
          </w:rPr>
          <w:t>www.environment.gov.au/water/publications/environmental/ecosystems/ae-toolkit-cs-1.html</w:t>
        </w:r>
      </w:hyperlink>
      <w:r>
        <w:t>&gt;</w:t>
      </w:r>
    </w:p>
    <w:p w:rsidR="0042420F" w:rsidRDefault="0042420F">
      <w:pPr>
        <w:sectPr w:rsidR="0042420F" w:rsidSect="0042420F">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20" w:footer="720" w:gutter="0"/>
          <w:pgNumType w:fmt="lowerRoman" w:start="1"/>
          <w:cols w:space="720"/>
          <w:noEndnote/>
          <w:titlePg/>
          <w:docGrid w:linePitch="326"/>
        </w:sectPr>
      </w:pPr>
    </w:p>
    <w:p w:rsidR="008E7176" w:rsidRDefault="008E7176"/>
    <w:p w:rsidR="008E7176" w:rsidRDefault="008E7176" w:rsidP="00111BEA">
      <w:pPr>
        <w:pStyle w:val="Heading1"/>
      </w:pPr>
      <w:r>
        <w:t xml:space="preserve">Part 1: </w:t>
      </w:r>
      <w:r>
        <w:br/>
        <w:t>Identifying High Ecological Value Aquatic Ecosystems (HEVAE)</w:t>
      </w:r>
    </w:p>
    <w:p w:rsidR="008E7176" w:rsidRDefault="008E7176" w:rsidP="00111BEA">
      <w:pPr>
        <w:pStyle w:val="Heading2"/>
      </w:pPr>
      <w:r>
        <w:t xml:space="preserve">1.1 </w:t>
      </w:r>
      <w:r>
        <w:tab/>
        <w:t>Groundwork before identifying HEVAE</w:t>
      </w:r>
    </w:p>
    <w:p w:rsidR="008E7176" w:rsidRDefault="008E7176" w:rsidP="008E7176">
      <w:pPr>
        <w:pStyle w:val="Body"/>
      </w:pPr>
      <w:r>
        <w:t xml:space="preserve">Whilst the Lake Eyre Basin (LEB) covers 15 percent of Australia, it is remote and poorly studied compared with similarly sized drainage divisions. The LEB spans four state/territory boundaries (Figure 1), and information collected prior to this project was not consistent or comprehensive across the whole basin. Before applying Module 3 </w:t>
      </w:r>
      <w:r>
        <w:rPr>
          <w:rStyle w:val="ital"/>
        </w:rPr>
        <w:t>Guidelines for Identifying High Ecological Value Aquatic Ecosystems (HEVAE)</w:t>
      </w:r>
      <w:r>
        <w:t>, preliminary work was required to integrate existing data sets, to provide a basin-wide information base.</w:t>
      </w:r>
    </w:p>
    <w:p w:rsidR="008E7176" w:rsidRDefault="008E7176" w:rsidP="008E7176">
      <w:pPr>
        <w:pStyle w:val="H3"/>
      </w:pPr>
      <w:r>
        <w:t>Step 1</w:t>
      </w:r>
      <w:r>
        <w:tab/>
        <w:t>Identify purpose</w:t>
      </w:r>
    </w:p>
    <w:p w:rsidR="008E7176" w:rsidRDefault="008E7176" w:rsidP="008E7176">
      <w:pPr>
        <w:pStyle w:val="Body"/>
      </w:pPr>
      <w:r>
        <w:t xml:space="preserve">The purpose of the assessment was to test the draft HEVAE Framework, and draft delineation guidelines, (which have now been developed into Module 3: </w:t>
      </w:r>
      <w:r>
        <w:rPr>
          <w:rStyle w:val="ital"/>
        </w:rPr>
        <w:t>Guidelines for Identifying HEVAE</w:t>
      </w:r>
      <w:r>
        <w:t xml:space="preserve">, and Module 4: </w:t>
      </w:r>
      <w:r>
        <w:rPr>
          <w:rStyle w:val="ital"/>
        </w:rPr>
        <w:t>Aquatic Ecosystem Delineation and Description Guidelines</w:t>
      </w:r>
      <w:r>
        <w:t>, respectively) in the Lake Eyre Basin.</w:t>
      </w:r>
    </w:p>
    <w:p w:rsidR="008E7176" w:rsidRDefault="008E7176" w:rsidP="00111BEA">
      <w:pPr>
        <w:pStyle w:val="Heading3"/>
      </w:pPr>
      <w:r>
        <w:t>Step 2</w:t>
      </w:r>
      <w:r>
        <w:tab/>
        <w:t>Map and classify aquatic ecosystems</w:t>
      </w:r>
    </w:p>
    <w:p w:rsidR="008E7176" w:rsidRDefault="008E7176" w:rsidP="008E7176">
      <w:pPr>
        <w:pStyle w:val="Body"/>
      </w:pPr>
      <w:r>
        <w:t xml:space="preserve">A consistent and comparable classification of aquatic ecosystems was required to apply a number of the HEVAE criteria (particularly ‘diversity’ and ‘representativeness’). Two typologies were developed, one for </w:t>
      </w:r>
      <w:proofErr w:type="spellStart"/>
      <w:r>
        <w:t>riverine</w:t>
      </w:r>
      <w:proofErr w:type="spellEnd"/>
      <w:r>
        <w:t xml:space="preserve"> and one for non-</w:t>
      </w:r>
      <w:proofErr w:type="spellStart"/>
      <w:r>
        <w:t>riverine</w:t>
      </w:r>
      <w:proofErr w:type="spellEnd"/>
      <w:r>
        <w:t xml:space="preserve"> aquatic ecosystems. This trial pre-dated the Australian National Aquatic Ecosystem (ANAE) Classification </w:t>
      </w:r>
      <w:proofErr w:type="gramStart"/>
      <w:r>
        <w:t>Scheme,</w:t>
      </w:r>
      <w:proofErr w:type="gramEnd"/>
      <w:r>
        <w:t xml:space="preserve"> however the principles of the ANAE Classification Scheme were used to identify aquatic ecosystem types.</w:t>
      </w:r>
    </w:p>
    <w:p w:rsidR="008E7176" w:rsidRDefault="008E7176" w:rsidP="008E7176">
      <w:pPr>
        <w:pStyle w:val="Body"/>
      </w:pPr>
      <w:r>
        <w:t>Non-</w:t>
      </w:r>
      <w:proofErr w:type="spellStart"/>
      <w:r>
        <w:t>riverine</w:t>
      </w:r>
      <w:proofErr w:type="spellEnd"/>
      <w:r>
        <w:t xml:space="preserve"> (</w:t>
      </w:r>
      <w:proofErr w:type="spellStart"/>
      <w:r>
        <w:t>lacustrine</w:t>
      </w:r>
      <w:proofErr w:type="spellEnd"/>
      <w:r>
        <w:t>/</w:t>
      </w:r>
      <w:proofErr w:type="spellStart"/>
      <w:r>
        <w:t>palustrine</w:t>
      </w:r>
      <w:proofErr w:type="spellEnd"/>
      <w:r>
        <w:t xml:space="preserve">) aquatic ecosystems were defined as those that are not connected to a mapped drainage channel, or are substantially wider than the channel (e.g. a lake fed by a river). </w:t>
      </w:r>
      <w:proofErr w:type="spellStart"/>
      <w:r>
        <w:t>Riverine</w:t>
      </w:r>
      <w:proofErr w:type="spellEnd"/>
      <w:r>
        <w:t xml:space="preserve"> ecosystems were defined as all aquatic ecosystems and deepwater habitats within a channel that are naturally or artificially created, periodically/continuously contain moving water, or form a connecting link between two bodies of standing water.</w:t>
      </w:r>
    </w:p>
    <w:p w:rsidR="008E7176" w:rsidRDefault="008E7176" w:rsidP="008E7176">
      <w:pPr>
        <w:pStyle w:val="Body"/>
      </w:pPr>
      <w:r>
        <w:t>A set of key classification attributes</w:t>
      </w:r>
      <w:r w:rsidR="00E53ABC">
        <w:t>,</w:t>
      </w:r>
      <w:r>
        <w:t xml:space="preserve"> that each jurisdiction could apply</w:t>
      </w:r>
      <w:r w:rsidR="00E53ABC">
        <w:t>,</w:t>
      </w:r>
      <w:r>
        <w:t xml:space="preserve"> were identified for both </w:t>
      </w:r>
      <w:r>
        <w:br/>
        <w:t>non-</w:t>
      </w:r>
      <w:proofErr w:type="spellStart"/>
      <w:r>
        <w:t>riverine</w:t>
      </w:r>
      <w:proofErr w:type="spellEnd"/>
      <w:r>
        <w:t xml:space="preserve"> and </w:t>
      </w:r>
      <w:proofErr w:type="spellStart"/>
      <w:r>
        <w:t>riverine</w:t>
      </w:r>
      <w:proofErr w:type="spellEnd"/>
      <w:r>
        <w:t xml:space="preserve"> systems (Table 1).</w:t>
      </w:r>
    </w:p>
    <w:p w:rsidR="008E7176" w:rsidRDefault="008E7176" w:rsidP="008E7176">
      <w:pPr>
        <w:pStyle w:val="Body"/>
      </w:pPr>
      <w:r>
        <w:t xml:space="preserve">The application of the classification system was based predominantly on existing data sources. However, in order to </w:t>
      </w:r>
      <w:proofErr w:type="spellStart"/>
      <w:r>
        <w:t>minimise</w:t>
      </w:r>
      <w:proofErr w:type="spellEnd"/>
      <w:r>
        <w:t xml:space="preserve"> the number of systems that were classified as ‘unknown’ due to a lack of information on one or more attribute, defaults based on stated assumptions were used. Defaults were, in the absence of evidence or knowledge to the contrary:</w:t>
      </w:r>
    </w:p>
    <w:p w:rsidR="008E7176" w:rsidRDefault="008E7176" w:rsidP="008E7176">
      <w:pPr>
        <w:pStyle w:val="bullets"/>
        <w:numPr>
          <w:ilvl w:val="0"/>
          <w:numId w:val="1"/>
        </w:numPr>
      </w:pPr>
      <w:r>
        <w:t>fresh</w:t>
      </w:r>
    </w:p>
    <w:p w:rsidR="008E7176" w:rsidRDefault="008E7176" w:rsidP="008E7176">
      <w:pPr>
        <w:pStyle w:val="bullets"/>
        <w:numPr>
          <w:ilvl w:val="0"/>
          <w:numId w:val="1"/>
        </w:numPr>
      </w:pPr>
      <w:r>
        <w:t>non-permanent</w:t>
      </w:r>
    </w:p>
    <w:p w:rsidR="008E7176" w:rsidRDefault="008E7176" w:rsidP="008E7176">
      <w:pPr>
        <w:pStyle w:val="bullets"/>
        <w:numPr>
          <w:ilvl w:val="0"/>
          <w:numId w:val="1"/>
        </w:numPr>
      </w:pPr>
      <w:proofErr w:type="spellStart"/>
      <w:r>
        <w:t>riverine</w:t>
      </w:r>
      <w:proofErr w:type="spellEnd"/>
      <w:r>
        <w:t xml:space="preserve"> systems were considered channels</w:t>
      </w:r>
    </w:p>
    <w:p w:rsidR="008E7176" w:rsidRDefault="008E7176" w:rsidP="008E7176">
      <w:pPr>
        <w:pStyle w:val="bulletlast"/>
        <w:numPr>
          <w:ilvl w:val="0"/>
          <w:numId w:val="1"/>
        </w:numPr>
      </w:pPr>
      <w:proofErr w:type="gramStart"/>
      <w:r>
        <w:t>groundwater</w:t>
      </w:r>
      <w:proofErr w:type="gramEnd"/>
      <w:r>
        <w:t xml:space="preserve"> source was considered unconfined.</w:t>
      </w:r>
    </w:p>
    <w:p w:rsidR="008E7176" w:rsidRDefault="008E7176" w:rsidP="008E7176">
      <w:pPr>
        <w:pStyle w:val="Body"/>
      </w:pPr>
      <w:r>
        <w:t>The final output was mapping of non-</w:t>
      </w:r>
      <w:proofErr w:type="spellStart"/>
      <w:r>
        <w:t>riverine</w:t>
      </w:r>
      <w:proofErr w:type="spellEnd"/>
      <w:r>
        <w:t xml:space="preserve"> aquatic ecosystems into 27 possible categories, and </w:t>
      </w:r>
      <w:proofErr w:type="spellStart"/>
      <w:r>
        <w:t>riverine</w:t>
      </w:r>
      <w:proofErr w:type="spellEnd"/>
      <w:r>
        <w:t xml:space="preserve"> ecosystems into 32 categories, based on combinations of attributes (e.g. lowland/ floodplain/surface water/non-permanent/fresh).</w:t>
      </w:r>
    </w:p>
    <w:p w:rsidR="008E7176" w:rsidRDefault="008E7176" w:rsidP="00E53ABC">
      <w:pPr>
        <w:pStyle w:val="Figurehead"/>
        <w:jc w:val="center"/>
      </w:pPr>
      <w:r>
        <w:rPr>
          <w:noProof/>
          <w:lang w:val="en-AU" w:eastAsia="en-AU"/>
        </w:rPr>
        <w:lastRenderedPageBreak/>
        <w:drawing>
          <wp:inline distT="0" distB="0" distL="0" distR="0">
            <wp:extent cx="4078605" cy="4633595"/>
            <wp:effectExtent l="0" t="0" r="1079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78605" cy="4633595"/>
                    </a:xfrm>
                    <a:prstGeom prst="rect">
                      <a:avLst/>
                    </a:prstGeom>
                    <a:noFill/>
                    <a:ln>
                      <a:noFill/>
                    </a:ln>
                  </pic:spPr>
                </pic:pic>
              </a:graphicData>
            </a:graphic>
          </wp:inline>
        </w:drawing>
      </w:r>
    </w:p>
    <w:p w:rsidR="008E7176" w:rsidRPr="002043D9" w:rsidRDefault="008E7176" w:rsidP="008E7176">
      <w:pPr>
        <w:pStyle w:val="Figurehead"/>
        <w:rPr>
          <w:b/>
        </w:rPr>
      </w:pPr>
      <w:r w:rsidRPr="002043D9">
        <w:rPr>
          <w:b/>
        </w:rPr>
        <w:t xml:space="preserve">Figure </w:t>
      </w:r>
      <w:r w:rsidRPr="002043D9">
        <w:rPr>
          <w:rFonts w:ascii="FranklinGothicLT-Book" w:hAnsi="FranklinGothicLT-Book" w:cs="FranklinGothicLT-Book"/>
          <w:b/>
        </w:rPr>
        <w:t>1</w:t>
      </w:r>
      <w:r w:rsidRPr="002043D9">
        <w:rPr>
          <w:b/>
        </w:rPr>
        <w:tab/>
        <w:t xml:space="preserve">Map of the Lake Eyre Basin drainage division showing major river systems and </w:t>
      </w:r>
      <w:r w:rsidRPr="002043D9">
        <w:rPr>
          <w:b/>
        </w:rPr>
        <w:br/>
        <w:t>jurisdictional boundaries</w:t>
      </w:r>
    </w:p>
    <w:p w:rsidR="008E7176" w:rsidRDefault="008E7176">
      <w:pPr>
        <w:rPr>
          <w:rFonts w:ascii="FranklinGothicLT-Medium" w:hAnsi="FranklinGothicLT-Medium" w:cs="FranklinGothicLT-Medium"/>
          <w:color w:val="000000"/>
          <w:sz w:val="20"/>
          <w:szCs w:val="20"/>
          <w:lang w:val="en-US" w:eastAsia="ja-JP"/>
        </w:rPr>
      </w:pPr>
      <w:r>
        <w:br w:type="page"/>
      </w:r>
    </w:p>
    <w:p w:rsidR="008E7176" w:rsidRPr="002043D9" w:rsidRDefault="008E7176" w:rsidP="008E7176">
      <w:pPr>
        <w:pStyle w:val="Tablehead"/>
        <w:rPr>
          <w:b/>
        </w:rPr>
      </w:pPr>
      <w:r w:rsidRPr="002043D9">
        <w:rPr>
          <w:b/>
        </w:rPr>
        <w:lastRenderedPageBreak/>
        <w:t>Table 1</w:t>
      </w:r>
      <w:r w:rsidRPr="002043D9">
        <w:rPr>
          <w:b/>
        </w:rPr>
        <w:tab/>
        <w:t>Key attributes used to classify non-</w:t>
      </w:r>
      <w:proofErr w:type="spellStart"/>
      <w:r w:rsidRPr="002043D9">
        <w:rPr>
          <w:b/>
        </w:rPr>
        <w:t>riverine</w:t>
      </w:r>
      <w:proofErr w:type="spellEnd"/>
      <w:r w:rsidRPr="002043D9">
        <w:rPr>
          <w:b/>
        </w:rPr>
        <w:t xml:space="preserve"> and </w:t>
      </w:r>
      <w:proofErr w:type="spellStart"/>
      <w:r w:rsidRPr="002043D9">
        <w:rPr>
          <w:b/>
        </w:rPr>
        <w:t>riverine</w:t>
      </w:r>
      <w:proofErr w:type="spellEnd"/>
      <w:r w:rsidRPr="002043D9">
        <w:rPr>
          <w:b/>
        </w:rPr>
        <w:t xml:space="preserve"> aquatic ecosystems across the Lake Eyre Basin</w:t>
      </w:r>
    </w:p>
    <w:tbl>
      <w:tblPr>
        <w:tblW w:w="9634" w:type="dxa"/>
        <w:tblInd w:w="85" w:type="dxa"/>
        <w:tblLayout w:type="fixed"/>
        <w:tblCellMar>
          <w:left w:w="0" w:type="dxa"/>
          <w:right w:w="0" w:type="dxa"/>
        </w:tblCellMar>
        <w:tblLook w:val="0000"/>
      </w:tblPr>
      <w:tblGrid>
        <w:gridCol w:w="2127"/>
        <w:gridCol w:w="5522"/>
        <w:gridCol w:w="1985"/>
      </w:tblGrid>
      <w:tr w:rsidR="008E7176" w:rsidTr="00111BEA">
        <w:trPr>
          <w:trHeight w:val="60"/>
          <w:tblHeader/>
        </w:trPr>
        <w:tc>
          <w:tcPr>
            <w:tcW w:w="2127" w:type="dxa"/>
            <w:tcBorders>
              <w:top w:val="single" w:sz="4" w:space="0" w:color="000000"/>
              <w:left w:val="single" w:sz="4" w:space="0" w:color="000000"/>
              <w:bottom w:val="single" w:sz="8" w:space="0" w:color="000000"/>
              <w:right w:val="single" w:sz="4" w:space="0" w:color="000000"/>
            </w:tcBorders>
            <w:shd w:val="solid" w:color="948A54" w:themeColor="background2" w:themeShade="80" w:fill="auto"/>
            <w:tcMar>
              <w:top w:w="85" w:type="dxa"/>
              <w:left w:w="85" w:type="dxa"/>
              <w:bottom w:w="85" w:type="dxa"/>
              <w:right w:w="85" w:type="dxa"/>
            </w:tcMar>
          </w:tcPr>
          <w:p w:rsidR="008E7176" w:rsidRPr="002043D9" w:rsidRDefault="008E7176">
            <w:pPr>
              <w:pStyle w:val="Tabletext"/>
              <w:rPr>
                <w:color w:val="FFFFFF" w:themeColor="background1"/>
              </w:rPr>
            </w:pPr>
            <w:r w:rsidRPr="002043D9">
              <w:rPr>
                <w:rStyle w:val="Medium"/>
                <w:caps/>
                <w:outline/>
                <w:color w:val="FFFFFF" w:themeColor="background1"/>
              </w:rPr>
              <w:t>Attribute</w:t>
            </w:r>
          </w:p>
        </w:tc>
        <w:tc>
          <w:tcPr>
            <w:tcW w:w="5522" w:type="dxa"/>
            <w:tcBorders>
              <w:top w:val="single" w:sz="4" w:space="0" w:color="000000"/>
              <w:left w:val="single" w:sz="4" w:space="0" w:color="000000"/>
              <w:bottom w:val="single" w:sz="8" w:space="0" w:color="000000"/>
              <w:right w:val="single" w:sz="4" w:space="0" w:color="000000"/>
            </w:tcBorders>
            <w:shd w:val="solid" w:color="948A54" w:themeColor="background2" w:themeShade="80" w:fill="auto"/>
            <w:tcMar>
              <w:top w:w="85" w:type="dxa"/>
              <w:left w:w="85" w:type="dxa"/>
              <w:bottom w:w="85" w:type="dxa"/>
              <w:right w:w="85" w:type="dxa"/>
            </w:tcMar>
          </w:tcPr>
          <w:p w:rsidR="008E7176" w:rsidRPr="002043D9" w:rsidRDefault="008E7176">
            <w:pPr>
              <w:pStyle w:val="Tabletext"/>
              <w:rPr>
                <w:color w:val="FFFFFF" w:themeColor="background1"/>
              </w:rPr>
            </w:pPr>
            <w:r w:rsidRPr="002043D9">
              <w:rPr>
                <w:rStyle w:val="Medium"/>
                <w:caps/>
                <w:outline/>
                <w:color w:val="FFFFFF" w:themeColor="background1"/>
              </w:rPr>
              <w:t>Description</w:t>
            </w:r>
          </w:p>
        </w:tc>
        <w:tc>
          <w:tcPr>
            <w:tcW w:w="1985" w:type="dxa"/>
            <w:tcBorders>
              <w:top w:val="single" w:sz="4" w:space="0" w:color="000000"/>
              <w:left w:val="single" w:sz="4" w:space="0" w:color="000000"/>
              <w:bottom w:val="single" w:sz="8" w:space="0" w:color="000000"/>
              <w:right w:val="single" w:sz="4" w:space="0" w:color="000000"/>
            </w:tcBorders>
            <w:shd w:val="solid" w:color="948A54" w:themeColor="background2" w:themeShade="80" w:fill="auto"/>
            <w:tcMar>
              <w:top w:w="85" w:type="dxa"/>
              <w:left w:w="85" w:type="dxa"/>
              <w:bottom w:w="85" w:type="dxa"/>
              <w:right w:w="85" w:type="dxa"/>
            </w:tcMar>
          </w:tcPr>
          <w:p w:rsidR="008E7176" w:rsidRPr="002043D9" w:rsidRDefault="008E7176">
            <w:pPr>
              <w:pStyle w:val="Tabletext"/>
              <w:rPr>
                <w:color w:val="FFFFFF" w:themeColor="background1"/>
              </w:rPr>
            </w:pPr>
            <w:r w:rsidRPr="002043D9">
              <w:rPr>
                <w:rStyle w:val="Medium"/>
                <w:caps/>
                <w:outline/>
                <w:color w:val="FFFFFF" w:themeColor="background1"/>
              </w:rPr>
              <w:t>Non-riverine/</w:t>
            </w:r>
            <w:r w:rsidR="002043D9" w:rsidRPr="002043D9">
              <w:rPr>
                <w:rStyle w:val="Medium"/>
                <w:caps/>
                <w:outline/>
                <w:color w:val="FFFFFF" w:themeColor="background1"/>
              </w:rPr>
              <w:br/>
            </w:r>
            <w:r w:rsidRPr="002043D9">
              <w:rPr>
                <w:rStyle w:val="Medium"/>
                <w:caps/>
                <w:outline/>
                <w:color w:val="FFFFFF" w:themeColor="background1"/>
              </w:rPr>
              <w:t>riverine</w:t>
            </w:r>
          </w:p>
        </w:tc>
      </w:tr>
      <w:tr w:rsidR="008E7176" w:rsidTr="00E53ABC">
        <w:trPr>
          <w:trHeight w:val="60"/>
        </w:trPr>
        <w:tc>
          <w:tcPr>
            <w:tcW w:w="2127" w:type="dxa"/>
            <w:tcBorders>
              <w:top w:val="single" w:sz="8" w:space="0" w:color="000000"/>
              <w:left w:val="single" w:sz="4" w:space="0" w:color="000000"/>
              <w:bottom w:val="single" w:sz="4" w:space="0" w:color="000000"/>
              <w:right w:val="single" w:sz="4" w:space="0" w:color="000000"/>
            </w:tcBorders>
            <w:tcMar>
              <w:top w:w="85" w:type="dxa"/>
              <w:left w:w="85" w:type="dxa"/>
              <w:bottom w:w="85" w:type="dxa"/>
              <w:right w:w="85" w:type="dxa"/>
            </w:tcMar>
          </w:tcPr>
          <w:p w:rsidR="008E7176" w:rsidRPr="002043D9" w:rsidRDefault="008E7176">
            <w:pPr>
              <w:pStyle w:val="Tabletext"/>
              <w:rPr>
                <w:b/>
              </w:rPr>
            </w:pPr>
            <w:r w:rsidRPr="002043D9">
              <w:rPr>
                <w:rStyle w:val="Medium"/>
                <w:b/>
              </w:rPr>
              <w:t>Landform:</w:t>
            </w:r>
            <w:r w:rsidRPr="002043D9">
              <w:rPr>
                <w:rStyle w:val="Medium"/>
                <w:b/>
              </w:rPr>
              <w:br/>
            </w:r>
            <w:r w:rsidR="00E53ABC">
              <w:rPr>
                <w:b/>
              </w:rPr>
              <w:t xml:space="preserve">   </w:t>
            </w:r>
            <w:r w:rsidRPr="002043D9">
              <w:rPr>
                <w:b/>
              </w:rPr>
              <w:t>Upland</w:t>
            </w:r>
            <w:r w:rsidR="00E53ABC">
              <w:rPr>
                <w:b/>
              </w:rPr>
              <w:br/>
              <w:t xml:space="preserve">   </w:t>
            </w:r>
            <w:r w:rsidRPr="002043D9">
              <w:rPr>
                <w:b/>
              </w:rPr>
              <w:t>Lowland</w:t>
            </w:r>
          </w:p>
        </w:tc>
        <w:tc>
          <w:tcPr>
            <w:tcW w:w="5522" w:type="dxa"/>
            <w:tcBorders>
              <w:top w:val="single" w:sz="8" w:space="0" w:color="000000"/>
              <w:left w:val="single" w:sz="4" w:space="0" w:color="000000"/>
              <w:bottom w:val="single" w:sz="4" w:space="0" w:color="000000"/>
              <w:right w:val="single" w:sz="4" w:space="0" w:color="000000"/>
            </w:tcBorders>
            <w:tcMar>
              <w:top w:w="85" w:type="dxa"/>
              <w:left w:w="85" w:type="dxa"/>
              <w:bottom w:w="85" w:type="dxa"/>
              <w:right w:w="85" w:type="dxa"/>
            </w:tcMar>
          </w:tcPr>
          <w:p w:rsidR="008E7176" w:rsidRDefault="008E7176">
            <w:pPr>
              <w:pStyle w:val="Tabletext"/>
            </w:pPr>
            <w:r>
              <w:t>Based on a measure of roughness applied across the basin using the 9 second Digital Elevation Model.</w:t>
            </w:r>
          </w:p>
        </w:tc>
        <w:tc>
          <w:tcPr>
            <w:tcW w:w="1985" w:type="dxa"/>
            <w:tcBorders>
              <w:top w:val="single" w:sz="8" w:space="0" w:color="000000"/>
              <w:left w:val="single" w:sz="4" w:space="0" w:color="000000"/>
              <w:bottom w:val="single" w:sz="4" w:space="0" w:color="000000"/>
              <w:right w:val="single" w:sz="4" w:space="0" w:color="000000"/>
            </w:tcBorders>
            <w:tcMar>
              <w:top w:w="85" w:type="dxa"/>
              <w:left w:w="85" w:type="dxa"/>
              <w:bottom w:w="85" w:type="dxa"/>
              <w:right w:w="85" w:type="dxa"/>
            </w:tcMar>
          </w:tcPr>
          <w:p w:rsidR="008E7176" w:rsidRDefault="008E7176">
            <w:pPr>
              <w:pStyle w:val="Tabletext"/>
            </w:pPr>
            <w:r>
              <w:t>Non-</w:t>
            </w:r>
            <w:proofErr w:type="spellStart"/>
            <w:r>
              <w:t>riverine</w:t>
            </w:r>
            <w:proofErr w:type="spellEnd"/>
            <w:r>
              <w:t xml:space="preserve"> </w:t>
            </w:r>
            <w:r>
              <w:br/>
              <w:t xml:space="preserve">&amp; </w:t>
            </w:r>
            <w:proofErr w:type="spellStart"/>
            <w:r>
              <w:t>riverine</w:t>
            </w:r>
            <w:proofErr w:type="spellEnd"/>
          </w:p>
        </w:tc>
      </w:tr>
      <w:tr w:rsidR="008E7176" w:rsidTr="00E53ABC">
        <w:trPr>
          <w:trHeight w:val="60"/>
        </w:trPr>
        <w:tc>
          <w:tcPr>
            <w:tcW w:w="2127"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8E7176" w:rsidRPr="002043D9" w:rsidRDefault="008E7176">
            <w:pPr>
              <w:pStyle w:val="Tabletext"/>
              <w:rPr>
                <w:b/>
              </w:rPr>
            </w:pPr>
            <w:r w:rsidRPr="002043D9">
              <w:rPr>
                <w:rStyle w:val="Medium"/>
                <w:b/>
              </w:rPr>
              <w:t>Dominant water source:</w:t>
            </w:r>
            <w:r w:rsidRPr="002043D9">
              <w:rPr>
                <w:b/>
              </w:rPr>
              <w:br/>
            </w:r>
            <w:r w:rsidR="00E53ABC">
              <w:rPr>
                <w:b/>
              </w:rPr>
              <w:t xml:space="preserve">   </w:t>
            </w:r>
            <w:r w:rsidRPr="002043D9">
              <w:rPr>
                <w:b/>
              </w:rPr>
              <w:t>Groundwater</w:t>
            </w:r>
            <w:r w:rsidRPr="002043D9">
              <w:rPr>
                <w:b/>
              </w:rPr>
              <w:br/>
            </w:r>
            <w:r w:rsidR="00E53ABC">
              <w:rPr>
                <w:b/>
              </w:rPr>
              <w:t xml:space="preserve">   </w:t>
            </w:r>
            <w:r w:rsidRPr="002043D9">
              <w:rPr>
                <w:b/>
              </w:rPr>
              <w:t>Surface water</w:t>
            </w:r>
          </w:p>
        </w:tc>
        <w:tc>
          <w:tcPr>
            <w:tcW w:w="5522"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8E7176" w:rsidRDefault="008E7176">
            <w:pPr>
              <w:pStyle w:val="Tabletext"/>
            </w:pPr>
            <w:r>
              <w:t>The ‘groundwater’ attribute is applied to those aquatic ecosystems that have been identified in mapping or expert panel review as being fed predominately by groundwater (e.g. springs). The ‘surface water’ attribute covers all wetland systems that have not been identified as having characteristics that would indicate they are predominately groundwater fed.</w:t>
            </w:r>
          </w:p>
          <w:p w:rsidR="008E7176" w:rsidRDefault="008E7176">
            <w:pPr>
              <w:pStyle w:val="Tabletext"/>
            </w:pPr>
            <w:r>
              <w:t xml:space="preserve">A sub-category of artesian versus unconfined aquifer sources was applied to separate deep-water aquifer-fed systems from </w:t>
            </w:r>
            <w:proofErr w:type="spellStart"/>
            <w:r>
              <w:t>surficial</w:t>
            </w:r>
            <w:proofErr w:type="spellEnd"/>
            <w:r>
              <w:t xml:space="preserve"> groundwater systems.</w:t>
            </w:r>
          </w:p>
        </w:tc>
        <w:tc>
          <w:tcPr>
            <w:tcW w:w="19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8E7176" w:rsidRDefault="008E7176">
            <w:pPr>
              <w:pStyle w:val="Tabletext"/>
            </w:pPr>
            <w:r>
              <w:t>Non-</w:t>
            </w:r>
            <w:proofErr w:type="spellStart"/>
            <w:r>
              <w:t>riverine</w:t>
            </w:r>
            <w:proofErr w:type="spellEnd"/>
            <w:r>
              <w:t xml:space="preserve"> </w:t>
            </w:r>
            <w:r>
              <w:br/>
              <w:t xml:space="preserve">&amp; </w:t>
            </w:r>
            <w:proofErr w:type="spellStart"/>
            <w:r>
              <w:t>riverine</w:t>
            </w:r>
            <w:proofErr w:type="spellEnd"/>
          </w:p>
        </w:tc>
      </w:tr>
      <w:tr w:rsidR="008E7176" w:rsidTr="00E53ABC">
        <w:trPr>
          <w:trHeight w:val="60"/>
        </w:trPr>
        <w:tc>
          <w:tcPr>
            <w:tcW w:w="2127"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8E7176" w:rsidRPr="002043D9" w:rsidRDefault="008E7176">
            <w:pPr>
              <w:pStyle w:val="Tabletext"/>
              <w:rPr>
                <w:b/>
              </w:rPr>
            </w:pPr>
            <w:r w:rsidRPr="002043D9">
              <w:rPr>
                <w:rStyle w:val="Medium"/>
                <w:b/>
              </w:rPr>
              <w:t>Connectivity:</w:t>
            </w:r>
            <w:r w:rsidRPr="002043D9">
              <w:rPr>
                <w:rStyle w:val="Medium"/>
                <w:b/>
              </w:rPr>
              <w:br/>
            </w:r>
            <w:r w:rsidR="00E53ABC">
              <w:rPr>
                <w:b/>
              </w:rPr>
              <w:t xml:space="preserve">   </w:t>
            </w:r>
            <w:r w:rsidRPr="002043D9">
              <w:rPr>
                <w:b/>
              </w:rPr>
              <w:t>Floodplain</w:t>
            </w:r>
            <w:r w:rsidRPr="002043D9">
              <w:rPr>
                <w:b/>
              </w:rPr>
              <w:br/>
            </w:r>
            <w:r w:rsidR="00E53ABC">
              <w:rPr>
                <w:b/>
              </w:rPr>
              <w:t xml:space="preserve">   </w:t>
            </w:r>
            <w:r w:rsidRPr="002043D9">
              <w:rPr>
                <w:b/>
              </w:rPr>
              <w:t>Non-floodplain</w:t>
            </w:r>
          </w:p>
        </w:tc>
        <w:tc>
          <w:tcPr>
            <w:tcW w:w="5522"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8E7176" w:rsidRDefault="008E7176">
            <w:pPr>
              <w:pStyle w:val="Tabletext"/>
            </w:pPr>
            <w:r>
              <w:t>Floodplains are defined in this trial* as (The National Committee on Soil and Terrain, 2009</w:t>
            </w:r>
            <w:r w:rsidR="00E53ABC">
              <w:rPr>
                <w:rStyle w:val="FootnoteReference"/>
              </w:rPr>
              <w:footnoteReference w:id="1"/>
            </w:r>
            <w:r>
              <w:t>):</w:t>
            </w:r>
          </w:p>
          <w:p w:rsidR="008E7176" w:rsidRDefault="008E7176">
            <w:pPr>
              <w:pStyle w:val="Tabletext"/>
            </w:pPr>
            <w:r>
              <w:t>‘</w:t>
            </w:r>
            <w:proofErr w:type="gramStart"/>
            <w:r>
              <w:t>alluvial</w:t>
            </w:r>
            <w:proofErr w:type="gramEnd"/>
            <w:r>
              <w:t xml:space="preserve"> plains </w:t>
            </w:r>
            <w:proofErr w:type="spellStart"/>
            <w:r>
              <w:t>characterised</w:t>
            </w:r>
            <w:proofErr w:type="spellEnd"/>
            <w:r>
              <w:t xml:space="preserve"> by frequently active erosion and </w:t>
            </w:r>
            <w:proofErr w:type="spellStart"/>
            <w:r>
              <w:t>aggradation</w:t>
            </w:r>
            <w:proofErr w:type="spellEnd"/>
            <w:r>
              <w:t xml:space="preserve"> by </w:t>
            </w:r>
            <w:proofErr w:type="spellStart"/>
            <w:r>
              <w:t>channelled</w:t>
            </w:r>
            <w:proofErr w:type="spellEnd"/>
            <w:r>
              <w:t xml:space="preserve"> or overbank stream flow. Unless otherwise specified “frequently active” is to mean that flow has an Average Recurrence Interval of 50 years or less.’</w:t>
            </w:r>
          </w:p>
          <w:p w:rsidR="008E7176" w:rsidRDefault="008E7176">
            <w:pPr>
              <w:pStyle w:val="Tabletext"/>
            </w:pPr>
            <w:r>
              <w:t>The non-floodplain category covers the remaining systems that may receive some flow from local watershed creeks but are only very rarely or very minimally influenced by true river systems. The ‘non-floodplain’ (spring) category includes all mapped springs.</w:t>
            </w:r>
          </w:p>
        </w:tc>
        <w:tc>
          <w:tcPr>
            <w:tcW w:w="19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8E7176" w:rsidRDefault="008E7176">
            <w:pPr>
              <w:pStyle w:val="Tabletext"/>
            </w:pPr>
            <w:r>
              <w:t>Non-</w:t>
            </w:r>
            <w:proofErr w:type="spellStart"/>
            <w:r>
              <w:t>riverine</w:t>
            </w:r>
            <w:proofErr w:type="spellEnd"/>
          </w:p>
        </w:tc>
      </w:tr>
      <w:tr w:rsidR="008E7176" w:rsidTr="00E53ABC">
        <w:trPr>
          <w:trHeight w:val="60"/>
        </w:trPr>
        <w:tc>
          <w:tcPr>
            <w:tcW w:w="2127"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8E7176" w:rsidRPr="002043D9" w:rsidRDefault="008E7176">
            <w:pPr>
              <w:pStyle w:val="Tabletext"/>
              <w:rPr>
                <w:b/>
              </w:rPr>
            </w:pPr>
            <w:r w:rsidRPr="002043D9">
              <w:rPr>
                <w:rStyle w:val="Medium"/>
                <w:b/>
              </w:rPr>
              <w:t>Connectivity:</w:t>
            </w:r>
            <w:r w:rsidRPr="002043D9">
              <w:rPr>
                <w:rStyle w:val="Medium"/>
                <w:b/>
              </w:rPr>
              <w:br/>
            </w:r>
            <w:r w:rsidR="00E53ABC">
              <w:rPr>
                <w:b/>
              </w:rPr>
              <w:t xml:space="preserve">   </w:t>
            </w:r>
            <w:r w:rsidRPr="002043D9">
              <w:rPr>
                <w:b/>
              </w:rPr>
              <w:t>Channel</w:t>
            </w:r>
            <w:r w:rsidRPr="002043D9">
              <w:rPr>
                <w:b/>
              </w:rPr>
              <w:br/>
            </w:r>
            <w:r w:rsidR="00E53ABC">
              <w:rPr>
                <w:b/>
              </w:rPr>
              <w:t xml:space="preserve">   </w:t>
            </w:r>
            <w:r w:rsidRPr="002043D9">
              <w:rPr>
                <w:b/>
              </w:rPr>
              <w:t>Waterhole</w:t>
            </w:r>
            <w:r w:rsidRPr="002043D9">
              <w:rPr>
                <w:b/>
              </w:rPr>
              <w:br/>
            </w:r>
            <w:r w:rsidR="00E53ABC">
              <w:rPr>
                <w:b/>
              </w:rPr>
              <w:t xml:space="preserve">   </w:t>
            </w:r>
            <w:r w:rsidRPr="002043D9">
              <w:rPr>
                <w:b/>
              </w:rPr>
              <w:t>Spring</w:t>
            </w:r>
          </w:p>
        </w:tc>
        <w:tc>
          <w:tcPr>
            <w:tcW w:w="5522"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8E7176" w:rsidRDefault="008E7176">
            <w:pPr>
              <w:pStyle w:val="Tabletext"/>
            </w:pPr>
            <w:r>
              <w:t>Channel—water mostly flowing if present but may persist for a few days as shallow water after flow stops.</w:t>
            </w:r>
          </w:p>
          <w:p w:rsidR="008E7176" w:rsidRDefault="008E7176">
            <w:pPr>
              <w:pStyle w:val="Tabletext"/>
            </w:pPr>
            <w:r>
              <w:t>Waterhole—water remains after flow stops for periods of weeks through to permanent.</w:t>
            </w:r>
          </w:p>
          <w:p w:rsidR="008E7176" w:rsidRDefault="008E7176">
            <w:pPr>
              <w:pStyle w:val="Tabletext"/>
            </w:pPr>
            <w:r>
              <w:t>Spring—aquifer discharge feature on bank or bed of watercourse or very close on adjacent cliff; discharge may be intermittent and may rarely produce surface flows (i.e. a seepage spring).</w:t>
            </w:r>
          </w:p>
          <w:p w:rsidR="003F357B" w:rsidRDefault="003F357B">
            <w:pPr>
              <w:pStyle w:val="Tabletext"/>
            </w:pPr>
          </w:p>
          <w:p w:rsidR="003F357B" w:rsidRDefault="003F357B">
            <w:pPr>
              <w:pStyle w:val="Tabletext"/>
            </w:pPr>
          </w:p>
          <w:p w:rsidR="003F357B" w:rsidRDefault="003F357B">
            <w:pPr>
              <w:pStyle w:val="Tabletext"/>
            </w:pPr>
          </w:p>
        </w:tc>
        <w:tc>
          <w:tcPr>
            <w:tcW w:w="19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8E7176" w:rsidRDefault="008E7176">
            <w:pPr>
              <w:pStyle w:val="Tabletext"/>
            </w:pPr>
            <w:proofErr w:type="spellStart"/>
            <w:r>
              <w:t>Riverine</w:t>
            </w:r>
            <w:proofErr w:type="spellEnd"/>
          </w:p>
        </w:tc>
      </w:tr>
      <w:tr w:rsidR="008E7176" w:rsidTr="00E53ABC">
        <w:trPr>
          <w:trHeight w:val="60"/>
        </w:trPr>
        <w:tc>
          <w:tcPr>
            <w:tcW w:w="2127"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8E7176" w:rsidRPr="002043D9" w:rsidRDefault="008E7176">
            <w:pPr>
              <w:pStyle w:val="Tabletext"/>
              <w:rPr>
                <w:b/>
              </w:rPr>
            </w:pPr>
            <w:r w:rsidRPr="002043D9">
              <w:rPr>
                <w:rStyle w:val="Medium"/>
                <w:b/>
              </w:rPr>
              <w:lastRenderedPageBreak/>
              <w:t>Water regime:</w:t>
            </w:r>
            <w:r w:rsidRPr="002043D9">
              <w:rPr>
                <w:rStyle w:val="Medium"/>
                <w:b/>
              </w:rPr>
              <w:br/>
            </w:r>
            <w:r w:rsidR="00E53ABC">
              <w:rPr>
                <w:b/>
              </w:rPr>
              <w:t xml:space="preserve">   </w:t>
            </w:r>
            <w:r w:rsidRPr="002043D9">
              <w:rPr>
                <w:b/>
              </w:rPr>
              <w:t>Near-permanent</w:t>
            </w:r>
            <w:r w:rsidRPr="002043D9">
              <w:rPr>
                <w:b/>
              </w:rPr>
              <w:br/>
            </w:r>
            <w:r w:rsidR="00E53ABC">
              <w:rPr>
                <w:b/>
              </w:rPr>
              <w:t xml:space="preserve">   </w:t>
            </w:r>
            <w:r w:rsidRPr="002043D9">
              <w:rPr>
                <w:b/>
              </w:rPr>
              <w:t>Non-permanent</w:t>
            </w:r>
          </w:p>
        </w:tc>
        <w:tc>
          <w:tcPr>
            <w:tcW w:w="5522"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8E7176" w:rsidRDefault="008E7176">
            <w:pPr>
              <w:pStyle w:val="Tabletext"/>
            </w:pPr>
            <w:r>
              <w:t xml:space="preserve">Near-permanent—defined as those </w:t>
            </w:r>
            <w:proofErr w:type="spellStart"/>
            <w:r>
              <w:t>waterbodies</w:t>
            </w:r>
            <w:proofErr w:type="spellEnd"/>
            <w:r>
              <w:t xml:space="preserve"> that hold water for &gt;70% of the time.</w:t>
            </w:r>
          </w:p>
          <w:p w:rsidR="008E7176" w:rsidRDefault="008E7176">
            <w:pPr>
              <w:pStyle w:val="Tabletext"/>
            </w:pPr>
            <w:r>
              <w:t xml:space="preserve">Non-permanent—defined as those </w:t>
            </w:r>
            <w:proofErr w:type="spellStart"/>
            <w:r>
              <w:t>waterbodies</w:t>
            </w:r>
            <w:proofErr w:type="spellEnd"/>
            <w:r>
              <w:t xml:space="preserve"> that hold water for &lt;70% of the time.</w:t>
            </w:r>
          </w:p>
          <w:p w:rsidR="00E53ABC" w:rsidRDefault="00E53ABC">
            <w:pPr>
              <w:pStyle w:val="Tabletext"/>
            </w:pPr>
          </w:p>
        </w:tc>
        <w:tc>
          <w:tcPr>
            <w:tcW w:w="19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8E7176" w:rsidRDefault="008E7176">
            <w:pPr>
              <w:pStyle w:val="Tabletext"/>
            </w:pPr>
            <w:r>
              <w:t>Non-</w:t>
            </w:r>
            <w:proofErr w:type="spellStart"/>
            <w:r>
              <w:t>riverine</w:t>
            </w:r>
            <w:proofErr w:type="spellEnd"/>
            <w:r>
              <w:t xml:space="preserve"> </w:t>
            </w:r>
            <w:r>
              <w:br/>
              <w:t xml:space="preserve">&amp; </w:t>
            </w:r>
            <w:proofErr w:type="spellStart"/>
            <w:r>
              <w:t>riverine</w:t>
            </w:r>
            <w:proofErr w:type="spellEnd"/>
          </w:p>
        </w:tc>
      </w:tr>
      <w:tr w:rsidR="008E7176" w:rsidTr="00E53ABC">
        <w:trPr>
          <w:trHeight w:val="60"/>
        </w:trPr>
        <w:tc>
          <w:tcPr>
            <w:tcW w:w="2127"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8E7176" w:rsidRPr="002043D9" w:rsidRDefault="008E7176">
            <w:pPr>
              <w:pStyle w:val="Tabletext"/>
              <w:rPr>
                <w:b/>
              </w:rPr>
            </w:pPr>
            <w:r w:rsidRPr="002043D9">
              <w:rPr>
                <w:rStyle w:val="Medium"/>
                <w:b/>
              </w:rPr>
              <w:t>Water type:</w:t>
            </w:r>
            <w:r w:rsidRPr="002043D9">
              <w:rPr>
                <w:rStyle w:val="Medium"/>
                <w:b/>
              </w:rPr>
              <w:br/>
            </w:r>
            <w:r w:rsidR="00E53ABC">
              <w:rPr>
                <w:b/>
              </w:rPr>
              <w:t xml:space="preserve">   </w:t>
            </w:r>
            <w:r w:rsidRPr="002043D9">
              <w:rPr>
                <w:b/>
              </w:rPr>
              <w:t>Fresh</w:t>
            </w:r>
            <w:r w:rsidRPr="002043D9">
              <w:rPr>
                <w:b/>
              </w:rPr>
              <w:br/>
            </w:r>
            <w:r w:rsidR="00E53ABC">
              <w:rPr>
                <w:b/>
              </w:rPr>
              <w:t xml:space="preserve">   </w:t>
            </w:r>
            <w:r w:rsidRPr="002043D9">
              <w:rPr>
                <w:b/>
              </w:rPr>
              <w:t>Saline</w:t>
            </w:r>
          </w:p>
        </w:tc>
        <w:tc>
          <w:tcPr>
            <w:tcW w:w="5522"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8E7176" w:rsidRDefault="008E7176">
            <w:pPr>
              <w:pStyle w:val="Tabletext"/>
            </w:pPr>
            <w:r>
              <w:t xml:space="preserve">Adoption of the Queensland wetland mapping definition where fresh is &lt;3 </w:t>
            </w:r>
            <w:proofErr w:type="spellStart"/>
            <w:r>
              <w:t>ppt</w:t>
            </w:r>
            <w:proofErr w:type="spellEnd"/>
            <w:r>
              <w:t xml:space="preserve"> and saline &gt;3 ppt. In the context of the LEB, the attribute is applied based on the average conditions within the wetland (i.e. the wetland may become more saline as it dries, but is considered fresh if for the majority of the time it holds water, salinity is &lt;3 </w:t>
            </w:r>
            <w:proofErr w:type="spellStart"/>
            <w:r>
              <w:t>ppt</w:t>
            </w:r>
            <w:proofErr w:type="spellEnd"/>
            <w:r>
              <w:t>). However, few aquatic ecosystems contained salinity data. In these cases salinity was identified through expert opinion or defaulted to fresh.</w:t>
            </w:r>
          </w:p>
        </w:tc>
        <w:tc>
          <w:tcPr>
            <w:tcW w:w="19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8E7176" w:rsidRDefault="008E7176">
            <w:pPr>
              <w:pStyle w:val="Tabletext"/>
            </w:pPr>
            <w:r>
              <w:t>Non-</w:t>
            </w:r>
            <w:proofErr w:type="spellStart"/>
            <w:r>
              <w:t>riverine</w:t>
            </w:r>
            <w:proofErr w:type="spellEnd"/>
            <w:r>
              <w:t xml:space="preserve"> </w:t>
            </w:r>
            <w:r>
              <w:br/>
              <w:t xml:space="preserve">&amp; </w:t>
            </w:r>
            <w:proofErr w:type="spellStart"/>
            <w:r>
              <w:t>riverine</w:t>
            </w:r>
            <w:proofErr w:type="spellEnd"/>
          </w:p>
        </w:tc>
      </w:tr>
    </w:tbl>
    <w:p w:rsidR="008E7176" w:rsidRDefault="008E7176" w:rsidP="00E53ABC">
      <w:pPr>
        <w:pStyle w:val="source"/>
        <w:spacing w:before="40"/>
      </w:pPr>
      <w:r>
        <w:t xml:space="preserve">* Note this definition differs somewhat from the one used in the ANAE Classification Scheme (Module 2), which defines floodplains as ‘areas that are intermittently inundated by the lateral overflow of </w:t>
      </w:r>
      <w:proofErr w:type="spellStart"/>
      <w:r>
        <w:t>riverine</w:t>
      </w:r>
      <w:proofErr w:type="spellEnd"/>
      <w:r>
        <w:t xml:space="preserve">, </w:t>
      </w:r>
      <w:proofErr w:type="spellStart"/>
      <w:r>
        <w:t>lacustrine</w:t>
      </w:r>
      <w:proofErr w:type="spellEnd"/>
      <w:r>
        <w:t xml:space="preserve"> or </w:t>
      </w:r>
      <w:proofErr w:type="spellStart"/>
      <w:r>
        <w:t>palustrine</w:t>
      </w:r>
      <w:proofErr w:type="spellEnd"/>
      <w:r>
        <w:t xml:space="preserve"> systems, by direct precipitation, or by groundwater’. </w:t>
      </w:r>
    </w:p>
    <w:p w:rsidR="002043D9" w:rsidRDefault="002043D9" w:rsidP="008E7176">
      <w:pPr>
        <w:pStyle w:val="H3"/>
      </w:pPr>
    </w:p>
    <w:p w:rsidR="008E7176" w:rsidRDefault="008E7176" w:rsidP="00111BEA">
      <w:pPr>
        <w:pStyle w:val="Heading3"/>
      </w:pPr>
      <w:r>
        <w:t>Step 3</w:t>
      </w:r>
      <w:r>
        <w:tab/>
        <w:t>Determine scale, regionalisation, and spatial units</w:t>
      </w:r>
    </w:p>
    <w:p w:rsidR="008E7176" w:rsidRDefault="008E7176" w:rsidP="008E7176">
      <w:pPr>
        <w:pStyle w:val="Body"/>
      </w:pPr>
      <w:r>
        <w:t xml:space="preserve">The scale, </w:t>
      </w:r>
      <w:proofErr w:type="spellStart"/>
      <w:r>
        <w:t>regionalisation</w:t>
      </w:r>
      <w:proofErr w:type="spellEnd"/>
      <w:r>
        <w:t xml:space="preserve"> and spatial units relevant to the LEB HEVAE trial are illustrated in Figure 2.</w:t>
      </w:r>
    </w:p>
    <w:p w:rsidR="003F357B" w:rsidRDefault="00F74533" w:rsidP="003F357B">
      <w:pPr>
        <w:pStyle w:val="Body"/>
        <w:jc w:val="center"/>
      </w:pPr>
      <w:r>
        <w:rPr>
          <w:noProof/>
          <w:lang w:val="en-AU" w:eastAsia="en-AU"/>
        </w:rPr>
        <w:drawing>
          <wp:inline distT="0" distB="0" distL="0" distR="0">
            <wp:extent cx="4556760" cy="3261360"/>
            <wp:effectExtent l="19050" t="0" r="0" b="0"/>
            <wp:docPr id="2" name="Picture 1" descr="leb-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b-5.gif"/>
                    <pic:cNvPicPr/>
                  </pic:nvPicPr>
                  <pic:blipFill>
                    <a:blip r:embed="rId17"/>
                    <a:stretch>
                      <a:fillRect/>
                    </a:stretch>
                  </pic:blipFill>
                  <pic:spPr>
                    <a:xfrm>
                      <a:off x="0" y="0"/>
                      <a:ext cx="4556760" cy="3261360"/>
                    </a:xfrm>
                    <a:prstGeom prst="rect">
                      <a:avLst/>
                    </a:prstGeom>
                  </pic:spPr>
                </pic:pic>
              </a:graphicData>
            </a:graphic>
          </wp:inline>
        </w:drawing>
      </w:r>
    </w:p>
    <w:p w:rsidR="008E7176" w:rsidRPr="002043D9" w:rsidRDefault="008E7176" w:rsidP="008E7176">
      <w:pPr>
        <w:pStyle w:val="Figurehead"/>
        <w:rPr>
          <w:b/>
        </w:rPr>
      </w:pPr>
      <w:r w:rsidRPr="002043D9">
        <w:rPr>
          <w:b/>
        </w:rPr>
        <w:t>Figure 2</w:t>
      </w:r>
      <w:r w:rsidRPr="002043D9">
        <w:rPr>
          <w:b/>
        </w:rPr>
        <w:tab/>
        <w:t>Spatial scales used in the LEB HEVAE trial</w:t>
      </w:r>
    </w:p>
    <w:p w:rsidR="003F357B" w:rsidRDefault="003F357B">
      <w:pPr>
        <w:rPr>
          <w:rFonts w:ascii="FranklinGothicLT-MediumItal" w:hAnsi="FranklinGothicLT-MediumItal" w:cs="FranklinGothicLT-MediumItal"/>
          <w:b/>
          <w:i/>
          <w:iCs/>
          <w:color w:val="000000"/>
          <w:sz w:val="20"/>
          <w:szCs w:val="20"/>
          <w:lang w:val="en-US" w:eastAsia="ja-JP"/>
        </w:rPr>
      </w:pPr>
      <w:r>
        <w:rPr>
          <w:b/>
        </w:rPr>
        <w:br w:type="page"/>
      </w:r>
    </w:p>
    <w:p w:rsidR="008E7176" w:rsidRPr="002043D9" w:rsidRDefault="008E7176" w:rsidP="008E7176">
      <w:pPr>
        <w:pStyle w:val="H4"/>
        <w:rPr>
          <w:b/>
        </w:rPr>
      </w:pPr>
      <w:r w:rsidRPr="002043D9">
        <w:rPr>
          <w:b/>
        </w:rPr>
        <w:lastRenderedPageBreak/>
        <w:t xml:space="preserve">a. Determine scale and </w:t>
      </w:r>
      <w:proofErr w:type="spellStart"/>
      <w:r w:rsidRPr="002043D9">
        <w:rPr>
          <w:b/>
        </w:rPr>
        <w:t>regionalisation</w:t>
      </w:r>
      <w:proofErr w:type="spellEnd"/>
    </w:p>
    <w:p w:rsidR="008E7176" w:rsidRDefault="008E7176" w:rsidP="008E7176">
      <w:pPr>
        <w:pStyle w:val="Body"/>
      </w:pPr>
      <w:r>
        <w:t xml:space="preserve">The LEB drainage division boundary was defined by the Australian Water Resources Council (AWRC) in the 1960s, and this boundary has been formally </w:t>
      </w:r>
      <w:proofErr w:type="spellStart"/>
      <w:r>
        <w:t>recognised</w:t>
      </w:r>
      <w:proofErr w:type="spellEnd"/>
      <w:r>
        <w:t xml:space="preserve"> in the LEB Agreement process. However, in 2005, </w:t>
      </w:r>
      <w:proofErr w:type="spellStart"/>
      <w:r>
        <w:t>Duguid</w:t>
      </w:r>
      <w:proofErr w:type="spellEnd"/>
      <w:r>
        <w:t xml:space="preserve"> et al. documented the need for a major boundary change associated with the catchment of the </w:t>
      </w:r>
      <w:proofErr w:type="spellStart"/>
      <w:r>
        <w:t>Karinga</w:t>
      </w:r>
      <w:proofErr w:type="spellEnd"/>
      <w:r>
        <w:t xml:space="preserve"> Creek and flow along the creek into the Finke River. Subsequently, </w:t>
      </w:r>
      <w:proofErr w:type="spellStart"/>
      <w:r>
        <w:t>Geoscience</w:t>
      </w:r>
      <w:proofErr w:type="spellEnd"/>
      <w:r>
        <w:t xml:space="preserve"> Australia has re-mapped major river basin and drainage division boundaries across Australia using a digital terrain model. This is part of a new Australian Hydrological Geospatial Fabric (</w:t>
      </w:r>
      <w:proofErr w:type="spellStart"/>
      <w:r>
        <w:t>Geofabric</w:t>
      </w:r>
      <w:proofErr w:type="spellEnd"/>
      <w:r>
        <w:t xml:space="preserve">). A near-final draft of the revised drainage division boundaries was obtained for use in the LEB HEVAE trial. Queensland, South Australia and NSW chose to use the old boundary because of its official status under the LEB Agreement, and because they had data already </w:t>
      </w:r>
      <w:proofErr w:type="spellStart"/>
      <w:r>
        <w:t>organised</w:t>
      </w:r>
      <w:proofErr w:type="spellEnd"/>
      <w:r>
        <w:t xml:space="preserve"> according to that boundary, while the Northern Territory chose to use the new boundary.</w:t>
      </w:r>
    </w:p>
    <w:p w:rsidR="008E7176" w:rsidRDefault="008E7176" w:rsidP="008E7176">
      <w:pPr>
        <w:pStyle w:val="Body"/>
      </w:pPr>
      <w:r>
        <w:t xml:space="preserve">Selection of an appropriate </w:t>
      </w:r>
      <w:proofErr w:type="spellStart"/>
      <w:r>
        <w:t>regionalisation</w:t>
      </w:r>
      <w:proofErr w:type="spellEnd"/>
      <w:r>
        <w:t xml:space="preserve"> for use at broader scales proved problematic, and three options were considered: river catchments, Interim </w:t>
      </w:r>
      <w:proofErr w:type="spellStart"/>
      <w:r>
        <w:t>Bioregionalisation</w:t>
      </w:r>
      <w:proofErr w:type="spellEnd"/>
      <w:r>
        <w:t xml:space="preserve"> of Australia (IBRA), and a </w:t>
      </w:r>
      <w:proofErr w:type="spellStart"/>
      <w:r>
        <w:t>regionalisation</w:t>
      </w:r>
      <w:proofErr w:type="spellEnd"/>
      <w:r>
        <w:t xml:space="preserve"> based on landscape form and function (a modified form of IBRA that accounted for the major hydro-geomorphic types and landscape processes occurring in the LEB).</w:t>
      </w:r>
    </w:p>
    <w:p w:rsidR="008E7176" w:rsidRDefault="008E7176" w:rsidP="008E7176">
      <w:pPr>
        <w:pStyle w:val="Body"/>
      </w:pPr>
      <w:r>
        <w:t xml:space="preserve">The project’s Technical Working Group (TWG) and Expert Reference Panel (ERP) (see </w:t>
      </w:r>
      <w:r>
        <w:rPr>
          <w:rStyle w:val="ital"/>
        </w:rPr>
        <w:t xml:space="preserve">Expert knowledge input </w:t>
      </w:r>
      <w:r>
        <w:t xml:space="preserve">(below) decided that more than one </w:t>
      </w:r>
      <w:proofErr w:type="spellStart"/>
      <w:r>
        <w:t>regionalisation</w:t>
      </w:r>
      <w:proofErr w:type="spellEnd"/>
      <w:r>
        <w:t xml:space="preserve"> scheme could be selected for application to different aspects of the HEVAE criteria. Two existing </w:t>
      </w:r>
      <w:proofErr w:type="spellStart"/>
      <w:r>
        <w:t>regionalisations</w:t>
      </w:r>
      <w:proofErr w:type="spellEnd"/>
      <w:r>
        <w:t xml:space="preserve"> (Figures 3a and b) were selected that had broad applicability to aquatic ecosystem attributes:</w:t>
      </w:r>
    </w:p>
    <w:p w:rsidR="008E7176" w:rsidRDefault="008E7176" w:rsidP="008E7176">
      <w:pPr>
        <w:pStyle w:val="bullets"/>
        <w:numPr>
          <w:ilvl w:val="0"/>
          <w:numId w:val="2"/>
        </w:numPr>
      </w:pPr>
      <w:r>
        <w:t xml:space="preserve">Aquatic based </w:t>
      </w:r>
      <w:proofErr w:type="spellStart"/>
      <w:r>
        <w:t>regionalisation</w:t>
      </w:r>
      <w:proofErr w:type="spellEnd"/>
      <w:r>
        <w:t xml:space="preserve">—Australian Surface Water Management Areas (SWMA) (with a further split in South Australia to Lake </w:t>
      </w:r>
      <w:proofErr w:type="spellStart"/>
      <w:r>
        <w:t>Frome</w:t>
      </w:r>
      <w:proofErr w:type="spellEnd"/>
      <w:r>
        <w:t xml:space="preserve"> and Western Rivers). SWMA provide a broad stratification on aquatic ecosystem characteristics and account for both longitudinal and lateral connectivity. They were used specifically for identification of endemic species at the sub-basin scale as well as for referencing diversity of aquatic ecosystems and species richness of fish.</w:t>
      </w:r>
    </w:p>
    <w:p w:rsidR="008E7176" w:rsidRDefault="008E7176" w:rsidP="008E7176">
      <w:pPr>
        <w:pStyle w:val="bulletlast"/>
        <w:numPr>
          <w:ilvl w:val="0"/>
          <w:numId w:val="2"/>
        </w:numPr>
      </w:pPr>
      <w:r>
        <w:t xml:space="preserve">Geomorphic and climate-based </w:t>
      </w:r>
      <w:proofErr w:type="spellStart"/>
      <w:r>
        <w:t>regionalisation</w:t>
      </w:r>
      <w:proofErr w:type="spellEnd"/>
      <w:r>
        <w:t xml:space="preserve">—Interim </w:t>
      </w:r>
      <w:proofErr w:type="spellStart"/>
      <w:r>
        <w:t>Bioregionalisation</w:t>
      </w:r>
      <w:proofErr w:type="spellEnd"/>
      <w:r>
        <w:t xml:space="preserve"> of Australia (IBRA) was selected for referencing attributes that are known to vary with climate and geomorphology across the basin (e.g. plant and amphibian species richness).</w:t>
      </w:r>
    </w:p>
    <w:p w:rsidR="008E7176" w:rsidRDefault="008E7176" w:rsidP="003F357B">
      <w:pPr>
        <w:pStyle w:val="Figurehead"/>
        <w:jc w:val="center"/>
      </w:pPr>
      <w:r>
        <w:rPr>
          <w:noProof/>
          <w:lang w:val="en-AU" w:eastAsia="en-AU"/>
        </w:rPr>
        <w:drawing>
          <wp:inline distT="0" distB="0" distL="0" distR="0">
            <wp:extent cx="2793923" cy="3248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97010" cy="3251614"/>
                    </a:xfrm>
                    <a:prstGeom prst="rect">
                      <a:avLst/>
                    </a:prstGeom>
                    <a:noFill/>
                    <a:ln>
                      <a:noFill/>
                    </a:ln>
                  </pic:spPr>
                </pic:pic>
              </a:graphicData>
            </a:graphic>
          </wp:inline>
        </w:drawing>
      </w:r>
    </w:p>
    <w:p w:rsidR="008E7176" w:rsidRPr="002043D9" w:rsidRDefault="008E7176" w:rsidP="008E7176">
      <w:pPr>
        <w:pStyle w:val="Figurehead"/>
        <w:rPr>
          <w:b/>
        </w:rPr>
      </w:pPr>
      <w:r w:rsidRPr="002043D9">
        <w:rPr>
          <w:b/>
        </w:rPr>
        <w:t xml:space="preserve">Figure </w:t>
      </w:r>
      <w:r w:rsidRPr="002043D9">
        <w:rPr>
          <w:rFonts w:ascii="FranklinGothicLT-Book" w:hAnsi="FranklinGothicLT-Book" w:cs="FranklinGothicLT-Book"/>
          <w:b/>
        </w:rPr>
        <w:t>3</w:t>
      </w:r>
      <w:r w:rsidRPr="002043D9">
        <w:rPr>
          <w:b/>
        </w:rPr>
        <w:t>a</w:t>
      </w:r>
      <w:r w:rsidRPr="002043D9">
        <w:rPr>
          <w:b/>
        </w:rPr>
        <w:tab/>
        <w:t>Surface Water Management Areas (SWMA) in the Lake Eyre Basin</w:t>
      </w:r>
      <w:r w:rsidRPr="002043D9">
        <w:rPr>
          <w:b/>
        </w:rPr>
        <w:tab/>
      </w:r>
    </w:p>
    <w:p w:rsidR="00207C41" w:rsidRDefault="00207C41" w:rsidP="003F357B">
      <w:pPr>
        <w:pStyle w:val="Figurehead"/>
        <w:jc w:val="center"/>
      </w:pPr>
      <w:r>
        <w:rPr>
          <w:noProof/>
          <w:lang w:val="en-AU" w:eastAsia="en-AU"/>
        </w:rPr>
        <w:lastRenderedPageBreak/>
        <w:drawing>
          <wp:inline distT="0" distB="0" distL="0" distR="0">
            <wp:extent cx="2876550" cy="3401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76550" cy="3401060"/>
                    </a:xfrm>
                    <a:prstGeom prst="rect">
                      <a:avLst/>
                    </a:prstGeom>
                    <a:noFill/>
                    <a:ln>
                      <a:noFill/>
                    </a:ln>
                  </pic:spPr>
                </pic:pic>
              </a:graphicData>
            </a:graphic>
          </wp:inline>
        </w:drawing>
      </w:r>
    </w:p>
    <w:p w:rsidR="008E7176" w:rsidRPr="002043D9" w:rsidRDefault="008E7176" w:rsidP="008E7176">
      <w:pPr>
        <w:pStyle w:val="Figurehead"/>
        <w:rPr>
          <w:b/>
        </w:rPr>
      </w:pPr>
      <w:r w:rsidRPr="002043D9">
        <w:rPr>
          <w:b/>
        </w:rPr>
        <w:t>Figure 3b</w:t>
      </w:r>
      <w:r w:rsidRPr="002043D9">
        <w:rPr>
          <w:b/>
        </w:rPr>
        <w:tab/>
        <w:t xml:space="preserve">Interim </w:t>
      </w:r>
      <w:proofErr w:type="spellStart"/>
      <w:r w:rsidRPr="002043D9">
        <w:rPr>
          <w:b/>
        </w:rPr>
        <w:t>Bioregionalisation</w:t>
      </w:r>
      <w:proofErr w:type="spellEnd"/>
      <w:r w:rsidRPr="002043D9">
        <w:rPr>
          <w:b/>
        </w:rPr>
        <w:t xml:space="preserve"> of Australia (IBRA) regions within the Lake Eyre Basin </w:t>
      </w:r>
    </w:p>
    <w:p w:rsidR="008E7176" w:rsidRPr="002043D9" w:rsidRDefault="008E7176" w:rsidP="008E7176">
      <w:pPr>
        <w:pStyle w:val="H4"/>
        <w:rPr>
          <w:b/>
        </w:rPr>
      </w:pPr>
      <w:r w:rsidRPr="002043D9">
        <w:rPr>
          <w:b/>
        </w:rPr>
        <w:t>b. Select spatial units</w:t>
      </w:r>
    </w:p>
    <w:p w:rsidR="008E7176" w:rsidRDefault="008E7176" w:rsidP="008E7176">
      <w:pPr>
        <w:pStyle w:val="Body"/>
      </w:pPr>
      <w:r>
        <w:t>A top-down catchment-based approach was used to identify HEVAE, by assigning data to assessment units rather than individual wetlands, waterholes or river reaches. This approach partially overcame the problem of sample bias and uneven distribution of data between aquatic ecosystems in the LEB. While the systematic description or delineation of important aquatic ecosystems within the assessment units was not possible, assessment units that had a high probability of containing one or more HEVAE could be identified. In some instances an assessment unit could also meet the HEVAE criteria because of the presence of more than one disconnected aquatic ecosystem.</w:t>
      </w:r>
    </w:p>
    <w:p w:rsidR="008E7176" w:rsidRDefault="008E7176" w:rsidP="008E7176">
      <w:pPr>
        <w:pStyle w:val="Body"/>
      </w:pPr>
      <w:r>
        <w:t>Two available datasets with delineations of catchments were investigated both based on digital elevation models (DEM):</w:t>
      </w:r>
    </w:p>
    <w:p w:rsidR="008E7176" w:rsidRDefault="008E7176" w:rsidP="00207C41">
      <w:pPr>
        <w:pStyle w:val="bullets"/>
        <w:numPr>
          <w:ilvl w:val="0"/>
          <w:numId w:val="3"/>
        </w:numPr>
      </w:pPr>
      <w:r>
        <w:t xml:space="preserve">the recently developed National Catchment Boundaries (NCB) nested catchments that are being beta tested by the Bureau of Meteorology for the </w:t>
      </w:r>
      <w:proofErr w:type="spellStart"/>
      <w:r>
        <w:t>Geofabric</w:t>
      </w:r>
      <w:proofErr w:type="spellEnd"/>
      <w:r>
        <w:t xml:space="preserve"> (based on the </w:t>
      </w:r>
      <w:proofErr w:type="spellStart"/>
      <w:r>
        <w:t>Pfafstetter</w:t>
      </w:r>
      <w:proofErr w:type="spellEnd"/>
      <w:r>
        <w:t xml:space="preserve"> technique)</w:t>
      </w:r>
    </w:p>
    <w:p w:rsidR="008E7176" w:rsidRDefault="008E7176" w:rsidP="00207C41">
      <w:pPr>
        <w:pStyle w:val="bulletlast"/>
        <w:numPr>
          <w:ilvl w:val="0"/>
          <w:numId w:val="3"/>
        </w:numPr>
      </w:pPr>
      <w:proofErr w:type="gramStart"/>
      <w:r>
        <w:t>the</w:t>
      </w:r>
      <w:proofErr w:type="gramEnd"/>
      <w:r>
        <w:t xml:space="preserve"> 500-square-kilometre nested catchments data set provided by the Australian Government Department of Sustainability, Environment, Water, Population and Communities (DSEWPaC).</w:t>
      </w:r>
    </w:p>
    <w:p w:rsidR="008E7176" w:rsidRDefault="008E7176" w:rsidP="008E7176">
      <w:pPr>
        <w:pStyle w:val="Body"/>
      </w:pPr>
      <w:r>
        <w:t>The NCB nested catchments were rejected as the variability in area of ‘catchments’ within any given level was considered too great for the LEB HEVAE trial, and there were instances where boundaries did not align with on-ground knowledge of the TWG members. As a consequence, the 500-square-kilometre nested catchments data set provided by DSEWPaC was selected as an appropriate scale for the assessment units. This resulted in approximately 1100 units across the LEB.</w:t>
      </w:r>
    </w:p>
    <w:p w:rsidR="008E7176" w:rsidRDefault="008E7176" w:rsidP="008E7176">
      <w:pPr>
        <w:pStyle w:val="Body"/>
      </w:pPr>
      <w:r>
        <w:t xml:space="preserve">Each jurisdiction further </w:t>
      </w:r>
      <w:proofErr w:type="spellStart"/>
      <w:r>
        <w:t>customised</w:t>
      </w:r>
      <w:proofErr w:type="spellEnd"/>
      <w:r>
        <w:t xml:space="preserve"> these catchments as necessary to balance objective boundaries derived from a DEM and ecologically meaningful units of an appropriate size. The process resulted in 1035 assessment units across the LEB ranging in size from 82 to 29 000 square </w:t>
      </w:r>
      <w:proofErr w:type="spellStart"/>
      <w:r>
        <w:t>kilometres</w:t>
      </w:r>
      <w:proofErr w:type="spellEnd"/>
      <w:r>
        <w:t xml:space="preserve">, with a median size of approximately 1000 square </w:t>
      </w:r>
      <w:proofErr w:type="spellStart"/>
      <w:r>
        <w:t>kilometres</w:t>
      </w:r>
      <w:proofErr w:type="spellEnd"/>
      <w:r>
        <w:t xml:space="preserve"> (Figure 4).</w:t>
      </w:r>
    </w:p>
    <w:p w:rsidR="008E7176" w:rsidRDefault="008E7176" w:rsidP="008E7176">
      <w:pPr>
        <w:pStyle w:val="Body"/>
        <w:rPr>
          <w:spacing w:val="-2"/>
        </w:rPr>
      </w:pPr>
      <w:proofErr w:type="gramStart"/>
      <w:r>
        <w:rPr>
          <w:spacing w:val="-2"/>
        </w:rPr>
        <w:t>To apply the attributes for criteria (see Step 4b), each assessment unit needed to be ascribed to a SWMA and IBRA region.</w:t>
      </w:r>
      <w:proofErr w:type="gramEnd"/>
      <w:r>
        <w:rPr>
          <w:spacing w:val="-2"/>
        </w:rPr>
        <w:t xml:space="preserve"> Overlaying of the boundaries of assessment units with each of the </w:t>
      </w:r>
      <w:proofErr w:type="spellStart"/>
      <w:r>
        <w:rPr>
          <w:spacing w:val="-2"/>
        </w:rPr>
        <w:lastRenderedPageBreak/>
        <w:t>regionalisations</w:t>
      </w:r>
      <w:proofErr w:type="spellEnd"/>
      <w:r>
        <w:rPr>
          <w:spacing w:val="-2"/>
        </w:rPr>
        <w:t xml:space="preserve"> indicated that a large number of assessment units spanned a regional boundary. To address this, a ‘50 percent’ rule was applied whereby the assessment units were ascribed to the region in which more than 50 percent of its area lay.</w:t>
      </w:r>
    </w:p>
    <w:p w:rsidR="008E7176" w:rsidRDefault="008E7176" w:rsidP="008E7176">
      <w:pPr>
        <w:pStyle w:val="Body"/>
        <w:rPr>
          <w:sz w:val="22"/>
          <w:szCs w:val="22"/>
        </w:rPr>
      </w:pPr>
      <w:r>
        <w:t>The intersection of the drainage division with the IBRA regions resulted in an imperfect fit, and a number of IBRA regions were dissected by the drainage division boundary. There were several small areas of IBRA regions that lay predominantly outside the LEB, which contained too few assessment units (less than three) for meaningful, referential evaluations to be made. As a consequence, assessment units in these small, partial IBRA regions were subsumed into adjoining IBRA regions for the purpose of referential evaluations.</w:t>
      </w:r>
    </w:p>
    <w:p w:rsidR="00207C41" w:rsidRDefault="003F357B" w:rsidP="003F357B">
      <w:pPr>
        <w:pStyle w:val="Figurehead"/>
        <w:jc w:val="center"/>
      </w:pPr>
      <w:r w:rsidRPr="003F357B">
        <w:rPr>
          <w:noProof/>
          <w:lang w:val="en-AU" w:eastAsia="en-AU"/>
        </w:rPr>
        <w:drawing>
          <wp:inline distT="0" distB="0" distL="0" distR="0">
            <wp:extent cx="3576570" cy="3514725"/>
            <wp:effectExtent l="19050" t="19050" r="23880" b="28575"/>
            <wp:docPr id="32" name="Picture 7" descr="cat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t500"/>
                    <pic:cNvPicPr>
                      <a:picLocks noChangeAspect="1" noChangeArrowheads="1"/>
                    </pic:cNvPicPr>
                  </pic:nvPicPr>
                  <pic:blipFill>
                    <a:blip r:embed="rId20" cstate="email"/>
                    <a:srcRect/>
                    <a:stretch>
                      <a:fillRect/>
                    </a:stretch>
                  </pic:blipFill>
                  <pic:spPr bwMode="auto">
                    <a:xfrm>
                      <a:off x="0" y="0"/>
                      <a:ext cx="3576570" cy="3514725"/>
                    </a:xfrm>
                    <a:prstGeom prst="rect">
                      <a:avLst/>
                    </a:prstGeom>
                    <a:noFill/>
                    <a:ln w="2540">
                      <a:solidFill>
                        <a:schemeClr val="tx1"/>
                      </a:solidFill>
                      <a:miter lim="800000"/>
                      <a:headEnd/>
                      <a:tailEnd/>
                    </a:ln>
                  </pic:spPr>
                </pic:pic>
              </a:graphicData>
            </a:graphic>
          </wp:inline>
        </w:drawing>
      </w:r>
    </w:p>
    <w:p w:rsidR="008E7176" w:rsidRPr="002043D9" w:rsidRDefault="008E7176" w:rsidP="008E7176">
      <w:pPr>
        <w:pStyle w:val="Figurehead"/>
        <w:rPr>
          <w:rFonts w:ascii="FranklinGothicLT-Book" w:hAnsi="FranklinGothicLT-Book" w:cs="FranklinGothicLT-Book"/>
          <w:b/>
        </w:rPr>
      </w:pPr>
      <w:r w:rsidRPr="002043D9">
        <w:rPr>
          <w:b/>
        </w:rPr>
        <w:t>Figure 4</w:t>
      </w:r>
      <w:r w:rsidRPr="002043D9">
        <w:rPr>
          <w:b/>
        </w:rPr>
        <w:tab/>
        <w:t>Assessment units in the LEB using the 500-square-kilometre nested catchments data se</w:t>
      </w:r>
      <w:r w:rsidRPr="002043D9">
        <w:rPr>
          <w:rFonts w:ascii="FranklinGothicLT-Book" w:hAnsi="FranklinGothicLT-Book" w:cs="FranklinGothicLT-Book"/>
          <w:b/>
        </w:rPr>
        <w:t>t</w:t>
      </w:r>
    </w:p>
    <w:p w:rsidR="008E7176" w:rsidRPr="002043D9" w:rsidRDefault="008E7176" w:rsidP="008E7176">
      <w:pPr>
        <w:pStyle w:val="H5"/>
        <w:rPr>
          <w:b/>
        </w:rPr>
      </w:pPr>
      <w:r w:rsidRPr="002043D9">
        <w:rPr>
          <w:b/>
        </w:rPr>
        <w:t>Expert knowledge input</w:t>
      </w:r>
    </w:p>
    <w:p w:rsidR="008E7176" w:rsidRDefault="008E7176" w:rsidP="008E7176">
      <w:pPr>
        <w:pStyle w:val="Body"/>
      </w:pPr>
      <w:r>
        <w:t xml:space="preserve">The Technical Working Group (TWG) comprising representatives from the NSW, Northern Territory, South Australia, Queensland and Australian governments was established to conduct the HEVAE trials. The TWG worked in collaboration with scientific experts from government and research </w:t>
      </w:r>
      <w:proofErr w:type="spellStart"/>
      <w:r>
        <w:t>organisations</w:t>
      </w:r>
      <w:proofErr w:type="spellEnd"/>
      <w:r>
        <w:t xml:space="preserve"> (the Expert Reference Panel).</w:t>
      </w:r>
    </w:p>
    <w:p w:rsidR="008E7176" w:rsidRDefault="008E7176" w:rsidP="008E7176">
      <w:pPr>
        <w:pStyle w:val="Body"/>
      </w:pPr>
      <w:r>
        <w:t xml:space="preserve">The Expert Reference Panel (ERP) was assembled for both the HEVAE identification and delineation trials. The ERP comprised of scientists with expertise in a range of relevant fields (including hydrology, geomorphology, fish, </w:t>
      </w:r>
      <w:proofErr w:type="spellStart"/>
      <w:r>
        <w:t>waterbirds</w:t>
      </w:r>
      <w:proofErr w:type="spellEnd"/>
      <w:r>
        <w:t xml:space="preserve">, vegetation, </w:t>
      </w:r>
      <w:proofErr w:type="spellStart"/>
      <w:proofErr w:type="gramStart"/>
      <w:r>
        <w:t>macroinvertebrates</w:t>
      </w:r>
      <w:proofErr w:type="spellEnd"/>
      <w:proofErr w:type="gramEnd"/>
      <w:r>
        <w:t>) and local knowledge and experience in the LEB. The ERP met with the TWG twice during the HEVAE identification trial and once during the delineation trial, and also contributed expert knowledge out of session.</w:t>
      </w:r>
    </w:p>
    <w:p w:rsidR="008E7176" w:rsidRDefault="008E7176" w:rsidP="008E7176">
      <w:pPr>
        <w:pStyle w:val="Body"/>
      </w:pPr>
      <w:r>
        <w:t>The ERP’s role in the identification of potential HEVAE was to:</w:t>
      </w:r>
    </w:p>
    <w:p w:rsidR="008E7176" w:rsidRDefault="008E7176" w:rsidP="00207C41">
      <w:pPr>
        <w:pStyle w:val="bullets"/>
        <w:numPr>
          <w:ilvl w:val="0"/>
          <w:numId w:val="4"/>
        </w:numPr>
      </w:pPr>
      <w:r>
        <w:t>provide advice on decisions made regarding the method</w:t>
      </w:r>
    </w:p>
    <w:p w:rsidR="008E7176" w:rsidRDefault="008E7176" w:rsidP="00207C41">
      <w:pPr>
        <w:pStyle w:val="bulletlast"/>
        <w:numPr>
          <w:ilvl w:val="0"/>
          <w:numId w:val="4"/>
        </w:numPr>
        <w:rPr>
          <w:spacing w:val="-2"/>
        </w:rPr>
      </w:pPr>
      <w:proofErr w:type="gramStart"/>
      <w:r>
        <w:rPr>
          <w:spacing w:val="-2"/>
        </w:rPr>
        <w:t>augment</w:t>
      </w:r>
      <w:proofErr w:type="gramEnd"/>
      <w:r>
        <w:rPr>
          <w:spacing w:val="-2"/>
        </w:rPr>
        <w:t xml:space="preserve"> the application of attributes and criteria for the identification of HEVAE, and provide advice on the data and knowledge to delineate HEVAE by the input of expert opinion.</w:t>
      </w:r>
    </w:p>
    <w:sectPr w:rsidR="008E7176" w:rsidSect="000E086A">
      <w:footerReference w:type="default" r:id="rId21"/>
      <w:pgSz w:w="11906" w:h="16838"/>
      <w:pgMar w:top="1440" w:right="1440" w:bottom="1440" w:left="1440" w:header="720" w:footer="720" w:gutter="0"/>
      <w:pgNumType w:start="2"/>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431B" w:rsidRDefault="00CF431B" w:rsidP="00E53ABC">
      <w:r>
        <w:separator/>
      </w:r>
    </w:p>
  </w:endnote>
  <w:endnote w:type="continuationSeparator" w:id="0">
    <w:p w:rsidR="00CF431B" w:rsidRDefault="00CF431B" w:rsidP="00E53AB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charset w:val="4E"/>
    <w:family w:val="auto"/>
    <w:pitch w:val="variable"/>
    <w:sig w:usb0="00000000"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VAGRoundedLT-Bold">
    <w:altName w:val="VAGRounded LT Bold"/>
    <w:panose1 w:val="00000000000000000000"/>
    <w:charset w:val="4D"/>
    <w:family w:val="auto"/>
    <w:notTrueType/>
    <w:pitch w:val="default"/>
    <w:sig w:usb0="00000003" w:usb1="00000000" w:usb2="00000000" w:usb3="00000000" w:csb0="00000001" w:csb1="00000000"/>
  </w:font>
  <w:font w:name="FranklinGothicLT-Book">
    <w:altName w:val="ITCFranklinGothic LT Book"/>
    <w:panose1 w:val="00000000000000000000"/>
    <w:charset w:val="4D"/>
    <w:family w:val="auto"/>
    <w:notTrueType/>
    <w:pitch w:val="default"/>
    <w:sig w:usb0="00000003" w:usb1="00000000" w:usb2="00000000" w:usb3="00000000" w:csb0="00000001" w:csb1="00000000"/>
  </w:font>
  <w:font w:name="FranklinGothicLT-Medium">
    <w:altName w:val="ITCFranklinGothic LT Med"/>
    <w:panose1 w:val="00000000000000000000"/>
    <w:charset w:val="4D"/>
    <w:family w:val="auto"/>
    <w:notTrueType/>
    <w:pitch w:val="default"/>
    <w:sig w:usb0="00000003" w:usb1="00000000" w:usb2="00000000" w:usb3="00000000" w:csb0="00000001" w:csb1="00000000"/>
  </w:font>
  <w:font w:name="FranklinGothicLT-MediumItal">
    <w:altName w:val="ITCFranklinGothic LT MedIt"/>
    <w:panose1 w:val="00000000000000000000"/>
    <w:charset w:val="4D"/>
    <w:family w:val="auto"/>
    <w:notTrueType/>
    <w:pitch w:val="default"/>
    <w:sig w:usb0="00000003" w:usb1="00000000" w:usb2="00000000" w:usb3="00000000" w:csb0="00000001" w:csb1="00000000"/>
  </w:font>
  <w:font w:name="VAGRoundedLT-Thin">
    <w:altName w:val="VAGRounded LT Thin"/>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86A" w:rsidRDefault="000E086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315973"/>
      <w:docPartObj>
        <w:docPartGallery w:val="Page Numbers (Bottom of Page)"/>
        <w:docPartUnique/>
      </w:docPartObj>
    </w:sdtPr>
    <w:sdtContent>
      <w:p w:rsidR="00CF431B" w:rsidRDefault="00AB32C0">
        <w:pPr>
          <w:pStyle w:val="Footer"/>
          <w:jc w:val="center"/>
        </w:pPr>
        <w:fldSimple w:instr=" PAGE   \* MERGEFORMAT ">
          <w:r w:rsidR="00F74533">
            <w:rPr>
              <w:noProof/>
            </w:rPr>
            <w:t>ii</w:t>
          </w:r>
        </w:fldSimple>
      </w:p>
    </w:sdtContent>
  </w:sdt>
  <w:p w:rsidR="00CF431B" w:rsidRDefault="00CF431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86A" w:rsidRDefault="000E086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84767"/>
      <w:docPartObj>
        <w:docPartGallery w:val="Page Numbers (Bottom of Page)"/>
        <w:docPartUnique/>
      </w:docPartObj>
    </w:sdtPr>
    <w:sdtContent>
      <w:p w:rsidR="0042420F" w:rsidRDefault="00AB32C0">
        <w:pPr>
          <w:pStyle w:val="Footer"/>
          <w:jc w:val="center"/>
        </w:pPr>
        <w:fldSimple w:instr=" PAGE   \* MERGEFORMAT ">
          <w:r w:rsidR="00F74533">
            <w:rPr>
              <w:noProof/>
            </w:rPr>
            <w:t>5</w:t>
          </w:r>
        </w:fldSimple>
      </w:p>
    </w:sdtContent>
  </w:sdt>
  <w:p w:rsidR="0042420F" w:rsidRDefault="0042420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431B" w:rsidRDefault="00CF431B" w:rsidP="00E53ABC">
      <w:r>
        <w:separator/>
      </w:r>
    </w:p>
  </w:footnote>
  <w:footnote w:type="continuationSeparator" w:id="0">
    <w:p w:rsidR="00CF431B" w:rsidRDefault="00CF431B" w:rsidP="00E53ABC">
      <w:r>
        <w:continuationSeparator/>
      </w:r>
    </w:p>
  </w:footnote>
  <w:footnote w:id="1">
    <w:p w:rsidR="00CF431B" w:rsidRDefault="00CF431B">
      <w:pPr>
        <w:pStyle w:val="FootnoteText"/>
      </w:pPr>
      <w:r>
        <w:rPr>
          <w:rStyle w:val="FootnoteReference"/>
        </w:rPr>
        <w:footnoteRef/>
      </w:r>
      <w:r>
        <w:t xml:space="preserve"> </w:t>
      </w:r>
      <w:proofErr w:type="gramStart"/>
      <w:r w:rsidRPr="003F357B">
        <w:rPr>
          <w:rFonts w:asciiTheme="majorHAnsi" w:hAnsiTheme="majorHAnsi" w:cstheme="majorHAnsi"/>
        </w:rPr>
        <w:t>The National Committee on Soil and Terrain (2009).</w:t>
      </w:r>
      <w:proofErr w:type="gramEnd"/>
      <w:r w:rsidRPr="003F357B">
        <w:rPr>
          <w:rFonts w:asciiTheme="majorHAnsi" w:hAnsiTheme="majorHAnsi" w:cstheme="majorHAnsi"/>
        </w:rPr>
        <w:t xml:space="preserve"> </w:t>
      </w:r>
      <w:proofErr w:type="gramStart"/>
      <w:r w:rsidRPr="003F357B">
        <w:rPr>
          <w:rFonts w:asciiTheme="majorHAnsi" w:hAnsiTheme="majorHAnsi" w:cstheme="majorHAnsi"/>
        </w:rPr>
        <w:t>Australian Soil and Land Survey Field Handbook, Third Edition, CSIRO Land and Water, Canberra</w:t>
      </w:r>
      <w:r>
        <w:t>.</w:t>
      </w:r>
      <w:proofErr w:type="gramEnd"/>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86A" w:rsidRDefault="000E086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86A" w:rsidRDefault="000E086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86A" w:rsidRDefault="000E086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2A0826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B915E52"/>
    <w:multiLevelType w:val="hybridMultilevel"/>
    <w:tmpl w:val="66924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757EA4"/>
    <w:multiLevelType w:val="hybridMultilevel"/>
    <w:tmpl w:val="589E3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253406"/>
    <w:multiLevelType w:val="hybridMultilevel"/>
    <w:tmpl w:val="0A1C1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1072CE"/>
    <w:multiLevelType w:val="hybridMultilevel"/>
    <w:tmpl w:val="539AA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0645F2B"/>
    <w:multiLevelType w:val="hybridMultilevel"/>
    <w:tmpl w:val="6C66F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6BD4E44"/>
    <w:multiLevelType w:val="hybridMultilevel"/>
    <w:tmpl w:val="AC104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76E5AC5"/>
    <w:multiLevelType w:val="hybridMultilevel"/>
    <w:tmpl w:val="EEF03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7C355E"/>
    <w:multiLevelType w:val="hybridMultilevel"/>
    <w:tmpl w:val="3EDAB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CAC00FA"/>
    <w:multiLevelType w:val="hybridMultilevel"/>
    <w:tmpl w:val="5F4EC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A0F1AFE"/>
    <w:multiLevelType w:val="hybridMultilevel"/>
    <w:tmpl w:val="7AA6C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833C64"/>
    <w:multiLevelType w:val="hybridMultilevel"/>
    <w:tmpl w:val="1F507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16C7948"/>
    <w:multiLevelType w:val="hybridMultilevel"/>
    <w:tmpl w:val="03BA3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2E22B27"/>
    <w:multiLevelType w:val="hybridMultilevel"/>
    <w:tmpl w:val="41F22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3013FB3"/>
    <w:multiLevelType w:val="hybridMultilevel"/>
    <w:tmpl w:val="F3AA5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5453B76"/>
    <w:multiLevelType w:val="hybridMultilevel"/>
    <w:tmpl w:val="9D94C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F96A88"/>
    <w:multiLevelType w:val="hybridMultilevel"/>
    <w:tmpl w:val="68586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CBB5569"/>
    <w:multiLevelType w:val="hybridMultilevel"/>
    <w:tmpl w:val="D442A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F7915DF"/>
    <w:multiLevelType w:val="hybridMultilevel"/>
    <w:tmpl w:val="6D60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3"/>
  </w:num>
  <w:num w:numId="4">
    <w:abstractNumId w:val="15"/>
  </w:num>
  <w:num w:numId="5">
    <w:abstractNumId w:val="5"/>
  </w:num>
  <w:num w:numId="6">
    <w:abstractNumId w:val="9"/>
  </w:num>
  <w:num w:numId="7">
    <w:abstractNumId w:val="12"/>
  </w:num>
  <w:num w:numId="8">
    <w:abstractNumId w:val="16"/>
  </w:num>
  <w:num w:numId="9">
    <w:abstractNumId w:val="7"/>
  </w:num>
  <w:num w:numId="10">
    <w:abstractNumId w:val="8"/>
  </w:num>
  <w:num w:numId="11">
    <w:abstractNumId w:val="6"/>
  </w:num>
  <w:num w:numId="12">
    <w:abstractNumId w:val="14"/>
  </w:num>
  <w:num w:numId="13">
    <w:abstractNumId w:val="18"/>
  </w:num>
  <w:num w:numId="14">
    <w:abstractNumId w:val="1"/>
  </w:num>
  <w:num w:numId="15">
    <w:abstractNumId w:val="13"/>
  </w:num>
  <w:num w:numId="16">
    <w:abstractNumId w:val="11"/>
  </w:num>
  <w:num w:numId="17">
    <w:abstractNumId w:val="2"/>
  </w:num>
  <w:num w:numId="18">
    <w:abstractNumId w:val="0"/>
  </w:num>
  <w:num w:numId="1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16385"/>
  </w:hdrShapeDefaults>
  <w:footnotePr>
    <w:footnote w:id="-1"/>
    <w:footnote w:id="0"/>
  </w:footnotePr>
  <w:endnotePr>
    <w:endnote w:id="-1"/>
    <w:endnote w:id="0"/>
  </w:endnotePr>
  <w:compat>
    <w:useFELayout/>
  </w:compat>
  <w:rsids>
    <w:rsidRoot w:val="008E7176"/>
    <w:rsid w:val="00080190"/>
    <w:rsid w:val="00091421"/>
    <w:rsid w:val="000A2F58"/>
    <w:rsid w:val="000A7068"/>
    <w:rsid w:val="000B6F42"/>
    <w:rsid w:val="000D09A0"/>
    <w:rsid w:val="000E086A"/>
    <w:rsid w:val="00111BEA"/>
    <w:rsid w:val="00181E81"/>
    <w:rsid w:val="001C62EC"/>
    <w:rsid w:val="001D2326"/>
    <w:rsid w:val="002043D9"/>
    <w:rsid w:val="00207C41"/>
    <w:rsid w:val="00265926"/>
    <w:rsid w:val="00313C87"/>
    <w:rsid w:val="00372E42"/>
    <w:rsid w:val="00397841"/>
    <w:rsid w:val="003F0CFE"/>
    <w:rsid w:val="003F357B"/>
    <w:rsid w:val="003F4244"/>
    <w:rsid w:val="0042420F"/>
    <w:rsid w:val="004F0432"/>
    <w:rsid w:val="0059451A"/>
    <w:rsid w:val="005B19E0"/>
    <w:rsid w:val="005E28E0"/>
    <w:rsid w:val="005E43CA"/>
    <w:rsid w:val="007755A1"/>
    <w:rsid w:val="008230C1"/>
    <w:rsid w:val="008B4BE8"/>
    <w:rsid w:val="008E1D11"/>
    <w:rsid w:val="008E7176"/>
    <w:rsid w:val="00950C08"/>
    <w:rsid w:val="00966D48"/>
    <w:rsid w:val="00976224"/>
    <w:rsid w:val="00A154A7"/>
    <w:rsid w:val="00A40562"/>
    <w:rsid w:val="00A836A2"/>
    <w:rsid w:val="00AB32C0"/>
    <w:rsid w:val="00AE04FD"/>
    <w:rsid w:val="00B01E9D"/>
    <w:rsid w:val="00B262C3"/>
    <w:rsid w:val="00B503FE"/>
    <w:rsid w:val="00C22D70"/>
    <w:rsid w:val="00C445C8"/>
    <w:rsid w:val="00C47E40"/>
    <w:rsid w:val="00C9112E"/>
    <w:rsid w:val="00CD4C0A"/>
    <w:rsid w:val="00CD5AB3"/>
    <w:rsid w:val="00CF431B"/>
    <w:rsid w:val="00CF6919"/>
    <w:rsid w:val="00D23F29"/>
    <w:rsid w:val="00D8697F"/>
    <w:rsid w:val="00DF5887"/>
    <w:rsid w:val="00E53ABC"/>
    <w:rsid w:val="00E83DB3"/>
    <w:rsid w:val="00E90CF9"/>
    <w:rsid w:val="00EE1AAE"/>
    <w:rsid w:val="00F20662"/>
    <w:rsid w:val="00F6754D"/>
    <w:rsid w:val="00F74533"/>
  </w:rsids>
  <m:mathPr>
    <m:mathFont m:val="Cambria Math"/>
    <m:brkBin m:val="before"/>
    <m:brkBinSub m:val="--"/>
    <m:smallFrac m:val="off"/>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562"/>
    <w:rPr>
      <w:lang w:eastAsia="en-US"/>
    </w:rPr>
  </w:style>
  <w:style w:type="paragraph" w:styleId="Heading1">
    <w:name w:val="heading 1"/>
    <w:basedOn w:val="Normal"/>
    <w:next w:val="Normal"/>
    <w:link w:val="Heading1Char"/>
    <w:uiPriority w:val="9"/>
    <w:qFormat/>
    <w:rsid w:val="00111BEA"/>
    <w:pPr>
      <w:keepNext/>
      <w:keepLines/>
      <w:spacing w:before="120" w:after="240"/>
      <w:outlineLvl w:val="0"/>
    </w:pPr>
    <w:rPr>
      <w:rFonts w:ascii="Arial" w:eastAsiaTheme="majorEastAsia" w:hAnsi="Arial" w:cstheme="majorBidi"/>
      <w:b/>
      <w:bCs/>
      <w:color w:val="948A54" w:themeColor="background2" w:themeShade="80"/>
      <w:sz w:val="42"/>
      <w:szCs w:val="28"/>
    </w:rPr>
  </w:style>
  <w:style w:type="paragraph" w:styleId="Heading2">
    <w:name w:val="heading 2"/>
    <w:basedOn w:val="Normal"/>
    <w:next w:val="Normal"/>
    <w:link w:val="Heading2Char"/>
    <w:uiPriority w:val="9"/>
    <w:unhideWhenUsed/>
    <w:qFormat/>
    <w:rsid w:val="00111BEA"/>
    <w:pPr>
      <w:keepNext/>
      <w:keepLines/>
      <w:spacing w:before="240" w:after="120"/>
      <w:outlineLvl w:val="1"/>
    </w:pPr>
    <w:rPr>
      <w:rFonts w:ascii="Arial" w:eastAsiaTheme="majorEastAsia" w:hAnsi="Arial" w:cstheme="majorBidi"/>
      <w:b/>
      <w:bCs/>
      <w:color w:val="948A54" w:themeColor="background2" w:themeShade="80"/>
      <w:sz w:val="28"/>
      <w:szCs w:val="26"/>
    </w:rPr>
  </w:style>
  <w:style w:type="paragraph" w:styleId="Heading3">
    <w:name w:val="heading 3"/>
    <w:basedOn w:val="Normal"/>
    <w:next w:val="Normal"/>
    <w:link w:val="Heading3Char"/>
    <w:uiPriority w:val="9"/>
    <w:unhideWhenUsed/>
    <w:qFormat/>
    <w:rsid w:val="00111BEA"/>
    <w:pPr>
      <w:keepNext/>
      <w:keepLines/>
      <w:spacing w:before="200"/>
      <w:outlineLvl w:val="2"/>
    </w:pPr>
    <w:rPr>
      <w:rFonts w:ascii="Arial" w:eastAsiaTheme="majorEastAsia" w:hAnsi="Arial" w:cstheme="majorBidi"/>
      <w:b/>
      <w:bCs/>
      <w:color w:val="948A54" w:themeColor="background2" w:themeShade="8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BE5E2A"/>
    <w:rPr>
      <w:rFonts w:ascii="Lucida Grande" w:hAnsi="Lucida Grande"/>
      <w:sz w:val="18"/>
      <w:szCs w:val="18"/>
    </w:rPr>
  </w:style>
  <w:style w:type="paragraph" w:customStyle="1" w:styleId="BasicParagraph">
    <w:name w:val="[Basic Paragraph]"/>
    <w:basedOn w:val="Normal"/>
    <w:uiPriority w:val="99"/>
    <w:rsid w:val="008E7176"/>
    <w:pPr>
      <w:widowControl w:val="0"/>
      <w:autoSpaceDE w:val="0"/>
      <w:autoSpaceDN w:val="0"/>
      <w:adjustRightInd w:val="0"/>
      <w:spacing w:line="288" w:lineRule="auto"/>
      <w:textAlignment w:val="center"/>
    </w:pPr>
    <w:rPr>
      <w:rFonts w:ascii="MinionPro-Regular" w:hAnsi="MinionPro-Regular" w:cs="MinionPro-Regular"/>
      <w:color w:val="000000"/>
      <w:lang w:val="en-GB" w:eastAsia="ja-JP"/>
    </w:rPr>
  </w:style>
  <w:style w:type="paragraph" w:customStyle="1" w:styleId="H3">
    <w:name w:val="H3"/>
    <w:basedOn w:val="Normal"/>
    <w:uiPriority w:val="99"/>
    <w:rsid w:val="008E7176"/>
    <w:pPr>
      <w:widowControl w:val="0"/>
      <w:tabs>
        <w:tab w:val="left" w:pos="680"/>
      </w:tabs>
      <w:suppressAutoHyphens/>
      <w:autoSpaceDE w:val="0"/>
      <w:autoSpaceDN w:val="0"/>
      <w:adjustRightInd w:val="0"/>
      <w:spacing w:before="170" w:after="57" w:line="260" w:lineRule="atLeast"/>
      <w:ind w:left="680" w:hanging="680"/>
      <w:textAlignment w:val="center"/>
    </w:pPr>
    <w:rPr>
      <w:rFonts w:ascii="VAGRoundedLT-Bold" w:hAnsi="VAGRoundedLT-Bold" w:cs="VAGRoundedLT-Bold"/>
      <w:b/>
      <w:bCs/>
      <w:color w:val="9EA274"/>
      <w:sz w:val="20"/>
      <w:szCs w:val="20"/>
      <w:lang w:val="en-US" w:eastAsia="ja-JP"/>
    </w:rPr>
  </w:style>
  <w:style w:type="paragraph" w:customStyle="1" w:styleId="byline">
    <w:name w:val="byline"/>
    <w:basedOn w:val="Normal"/>
    <w:uiPriority w:val="99"/>
    <w:rsid w:val="008E7176"/>
    <w:pPr>
      <w:widowControl w:val="0"/>
      <w:tabs>
        <w:tab w:val="left" w:pos="680"/>
      </w:tabs>
      <w:suppressAutoHyphens/>
      <w:autoSpaceDE w:val="0"/>
      <w:autoSpaceDN w:val="0"/>
      <w:adjustRightInd w:val="0"/>
      <w:spacing w:before="170" w:after="57" w:line="260" w:lineRule="atLeast"/>
      <w:ind w:left="680" w:hanging="680"/>
      <w:jc w:val="right"/>
      <w:textAlignment w:val="center"/>
    </w:pPr>
    <w:rPr>
      <w:rFonts w:ascii="VAGRoundedLT-Bold" w:hAnsi="VAGRoundedLT-Bold" w:cs="VAGRoundedLT-Bold"/>
      <w:b/>
      <w:bCs/>
      <w:color w:val="FFFFFF"/>
      <w:lang w:val="en-US" w:eastAsia="ja-JP"/>
    </w:rPr>
  </w:style>
  <w:style w:type="paragraph" w:customStyle="1" w:styleId="Verso">
    <w:name w:val="Verso"/>
    <w:basedOn w:val="Normal"/>
    <w:uiPriority w:val="99"/>
    <w:rsid w:val="008E7176"/>
    <w:pPr>
      <w:widowControl w:val="0"/>
      <w:suppressAutoHyphens/>
      <w:autoSpaceDE w:val="0"/>
      <w:autoSpaceDN w:val="0"/>
      <w:adjustRightInd w:val="0"/>
      <w:spacing w:after="57" w:line="240" w:lineRule="atLeast"/>
      <w:textAlignment w:val="center"/>
    </w:pPr>
    <w:rPr>
      <w:rFonts w:ascii="FranklinGothicLT-Book" w:hAnsi="FranklinGothicLT-Book" w:cs="FranklinGothicLT-Book"/>
      <w:color w:val="000000"/>
      <w:sz w:val="18"/>
      <w:szCs w:val="18"/>
      <w:lang w:val="en-US" w:eastAsia="ja-JP"/>
    </w:rPr>
  </w:style>
  <w:style w:type="character" w:customStyle="1" w:styleId="Medium">
    <w:name w:val="Medium"/>
    <w:uiPriority w:val="99"/>
    <w:rsid w:val="008E7176"/>
  </w:style>
  <w:style w:type="character" w:customStyle="1" w:styleId="InstructionText">
    <w:name w:val="Instruction Text"/>
    <w:uiPriority w:val="99"/>
    <w:rsid w:val="008E7176"/>
    <w:rPr>
      <w:i/>
      <w:iCs/>
      <w:color w:val="0070C0"/>
      <w:w w:val="100"/>
    </w:rPr>
  </w:style>
  <w:style w:type="character" w:customStyle="1" w:styleId="ital">
    <w:name w:val="ital"/>
    <w:uiPriority w:val="99"/>
    <w:rsid w:val="008E7176"/>
    <w:rPr>
      <w:i/>
      <w:iCs/>
    </w:rPr>
  </w:style>
  <w:style w:type="character" w:styleId="Hyperlink">
    <w:name w:val="Hyperlink"/>
    <w:basedOn w:val="DefaultParagraphFont"/>
    <w:uiPriority w:val="99"/>
    <w:rsid w:val="008E7176"/>
    <w:rPr>
      <w:color w:val="00467E"/>
      <w:w w:val="100"/>
      <w:u w:val="none" w:color="9EA274"/>
    </w:rPr>
  </w:style>
  <w:style w:type="paragraph" w:customStyle="1" w:styleId="Body">
    <w:name w:val="Body"/>
    <w:basedOn w:val="NoParagraphStyle"/>
    <w:uiPriority w:val="99"/>
    <w:rsid w:val="008E7176"/>
    <w:pPr>
      <w:suppressAutoHyphens/>
      <w:spacing w:after="170" w:line="260" w:lineRule="atLeast"/>
    </w:pPr>
    <w:rPr>
      <w:rFonts w:ascii="FranklinGothicLT-Book" w:hAnsi="FranklinGothicLT-Book" w:cs="FranklinGothicLT-Book"/>
      <w:sz w:val="20"/>
      <w:szCs w:val="20"/>
      <w:lang w:val="en-US"/>
    </w:rPr>
  </w:style>
  <w:style w:type="paragraph" w:customStyle="1" w:styleId="NoParagraphStyle">
    <w:name w:val="[No Paragraph Style]"/>
    <w:rsid w:val="008E717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H1">
    <w:name w:val="H1"/>
    <w:basedOn w:val="NoParagraphStyle"/>
    <w:uiPriority w:val="99"/>
    <w:rsid w:val="008E7176"/>
    <w:pPr>
      <w:tabs>
        <w:tab w:val="left" w:pos="567"/>
      </w:tabs>
      <w:suppressAutoHyphens/>
      <w:spacing w:after="227" w:line="480" w:lineRule="atLeast"/>
      <w:ind w:left="567" w:hanging="567"/>
    </w:pPr>
    <w:rPr>
      <w:rFonts w:ascii="VAGRoundedLT-Bold" w:hAnsi="VAGRoundedLT-Bold" w:cs="VAGRoundedLT-Bold"/>
      <w:b/>
      <w:bCs/>
      <w:color w:val="9EA274"/>
      <w:sz w:val="40"/>
      <w:szCs w:val="40"/>
      <w:lang w:val="en-US"/>
    </w:rPr>
  </w:style>
  <w:style w:type="paragraph" w:customStyle="1" w:styleId="TOC1">
    <w:name w:val="TOC1"/>
    <w:basedOn w:val="Body"/>
    <w:next w:val="Body"/>
    <w:uiPriority w:val="99"/>
    <w:rsid w:val="008E7176"/>
    <w:pPr>
      <w:tabs>
        <w:tab w:val="right" w:leader="dot" w:pos="9016"/>
      </w:tabs>
      <w:ind w:left="567" w:hanging="567"/>
    </w:pPr>
    <w:rPr>
      <w:rFonts w:ascii="FranklinGothicLT-Medium" w:hAnsi="FranklinGothicLT-Medium" w:cs="FranklinGothicLT-Medium"/>
    </w:rPr>
  </w:style>
  <w:style w:type="paragraph" w:customStyle="1" w:styleId="TOC2">
    <w:name w:val="TOC2"/>
    <w:basedOn w:val="Body"/>
    <w:next w:val="Body"/>
    <w:uiPriority w:val="99"/>
    <w:rsid w:val="008E7176"/>
    <w:pPr>
      <w:tabs>
        <w:tab w:val="left" w:pos="880"/>
        <w:tab w:val="right" w:leader="dot" w:pos="9016"/>
      </w:tabs>
      <w:spacing w:after="113"/>
      <w:ind w:left="1134" w:hanging="567"/>
    </w:pPr>
  </w:style>
  <w:style w:type="paragraph" w:customStyle="1" w:styleId="H2">
    <w:name w:val="H2"/>
    <w:basedOn w:val="H1"/>
    <w:uiPriority w:val="99"/>
    <w:rsid w:val="008E7176"/>
    <w:pPr>
      <w:spacing w:before="227" w:after="113" w:line="360" w:lineRule="atLeast"/>
    </w:pPr>
    <w:rPr>
      <w:sz w:val="28"/>
      <w:szCs w:val="28"/>
    </w:rPr>
  </w:style>
  <w:style w:type="paragraph" w:customStyle="1" w:styleId="TOC3">
    <w:name w:val="TOC3"/>
    <w:basedOn w:val="TOC1"/>
    <w:uiPriority w:val="99"/>
    <w:rsid w:val="008E7176"/>
    <w:pPr>
      <w:ind w:left="1134" w:hanging="1134"/>
    </w:pPr>
  </w:style>
  <w:style w:type="paragraph" w:customStyle="1" w:styleId="Tabletext">
    <w:name w:val="Tabletext"/>
    <w:basedOn w:val="Body"/>
    <w:uiPriority w:val="99"/>
    <w:rsid w:val="008E7176"/>
    <w:pPr>
      <w:spacing w:after="113"/>
    </w:pPr>
  </w:style>
  <w:style w:type="paragraph" w:customStyle="1" w:styleId="bullets">
    <w:name w:val="bullets"/>
    <w:basedOn w:val="NoParagraphStyle"/>
    <w:uiPriority w:val="99"/>
    <w:rsid w:val="008E7176"/>
    <w:pPr>
      <w:tabs>
        <w:tab w:val="left" w:pos="426"/>
      </w:tabs>
      <w:suppressAutoHyphens/>
      <w:spacing w:after="113" w:line="260" w:lineRule="atLeast"/>
      <w:ind w:left="454" w:hanging="454"/>
    </w:pPr>
    <w:rPr>
      <w:rFonts w:ascii="FranklinGothicLT-Book" w:hAnsi="FranklinGothicLT-Book" w:cs="FranklinGothicLT-Book"/>
      <w:sz w:val="20"/>
      <w:szCs w:val="20"/>
      <w:lang w:val="en-US"/>
    </w:rPr>
  </w:style>
  <w:style w:type="paragraph" w:customStyle="1" w:styleId="bulletlast">
    <w:name w:val="bulletlast"/>
    <w:basedOn w:val="bullets"/>
    <w:uiPriority w:val="99"/>
    <w:rsid w:val="008E7176"/>
    <w:pPr>
      <w:spacing w:after="227"/>
    </w:pPr>
  </w:style>
  <w:style w:type="paragraph" w:customStyle="1" w:styleId="Figurehead">
    <w:name w:val="Figurehead"/>
    <w:basedOn w:val="NoParagraphStyle"/>
    <w:uiPriority w:val="99"/>
    <w:rsid w:val="008E7176"/>
    <w:pPr>
      <w:tabs>
        <w:tab w:val="left" w:pos="1134"/>
      </w:tabs>
      <w:suppressAutoHyphens/>
      <w:spacing w:after="227" w:line="240" w:lineRule="atLeast"/>
      <w:ind w:left="1134" w:hanging="1134"/>
    </w:pPr>
    <w:rPr>
      <w:rFonts w:ascii="FranklinGothicLT-Medium" w:hAnsi="FranklinGothicLT-Medium" w:cs="FranklinGothicLT-Medium"/>
      <w:sz w:val="20"/>
      <w:szCs w:val="20"/>
      <w:lang w:val="en-US"/>
    </w:rPr>
  </w:style>
  <w:style w:type="paragraph" w:customStyle="1" w:styleId="Tablehead">
    <w:name w:val="Tablehead"/>
    <w:basedOn w:val="NoParagraphStyle"/>
    <w:uiPriority w:val="99"/>
    <w:rsid w:val="008E7176"/>
    <w:pPr>
      <w:keepNext/>
      <w:tabs>
        <w:tab w:val="left" w:pos="284"/>
      </w:tabs>
      <w:suppressAutoHyphens/>
      <w:spacing w:after="227" w:line="240" w:lineRule="atLeast"/>
      <w:ind w:left="1134" w:hanging="1134"/>
    </w:pPr>
    <w:rPr>
      <w:rFonts w:ascii="FranklinGothicLT-Medium" w:hAnsi="FranklinGothicLT-Medium" w:cs="FranklinGothicLT-Medium"/>
      <w:sz w:val="20"/>
      <w:szCs w:val="20"/>
      <w:lang w:val="en-US"/>
    </w:rPr>
  </w:style>
  <w:style w:type="paragraph" w:customStyle="1" w:styleId="source">
    <w:name w:val="source"/>
    <w:basedOn w:val="Body"/>
    <w:uiPriority w:val="99"/>
    <w:rsid w:val="008E7176"/>
    <w:pPr>
      <w:spacing w:after="0" w:line="160" w:lineRule="atLeast"/>
    </w:pPr>
    <w:rPr>
      <w:sz w:val="14"/>
      <w:szCs w:val="14"/>
    </w:rPr>
  </w:style>
  <w:style w:type="paragraph" w:customStyle="1" w:styleId="Footnote">
    <w:name w:val="Footnote"/>
    <w:basedOn w:val="Body"/>
    <w:uiPriority w:val="99"/>
    <w:rsid w:val="008E7176"/>
    <w:pPr>
      <w:pBdr>
        <w:top w:val="single" w:sz="8" w:space="11" w:color="auto"/>
      </w:pBdr>
      <w:spacing w:before="227" w:line="200" w:lineRule="atLeast"/>
      <w:ind w:left="170" w:hanging="170"/>
    </w:pPr>
    <w:rPr>
      <w:sz w:val="16"/>
      <w:szCs w:val="16"/>
    </w:rPr>
  </w:style>
  <w:style w:type="paragraph" w:customStyle="1" w:styleId="H4">
    <w:name w:val="H4"/>
    <w:basedOn w:val="Body"/>
    <w:uiPriority w:val="99"/>
    <w:rsid w:val="008E7176"/>
    <w:pPr>
      <w:spacing w:before="113" w:after="57"/>
    </w:pPr>
    <w:rPr>
      <w:rFonts w:ascii="FranklinGothicLT-MediumItal" w:hAnsi="FranklinGothicLT-MediumItal" w:cs="FranklinGothicLT-MediumItal"/>
      <w:i/>
      <w:iCs/>
    </w:rPr>
  </w:style>
  <w:style w:type="paragraph" w:customStyle="1" w:styleId="H5">
    <w:name w:val="H5"/>
    <w:basedOn w:val="H4"/>
    <w:uiPriority w:val="99"/>
    <w:rsid w:val="008E7176"/>
    <w:rPr>
      <w:rFonts w:ascii="FranklinGothicLT-Medium" w:hAnsi="FranklinGothicLT-Medium" w:cs="FranklinGothicLT-Medium"/>
    </w:rPr>
  </w:style>
  <w:style w:type="paragraph" w:customStyle="1" w:styleId="Tablebullets">
    <w:name w:val="Tablebullets"/>
    <w:basedOn w:val="Tabletext"/>
    <w:uiPriority w:val="99"/>
    <w:rsid w:val="008E7176"/>
    <w:pPr>
      <w:spacing w:after="57"/>
      <w:ind w:left="170" w:hanging="170"/>
    </w:pPr>
  </w:style>
  <w:style w:type="paragraph" w:customStyle="1" w:styleId="extratablebullet">
    <w:name w:val="extratablebullet"/>
    <w:basedOn w:val="Tablebullets"/>
    <w:uiPriority w:val="99"/>
    <w:rsid w:val="008E7176"/>
    <w:pPr>
      <w:ind w:left="340"/>
    </w:pPr>
  </w:style>
  <w:style w:type="paragraph" w:customStyle="1" w:styleId="SMALLTabletext">
    <w:name w:val="SMALLTabletext"/>
    <w:basedOn w:val="Body"/>
    <w:uiPriority w:val="99"/>
    <w:rsid w:val="008E7176"/>
    <w:pPr>
      <w:spacing w:after="113" w:line="160" w:lineRule="atLeast"/>
    </w:pPr>
    <w:rPr>
      <w:sz w:val="14"/>
      <w:szCs w:val="14"/>
    </w:rPr>
  </w:style>
  <w:style w:type="paragraph" w:customStyle="1" w:styleId="figureextra">
    <w:name w:val="figureextra"/>
    <w:basedOn w:val="Figurehead"/>
    <w:uiPriority w:val="99"/>
    <w:rsid w:val="008E7176"/>
    <w:pPr>
      <w:ind w:firstLine="0"/>
    </w:pPr>
  </w:style>
  <w:style w:type="paragraph" w:styleId="ListBullet">
    <w:name w:val="List Bullet"/>
    <w:basedOn w:val="Normal"/>
    <w:uiPriority w:val="99"/>
    <w:unhideWhenUsed/>
    <w:rsid w:val="00F20662"/>
    <w:pPr>
      <w:numPr>
        <w:numId w:val="18"/>
      </w:numPr>
      <w:contextualSpacing/>
    </w:pPr>
  </w:style>
  <w:style w:type="paragraph" w:styleId="FootnoteText">
    <w:name w:val="footnote text"/>
    <w:basedOn w:val="Normal"/>
    <w:link w:val="FootnoteTextChar"/>
    <w:uiPriority w:val="99"/>
    <w:semiHidden/>
    <w:unhideWhenUsed/>
    <w:rsid w:val="00E53ABC"/>
    <w:rPr>
      <w:sz w:val="20"/>
      <w:szCs w:val="20"/>
    </w:rPr>
  </w:style>
  <w:style w:type="character" w:customStyle="1" w:styleId="FootnoteTextChar">
    <w:name w:val="Footnote Text Char"/>
    <w:basedOn w:val="DefaultParagraphFont"/>
    <w:link w:val="FootnoteText"/>
    <w:uiPriority w:val="99"/>
    <w:semiHidden/>
    <w:rsid w:val="00E53ABC"/>
    <w:rPr>
      <w:sz w:val="20"/>
      <w:szCs w:val="20"/>
      <w:lang w:eastAsia="en-US"/>
    </w:rPr>
  </w:style>
  <w:style w:type="character" w:styleId="FootnoteReference">
    <w:name w:val="footnote reference"/>
    <w:basedOn w:val="DefaultParagraphFont"/>
    <w:uiPriority w:val="99"/>
    <w:semiHidden/>
    <w:unhideWhenUsed/>
    <w:rsid w:val="00E53ABC"/>
    <w:rPr>
      <w:vertAlign w:val="superscript"/>
    </w:rPr>
  </w:style>
  <w:style w:type="paragraph" w:styleId="Header">
    <w:name w:val="header"/>
    <w:basedOn w:val="Normal"/>
    <w:link w:val="HeaderChar"/>
    <w:uiPriority w:val="99"/>
    <w:semiHidden/>
    <w:unhideWhenUsed/>
    <w:rsid w:val="00313C87"/>
    <w:pPr>
      <w:tabs>
        <w:tab w:val="center" w:pos="4513"/>
        <w:tab w:val="right" w:pos="9026"/>
      </w:tabs>
    </w:pPr>
  </w:style>
  <w:style w:type="character" w:customStyle="1" w:styleId="HeaderChar">
    <w:name w:val="Header Char"/>
    <w:basedOn w:val="DefaultParagraphFont"/>
    <w:link w:val="Header"/>
    <w:uiPriority w:val="99"/>
    <w:semiHidden/>
    <w:rsid w:val="00313C87"/>
    <w:rPr>
      <w:lang w:eastAsia="en-US"/>
    </w:rPr>
  </w:style>
  <w:style w:type="paragraph" w:styleId="Footer">
    <w:name w:val="footer"/>
    <w:basedOn w:val="Normal"/>
    <w:link w:val="FooterChar"/>
    <w:uiPriority w:val="99"/>
    <w:unhideWhenUsed/>
    <w:rsid w:val="00313C87"/>
    <w:pPr>
      <w:tabs>
        <w:tab w:val="center" w:pos="4513"/>
        <w:tab w:val="right" w:pos="9026"/>
      </w:tabs>
    </w:pPr>
  </w:style>
  <w:style w:type="character" w:customStyle="1" w:styleId="FooterChar">
    <w:name w:val="Footer Char"/>
    <w:basedOn w:val="DefaultParagraphFont"/>
    <w:link w:val="Footer"/>
    <w:uiPriority w:val="99"/>
    <w:rsid w:val="00313C87"/>
    <w:rPr>
      <w:lang w:eastAsia="en-US"/>
    </w:rPr>
  </w:style>
  <w:style w:type="character" w:customStyle="1" w:styleId="Heading1Char">
    <w:name w:val="Heading 1 Char"/>
    <w:basedOn w:val="DefaultParagraphFont"/>
    <w:link w:val="Heading1"/>
    <w:uiPriority w:val="9"/>
    <w:rsid w:val="00111BEA"/>
    <w:rPr>
      <w:rFonts w:ascii="Arial" w:eastAsiaTheme="majorEastAsia" w:hAnsi="Arial" w:cstheme="majorBidi"/>
      <w:b/>
      <w:bCs/>
      <w:color w:val="948A54" w:themeColor="background2" w:themeShade="80"/>
      <w:sz w:val="42"/>
      <w:szCs w:val="28"/>
      <w:lang w:eastAsia="en-US"/>
    </w:rPr>
  </w:style>
  <w:style w:type="character" w:customStyle="1" w:styleId="Heading2Char">
    <w:name w:val="Heading 2 Char"/>
    <w:basedOn w:val="DefaultParagraphFont"/>
    <w:link w:val="Heading2"/>
    <w:uiPriority w:val="9"/>
    <w:rsid w:val="00111BEA"/>
    <w:rPr>
      <w:rFonts w:ascii="Arial" w:eastAsiaTheme="majorEastAsia" w:hAnsi="Arial" w:cstheme="majorBidi"/>
      <w:b/>
      <w:bCs/>
      <w:color w:val="948A54" w:themeColor="background2" w:themeShade="80"/>
      <w:sz w:val="28"/>
      <w:szCs w:val="26"/>
      <w:lang w:eastAsia="en-US"/>
    </w:rPr>
  </w:style>
  <w:style w:type="character" w:customStyle="1" w:styleId="Heading3Char">
    <w:name w:val="Heading 3 Char"/>
    <w:basedOn w:val="DefaultParagraphFont"/>
    <w:link w:val="Heading3"/>
    <w:uiPriority w:val="9"/>
    <w:rsid w:val="00111BEA"/>
    <w:rPr>
      <w:rFonts w:ascii="Arial" w:eastAsiaTheme="majorEastAsia" w:hAnsi="Arial" w:cstheme="majorBidi"/>
      <w:b/>
      <w:bCs/>
      <w:color w:val="948A54" w:themeColor="background2" w:themeShade="80"/>
      <w:sz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BalloonText">
    <w:name w:val="Balloon Text"/>
    <w:basedOn w:val="Normal"/>
    <w:semiHidden/>
    <w:rsid w:val="00BE5E2A"/>
    <w:rPr>
      <w:rFonts w:ascii="Lucida Grande" w:hAnsi="Lucida Grande"/>
      <w:sz w:val="18"/>
      <w:szCs w:val="18"/>
    </w:rPr>
  </w:style>
  <w:style w:type="paragraph" w:customStyle="1" w:styleId="BasicParagraph">
    <w:name w:val="[Basic Paragraph]"/>
    <w:basedOn w:val="Normal"/>
    <w:uiPriority w:val="99"/>
    <w:rsid w:val="008E7176"/>
    <w:pPr>
      <w:widowControl w:val="0"/>
      <w:autoSpaceDE w:val="0"/>
      <w:autoSpaceDN w:val="0"/>
      <w:adjustRightInd w:val="0"/>
      <w:spacing w:line="288" w:lineRule="auto"/>
      <w:textAlignment w:val="center"/>
    </w:pPr>
    <w:rPr>
      <w:rFonts w:ascii="MinionPro-Regular" w:hAnsi="MinionPro-Regular" w:cs="MinionPro-Regular"/>
      <w:color w:val="000000"/>
      <w:lang w:val="en-GB" w:eastAsia="ja-JP"/>
    </w:rPr>
  </w:style>
  <w:style w:type="paragraph" w:customStyle="1" w:styleId="H3">
    <w:name w:val="H3"/>
    <w:basedOn w:val="Normal"/>
    <w:uiPriority w:val="99"/>
    <w:rsid w:val="008E7176"/>
    <w:pPr>
      <w:widowControl w:val="0"/>
      <w:tabs>
        <w:tab w:val="left" w:pos="680"/>
      </w:tabs>
      <w:suppressAutoHyphens/>
      <w:autoSpaceDE w:val="0"/>
      <w:autoSpaceDN w:val="0"/>
      <w:adjustRightInd w:val="0"/>
      <w:spacing w:before="170" w:after="57" w:line="260" w:lineRule="atLeast"/>
      <w:ind w:left="680" w:hanging="680"/>
      <w:textAlignment w:val="center"/>
    </w:pPr>
    <w:rPr>
      <w:rFonts w:ascii="VAGRoundedLT-Bold" w:hAnsi="VAGRoundedLT-Bold" w:cs="VAGRoundedLT-Bold"/>
      <w:b/>
      <w:bCs/>
      <w:color w:val="9EA274"/>
      <w:sz w:val="20"/>
      <w:szCs w:val="20"/>
      <w:lang w:val="en-US" w:eastAsia="ja-JP"/>
    </w:rPr>
  </w:style>
  <w:style w:type="paragraph" w:customStyle="1" w:styleId="byline">
    <w:name w:val="byline"/>
    <w:basedOn w:val="Normal"/>
    <w:uiPriority w:val="99"/>
    <w:rsid w:val="008E7176"/>
    <w:pPr>
      <w:widowControl w:val="0"/>
      <w:tabs>
        <w:tab w:val="left" w:pos="680"/>
      </w:tabs>
      <w:suppressAutoHyphens/>
      <w:autoSpaceDE w:val="0"/>
      <w:autoSpaceDN w:val="0"/>
      <w:adjustRightInd w:val="0"/>
      <w:spacing w:before="170" w:after="57" w:line="260" w:lineRule="atLeast"/>
      <w:ind w:left="680" w:hanging="680"/>
      <w:jc w:val="right"/>
      <w:textAlignment w:val="center"/>
    </w:pPr>
    <w:rPr>
      <w:rFonts w:ascii="VAGRoundedLT-Bold" w:hAnsi="VAGRoundedLT-Bold" w:cs="VAGRoundedLT-Bold"/>
      <w:b/>
      <w:bCs/>
      <w:color w:val="FFFFFF"/>
      <w:lang w:val="en-US" w:eastAsia="ja-JP"/>
    </w:rPr>
  </w:style>
  <w:style w:type="paragraph" w:customStyle="1" w:styleId="Verso">
    <w:name w:val="Verso"/>
    <w:basedOn w:val="Normal"/>
    <w:uiPriority w:val="99"/>
    <w:rsid w:val="008E7176"/>
    <w:pPr>
      <w:widowControl w:val="0"/>
      <w:suppressAutoHyphens/>
      <w:autoSpaceDE w:val="0"/>
      <w:autoSpaceDN w:val="0"/>
      <w:adjustRightInd w:val="0"/>
      <w:spacing w:after="57" w:line="240" w:lineRule="atLeast"/>
      <w:textAlignment w:val="center"/>
    </w:pPr>
    <w:rPr>
      <w:rFonts w:ascii="FranklinGothicLT-Book" w:hAnsi="FranklinGothicLT-Book" w:cs="FranklinGothicLT-Book"/>
      <w:color w:val="000000"/>
      <w:sz w:val="18"/>
      <w:szCs w:val="18"/>
      <w:lang w:val="en-US" w:eastAsia="ja-JP"/>
    </w:rPr>
  </w:style>
  <w:style w:type="character" w:customStyle="1" w:styleId="Medium">
    <w:name w:val="Medium"/>
    <w:uiPriority w:val="99"/>
    <w:rsid w:val="008E7176"/>
  </w:style>
  <w:style w:type="character" w:customStyle="1" w:styleId="InstructionText">
    <w:name w:val="Instruction Text"/>
    <w:uiPriority w:val="99"/>
    <w:rsid w:val="008E7176"/>
    <w:rPr>
      <w:i/>
      <w:iCs/>
      <w:color w:val="0070C0"/>
      <w:w w:val="100"/>
    </w:rPr>
  </w:style>
  <w:style w:type="character" w:customStyle="1" w:styleId="ital">
    <w:name w:val="ital"/>
    <w:uiPriority w:val="99"/>
    <w:rsid w:val="008E7176"/>
    <w:rPr>
      <w:i/>
      <w:iCs/>
    </w:rPr>
  </w:style>
  <w:style w:type="character" w:styleId="Hyperlink">
    <w:name w:val="Hyperlink"/>
    <w:basedOn w:val="DefaultParagraphFont"/>
    <w:uiPriority w:val="99"/>
    <w:rsid w:val="008E7176"/>
    <w:rPr>
      <w:color w:val="00467E"/>
      <w:w w:val="100"/>
      <w:u w:val="none" w:color="9EA274"/>
    </w:rPr>
  </w:style>
  <w:style w:type="paragraph" w:customStyle="1" w:styleId="Body">
    <w:name w:val="Body"/>
    <w:basedOn w:val="NoParagraphStyle"/>
    <w:uiPriority w:val="99"/>
    <w:rsid w:val="008E7176"/>
    <w:pPr>
      <w:suppressAutoHyphens/>
      <w:spacing w:after="170" w:line="260" w:lineRule="atLeast"/>
    </w:pPr>
    <w:rPr>
      <w:rFonts w:ascii="FranklinGothicLT-Book" w:hAnsi="FranklinGothicLT-Book" w:cs="FranklinGothicLT-Book"/>
      <w:sz w:val="20"/>
      <w:szCs w:val="20"/>
      <w:lang w:val="en-US"/>
    </w:rPr>
  </w:style>
  <w:style w:type="paragraph" w:customStyle="1" w:styleId="NoParagraphStyle">
    <w:name w:val="[No Paragraph Style]"/>
    <w:rsid w:val="008E717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H1">
    <w:name w:val="H1"/>
    <w:basedOn w:val="NoParagraphStyle"/>
    <w:uiPriority w:val="99"/>
    <w:rsid w:val="008E7176"/>
    <w:pPr>
      <w:tabs>
        <w:tab w:val="left" w:pos="567"/>
      </w:tabs>
      <w:suppressAutoHyphens/>
      <w:spacing w:after="227" w:line="480" w:lineRule="atLeast"/>
      <w:ind w:left="567" w:hanging="567"/>
    </w:pPr>
    <w:rPr>
      <w:rFonts w:ascii="VAGRoundedLT-Bold" w:hAnsi="VAGRoundedLT-Bold" w:cs="VAGRoundedLT-Bold"/>
      <w:b/>
      <w:bCs/>
      <w:color w:val="9EA274"/>
      <w:sz w:val="40"/>
      <w:szCs w:val="40"/>
      <w:lang w:val="en-US"/>
    </w:rPr>
  </w:style>
  <w:style w:type="paragraph" w:customStyle="1" w:styleId="TOC1">
    <w:name w:val="TOC1"/>
    <w:basedOn w:val="Body"/>
    <w:next w:val="Body"/>
    <w:uiPriority w:val="99"/>
    <w:rsid w:val="008E7176"/>
    <w:pPr>
      <w:tabs>
        <w:tab w:val="right" w:leader="dot" w:pos="9016"/>
      </w:tabs>
      <w:ind w:left="567" w:hanging="567"/>
    </w:pPr>
    <w:rPr>
      <w:rFonts w:ascii="FranklinGothicLT-Medium" w:hAnsi="FranklinGothicLT-Medium" w:cs="FranklinGothicLT-Medium"/>
    </w:rPr>
  </w:style>
  <w:style w:type="paragraph" w:customStyle="1" w:styleId="TOC2">
    <w:name w:val="TOC2"/>
    <w:basedOn w:val="Body"/>
    <w:next w:val="Body"/>
    <w:uiPriority w:val="99"/>
    <w:rsid w:val="008E7176"/>
    <w:pPr>
      <w:tabs>
        <w:tab w:val="left" w:pos="880"/>
        <w:tab w:val="right" w:leader="dot" w:pos="9016"/>
      </w:tabs>
      <w:spacing w:after="113"/>
      <w:ind w:left="1134" w:hanging="567"/>
    </w:pPr>
  </w:style>
  <w:style w:type="paragraph" w:customStyle="1" w:styleId="H2">
    <w:name w:val="H2"/>
    <w:basedOn w:val="H1"/>
    <w:uiPriority w:val="99"/>
    <w:rsid w:val="008E7176"/>
    <w:pPr>
      <w:spacing w:before="227" w:after="113" w:line="360" w:lineRule="atLeast"/>
    </w:pPr>
    <w:rPr>
      <w:sz w:val="28"/>
      <w:szCs w:val="28"/>
    </w:rPr>
  </w:style>
  <w:style w:type="paragraph" w:customStyle="1" w:styleId="TOC3">
    <w:name w:val="TOC3"/>
    <w:basedOn w:val="TOC1"/>
    <w:uiPriority w:val="99"/>
    <w:rsid w:val="008E7176"/>
    <w:pPr>
      <w:ind w:left="1134" w:hanging="1134"/>
    </w:pPr>
  </w:style>
  <w:style w:type="paragraph" w:customStyle="1" w:styleId="Tabletext">
    <w:name w:val="Tabletext"/>
    <w:basedOn w:val="Body"/>
    <w:uiPriority w:val="99"/>
    <w:rsid w:val="008E7176"/>
    <w:pPr>
      <w:spacing w:after="113"/>
    </w:pPr>
  </w:style>
  <w:style w:type="paragraph" w:customStyle="1" w:styleId="bullets">
    <w:name w:val="bullets"/>
    <w:basedOn w:val="NoParagraphStyle"/>
    <w:uiPriority w:val="99"/>
    <w:rsid w:val="008E7176"/>
    <w:pPr>
      <w:tabs>
        <w:tab w:val="left" w:pos="426"/>
      </w:tabs>
      <w:suppressAutoHyphens/>
      <w:spacing w:after="113" w:line="260" w:lineRule="atLeast"/>
      <w:ind w:left="454" w:hanging="454"/>
    </w:pPr>
    <w:rPr>
      <w:rFonts w:ascii="FranklinGothicLT-Book" w:hAnsi="FranklinGothicLT-Book" w:cs="FranklinGothicLT-Book"/>
      <w:sz w:val="20"/>
      <w:szCs w:val="20"/>
      <w:lang w:val="en-US"/>
    </w:rPr>
  </w:style>
  <w:style w:type="paragraph" w:customStyle="1" w:styleId="bulletlast">
    <w:name w:val="bulletlast"/>
    <w:basedOn w:val="bullets"/>
    <w:uiPriority w:val="99"/>
    <w:rsid w:val="008E7176"/>
    <w:pPr>
      <w:spacing w:after="227"/>
    </w:pPr>
  </w:style>
  <w:style w:type="paragraph" w:customStyle="1" w:styleId="Figurehead">
    <w:name w:val="Figurehead"/>
    <w:basedOn w:val="NoParagraphStyle"/>
    <w:uiPriority w:val="99"/>
    <w:rsid w:val="008E7176"/>
    <w:pPr>
      <w:tabs>
        <w:tab w:val="left" w:pos="1134"/>
      </w:tabs>
      <w:suppressAutoHyphens/>
      <w:spacing w:after="227" w:line="240" w:lineRule="atLeast"/>
      <w:ind w:left="1134" w:hanging="1134"/>
    </w:pPr>
    <w:rPr>
      <w:rFonts w:ascii="FranklinGothicLT-Medium" w:hAnsi="FranklinGothicLT-Medium" w:cs="FranklinGothicLT-Medium"/>
      <w:sz w:val="20"/>
      <w:szCs w:val="20"/>
      <w:lang w:val="en-US"/>
    </w:rPr>
  </w:style>
  <w:style w:type="paragraph" w:customStyle="1" w:styleId="Tablehead">
    <w:name w:val="Tablehead"/>
    <w:basedOn w:val="NoParagraphStyle"/>
    <w:uiPriority w:val="99"/>
    <w:rsid w:val="008E7176"/>
    <w:pPr>
      <w:keepNext/>
      <w:tabs>
        <w:tab w:val="left" w:pos="284"/>
      </w:tabs>
      <w:suppressAutoHyphens/>
      <w:spacing w:after="227" w:line="240" w:lineRule="atLeast"/>
      <w:ind w:left="1134" w:hanging="1134"/>
    </w:pPr>
    <w:rPr>
      <w:rFonts w:ascii="FranklinGothicLT-Medium" w:hAnsi="FranklinGothicLT-Medium" w:cs="FranklinGothicLT-Medium"/>
      <w:sz w:val="20"/>
      <w:szCs w:val="20"/>
      <w:lang w:val="en-US"/>
    </w:rPr>
  </w:style>
  <w:style w:type="paragraph" w:customStyle="1" w:styleId="source">
    <w:name w:val="source"/>
    <w:basedOn w:val="Body"/>
    <w:uiPriority w:val="99"/>
    <w:rsid w:val="008E7176"/>
    <w:pPr>
      <w:spacing w:after="0" w:line="160" w:lineRule="atLeast"/>
    </w:pPr>
    <w:rPr>
      <w:sz w:val="14"/>
      <w:szCs w:val="14"/>
    </w:rPr>
  </w:style>
  <w:style w:type="paragraph" w:customStyle="1" w:styleId="Footnote">
    <w:name w:val="Footnote"/>
    <w:basedOn w:val="Body"/>
    <w:uiPriority w:val="99"/>
    <w:rsid w:val="008E7176"/>
    <w:pPr>
      <w:pBdr>
        <w:top w:val="single" w:sz="8" w:space="11" w:color="auto"/>
      </w:pBdr>
      <w:spacing w:before="227" w:line="200" w:lineRule="atLeast"/>
      <w:ind w:left="170" w:hanging="170"/>
    </w:pPr>
    <w:rPr>
      <w:sz w:val="16"/>
      <w:szCs w:val="16"/>
    </w:rPr>
  </w:style>
  <w:style w:type="paragraph" w:customStyle="1" w:styleId="H4">
    <w:name w:val="H4"/>
    <w:basedOn w:val="Body"/>
    <w:uiPriority w:val="99"/>
    <w:rsid w:val="008E7176"/>
    <w:pPr>
      <w:spacing w:before="113" w:after="57"/>
    </w:pPr>
    <w:rPr>
      <w:rFonts w:ascii="FranklinGothicLT-MediumItal" w:hAnsi="FranklinGothicLT-MediumItal" w:cs="FranklinGothicLT-MediumItal"/>
      <w:i/>
      <w:iCs/>
    </w:rPr>
  </w:style>
  <w:style w:type="paragraph" w:customStyle="1" w:styleId="H5">
    <w:name w:val="H5"/>
    <w:basedOn w:val="H4"/>
    <w:uiPriority w:val="99"/>
    <w:rsid w:val="008E7176"/>
    <w:rPr>
      <w:rFonts w:ascii="FranklinGothicLT-Medium" w:hAnsi="FranklinGothicLT-Medium" w:cs="FranklinGothicLT-Medium"/>
    </w:rPr>
  </w:style>
  <w:style w:type="paragraph" w:customStyle="1" w:styleId="Tablebullets">
    <w:name w:val="Tablebullets"/>
    <w:basedOn w:val="Tabletext"/>
    <w:uiPriority w:val="99"/>
    <w:rsid w:val="008E7176"/>
    <w:pPr>
      <w:spacing w:after="57"/>
      <w:ind w:left="170" w:hanging="170"/>
    </w:pPr>
  </w:style>
  <w:style w:type="paragraph" w:customStyle="1" w:styleId="extratablebullet">
    <w:name w:val="extratablebullet"/>
    <w:basedOn w:val="Tablebullets"/>
    <w:uiPriority w:val="99"/>
    <w:rsid w:val="008E7176"/>
    <w:pPr>
      <w:ind w:left="340"/>
    </w:pPr>
  </w:style>
  <w:style w:type="paragraph" w:customStyle="1" w:styleId="SMALLTabletext">
    <w:name w:val="SMALLTabletext"/>
    <w:basedOn w:val="Body"/>
    <w:uiPriority w:val="99"/>
    <w:rsid w:val="008E7176"/>
    <w:pPr>
      <w:spacing w:after="113" w:line="160" w:lineRule="atLeast"/>
    </w:pPr>
    <w:rPr>
      <w:sz w:val="14"/>
      <w:szCs w:val="14"/>
    </w:rPr>
  </w:style>
  <w:style w:type="paragraph" w:customStyle="1" w:styleId="figureextra">
    <w:name w:val="figureextra"/>
    <w:basedOn w:val="Figurehead"/>
    <w:uiPriority w:val="99"/>
    <w:rsid w:val="008E7176"/>
    <w:pPr>
      <w:ind w:firstLine="0"/>
    </w:p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blic.affairs@environment.gov.au" TargetMode="External"/><Relationship Id="rId13" Type="http://schemas.openxmlformats.org/officeDocument/2006/relationships/footer" Target="footer2.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gif"/><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www.environment.gov.au/water/publications/environmental/ecosystems/ae-toolkit-cs-1.html" TargetMode="External"/><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85B83E-67A6-49BD-96D0-F200D9887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2392</Words>
  <Characters>14264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Aquatic ecosystems toolkit - Case Study 1: Lake Eyre Basin (Part 1 - 1.1)</dc:title>
  <dc:creator/>
  <cp:lastModifiedBy/>
  <cp:revision>1</cp:revision>
  <dcterms:created xsi:type="dcterms:W3CDTF">2012-09-17T03:40:00Z</dcterms:created>
  <dcterms:modified xsi:type="dcterms:W3CDTF">2013-04-18T04:02:00Z</dcterms:modified>
</cp:coreProperties>
</file>