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176" w:rsidRDefault="008E7176" w:rsidP="008E7176">
      <w:pPr>
        <w:pStyle w:val="BasicParagraph"/>
        <w:jc w:val="center"/>
        <w:rPr>
          <w:rFonts w:ascii="VAGRoundedLT-Bold" w:hAnsi="VAGRoundedLT-Bold" w:cs="VAGRoundedLT-Bold"/>
          <w:b/>
          <w:bCs/>
          <w:sz w:val="76"/>
          <w:szCs w:val="76"/>
        </w:rPr>
      </w:pPr>
      <w:r>
        <w:rPr>
          <w:rFonts w:ascii="VAGRoundedLT-Bold" w:hAnsi="VAGRoundedLT-Bold" w:cs="VAGRoundedLT-Bold"/>
          <w:b/>
          <w:bCs/>
          <w:sz w:val="76"/>
          <w:szCs w:val="76"/>
        </w:rPr>
        <w:t>Aquatic ecosystems toolkit</w:t>
      </w:r>
    </w:p>
    <w:p w:rsidR="008E7176" w:rsidRPr="008E7176" w:rsidRDefault="008E7176" w:rsidP="008E7176"/>
    <w:p w:rsidR="008E7176" w:rsidRPr="008E7176" w:rsidRDefault="008E7176" w:rsidP="008E7176">
      <w:pPr>
        <w:pStyle w:val="BasicParagraph"/>
        <w:jc w:val="right"/>
        <w:rPr>
          <w:rFonts w:ascii="VAGRoundedLT-Thin" w:hAnsi="VAGRoundedLT-Thin" w:cs="VAGRoundedLT-Thin"/>
          <w:color w:val="auto"/>
          <w:sz w:val="36"/>
          <w:szCs w:val="36"/>
        </w:rPr>
      </w:pPr>
      <w:r w:rsidRPr="008E7176">
        <w:rPr>
          <w:color w:val="auto"/>
        </w:rPr>
        <w:tab/>
      </w:r>
      <w:r w:rsidRPr="008E7176">
        <w:rPr>
          <w:rFonts w:ascii="VAGRoundedLT-Bold" w:hAnsi="VAGRoundedLT-Bold" w:cs="VAGRoundedLT-Bold"/>
          <w:b/>
          <w:bCs/>
          <w:color w:val="auto"/>
          <w:sz w:val="36"/>
          <w:szCs w:val="36"/>
        </w:rPr>
        <w:t xml:space="preserve">CASE STUDY 1: </w:t>
      </w:r>
      <w:r w:rsidRPr="008E7176">
        <w:rPr>
          <w:rFonts w:ascii="VAGRoundedLT-Bold" w:hAnsi="VAGRoundedLT-Bold" w:cs="VAGRoundedLT-Bold"/>
          <w:b/>
          <w:bCs/>
          <w:color w:val="auto"/>
          <w:sz w:val="36"/>
          <w:szCs w:val="36"/>
        </w:rPr>
        <w:br/>
      </w:r>
      <w:r w:rsidRPr="008E7176">
        <w:rPr>
          <w:rFonts w:ascii="VAGRoundedLT-Thin" w:hAnsi="VAGRoundedLT-Thin" w:cs="VAGRoundedLT-Thin"/>
          <w:color w:val="auto"/>
          <w:sz w:val="36"/>
          <w:szCs w:val="36"/>
        </w:rPr>
        <w:t>Lake Eyre Basin</w:t>
      </w:r>
    </w:p>
    <w:p w:rsidR="008E7176" w:rsidRDefault="008E7176" w:rsidP="008E7176">
      <w:pPr>
        <w:pStyle w:val="byline"/>
      </w:pPr>
      <w:r w:rsidRPr="000130F7">
        <w:rPr>
          <w:color w:val="auto"/>
        </w:rPr>
        <w:t xml:space="preserve">Based on work undertaken by </w:t>
      </w:r>
      <w:r>
        <w:rPr>
          <w:color w:val="auto"/>
        </w:rPr>
        <w:t>Ms Jennifer Hale and Dr Shane Brookes</w:t>
      </w:r>
      <w:r>
        <w:rPr>
          <w:color w:val="auto"/>
        </w:rPr>
        <w:br/>
      </w:r>
      <w:r w:rsidRPr="000130F7">
        <w:rPr>
          <w:color w:val="auto"/>
        </w:rPr>
        <w:t xml:space="preserve"> for the Aquatic Ecosystems Task Group</w:t>
      </w:r>
    </w:p>
    <w:p w:rsidR="008E7176" w:rsidRDefault="008E7176" w:rsidP="008E7176">
      <w:pPr>
        <w:pStyle w:val="byline"/>
        <w:rPr>
          <w:color w:val="auto"/>
        </w:rPr>
      </w:pPr>
      <w:r>
        <w:rPr>
          <w:color w:val="auto"/>
        </w:rPr>
        <w:t>2012</w:t>
      </w:r>
    </w:p>
    <w:p w:rsidR="0059451A" w:rsidRDefault="009A49EB" w:rsidP="0059451A">
      <w:pPr>
        <w:pStyle w:val="byline"/>
        <w:spacing w:before="1610"/>
        <w:rPr>
          <w:color w:val="auto"/>
        </w:rPr>
      </w:pPr>
      <w:r>
        <w:rPr>
          <w:color w:val="auto"/>
        </w:rPr>
        <w:t>Table of Contents,</w:t>
      </w:r>
      <w:r w:rsidR="004308E1">
        <w:rPr>
          <w:color w:val="auto"/>
        </w:rPr>
        <w:t xml:space="preserve"> A</w:t>
      </w:r>
      <w:r>
        <w:rPr>
          <w:color w:val="auto"/>
        </w:rPr>
        <w:t>bbreviations</w:t>
      </w:r>
      <w:r w:rsidR="004308E1">
        <w:rPr>
          <w:color w:val="auto"/>
        </w:rPr>
        <w:t xml:space="preserve"> and</w:t>
      </w:r>
      <w:r>
        <w:rPr>
          <w:color w:val="auto"/>
        </w:rPr>
        <w:t xml:space="preserve"> </w:t>
      </w:r>
      <w:r w:rsidR="004308E1">
        <w:rPr>
          <w:color w:val="auto"/>
        </w:rPr>
        <w:t>I</w:t>
      </w:r>
      <w:r>
        <w:rPr>
          <w:color w:val="auto"/>
        </w:rPr>
        <w:t>ntroduction</w:t>
      </w:r>
    </w:p>
    <w:p w:rsidR="00352275" w:rsidRPr="00352275" w:rsidRDefault="00352275" w:rsidP="00352275">
      <w:pPr>
        <w:pStyle w:val="byline"/>
        <w:spacing w:before="200"/>
        <w:rPr>
          <w:b w:val="0"/>
          <w:color w:val="auto"/>
          <w:sz w:val="20"/>
          <w:szCs w:val="20"/>
        </w:rPr>
      </w:pPr>
      <w:r w:rsidRPr="00352275">
        <w:rPr>
          <w:b w:val="0"/>
          <w:color w:val="auto"/>
          <w:sz w:val="20"/>
          <w:szCs w:val="20"/>
        </w:rPr>
        <w:t xml:space="preserve">Other sections of this document are available from </w:t>
      </w:r>
      <w:r w:rsidRPr="00352275">
        <w:rPr>
          <w:b w:val="0"/>
          <w:color w:val="auto"/>
          <w:sz w:val="20"/>
          <w:szCs w:val="20"/>
        </w:rPr>
        <w:br/>
      </w:r>
      <w:r w:rsidRPr="00352275">
        <w:rPr>
          <w:b w:val="0"/>
          <w:color w:val="auto"/>
          <w:sz w:val="20"/>
          <w:szCs w:val="20"/>
          <w:lang w:val="en-AU"/>
        </w:rPr>
        <w:t>&lt;</w:t>
      </w:r>
      <w:hyperlink r:id="rId8" w:history="1">
        <w:r w:rsidRPr="00352275">
          <w:rPr>
            <w:rStyle w:val="Hyperlink"/>
            <w:b w:val="0"/>
            <w:sz w:val="20"/>
            <w:szCs w:val="20"/>
            <w:lang w:val="en-AU"/>
          </w:rPr>
          <w:t>www.environment.gov.au/water/publications/environmental/ecosystems/ae-toolkit-cs-1.html</w:t>
        </w:r>
      </w:hyperlink>
      <w:r w:rsidRPr="00352275">
        <w:rPr>
          <w:b w:val="0"/>
          <w:color w:val="auto"/>
          <w:sz w:val="20"/>
          <w:szCs w:val="20"/>
          <w:lang w:val="en-AU"/>
        </w:rPr>
        <w:t>&gt;</w:t>
      </w:r>
    </w:p>
    <w:p w:rsidR="008E7176" w:rsidRDefault="008E7176">
      <w:pPr>
        <w:rPr>
          <w:rFonts w:ascii="VAGRoundedLT-Bold" w:hAnsi="VAGRoundedLT-Bold" w:cs="VAGRoundedLT-Bold"/>
          <w:b/>
          <w:bCs/>
          <w:sz w:val="20"/>
          <w:szCs w:val="20"/>
          <w:lang w:val="en-US" w:eastAsia="ja-JP"/>
        </w:rPr>
      </w:pPr>
      <w:r>
        <w:br w:type="page"/>
      </w:r>
    </w:p>
    <w:p w:rsidR="008E7176" w:rsidRPr="00CD4C0A" w:rsidRDefault="008E7176" w:rsidP="008E7176">
      <w:pPr>
        <w:pStyle w:val="Verso"/>
        <w:rPr>
          <w:rStyle w:val="Medium"/>
          <w:b/>
        </w:rPr>
      </w:pPr>
      <w:r w:rsidRPr="00CD4C0A">
        <w:rPr>
          <w:rStyle w:val="Medium"/>
          <w:b/>
        </w:rPr>
        <w:lastRenderedPageBreak/>
        <w:t>Published by</w:t>
      </w:r>
    </w:p>
    <w:p w:rsidR="008E7176" w:rsidRDefault="008E7176" w:rsidP="008E7176">
      <w:pPr>
        <w:pStyle w:val="Verso"/>
      </w:pPr>
      <w:r>
        <w:t>Department of Sustainability, Environment, Water, Population and Communities</w:t>
      </w:r>
    </w:p>
    <w:p w:rsidR="008E7176" w:rsidRPr="00CD4C0A" w:rsidRDefault="008E7176" w:rsidP="008E7176">
      <w:pPr>
        <w:pStyle w:val="Verso"/>
        <w:rPr>
          <w:rStyle w:val="Medium"/>
          <w:b/>
        </w:rPr>
      </w:pPr>
      <w:r w:rsidRPr="00CD4C0A">
        <w:rPr>
          <w:rStyle w:val="Medium"/>
          <w:b/>
        </w:rPr>
        <w:t>Authors/endorsement</w:t>
      </w:r>
    </w:p>
    <w:p w:rsidR="008E7176" w:rsidRPr="008E7176" w:rsidRDefault="008E7176" w:rsidP="008E7176">
      <w:pPr>
        <w:pStyle w:val="Verso"/>
        <w:rPr>
          <w:color w:val="auto"/>
        </w:rPr>
      </w:pPr>
      <w:r>
        <w:t xml:space="preserve">This case study is based on trials of the draft Guidelines for Identifying High Ecological Value Aquatic Ecosystems, and the draft </w:t>
      </w:r>
      <w:r w:rsidRPr="008E7176">
        <w:rPr>
          <w:color w:val="auto"/>
        </w:rPr>
        <w:t>Aquatic Ecosystem Delineation and Description Guidelines. The final reports from these trials are as follows:</w:t>
      </w:r>
    </w:p>
    <w:p w:rsidR="008E7176" w:rsidRPr="008E7176" w:rsidRDefault="008E7176" w:rsidP="008E7176">
      <w:pPr>
        <w:pStyle w:val="Body"/>
        <w:rPr>
          <w:color w:val="auto"/>
        </w:rPr>
      </w:pPr>
      <w:r w:rsidRPr="008E7176">
        <w:rPr>
          <w:rStyle w:val="InstructionText"/>
          <w:i w:val="0"/>
          <w:iCs w:val="0"/>
          <w:color w:val="auto"/>
        </w:rPr>
        <w:t xml:space="preserve">Hale, J. (ed.) (2010). </w:t>
      </w:r>
      <w:proofErr w:type="gramStart"/>
      <w:r w:rsidRPr="008E7176">
        <w:rPr>
          <w:rStyle w:val="InstructionText"/>
          <w:i w:val="0"/>
          <w:iCs w:val="0"/>
          <w:color w:val="auto"/>
        </w:rPr>
        <w:t>Lake Eyre Basin High Conservation Aquatic Ecosystem Pilot Project.</w:t>
      </w:r>
      <w:proofErr w:type="gramEnd"/>
      <w:r w:rsidRPr="008E7176">
        <w:rPr>
          <w:rStyle w:val="InstructionText"/>
          <w:i w:val="0"/>
          <w:iCs w:val="0"/>
          <w:color w:val="auto"/>
        </w:rPr>
        <w:t xml:space="preserve"> Report prepared for the Aquatic Ecosystems Task Group and the Department of Environment, Water, Heritage and the Arts. Jennifer Hale, </w:t>
      </w:r>
      <w:proofErr w:type="spellStart"/>
      <w:r w:rsidRPr="008E7176">
        <w:rPr>
          <w:rStyle w:val="InstructionText"/>
          <w:i w:val="0"/>
          <w:iCs w:val="0"/>
          <w:color w:val="auto"/>
        </w:rPr>
        <w:t>Kinglake</w:t>
      </w:r>
      <w:proofErr w:type="spellEnd"/>
      <w:r w:rsidRPr="008E7176">
        <w:rPr>
          <w:color w:val="auto"/>
        </w:rPr>
        <w:t>.</w:t>
      </w:r>
    </w:p>
    <w:p w:rsidR="008E7176" w:rsidRPr="008E7176" w:rsidRDefault="008E7176" w:rsidP="008E7176">
      <w:pPr>
        <w:pStyle w:val="Verso"/>
        <w:rPr>
          <w:color w:val="auto"/>
        </w:rPr>
      </w:pPr>
      <w:r w:rsidRPr="008E7176">
        <w:rPr>
          <w:color w:val="auto"/>
        </w:rPr>
        <w:t xml:space="preserve">Hale, J., and Brooks, S. (2011). </w:t>
      </w:r>
      <w:proofErr w:type="spellStart"/>
      <w:r w:rsidRPr="008E7176">
        <w:rPr>
          <w:rStyle w:val="ital"/>
          <w:color w:val="auto"/>
        </w:rPr>
        <w:t>Trialling</w:t>
      </w:r>
      <w:proofErr w:type="spellEnd"/>
      <w:r w:rsidRPr="008E7176">
        <w:rPr>
          <w:rStyle w:val="ital"/>
          <w:color w:val="auto"/>
        </w:rPr>
        <w:t xml:space="preserve"> the guidelines for the delineation of High Ecological Value Aquatic Ecosystems (HEVAE) in the Lake Eyre Basin (LEB)</w:t>
      </w:r>
      <w:r w:rsidRPr="008E7176">
        <w:rPr>
          <w:color w:val="auto"/>
        </w:rPr>
        <w:t xml:space="preserve">. Report prepared for the Aquatic Ecosystems Task Group and the Department of Sustainability, Environment, Water, Population and Communities. </w:t>
      </w:r>
      <w:r w:rsidRPr="008E7176">
        <w:rPr>
          <w:rStyle w:val="InstructionText"/>
          <w:i w:val="0"/>
          <w:iCs w:val="0"/>
          <w:color w:val="auto"/>
        </w:rPr>
        <w:t xml:space="preserve">Jennifer Hale, </w:t>
      </w:r>
      <w:proofErr w:type="spellStart"/>
      <w:r w:rsidRPr="008E7176">
        <w:rPr>
          <w:rStyle w:val="InstructionText"/>
          <w:i w:val="0"/>
          <w:iCs w:val="0"/>
          <w:color w:val="auto"/>
        </w:rPr>
        <w:t>Kinglake</w:t>
      </w:r>
      <w:proofErr w:type="spellEnd"/>
      <w:r w:rsidRPr="008E7176">
        <w:rPr>
          <w:color w:val="auto"/>
        </w:rPr>
        <w:t xml:space="preserve">. </w:t>
      </w:r>
    </w:p>
    <w:p w:rsidR="008E7176" w:rsidRDefault="008E7176" w:rsidP="008E7176">
      <w:pPr>
        <w:pStyle w:val="Body"/>
      </w:pPr>
      <w:r>
        <w:t>These reports are available on request from the Australian Government Department of Sustainability, Environment, Water, Population and Communities.</w:t>
      </w:r>
    </w:p>
    <w:p w:rsidR="008E7176" w:rsidRDefault="008E7176" w:rsidP="008E7176">
      <w:pPr>
        <w:pStyle w:val="Verso"/>
      </w:pPr>
      <w:proofErr w:type="gramStart"/>
      <w:r>
        <w:t>Endorsed by the Standing Council on Environment and Water, 2012.</w:t>
      </w:r>
      <w:proofErr w:type="gramEnd"/>
      <w:r>
        <w:t xml:space="preserve"> </w:t>
      </w:r>
    </w:p>
    <w:p w:rsidR="008E7176" w:rsidRDefault="008E7176" w:rsidP="008E7176">
      <w:pPr>
        <w:pStyle w:val="Verso"/>
      </w:pPr>
      <w:r>
        <w:t>© Copyright Commonwealth of Australia 2012</w:t>
      </w:r>
    </w:p>
    <w:p w:rsidR="008E7176" w:rsidRDefault="008E7176" w:rsidP="008E7176">
      <w:pPr>
        <w:pStyle w:val="Verso"/>
      </w:pPr>
      <w:r>
        <w:t xml:space="preserve">This work is copyright. You may download, display, print and reproduce this material in unaltered form only (retaining this notice) for your personal, non-commercial use or use within your </w:t>
      </w:r>
      <w:proofErr w:type="spellStart"/>
      <w:r>
        <w:t>organisation</w:t>
      </w:r>
      <w:proofErr w:type="spellEnd"/>
      <w:r>
        <w:t xml:space="preserve">. Apart from any use as permitted under the </w:t>
      </w:r>
      <w:r>
        <w:rPr>
          <w:rStyle w:val="ital"/>
        </w:rPr>
        <w:t>Copyright Act 1968</w:t>
      </w:r>
      <w:r>
        <w:t xml:space="preserve"> (</w:t>
      </w:r>
      <w:proofErr w:type="spellStart"/>
      <w:r>
        <w:t>Cwlth</w:t>
      </w:r>
      <w:proofErr w:type="spellEnd"/>
      <w:r>
        <w:t>), all other rights are reserved. Requests and enquiries concerning reproduction and rights should be addressed to Department of Sustainability, Environment, Water, Population and Communities, Public Affairs, GPO Box 787 Canberra ACT 2601 or email &lt;</w:t>
      </w:r>
      <w:hyperlink r:id="rId9" w:history="1">
        <w:r>
          <w:rPr>
            <w:rStyle w:val="Hyperlink"/>
          </w:rPr>
          <w:t>public.affairs@environment.gov.au</w:t>
        </w:r>
      </w:hyperlink>
      <w:r>
        <w:t>&gt;.</w:t>
      </w:r>
    </w:p>
    <w:p w:rsidR="008E7176" w:rsidRPr="00F20662" w:rsidRDefault="008E7176" w:rsidP="008E7176">
      <w:pPr>
        <w:pStyle w:val="Verso"/>
        <w:rPr>
          <w:rStyle w:val="Medium"/>
          <w:b/>
        </w:rPr>
      </w:pPr>
      <w:r w:rsidRPr="00F20662">
        <w:rPr>
          <w:rStyle w:val="Medium"/>
          <w:b/>
        </w:rPr>
        <w:t>Disclaimer</w:t>
      </w:r>
    </w:p>
    <w:p w:rsidR="008E7176" w:rsidRDefault="008E7176" w:rsidP="008E7176">
      <w:pPr>
        <w:pStyle w:val="Verso"/>
      </w:pPr>
      <w:r>
        <w:t>The views and opinions expressed in this publication are those of the authors and do not necessarily reflect those of the Australian Government or the Minister for Sustainability, Environment, Water, Population and Communities, nor the participating jurisdictional governments or ministers (Queensland, NSW, South Australia and Northern Territory).</w:t>
      </w:r>
    </w:p>
    <w:p w:rsidR="008E7176" w:rsidRDefault="008E7176" w:rsidP="008E7176">
      <w:pPr>
        <w:pStyle w:val="Verso"/>
      </w:pPr>
      <w: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8E7176" w:rsidRDefault="008E7176" w:rsidP="008E7176">
      <w:pPr>
        <w:pStyle w:val="Verso"/>
      </w:pPr>
      <w:r>
        <w:t>These trials were undertaken during the time when guidance on the identification, delineation and description of aquatic ecosystems was an area of active policy development. The work informing the contents of this publication was carried out under budgetary and time restraints, resulting in limited ability to incorporate all available datasets and information into the process.</w:t>
      </w:r>
    </w:p>
    <w:p w:rsidR="008E7176" w:rsidRPr="00F20662" w:rsidRDefault="008E7176" w:rsidP="008E7176">
      <w:pPr>
        <w:pStyle w:val="Verso"/>
        <w:rPr>
          <w:rStyle w:val="Medium"/>
          <w:b/>
        </w:rPr>
      </w:pPr>
      <w:r w:rsidRPr="00F20662">
        <w:rPr>
          <w:rStyle w:val="Medium"/>
          <w:b/>
        </w:rPr>
        <w:t>Citation</w:t>
      </w:r>
    </w:p>
    <w:p w:rsidR="008E7176" w:rsidRDefault="008E7176" w:rsidP="008E7176">
      <w:pPr>
        <w:pStyle w:val="Verso"/>
        <w:ind w:left="567" w:hanging="567"/>
      </w:pPr>
      <w:r>
        <w:t xml:space="preserve">Aquatic Ecosystems Task Group (2012). </w:t>
      </w:r>
      <w:proofErr w:type="gramStart"/>
      <w:r>
        <w:t>Aquatic Ecosystems Toolkit.</w:t>
      </w:r>
      <w:proofErr w:type="gramEnd"/>
      <w:r>
        <w:t xml:space="preserve"> </w:t>
      </w:r>
      <w:r>
        <w:rPr>
          <w:rStyle w:val="ital"/>
        </w:rPr>
        <w:t>Case Study 1: Lake Eyre Basin</w:t>
      </w:r>
      <w:r>
        <w:t xml:space="preserve">. </w:t>
      </w:r>
      <w:proofErr w:type="gramStart"/>
      <w:r>
        <w:t>Department of Sustainability, Environment, Water Population and Communities, Canberra.</w:t>
      </w:r>
      <w:proofErr w:type="gramEnd"/>
    </w:p>
    <w:p w:rsidR="005B19E0" w:rsidRPr="005B19E0" w:rsidRDefault="005B19E0" w:rsidP="005B19E0">
      <w:pPr>
        <w:pStyle w:val="Verso"/>
      </w:pPr>
      <w:r w:rsidRPr="005B19E0">
        <w:t>For citation purposes, the PDF version of this document is considered the official version.  The PDF is available from:</w:t>
      </w:r>
    </w:p>
    <w:p w:rsidR="008E7176" w:rsidRDefault="005B19E0" w:rsidP="008E7176">
      <w:pPr>
        <w:pStyle w:val="Verso"/>
      </w:pPr>
      <w:r>
        <w:t>&lt;</w:t>
      </w:r>
      <w:hyperlink r:id="rId10" w:history="1">
        <w:r w:rsidRPr="005B19E0">
          <w:rPr>
            <w:rStyle w:val="Hyperlink"/>
          </w:rPr>
          <w:t>www.environment.gov.au/water/publications/environmental/ecosystems/ae-toolkit-cs-1.html</w:t>
        </w:r>
      </w:hyperlink>
      <w:r>
        <w:t>&gt;</w:t>
      </w:r>
    </w:p>
    <w:p w:rsidR="008E7176" w:rsidRDefault="008E7176">
      <w:r>
        <w:br w:type="page"/>
      </w:r>
    </w:p>
    <w:p w:rsidR="008E7176" w:rsidRDefault="008E7176" w:rsidP="00111BEA">
      <w:pPr>
        <w:pStyle w:val="Heading1"/>
      </w:pPr>
      <w:r>
        <w:lastRenderedPageBreak/>
        <w:t>Table of contents</w:t>
      </w:r>
    </w:p>
    <w:p w:rsidR="008E7176" w:rsidRDefault="008E7176" w:rsidP="008E7176">
      <w:pPr>
        <w:pStyle w:val="TOC1"/>
      </w:pPr>
      <w:r>
        <w:t>List of figures</w:t>
      </w:r>
      <w:r>
        <w:tab/>
        <w:t>iii</w:t>
      </w:r>
    </w:p>
    <w:p w:rsidR="008E7176" w:rsidRDefault="008E7176" w:rsidP="008E7176">
      <w:pPr>
        <w:pStyle w:val="TOC1"/>
      </w:pPr>
      <w:r>
        <w:t>List of tables</w:t>
      </w:r>
      <w:r>
        <w:tab/>
      </w:r>
      <w:proofErr w:type="gramStart"/>
      <w:r>
        <w:t>vi</w:t>
      </w:r>
      <w:proofErr w:type="gramEnd"/>
    </w:p>
    <w:p w:rsidR="008E7176" w:rsidRDefault="008E7176" w:rsidP="008E7176">
      <w:pPr>
        <w:pStyle w:val="TOC1"/>
      </w:pPr>
      <w:r>
        <w:t>Abbreviations</w:t>
      </w:r>
      <w:r>
        <w:tab/>
        <w:t>vii</w:t>
      </w:r>
    </w:p>
    <w:p w:rsidR="008E7176" w:rsidRDefault="008E7176" w:rsidP="008E7176">
      <w:pPr>
        <w:pStyle w:val="TOC1"/>
      </w:pPr>
      <w:r>
        <w:t>Introduction</w:t>
      </w:r>
      <w:r>
        <w:tab/>
        <w:t>1</w:t>
      </w:r>
    </w:p>
    <w:p w:rsidR="008E7176" w:rsidRDefault="008E7176" w:rsidP="008E7176">
      <w:pPr>
        <w:pStyle w:val="TOC1"/>
      </w:pPr>
      <w:r>
        <w:t>Part 1: Identifying High Ecological Value Aquatic Ecosystems (HEVAE)</w:t>
      </w:r>
      <w:r>
        <w:tab/>
        <w:t>2</w:t>
      </w:r>
    </w:p>
    <w:p w:rsidR="008E7176" w:rsidRDefault="008E7176" w:rsidP="008E7176">
      <w:pPr>
        <w:pStyle w:val="TOC2"/>
      </w:pPr>
      <w:r>
        <w:t xml:space="preserve">1.1 </w:t>
      </w:r>
      <w:r>
        <w:tab/>
        <w:t>Groundwork before identifying HEVAE</w:t>
      </w:r>
      <w:r>
        <w:tab/>
        <w:t>2</w:t>
      </w:r>
    </w:p>
    <w:p w:rsidR="008E7176" w:rsidRDefault="00397841" w:rsidP="008E7176">
      <w:pPr>
        <w:pStyle w:val="TOC2"/>
      </w:pPr>
      <w:r>
        <w:t xml:space="preserve">1.2 </w:t>
      </w:r>
      <w:r>
        <w:tab/>
        <w:t>Identifying HEVAE</w:t>
      </w:r>
      <w:r>
        <w:tab/>
        <w:t>9</w:t>
      </w:r>
    </w:p>
    <w:p w:rsidR="008E7176" w:rsidRDefault="008E7176" w:rsidP="008E7176">
      <w:pPr>
        <w:pStyle w:val="TOC1"/>
      </w:pPr>
      <w:r>
        <w:t>Part 2: Aquatic ecosyste</w:t>
      </w:r>
      <w:r w:rsidR="00397841">
        <w:t>m delineation and description</w:t>
      </w:r>
      <w:r w:rsidR="00397841">
        <w:tab/>
        <w:t>56</w:t>
      </w:r>
    </w:p>
    <w:p w:rsidR="008E7176" w:rsidRDefault="008E7176" w:rsidP="008E7176">
      <w:pPr>
        <w:pStyle w:val="TOC2"/>
      </w:pPr>
      <w:r>
        <w:t xml:space="preserve">2.1 </w:t>
      </w:r>
      <w:r>
        <w:tab/>
        <w:t>Assessmen</w:t>
      </w:r>
      <w:r w:rsidR="00397841">
        <w:t>t Unit 6455—Dalhousie Springs</w:t>
      </w:r>
      <w:r w:rsidR="00397841">
        <w:tab/>
        <w:t>56</w:t>
      </w:r>
    </w:p>
    <w:p w:rsidR="008E7176" w:rsidRDefault="008E7176" w:rsidP="008E7176">
      <w:pPr>
        <w:pStyle w:val="TOC2"/>
      </w:pPr>
      <w:r>
        <w:t xml:space="preserve">2.2 </w:t>
      </w:r>
      <w:r>
        <w:tab/>
        <w:t xml:space="preserve">Assessment Units </w:t>
      </w:r>
      <w:r w:rsidR="00397841">
        <w:t>4264, 4293, 4438—Lake Galilee</w:t>
      </w:r>
      <w:r w:rsidR="00397841">
        <w:tab/>
        <w:t>66</w:t>
      </w:r>
    </w:p>
    <w:p w:rsidR="008E7176" w:rsidRDefault="008E7176" w:rsidP="008E7176">
      <w:pPr>
        <w:pStyle w:val="TOC2"/>
      </w:pPr>
      <w:r>
        <w:t xml:space="preserve">2.3 </w:t>
      </w:r>
      <w:r>
        <w:tab/>
        <w:t>Assessment Units 1</w:t>
      </w:r>
      <w:r w:rsidR="00397841">
        <w:t>000, 1001, 1002—Coongie Lakes</w:t>
      </w:r>
      <w:r w:rsidR="00397841">
        <w:tab/>
        <w:t>75</w:t>
      </w:r>
    </w:p>
    <w:p w:rsidR="008E7176" w:rsidRDefault="008E7176" w:rsidP="008E7176">
      <w:pPr>
        <w:pStyle w:val="TOC2"/>
      </w:pPr>
      <w:r>
        <w:t xml:space="preserve">2.4 </w:t>
      </w:r>
      <w:r>
        <w:tab/>
        <w:t>Assessment Units 4779, 5088, 5093, 5094—Chewings</w:t>
      </w:r>
      <w:r w:rsidR="00397841">
        <w:t xml:space="preserve"> Range spring-fed pools</w:t>
      </w:r>
      <w:r w:rsidR="00397841">
        <w:tab/>
        <w:t>86</w:t>
      </w:r>
    </w:p>
    <w:p w:rsidR="008E7176" w:rsidRDefault="00397841" w:rsidP="008E7176">
      <w:pPr>
        <w:pStyle w:val="TOC1"/>
      </w:pPr>
      <w:r>
        <w:t>References</w:t>
      </w:r>
      <w:r>
        <w:tab/>
        <w:t>93</w:t>
      </w:r>
    </w:p>
    <w:p w:rsidR="008E7176" w:rsidRDefault="008E7176" w:rsidP="008E7176">
      <w:pPr>
        <w:pStyle w:val="TOC1"/>
      </w:pPr>
    </w:p>
    <w:p w:rsidR="008E7176" w:rsidRDefault="008E7176" w:rsidP="00111BEA">
      <w:pPr>
        <w:pStyle w:val="Heading2"/>
      </w:pPr>
      <w:r>
        <w:t>List of figures</w:t>
      </w:r>
    </w:p>
    <w:p w:rsidR="008E7176" w:rsidRDefault="008E7176" w:rsidP="008E7176">
      <w:pPr>
        <w:pStyle w:val="TOC3"/>
      </w:pPr>
      <w:r>
        <w:t xml:space="preserve">Figure </w:t>
      </w:r>
      <w:r>
        <w:rPr>
          <w:rFonts w:ascii="FranklinGothicLT-Book" w:hAnsi="FranklinGothicLT-Book" w:cs="FranklinGothicLT-Book"/>
        </w:rPr>
        <w:t>1</w:t>
      </w:r>
      <w:r>
        <w:tab/>
        <w:t xml:space="preserve">Map of the Lake Eyre Basin drainage division showing major river systems and </w:t>
      </w:r>
      <w:r>
        <w:br/>
        <w:t>jurisdictional boundaries</w:t>
      </w:r>
      <w:r>
        <w:tab/>
        <w:t>3</w:t>
      </w:r>
    </w:p>
    <w:p w:rsidR="008E7176" w:rsidRDefault="008E7176" w:rsidP="008E7176">
      <w:pPr>
        <w:pStyle w:val="TOC3"/>
      </w:pPr>
      <w:r>
        <w:t>Figure 2</w:t>
      </w:r>
      <w:r>
        <w:tab/>
        <w:t>Spatial scales used in the LEB HEVAE trial</w:t>
      </w:r>
      <w:r>
        <w:tab/>
        <w:t>5</w:t>
      </w:r>
    </w:p>
    <w:p w:rsidR="008E7176" w:rsidRDefault="008E7176" w:rsidP="008E7176">
      <w:pPr>
        <w:pStyle w:val="TOC3"/>
      </w:pPr>
      <w:r>
        <w:t xml:space="preserve">Figure </w:t>
      </w:r>
      <w:r>
        <w:rPr>
          <w:rFonts w:ascii="FranklinGothicLT-Book" w:hAnsi="FranklinGothicLT-Book" w:cs="FranklinGothicLT-Book"/>
        </w:rPr>
        <w:t>3</w:t>
      </w:r>
      <w:r>
        <w:t>a</w:t>
      </w:r>
      <w:r>
        <w:tab/>
        <w:t>Surface Water Management Areas (SWMA) in the Lake Eyre Basin</w:t>
      </w:r>
      <w:r>
        <w:tab/>
        <w:t>6</w:t>
      </w:r>
    </w:p>
    <w:p w:rsidR="008E7176" w:rsidRDefault="008E7176" w:rsidP="008E7176">
      <w:pPr>
        <w:pStyle w:val="TOC3"/>
      </w:pPr>
      <w:r>
        <w:t>Figure 3b</w:t>
      </w:r>
      <w:r>
        <w:tab/>
        <w:t xml:space="preserve">Interim </w:t>
      </w:r>
      <w:proofErr w:type="spellStart"/>
      <w:r>
        <w:t>Bioregionalisation</w:t>
      </w:r>
      <w:proofErr w:type="spellEnd"/>
      <w:r>
        <w:t xml:space="preserve"> of Australia (IBRA) regions within the Lake Eyre Basin </w:t>
      </w:r>
      <w:r>
        <w:tab/>
        <w:t>6</w:t>
      </w:r>
    </w:p>
    <w:p w:rsidR="008E7176" w:rsidRDefault="008E7176" w:rsidP="008E7176">
      <w:pPr>
        <w:pStyle w:val="TOC3"/>
        <w:rPr>
          <w:rFonts w:ascii="FranklinGothicLT-Book" w:hAnsi="FranklinGothicLT-Book" w:cs="FranklinGothicLT-Book"/>
        </w:rPr>
      </w:pPr>
      <w:r>
        <w:t>Figure 4</w:t>
      </w:r>
      <w:r>
        <w:tab/>
        <w:t xml:space="preserve">Assessment units in the LEB using the 500-square-kilometre nested </w:t>
      </w:r>
      <w:r>
        <w:br/>
        <w:t>catchments data se</w:t>
      </w:r>
      <w:r w:rsidR="00397841">
        <w:rPr>
          <w:rFonts w:ascii="FranklinGothicLT-Book" w:hAnsi="FranklinGothicLT-Book" w:cs="FranklinGothicLT-Book"/>
        </w:rPr>
        <w:t>t</w:t>
      </w:r>
      <w:r w:rsidR="00397841">
        <w:rPr>
          <w:rFonts w:ascii="FranklinGothicLT-Book" w:hAnsi="FranklinGothicLT-Book" w:cs="FranklinGothicLT-Book"/>
        </w:rPr>
        <w:tab/>
        <w:t>8</w:t>
      </w:r>
    </w:p>
    <w:p w:rsidR="008E7176" w:rsidRDefault="008E7176" w:rsidP="008E7176">
      <w:pPr>
        <w:pStyle w:val="TOC3"/>
      </w:pPr>
      <w:r>
        <w:t>Figure 5a</w:t>
      </w:r>
      <w:r>
        <w:tab/>
        <w:t>Attribute 1A</w:t>
      </w:r>
      <w:r>
        <w:rPr>
          <w:rFonts w:ascii="FranklinGothicLT-Book" w:hAnsi="FranklinGothicLT-Book" w:cs="FranklinGothicLT-Book"/>
        </w:rPr>
        <w:t>—</w:t>
      </w:r>
      <w:r>
        <w:t>Diversity of aquatic ecosystems</w:t>
      </w:r>
      <w:r>
        <w:tab/>
        <w:t>22</w:t>
      </w:r>
    </w:p>
    <w:p w:rsidR="008E7176" w:rsidRDefault="008E7176" w:rsidP="008E7176">
      <w:pPr>
        <w:pStyle w:val="TOC3"/>
      </w:pPr>
      <w:r>
        <w:t>Figure 5b</w:t>
      </w:r>
      <w:r>
        <w:tab/>
        <w:t>Attribute 1B</w:t>
      </w:r>
      <w:r>
        <w:rPr>
          <w:rFonts w:ascii="FranklinGothicLT-Book" w:hAnsi="FranklinGothicLT-Book" w:cs="FranklinGothicLT-Book"/>
        </w:rPr>
        <w:t>—</w:t>
      </w:r>
      <w:r w:rsidR="00397841">
        <w:t>Number of fish species</w:t>
      </w:r>
      <w:r w:rsidR="00397841">
        <w:tab/>
        <w:t>23</w:t>
      </w:r>
    </w:p>
    <w:p w:rsidR="008E7176" w:rsidRDefault="008E7176" w:rsidP="008E7176">
      <w:pPr>
        <w:pStyle w:val="TOC3"/>
      </w:pPr>
      <w:r>
        <w:t>Figure 5c</w:t>
      </w:r>
      <w:r>
        <w:tab/>
        <w:t>Attribute 1</w:t>
      </w:r>
      <w:r w:rsidR="00397841">
        <w:t xml:space="preserve">B—Number of </w:t>
      </w:r>
      <w:proofErr w:type="spellStart"/>
      <w:r w:rsidR="00397841">
        <w:t>waterbird</w:t>
      </w:r>
      <w:proofErr w:type="spellEnd"/>
      <w:r w:rsidR="00397841">
        <w:t xml:space="preserve"> species</w:t>
      </w:r>
      <w:r w:rsidR="00397841">
        <w:tab/>
        <w:t>24</w:t>
      </w:r>
    </w:p>
    <w:p w:rsidR="008E7176" w:rsidRDefault="008E7176" w:rsidP="008E7176">
      <w:pPr>
        <w:pStyle w:val="TOC3"/>
      </w:pPr>
      <w:r>
        <w:t>Figure 5d</w:t>
      </w:r>
      <w:r>
        <w:tab/>
        <w:t>Attribute</w:t>
      </w:r>
      <w:r w:rsidR="00397841">
        <w:t xml:space="preserve"> 1B—Number of reptile species</w:t>
      </w:r>
      <w:r w:rsidR="00397841">
        <w:tab/>
        <w:t>25</w:t>
      </w:r>
    </w:p>
    <w:p w:rsidR="008E7176" w:rsidRDefault="008E7176" w:rsidP="008E7176">
      <w:pPr>
        <w:pStyle w:val="TOC3"/>
      </w:pPr>
      <w:r>
        <w:t>Figure 5e</w:t>
      </w:r>
      <w:r>
        <w:tab/>
        <w:t>Attribute 1B</w:t>
      </w:r>
      <w:r>
        <w:rPr>
          <w:rFonts w:ascii="FranklinGothicLT-Book" w:hAnsi="FranklinGothicLT-Book" w:cs="FranklinGothicLT-Book"/>
        </w:rPr>
        <w:t>—</w:t>
      </w:r>
      <w:r>
        <w:t>Nu</w:t>
      </w:r>
      <w:r w:rsidR="00397841">
        <w:t>mber of frog species</w:t>
      </w:r>
      <w:r w:rsidR="00397841">
        <w:tab/>
        <w:t>26</w:t>
      </w:r>
    </w:p>
    <w:p w:rsidR="008E7176" w:rsidRDefault="008E7176" w:rsidP="008E7176">
      <w:pPr>
        <w:pStyle w:val="TOC3"/>
      </w:pPr>
      <w:r>
        <w:t>Figure 5f</w:t>
      </w:r>
      <w:r>
        <w:tab/>
        <w:t>Attribute 1B</w:t>
      </w:r>
      <w:r>
        <w:rPr>
          <w:rFonts w:ascii="FranklinGothicLT-Book" w:hAnsi="FranklinGothicLT-Book" w:cs="FranklinGothicLT-Book"/>
        </w:rPr>
        <w:t>—</w:t>
      </w:r>
      <w:r>
        <w:t>P</w:t>
      </w:r>
      <w:r w:rsidR="00397841">
        <w:t>resence of mammal (water rat)</w:t>
      </w:r>
      <w:r w:rsidR="00397841">
        <w:tab/>
        <w:t>27</w:t>
      </w:r>
    </w:p>
    <w:p w:rsidR="008E7176" w:rsidRDefault="008E7176" w:rsidP="008E7176">
      <w:pPr>
        <w:pStyle w:val="TOC3"/>
      </w:pPr>
      <w:r>
        <w:t>Figure 5g</w:t>
      </w:r>
      <w:r>
        <w:tab/>
        <w:t>Attribute 1B</w:t>
      </w:r>
      <w:r>
        <w:rPr>
          <w:rFonts w:ascii="FranklinGothicLT-Book" w:hAnsi="FranklinGothicLT-Book" w:cs="FranklinGothicLT-Book"/>
        </w:rPr>
        <w:t>—</w:t>
      </w:r>
      <w:r w:rsidR="00397841">
        <w:t>Number of woody plant species</w:t>
      </w:r>
      <w:r w:rsidR="00397841">
        <w:tab/>
        <w:t>28</w:t>
      </w:r>
    </w:p>
    <w:p w:rsidR="008E7176" w:rsidRDefault="008E7176" w:rsidP="008E7176">
      <w:pPr>
        <w:pStyle w:val="TOC3"/>
      </w:pPr>
      <w:r>
        <w:t>Figure 5h</w:t>
      </w:r>
      <w:r>
        <w:tab/>
        <w:t>Attribute 1B</w:t>
      </w:r>
      <w:r>
        <w:rPr>
          <w:rFonts w:ascii="FranklinGothicLT-Book" w:hAnsi="FranklinGothicLT-Book" w:cs="FranklinGothicLT-Book"/>
        </w:rPr>
        <w:t>—</w:t>
      </w:r>
      <w:r>
        <w:t>Numb</w:t>
      </w:r>
      <w:r w:rsidR="00397841">
        <w:t>er of non-woody plant species</w:t>
      </w:r>
      <w:r w:rsidR="00397841">
        <w:tab/>
        <w:t>29</w:t>
      </w:r>
    </w:p>
    <w:p w:rsidR="008E7176" w:rsidRDefault="008E7176" w:rsidP="008E7176">
      <w:pPr>
        <w:pStyle w:val="TOC3"/>
      </w:pPr>
      <w:r>
        <w:t>Figure 6a</w:t>
      </w:r>
      <w:r>
        <w:tab/>
        <w:t>Diversity att</w:t>
      </w:r>
      <w:r w:rsidR="00397841">
        <w:t>ributes combined and weighted</w:t>
      </w:r>
      <w:r w:rsidR="00397841">
        <w:tab/>
        <w:t>30</w:t>
      </w:r>
    </w:p>
    <w:p w:rsidR="008E7176" w:rsidRDefault="008E7176" w:rsidP="008E7176">
      <w:pPr>
        <w:pStyle w:val="TOC3"/>
      </w:pPr>
      <w:r>
        <w:t>Figure 6b</w:t>
      </w:r>
      <w:r>
        <w:tab/>
        <w:t>Diversity attr</w:t>
      </w:r>
      <w:r w:rsidR="00397841">
        <w:t xml:space="preserve">ibutes combined not weighted </w:t>
      </w:r>
      <w:r w:rsidR="00397841">
        <w:tab/>
        <w:t>30</w:t>
      </w:r>
    </w:p>
    <w:p w:rsidR="008E7176" w:rsidRDefault="008E7176" w:rsidP="008E7176">
      <w:pPr>
        <w:pStyle w:val="TOC3"/>
      </w:pPr>
      <w:r>
        <w:lastRenderedPageBreak/>
        <w:t>Figure 7a</w:t>
      </w:r>
      <w:r>
        <w:tab/>
        <w:t>Attribute 2A</w:t>
      </w:r>
      <w:r>
        <w:rPr>
          <w:rFonts w:ascii="FranklinGothicLT-Book" w:hAnsi="FranklinGothicLT-Book" w:cs="FranklinGothicLT-Book"/>
        </w:rPr>
        <w:t>—</w:t>
      </w:r>
      <w:r w:rsidR="00397841">
        <w:t>Threatened species</w:t>
      </w:r>
      <w:r w:rsidR="00397841">
        <w:tab/>
        <w:t>32</w:t>
      </w:r>
    </w:p>
    <w:p w:rsidR="008E7176" w:rsidRDefault="008E7176" w:rsidP="008E7176">
      <w:pPr>
        <w:pStyle w:val="TOC3"/>
      </w:pPr>
      <w:r>
        <w:t>Figure 7b</w:t>
      </w:r>
      <w:r>
        <w:tab/>
        <w:t>Attribute 2B</w:t>
      </w:r>
      <w:r>
        <w:rPr>
          <w:rFonts w:ascii="FranklinGothicLT-Book" w:hAnsi="FranklinGothicLT-Book" w:cs="FranklinGothicLT-Book"/>
        </w:rPr>
        <w:t>—</w:t>
      </w:r>
      <w:r w:rsidR="00397841">
        <w:t>Priority species</w:t>
      </w:r>
      <w:r w:rsidR="00397841">
        <w:tab/>
        <w:t>32</w:t>
      </w:r>
    </w:p>
    <w:p w:rsidR="008E7176" w:rsidRDefault="008E7176" w:rsidP="008E7176">
      <w:pPr>
        <w:pStyle w:val="TOC3"/>
      </w:pPr>
      <w:r>
        <w:t>Figure 7c</w:t>
      </w:r>
      <w:r>
        <w:tab/>
        <w:t>Attribute 2C</w:t>
      </w:r>
      <w:r>
        <w:rPr>
          <w:rFonts w:ascii="FranklinGothicLT-Book" w:hAnsi="FranklinGothicLT-Book" w:cs="FranklinGothicLT-Book"/>
        </w:rPr>
        <w:t>—</w:t>
      </w:r>
      <w:r w:rsidR="00397841">
        <w:t xml:space="preserve">Migratory </w:t>
      </w:r>
      <w:proofErr w:type="spellStart"/>
      <w:r w:rsidR="00397841">
        <w:t>waterbirds</w:t>
      </w:r>
      <w:proofErr w:type="spellEnd"/>
      <w:r w:rsidR="00397841">
        <w:tab/>
        <w:t>33</w:t>
      </w:r>
    </w:p>
    <w:p w:rsidR="008E7176" w:rsidRDefault="008E7176" w:rsidP="008E7176">
      <w:pPr>
        <w:pStyle w:val="TOC3"/>
      </w:pPr>
      <w:r>
        <w:t>Figure 7d</w:t>
      </w:r>
      <w:r>
        <w:tab/>
        <w:t>Attribute 2E</w:t>
      </w:r>
      <w:r>
        <w:rPr>
          <w:rFonts w:ascii="FranklinGothicLT-Book" w:hAnsi="FranklinGothicLT-Book" w:cs="FranklinGothicLT-Book"/>
        </w:rPr>
        <w:t>—</w:t>
      </w:r>
      <w:r>
        <w:t>Presence of the threatened ecological commun</w:t>
      </w:r>
      <w:r w:rsidR="00397841">
        <w:t>ity of the GAB springs</w:t>
      </w:r>
      <w:r w:rsidR="00397841">
        <w:tab/>
        <w:t>33</w:t>
      </w:r>
    </w:p>
    <w:p w:rsidR="008E7176" w:rsidRDefault="008E7176" w:rsidP="008E7176">
      <w:pPr>
        <w:pStyle w:val="TOC3"/>
      </w:pPr>
      <w:r>
        <w:t>Figure 8</w:t>
      </w:r>
      <w:r>
        <w:tab/>
        <w:t>Distinctiveness att</w:t>
      </w:r>
      <w:r w:rsidR="00397841">
        <w:t>ributes combined and weighted</w:t>
      </w:r>
      <w:r w:rsidR="00397841">
        <w:tab/>
        <w:t>34</w:t>
      </w:r>
    </w:p>
    <w:p w:rsidR="008E7176" w:rsidRDefault="008E7176" w:rsidP="008E7176">
      <w:pPr>
        <w:pStyle w:val="TOC3"/>
      </w:pPr>
      <w:r>
        <w:t>Figure 9a</w:t>
      </w:r>
      <w:r>
        <w:tab/>
        <w:t>Attribute 3A</w:t>
      </w:r>
      <w:r>
        <w:rPr>
          <w:rFonts w:ascii="FranklinGothicLT-Book" w:hAnsi="FranklinGothicLT-Book" w:cs="FranklinGothicLT-Book"/>
        </w:rPr>
        <w:t>—</w:t>
      </w:r>
      <w:r w:rsidR="00397841">
        <w:t xml:space="preserve">Waterbird abundance </w:t>
      </w:r>
      <w:r w:rsidR="00397841">
        <w:tab/>
        <w:t>35</w:t>
      </w:r>
    </w:p>
    <w:p w:rsidR="008E7176" w:rsidRDefault="008E7176" w:rsidP="008E7176">
      <w:pPr>
        <w:pStyle w:val="TOC3"/>
      </w:pPr>
      <w:r>
        <w:t>Figure 9b</w:t>
      </w:r>
      <w:r>
        <w:tab/>
        <w:t>Attributes 3B</w:t>
      </w:r>
      <w:r>
        <w:rPr>
          <w:rFonts w:ascii="FranklinGothicLT-Book" w:hAnsi="FranklinGothicLT-Book" w:cs="FranklinGothicLT-Book"/>
        </w:rPr>
        <w:t>—</w:t>
      </w:r>
      <w:r w:rsidR="00397841">
        <w:t>Waterbird breeding</w:t>
      </w:r>
      <w:r w:rsidR="00397841">
        <w:tab/>
        <w:t>35</w:t>
      </w:r>
    </w:p>
    <w:p w:rsidR="008E7176" w:rsidRDefault="008E7176" w:rsidP="008E7176">
      <w:pPr>
        <w:pStyle w:val="TOC3"/>
      </w:pPr>
      <w:r>
        <w:t>Fi</w:t>
      </w:r>
      <w:r w:rsidR="00397841">
        <w:t>gure 9c</w:t>
      </w:r>
      <w:r w:rsidR="00397841">
        <w:tab/>
        <w:t xml:space="preserve">Attribute 3C—Refugia </w:t>
      </w:r>
      <w:r w:rsidR="00397841">
        <w:tab/>
        <w:t>36</w:t>
      </w:r>
    </w:p>
    <w:p w:rsidR="008E7176" w:rsidRDefault="008E7176" w:rsidP="008E7176">
      <w:pPr>
        <w:pStyle w:val="TOC3"/>
      </w:pPr>
      <w:r>
        <w:t>Figure 10</w:t>
      </w:r>
      <w:r>
        <w:tab/>
        <w:t>Vital habitat attributes combin</w:t>
      </w:r>
      <w:r w:rsidR="00397841">
        <w:t>ed and weighted</w:t>
      </w:r>
      <w:r w:rsidR="00397841">
        <w:tab/>
        <w:t>36</w:t>
      </w:r>
    </w:p>
    <w:p w:rsidR="008E7176" w:rsidRDefault="008E7176" w:rsidP="008E7176">
      <w:pPr>
        <w:pStyle w:val="TOC3"/>
      </w:pPr>
      <w:r>
        <w:t>Figure 11</w:t>
      </w:r>
      <w:r>
        <w:tab/>
        <w:t>Evolutio</w:t>
      </w:r>
      <w:r w:rsidR="00397841">
        <w:t xml:space="preserve">nary history—endemic species </w:t>
      </w:r>
      <w:r w:rsidR="00397841">
        <w:tab/>
        <w:t>37</w:t>
      </w:r>
    </w:p>
    <w:p w:rsidR="008E7176" w:rsidRDefault="008E7176" w:rsidP="008E7176">
      <w:pPr>
        <w:pStyle w:val="TOC3"/>
      </w:pPr>
      <w:r>
        <w:t>Figure 12</w:t>
      </w:r>
      <w:r w:rsidR="00397841">
        <w:t>a</w:t>
      </w:r>
      <w:r w:rsidR="00397841">
        <w:tab/>
        <w:t>Mean Flow Disturbance Index</w:t>
      </w:r>
      <w:r w:rsidR="00397841">
        <w:tab/>
        <w:t>38</w:t>
      </w:r>
    </w:p>
    <w:p w:rsidR="008E7176" w:rsidRDefault="008E7176" w:rsidP="008E7176">
      <w:pPr>
        <w:pStyle w:val="TOC3"/>
      </w:pPr>
      <w:r>
        <w:t>Figure 12b</w:t>
      </w:r>
      <w:r>
        <w:tab/>
        <w:t>Mean</w:t>
      </w:r>
      <w:r w:rsidR="00397841">
        <w:t xml:space="preserve"> Catchment Disturbance Index </w:t>
      </w:r>
      <w:r w:rsidR="00397841">
        <w:tab/>
        <w:t>39</w:t>
      </w:r>
    </w:p>
    <w:p w:rsidR="008E7176" w:rsidRDefault="008E7176" w:rsidP="008E7176">
      <w:pPr>
        <w:pStyle w:val="TOC3"/>
      </w:pPr>
      <w:r>
        <w:t>Figure 13</w:t>
      </w:r>
      <w:r>
        <w:tab/>
        <w:t xml:space="preserve">Assessment units that scored ‘very high’ in at least one criterion (criteria 1 to 4) </w:t>
      </w:r>
      <w:r>
        <w:br/>
        <w:t>or contained</w:t>
      </w:r>
      <w:r w:rsidR="00397841">
        <w:t xml:space="preserve"> representative wetland types</w:t>
      </w:r>
      <w:r w:rsidR="00397841">
        <w:tab/>
        <w:t>41</w:t>
      </w:r>
    </w:p>
    <w:p w:rsidR="008E7176" w:rsidRDefault="008E7176" w:rsidP="008E7176">
      <w:pPr>
        <w:pStyle w:val="TOC3"/>
      </w:pPr>
      <w:r>
        <w:t>Figure 14</w:t>
      </w:r>
      <w:r>
        <w:tab/>
        <w:t xml:space="preserve">Nominated distinctive, rare or threatened geomorphic, hydrological or </w:t>
      </w:r>
      <w:r>
        <w:br/>
        <w:t xml:space="preserve">ecological features (including those important for evolutionary history) from </w:t>
      </w:r>
      <w:r>
        <w:br/>
        <w:t xml:space="preserve">the Northern Territory, together with high-ranking </w:t>
      </w:r>
      <w:r w:rsidR="00397841">
        <w:t>assessment units</w:t>
      </w:r>
      <w:r w:rsidR="00397841">
        <w:tab/>
        <w:t>48</w:t>
      </w:r>
    </w:p>
    <w:p w:rsidR="008E7176" w:rsidRDefault="008E7176" w:rsidP="008E7176">
      <w:pPr>
        <w:pStyle w:val="TOC3"/>
      </w:pPr>
      <w:r>
        <w:t>Figure 15</w:t>
      </w:r>
      <w:r>
        <w:tab/>
        <w:t xml:space="preserve">Nominated distinctive, rare or threatened geomorphic, hydrological or </w:t>
      </w:r>
      <w:r>
        <w:br/>
        <w:t>ecological features</w:t>
      </w:r>
      <w:r>
        <w:rPr>
          <w:rFonts w:ascii="FranklinGothicLT-Book" w:hAnsi="FranklinGothicLT-Book" w:cs="FranklinGothicLT-Book"/>
        </w:rPr>
        <w:t xml:space="preserve"> </w:t>
      </w:r>
      <w:r>
        <w:t xml:space="preserve">(including those important for evolutionary history) from </w:t>
      </w:r>
      <w:r>
        <w:br/>
        <w:t xml:space="preserve">Queensland, together with </w:t>
      </w:r>
      <w:r w:rsidR="00397841">
        <w:t>high ranking assessment units</w:t>
      </w:r>
      <w:r w:rsidR="00397841">
        <w:tab/>
        <w:t>51</w:t>
      </w:r>
    </w:p>
    <w:p w:rsidR="008E7176" w:rsidRDefault="008E7176" w:rsidP="008E7176">
      <w:pPr>
        <w:pStyle w:val="TOC3"/>
      </w:pPr>
      <w:r>
        <w:t>Figure 16</w:t>
      </w:r>
      <w:r>
        <w:tab/>
        <w:t xml:space="preserve">Nominated distinctive, rare or threatened geomorphic, hydrological </w:t>
      </w:r>
      <w:r>
        <w:br/>
        <w:t xml:space="preserve">or ecological features (including those important for evolutionary history) </w:t>
      </w:r>
      <w:r>
        <w:br/>
        <w:t>from South Australia, together with h</w:t>
      </w:r>
      <w:r w:rsidR="00397841">
        <w:t xml:space="preserve">igh-ranking assessment units </w:t>
      </w:r>
      <w:r w:rsidR="00397841">
        <w:tab/>
        <w:t>54</w:t>
      </w:r>
    </w:p>
    <w:p w:rsidR="008E7176" w:rsidRDefault="008E7176" w:rsidP="008E7176">
      <w:pPr>
        <w:pStyle w:val="TOC3"/>
      </w:pPr>
      <w:r>
        <w:t>Figure 17</w:t>
      </w:r>
      <w:r>
        <w:tab/>
        <w:t>Aquatic ecosystems that contribute significantly to the val</w:t>
      </w:r>
      <w:r w:rsidR="00397841">
        <w:t xml:space="preserve">ues of </w:t>
      </w:r>
      <w:r w:rsidR="00397841">
        <w:br/>
        <w:t xml:space="preserve">assessment unit 6455 </w:t>
      </w:r>
      <w:r w:rsidR="00397841">
        <w:tab/>
        <w:t>58</w:t>
      </w:r>
    </w:p>
    <w:p w:rsidR="008E7176" w:rsidRDefault="008E7176" w:rsidP="008E7176">
      <w:pPr>
        <w:pStyle w:val="TOC3"/>
      </w:pPr>
      <w:r>
        <w:t>Figure 18</w:t>
      </w:r>
      <w:r>
        <w:tab/>
        <w:t xml:space="preserve">IBRA </w:t>
      </w:r>
      <w:proofErr w:type="spellStart"/>
      <w:r>
        <w:t>subregions</w:t>
      </w:r>
      <w:proofErr w:type="spellEnd"/>
      <w:r>
        <w:t xml:space="preserve"> surrounding the core elements identified</w:t>
      </w:r>
      <w:r w:rsidR="00397841">
        <w:t xml:space="preserve"> within </w:t>
      </w:r>
      <w:r w:rsidR="00397841">
        <w:br/>
        <w:t>assessment unit 6455</w:t>
      </w:r>
      <w:r w:rsidR="00397841">
        <w:tab/>
        <w:t>59</w:t>
      </w:r>
    </w:p>
    <w:p w:rsidR="008E7176" w:rsidRDefault="008E7176" w:rsidP="008E7176">
      <w:pPr>
        <w:pStyle w:val="TOC3"/>
      </w:pPr>
      <w:r>
        <w:t>Figure 19</w:t>
      </w:r>
      <w:r>
        <w:tab/>
        <w:t xml:space="preserve">Land use surrounding the core </w:t>
      </w:r>
      <w:r>
        <w:br/>
        <w:t>elements identified within assessment unit 6455 (2008 Land Use</w:t>
      </w:r>
      <w:r w:rsidR="00397841">
        <w:t>)</w:t>
      </w:r>
      <w:r w:rsidR="00397841">
        <w:tab/>
        <w:t>59</w:t>
      </w:r>
    </w:p>
    <w:p w:rsidR="008E7176" w:rsidRDefault="008E7176" w:rsidP="008E7176">
      <w:pPr>
        <w:pStyle w:val="TOC3"/>
      </w:pPr>
      <w:r>
        <w:t>Figure 20</w:t>
      </w:r>
      <w:r>
        <w:tab/>
        <w:t xml:space="preserve">Land systems mapping of the area surrounding the core elements identified </w:t>
      </w:r>
      <w:r>
        <w:br/>
        <w:t>within assessment unit 6455 (South Au</w:t>
      </w:r>
      <w:r w:rsidR="00397841">
        <w:t>stralian Land System mapping)</w:t>
      </w:r>
      <w:r w:rsidR="00397841">
        <w:tab/>
        <w:t>60</w:t>
      </w:r>
    </w:p>
    <w:p w:rsidR="008E7176" w:rsidRDefault="008E7176" w:rsidP="008E7176">
      <w:pPr>
        <w:pStyle w:val="TOC3"/>
      </w:pPr>
      <w:r>
        <w:t>Figure 21</w:t>
      </w:r>
      <w:r>
        <w:tab/>
        <w:t xml:space="preserve">Dominant vegetation classes in the area surrounding the core elements identified </w:t>
      </w:r>
      <w:r>
        <w:br/>
        <w:t>within assessment unit 6455 (South Austr</w:t>
      </w:r>
      <w:r w:rsidR="00397841">
        <w:t>alian vegetation ID mapping).</w:t>
      </w:r>
      <w:r w:rsidR="00397841">
        <w:tab/>
        <w:t>61</w:t>
      </w:r>
    </w:p>
    <w:p w:rsidR="008E7176" w:rsidRDefault="008E7176" w:rsidP="008E7176">
      <w:pPr>
        <w:pStyle w:val="TOC3"/>
      </w:pPr>
      <w:r>
        <w:t>Figure 22</w:t>
      </w:r>
      <w:r>
        <w:tab/>
        <w:t>Location of species records for wetland-dependent flora and f</w:t>
      </w:r>
      <w:r w:rsidR="00397841">
        <w:t xml:space="preserve">auna in </w:t>
      </w:r>
      <w:r w:rsidR="00397841">
        <w:br/>
        <w:t>assessment unit 6455</w:t>
      </w:r>
      <w:r w:rsidR="00397841">
        <w:tab/>
        <w:t>62</w:t>
      </w:r>
    </w:p>
    <w:p w:rsidR="008E7176" w:rsidRDefault="008E7176" w:rsidP="008E7176">
      <w:pPr>
        <w:pStyle w:val="TOC3"/>
      </w:pPr>
      <w:r>
        <w:t>Figure 23</w:t>
      </w:r>
      <w:r>
        <w:tab/>
        <w:t xml:space="preserve">Boundary of wetted soil profile surrounding the core elements identified </w:t>
      </w:r>
      <w:r>
        <w:br/>
        <w:t>within assessment unit 6455 as determined</w:t>
      </w:r>
      <w:r w:rsidR="00397841">
        <w:t xml:space="preserve"> by 3 m airborne imagery 2010</w:t>
      </w:r>
      <w:r w:rsidR="00397841">
        <w:tab/>
        <w:t>63</w:t>
      </w:r>
    </w:p>
    <w:p w:rsidR="008E7176" w:rsidRDefault="008E7176" w:rsidP="008E7176">
      <w:pPr>
        <w:pStyle w:val="TOC3"/>
      </w:pPr>
      <w:r>
        <w:t>Figure 24</w:t>
      </w:r>
      <w:r>
        <w:tab/>
        <w:t xml:space="preserve">Delineated HEVAE ecological focal zone containing </w:t>
      </w:r>
      <w:r w:rsidR="00397841">
        <w:t>the Da</w:t>
      </w:r>
      <w:r w:rsidR="00372E42">
        <w:t>lhousie Springs complex</w:t>
      </w:r>
      <w:r w:rsidR="00372E42">
        <w:tab/>
        <w:t>63</w:t>
      </w:r>
    </w:p>
    <w:p w:rsidR="008E7176" w:rsidRDefault="008E7176" w:rsidP="008E7176">
      <w:pPr>
        <w:pStyle w:val="TOC3"/>
      </w:pPr>
      <w:r>
        <w:lastRenderedPageBreak/>
        <w:t>Figure 25</w:t>
      </w:r>
      <w:r>
        <w:tab/>
        <w:t>Aquatic ecosystems that contribute significantly to the values of assessment u</w:t>
      </w:r>
      <w:r w:rsidR="00397841">
        <w:t xml:space="preserve">nits </w:t>
      </w:r>
      <w:r w:rsidR="00397841">
        <w:br/>
        <w:t>4264, 4293, and 4438</w:t>
      </w:r>
      <w:r w:rsidR="00397841">
        <w:tab/>
        <w:t>68</w:t>
      </w:r>
    </w:p>
    <w:p w:rsidR="008E7176" w:rsidRDefault="008E7176" w:rsidP="008E7176">
      <w:pPr>
        <w:pStyle w:val="TOC3"/>
      </w:pPr>
      <w:r>
        <w:t>Figure 26</w:t>
      </w:r>
      <w:r>
        <w:tab/>
        <w:t xml:space="preserve">IBRA </w:t>
      </w:r>
      <w:proofErr w:type="spellStart"/>
      <w:r>
        <w:t>subregions</w:t>
      </w:r>
      <w:proofErr w:type="spellEnd"/>
      <w:r>
        <w:t xml:space="preserve"> surrounding the core elements identified within assessmen</w:t>
      </w:r>
      <w:r w:rsidR="00397841">
        <w:t xml:space="preserve">t </w:t>
      </w:r>
      <w:r w:rsidR="00397841">
        <w:br/>
        <w:t>units 4264, 4293, and 4438</w:t>
      </w:r>
      <w:r w:rsidR="00397841">
        <w:tab/>
        <w:t>69</w:t>
      </w:r>
    </w:p>
    <w:p w:rsidR="008E7176" w:rsidRDefault="008E7176" w:rsidP="008E7176">
      <w:pPr>
        <w:pStyle w:val="TOC3"/>
      </w:pPr>
      <w:r>
        <w:t>Figure 27</w:t>
      </w:r>
      <w:r>
        <w:tab/>
        <w:t xml:space="preserve">QLD Regional Ecosystem mapping surrounding the core elements identified </w:t>
      </w:r>
      <w:r>
        <w:br/>
        <w:t xml:space="preserve">within assessment units 4264, 4293, and 4438 (Wetland mapping and </w:t>
      </w:r>
      <w:r>
        <w:br/>
        <w:t>classi</w:t>
      </w:r>
      <w:r w:rsidR="00397841">
        <w:t>fication for Queensland 2009)</w:t>
      </w:r>
      <w:r w:rsidR="00397841">
        <w:tab/>
        <w:t>69</w:t>
      </w:r>
    </w:p>
    <w:p w:rsidR="008E7176" w:rsidRDefault="008E7176" w:rsidP="008E7176">
      <w:pPr>
        <w:pStyle w:val="TOC3"/>
      </w:pPr>
      <w:r>
        <w:t>Figure 28</w:t>
      </w:r>
      <w:r>
        <w:tab/>
        <w:t xml:space="preserve">Location of species records for wetland-dependent flora and fauna in </w:t>
      </w:r>
      <w:r>
        <w:br/>
        <w:t>assessme</w:t>
      </w:r>
      <w:r w:rsidR="00397841">
        <w:t>nt units 4264, 4293, and 4438</w:t>
      </w:r>
      <w:r w:rsidR="00397841">
        <w:tab/>
        <w:t>70</w:t>
      </w:r>
    </w:p>
    <w:p w:rsidR="008E7176" w:rsidRDefault="008E7176" w:rsidP="008E7176">
      <w:pPr>
        <w:pStyle w:val="TOC3"/>
      </w:pPr>
      <w:r>
        <w:t>Figure 29</w:t>
      </w:r>
      <w:r>
        <w:tab/>
        <w:t xml:space="preserve">Core </w:t>
      </w:r>
      <w:proofErr w:type="gramStart"/>
      <w:r>
        <w:t>element</w:t>
      </w:r>
      <w:proofErr w:type="gramEnd"/>
      <w:r>
        <w:t xml:space="preserve"> (Lake Galilee) and suggested ecological focal zones for geology, </w:t>
      </w:r>
      <w:r>
        <w:br/>
      </w:r>
      <w:proofErr w:type="spellStart"/>
      <w:r>
        <w:t>macroinvertebrates</w:t>
      </w:r>
      <w:proofErr w:type="spellEnd"/>
      <w:r>
        <w:t xml:space="preserve"> and </w:t>
      </w:r>
      <w:proofErr w:type="spellStart"/>
      <w:r>
        <w:t>waterbirds</w:t>
      </w:r>
      <w:proofErr w:type="spellEnd"/>
      <w:r>
        <w:t xml:space="preserve">. The delineated HEVAE ecological focal </w:t>
      </w:r>
      <w:r>
        <w:br/>
        <w:t>zone encompasses all component EFZ and is therefore t</w:t>
      </w:r>
      <w:r w:rsidR="00397841">
        <w:t xml:space="preserve">he same as </w:t>
      </w:r>
      <w:r w:rsidR="00397841">
        <w:br/>
        <w:t xml:space="preserve">the </w:t>
      </w:r>
      <w:proofErr w:type="spellStart"/>
      <w:r w:rsidR="00397841">
        <w:t>waterbird</w:t>
      </w:r>
      <w:proofErr w:type="spellEnd"/>
      <w:r w:rsidR="00397841">
        <w:t xml:space="preserve"> EFZ</w:t>
      </w:r>
      <w:r w:rsidR="00397841">
        <w:tab/>
        <w:t>72</w:t>
      </w:r>
    </w:p>
    <w:p w:rsidR="008E7176" w:rsidRDefault="008E7176" w:rsidP="008E7176">
      <w:pPr>
        <w:pStyle w:val="TOC3"/>
      </w:pPr>
      <w:r>
        <w:t>Figure 30</w:t>
      </w:r>
      <w:r>
        <w:tab/>
        <w:t>Aquatic ecosystems that contribute significantly to the values of assessment</w:t>
      </w:r>
      <w:r w:rsidR="00397841">
        <w:t xml:space="preserve"> </w:t>
      </w:r>
      <w:r w:rsidR="00397841">
        <w:br/>
        <w:t xml:space="preserve">units 1000, 1001 and 1002. </w:t>
      </w:r>
      <w:r w:rsidR="00397841">
        <w:tab/>
        <w:t>77</w:t>
      </w:r>
    </w:p>
    <w:p w:rsidR="008E7176" w:rsidRDefault="008E7176" w:rsidP="008E7176">
      <w:pPr>
        <w:pStyle w:val="TOC3"/>
      </w:pPr>
      <w:r>
        <w:t>Figure 31</w:t>
      </w:r>
      <w:r>
        <w:tab/>
        <w:t xml:space="preserve">IBRA </w:t>
      </w:r>
      <w:proofErr w:type="spellStart"/>
      <w:r>
        <w:t>subregions</w:t>
      </w:r>
      <w:proofErr w:type="spellEnd"/>
      <w:r>
        <w:t xml:space="preserve"> surrounding the core elements identified within assessme</w:t>
      </w:r>
      <w:r w:rsidR="00397841">
        <w:t xml:space="preserve">nt </w:t>
      </w:r>
      <w:r w:rsidR="00397841">
        <w:br/>
        <w:t>units 1000, 1001 and 1002</w:t>
      </w:r>
      <w:r w:rsidR="00397841">
        <w:tab/>
        <w:t>78</w:t>
      </w:r>
    </w:p>
    <w:p w:rsidR="008E7176" w:rsidRDefault="008E7176" w:rsidP="008E7176">
      <w:pPr>
        <w:pStyle w:val="TOC3"/>
      </w:pPr>
      <w:r>
        <w:t>Figure 32</w:t>
      </w:r>
      <w:r>
        <w:tab/>
        <w:t xml:space="preserve">Dominant vegetation classes in the area surrounding the core elements identified </w:t>
      </w:r>
      <w:r>
        <w:br/>
        <w:t>within assessment units 1000, 1001 and 1002 (South Austr</w:t>
      </w:r>
      <w:r w:rsidR="00397841">
        <w:t xml:space="preserve">alian vegetation </w:t>
      </w:r>
      <w:r w:rsidR="00397841">
        <w:br/>
        <w:t>ID mapping)</w:t>
      </w:r>
      <w:r w:rsidR="00397841">
        <w:tab/>
        <w:t>79</w:t>
      </w:r>
    </w:p>
    <w:p w:rsidR="008E7176" w:rsidRDefault="008E7176" w:rsidP="008E7176">
      <w:pPr>
        <w:pStyle w:val="TOC3"/>
      </w:pPr>
      <w:r>
        <w:t>Figure 33</w:t>
      </w:r>
      <w:r>
        <w:tab/>
        <w:t>2008 land use surrounding the core elements identified within assessme</w:t>
      </w:r>
      <w:r w:rsidR="00397841">
        <w:t xml:space="preserve">nt </w:t>
      </w:r>
      <w:r w:rsidR="00397841">
        <w:br/>
        <w:t>units 1000, 1001 and 1002</w:t>
      </w:r>
      <w:r w:rsidR="00397841">
        <w:tab/>
        <w:t>79</w:t>
      </w:r>
    </w:p>
    <w:p w:rsidR="008E7176" w:rsidRDefault="008E7176" w:rsidP="008E7176">
      <w:pPr>
        <w:pStyle w:val="TOC3"/>
      </w:pPr>
      <w:r>
        <w:t>Figure 34</w:t>
      </w:r>
      <w:r>
        <w:tab/>
        <w:t xml:space="preserve">Land systems mapping of the area surrounding the core elements identified </w:t>
      </w:r>
      <w:r>
        <w:br/>
        <w:t>within assessm</w:t>
      </w:r>
      <w:r w:rsidR="00397841">
        <w:t>ent units 1000, 1001 and 1002</w:t>
      </w:r>
      <w:r w:rsidR="00397841">
        <w:tab/>
        <w:t>80</w:t>
      </w:r>
    </w:p>
    <w:p w:rsidR="008E7176" w:rsidRDefault="008E7176" w:rsidP="008E7176">
      <w:pPr>
        <w:pStyle w:val="TOC3"/>
      </w:pPr>
      <w:r>
        <w:t>Figure 35</w:t>
      </w:r>
      <w:r>
        <w:tab/>
        <w:t xml:space="preserve">Location of species records for wetland-dependent flora and fauna in assessment </w:t>
      </w:r>
      <w:r>
        <w:br/>
        <w:t xml:space="preserve">units 1000, 1001 and 1002. Stars indicate locations with species listed as rare, </w:t>
      </w:r>
      <w:r>
        <w:br/>
        <w:t xml:space="preserve">vulnerable or </w:t>
      </w:r>
      <w:r w:rsidR="00397841">
        <w:t>endangered in South Australia</w:t>
      </w:r>
      <w:r w:rsidR="00397841">
        <w:tab/>
        <w:t>81</w:t>
      </w:r>
    </w:p>
    <w:p w:rsidR="008E7176" w:rsidRDefault="008E7176" w:rsidP="008E7176">
      <w:pPr>
        <w:pStyle w:val="TOC3"/>
      </w:pPr>
      <w:r>
        <w:t>Figure 36</w:t>
      </w:r>
      <w:r>
        <w:tab/>
        <w:t xml:space="preserve">One in 10 year flood inundation limit for the lower Cooper Creek containing the </w:t>
      </w:r>
      <w:r>
        <w:br/>
        <w:t>core elements identified within assessm</w:t>
      </w:r>
      <w:r w:rsidR="00397841">
        <w:t>ent units 1000, 1001 and 1002</w:t>
      </w:r>
      <w:r w:rsidR="00397841">
        <w:tab/>
        <w:t>82</w:t>
      </w:r>
    </w:p>
    <w:p w:rsidR="008E7176" w:rsidRDefault="008E7176" w:rsidP="008E7176">
      <w:pPr>
        <w:pStyle w:val="TOC3"/>
      </w:pPr>
      <w:r>
        <w:t>Fi</w:t>
      </w:r>
      <w:r>
        <w:rPr>
          <w:rFonts w:ascii="FranklinGothicLT-Book" w:hAnsi="FranklinGothicLT-Book" w:cs="FranklinGothicLT-Book"/>
        </w:rPr>
        <w:t>g</w:t>
      </w:r>
      <w:r>
        <w:t>ure 37</w:t>
      </w:r>
      <w:r>
        <w:tab/>
        <w:t xml:space="preserve">Delineated HEVAE ecological focal zone containing </w:t>
      </w:r>
      <w:proofErr w:type="spellStart"/>
      <w:r>
        <w:t>Coongie</w:t>
      </w:r>
      <w:proofErr w:type="spellEnd"/>
      <w:r>
        <w:t xml:space="preserve"> Lakes and wetland</w:t>
      </w:r>
      <w:r w:rsidR="00397841">
        <w:t xml:space="preserve">s </w:t>
      </w:r>
      <w:r w:rsidR="00397841">
        <w:br/>
        <w:t xml:space="preserve">of the lower Cooper Creek </w:t>
      </w:r>
      <w:r w:rsidR="00397841">
        <w:tab/>
        <w:t>83</w:t>
      </w:r>
    </w:p>
    <w:p w:rsidR="008E7176" w:rsidRDefault="008E7176" w:rsidP="008E7176">
      <w:pPr>
        <w:pStyle w:val="TOC3"/>
      </w:pPr>
      <w:r>
        <w:t>Figure 38</w:t>
      </w:r>
      <w:r>
        <w:tab/>
        <w:t>Aquatic ecosystems that contribute significantly to the values of assessment uni</w:t>
      </w:r>
      <w:r w:rsidR="00397841">
        <w:t xml:space="preserve">ts </w:t>
      </w:r>
      <w:r w:rsidR="00397841">
        <w:br/>
        <w:t>4779, 5088, 5093 and 5094</w:t>
      </w:r>
      <w:r w:rsidR="00397841">
        <w:tab/>
        <w:t>88</w:t>
      </w:r>
    </w:p>
    <w:p w:rsidR="008E7176" w:rsidRDefault="008E7176" w:rsidP="008E7176">
      <w:pPr>
        <w:pStyle w:val="TOC3"/>
      </w:pPr>
      <w:r>
        <w:t>Figure 39</w:t>
      </w:r>
      <w:r>
        <w:tab/>
        <w:t xml:space="preserve">IBRA </w:t>
      </w:r>
      <w:proofErr w:type="spellStart"/>
      <w:r>
        <w:t>subregions</w:t>
      </w:r>
      <w:proofErr w:type="spellEnd"/>
      <w:r>
        <w:t xml:space="preserve"> surrounding the core elements (</w:t>
      </w:r>
      <w:proofErr w:type="spellStart"/>
      <w:r>
        <w:t>Chewings</w:t>
      </w:r>
      <w:proofErr w:type="spellEnd"/>
      <w:r>
        <w:t xml:space="preserve"> Range spring-fed pools) </w:t>
      </w:r>
      <w:r>
        <w:br/>
        <w:t>identified within assessment un</w:t>
      </w:r>
      <w:r w:rsidR="00397841">
        <w:t>its 4779, 5088, 5093 and 5094</w:t>
      </w:r>
      <w:r w:rsidR="00397841">
        <w:tab/>
        <w:t>89</w:t>
      </w:r>
    </w:p>
    <w:p w:rsidR="008E7176" w:rsidRDefault="008E7176" w:rsidP="008E7176">
      <w:pPr>
        <w:pStyle w:val="TOC3"/>
      </w:pPr>
      <w:r>
        <w:t>Figure 40</w:t>
      </w:r>
      <w:r>
        <w:tab/>
        <w:t xml:space="preserve">Distribution of the </w:t>
      </w:r>
      <w:proofErr w:type="spellStart"/>
      <w:r>
        <w:t>Chewings</w:t>
      </w:r>
      <w:proofErr w:type="spellEnd"/>
      <w:r>
        <w:t xml:space="preserve"> Range quartzite formation (Digital Geolog</w:t>
      </w:r>
      <w:r w:rsidR="00397841">
        <w:t xml:space="preserve">y of the </w:t>
      </w:r>
      <w:r w:rsidR="00397841">
        <w:br/>
        <w:t>Northern Territory)</w:t>
      </w:r>
      <w:r w:rsidR="00397841">
        <w:tab/>
        <w:t>89</w:t>
      </w:r>
    </w:p>
    <w:p w:rsidR="008E7176" w:rsidRDefault="008E7176" w:rsidP="008E7176">
      <w:pPr>
        <w:pStyle w:val="TOC3"/>
      </w:pPr>
      <w:r>
        <w:t>Figure 41</w:t>
      </w:r>
      <w:r>
        <w:tab/>
        <w:t xml:space="preserve">Delineated HEVAE ecological focal zone containing </w:t>
      </w:r>
      <w:proofErr w:type="spellStart"/>
      <w:r>
        <w:t>Che</w:t>
      </w:r>
      <w:r w:rsidR="00397841">
        <w:t>wings</w:t>
      </w:r>
      <w:proofErr w:type="spellEnd"/>
      <w:r w:rsidR="00397841">
        <w:t xml:space="preserve"> Range spring-fed pools </w:t>
      </w:r>
      <w:r w:rsidR="00397841">
        <w:tab/>
        <w:t>90</w:t>
      </w:r>
    </w:p>
    <w:p w:rsidR="008E7176" w:rsidRDefault="008E7176" w:rsidP="008E7176">
      <w:pPr>
        <w:pStyle w:val="TOC3"/>
      </w:pPr>
    </w:p>
    <w:p w:rsidR="00CD4C0A" w:rsidRDefault="00CD4C0A" w:rsidP="008E7176">
      <w:pPr>
        <w:pStyle w:val="H2"/>
      </w:pPr>
    </w:p>
    <w:p w:rsidR="008E7176" w:rsidRDefault="008E7176" w:rsidP="00111BEA">
      <w:pPr>
        <w:pStyle w:val="Heading2"/>
      </w:pPr>
      <w:r>
        <w:lastRenderedPageBreak/>
        <w:t>List of tables</w:t>
      </w:r>
    </w:p>
    <w:p w:rsidR="008E7176" w:rsidRDefault="008E7176" w:rsidP="008E7176">
      <w:pPr>
        <w:pStyle w:val="TOC3"/>
      </w:pPr>
      <w:r>
        <w:t>Table 1</w:t>
      </w:r>
      <w:r>
        <w:tab/>
        <w:t>Key attributes used to classify non-</w:t>
      </w:r>
      <w:proofErr w:type="spellStart"/>
      <w:r>
        <w:t>riverine</w:t>
      </w:r>
      <w:proofErr w:type="spellEnd"/>
      <w:r>
        <w:t xml:space="preserve"> and </w:t>
      </w:r>
      <w:proofErr w:type="spellStart"/>
      <w:r>
        <w:t>riverine</w:t>
      </w:r>
      <w:proofErr w:type="spellEnd"/>
      <w:r>
        <w:t xml:space="preserve"> aquatic ecosystems </w:t>
      </w:r>
      <w:r>
        <w:br/>
        <w:t>across the Lake Eyre Basin</w:t>
      </w:r>
      <w:r>
        <w:tab/>
        <w:t>4</w:t>
      </w:r>
    </w:p>
    <w:p w:rsidR="008E7176" w:rsidRDefault="008E7176" w:rsidP="008E7176">
      <w:pPr>
        <w:pStyle w:val="TOC3"/>
      </w:pPr>
      <w:r>
        <w:t>Table 2</w:t>
      </w:r>
      <w:r>
        <w:tab/>
        <w:t xml:space="preserve">Attributes and metrics used to identify potential HEVAE in the Lake Eyre Basin, </w:t>
      </w:r>
      <w:r>
        <w:br/>
        <w:t>and their r</w:t>
      </w:r>
      <w:r w:rsidR="00397841">
        <w:t>ationale and data requirements</w:t>
      </w:r>
      <w:r w:rsidR="00397841">
        <w:tab/>
        <w:t>10</w:t>
      </w:r>
    </w:p>
    <w:p w:rsidR="008E7176" w:rsidRDefault="008E7176" w:rsidP="008E7176">
      <w:pPr>
        <w:pStyle w:val="TOC3"/>
      </w:pPr>
      <w:r>
        <w:t>Table 3</w:t>
      </w:r>
      <w:r>
        <w:tab/>
        <w:t>Agreed weightings for attributes</w:t>
      </w:r>
      <w:r>
        <w:tab/>
        <w:t>20</w:t>
      </w:r>
    </w:p>
    <w:p w:rsidR="008E7176" w:rsidRDefault="008E7176" w:rsidP="008E7176">
      <w:pPr>
        <w:pStyle w:val="TOC3"/>
      </w:pPr>
      <w:proofErr w:type="gramStart"/>
      <w:r>
        <w:t>Table 4</w:t>
      </w:r>
      <w:r>
        <w:tab/>
        <w:t xml:space="preserve">Summary of assessment units that scored very high in at least one criterion </w:t>
      </w:r>
      <w:r>
        <w:br/>
        <w:t>(C1 to C</w:t>
      </w:r>
      <w:r w:rsidR="00397841">
        <w:t>4).</w:t>
      </w:r>
      <w:proofErr w:type="gramEnd"/>
      <w:r w:rsidR="00397841">
        <w:t xml:space="preserve"> ‘Very high’ scores shaded</w:t>
      </w:r>
      <w:r w:rsidR="00397841">
        <w:tab/>
        <w:t>42</w:t>
      </w:r>
    </w:p>
    <w:p w:rsidR="008E7176" w:rsidRDefault="008E7176" w:rsidP="008E7176">
      <w:pPr>
        <w:pStyle w:val="TOC3"/>
      </w:pPr>
      <w:r>
        <w:t>Table 5</w:t>
      </w:r>
      <w:r>
        <w:tab/>
        <w:t xml:space="preserve">Nominations for distinctive, rare or threatened geomorphic, hydrological or </w:t>
      </w:r>
      <w:r>
        <w:br/>
        <w:t xml:space="preserve">ecological features (including those important for evolutionary history) from the NT, </w:t>
      </w:r>
      <w:r>
        <w:br/>
        <w:t>together wit</w:t>
      </w:r>
      <w:r w:rsidR="00397841">
        <w:t>h the outcomes of the scoring</w:t>
      </w:r>
      <w:r w:rsidR="00397841">
        <w:tab/>
        <w:t>49</w:t>
      </w:r>
    </w:p>
    <w:p w:rsidR="008E7176" w:rsidRDefault="008E7176" w:rsidP="008E7176">
      <w:pPr>
        <w:pStyle w:val="TOC3"/>
      </w:pPr>
      <w:r>
        <w:t>Table 6</w:t>
      </w:r>
      <w:r>
        <w:tab/>
        <w:t xml:space="preserve">Nominations for distinctive, rare or threatened geomorphic, hydrological or </w:t>
      </w:r>
      <w:r>
        <w:br/>
        <w:t xml:space="preserve">ecological features (including those important for evolutionary history) from </w:t>
      </w:r>
      <w:r>
        <w:br/>
        <w:t>Queensland, together wit</w:t>
      </w:r>
      <w:r w:rsidR="00397841">
        <w:t>h the outcomes of the scoring</w:t>
      </w:r>
      <w:r w:rsidR="00397841">
        <w:tab/>
        <w:t>52</w:t>
      </w:r>
    </w:p>
    <w:p w:rsidR="008E7176" w:rsidRDefault="008E7176" w:rsidP="008E7176">
      <w:pPr>
        <w:pStyle w:val="TOC3"/>
      </w:pPr>
      <w:r>
        <w:t>Table 7</w:t>
      </w:r>
      <w:r>
        <w:tab/>
        <w:t xml:space="preserve">Nominations for distinctive, rare or threatened geomorphic, hydrological or </w:t>
      </w:r>
      <w:r>
        <w:br/>
        <w:t xml:space="preserve">ecological features (including those important for evolutionary history) from the </w:t>
      </w:r>
      <w:r>
        <w:br/>
        <w:t>South Australia, together wit</w:t>
      </w:r>
      <w:r w:rsidR="00397841">
        <w:t>h the outcomes of the scoring</w:t>
      </w:r>
      <w:r w:rsidR="00397841">
        <w:tab/>
        <w:t>55</w:t>
      </w:r>
    </w:p>
    <w:p w:rsidR="008E7176" w:rsidRDefault="008E7176" w:rsidP="008E7176">
      <w:pPr>
        <w:pStyle w:val="TOC3"/>
      </w:pPr>
      <w:r>
        <w:t>Table 8</w:t>
      </w:r>
      <w:r>
        <w:tab/>
        <w:t>Outputs of LEB HEVAE t</w:t>
      </w:r>
      <w:r w:rsidR="00397841">
        <w:t>rial for assessment unit 6455</w:t>
      </w:r>
      <w:r w:rsidR="00397841">
        <w:tab/>
        <w:t>57</w:t>
      </w:r>
    </w:p>
    <w:p w:rsidR="008E7176" w:rsidRDefault="008E7176" w:rsidP="008E7176">
      <w:pPr>
        <w:pStyle w:val="TOC3"/>
      </w:pPr>
      <w:r>
        <w:t>Table 9</w:t>
      </w:r>
      <w:r>
        <w:tab/>
        <w:t>Outputs of LEB HEVAE trial for assessment units 4264, 429</w:t>
      </w:r>
      <w:r w:rsidR="00397841">
        <w:t xml:space="preserve">3, 4438 </w:t>
      </w:r>
      <w:r w:rsidR="00397841">
        <w:br/>
        <w:t>(highest rank shown)</w:t>
      </w:r>
      <w:r w:rsidR="00397841">
        <w:tab/>
        <w:t>66</w:t>
      </w:r>
    </w:p>
    <w:p w:rsidR="008E7176" w:rsidRDefault="008E7176" w:rsidP="008E7176">
      <w:pPr>
        <w:pStyle w:val="TOC3"/>
      </w:pPr>
      <w:r>
        <w:t>Table 10</w:t>
      </w:r>
      <w:r>
        <w:tab/>
        <w:t>Outputs of LEB HEVAE trial for assessment units 1000, 100</w:t>
      </w:r>
      <w:r w:rsidR="00397841">
        <w:t xml:space="preserve">1, 1002 </w:t>
      </w:r>
      <w:r w:rsidR="00397841">
        <w:br/>
        <w:t>(highest rank shown)</w:t>
      </w:r>
      <w:r w:rsidR="00397841">
        <w:tab/>
        <w:t>75</w:t>
      </w:r>
    </w:p>
    <w:p w:rsidR="008E7176" w:rsidRDefault="008E7176" w:rsidP="008E7176">
      <w:pPr>
        <w:pStyle w:val="TOC3"/>
      </w:pPr>
      <w:r>
        <w:t xml:space="preserve">Table 11 </w:t>
      </w:r>
      <w:r>
        <w:tab/>
        <w:t>Outputs of LEB HEVAE trial for assessment units 4779, 508</w:t>
      </w:r>
      <w:r w:rsidR="00397841">
        <w:t xml:space="preserve">8, 5093 </w:t>
      </w:r>
      <w:r w:rsidR="00397841">
        <w:br/>
        <w:t>(highest rank shown)</w:t>
      </w:r>
      <w:r w:rsidR="00397841">
        <w:tab/>
        <w:t>86</w:t>
      </w:r>
    </w:p>
    <w:p w:rsidR="008E7176" w:rsidRDefault="008E7176" w:rsidP="008E7176">
      <w:pPr>
        <w:pStyle w:val="H1"/>
      </w:pPr>
    </w:p>
    <w:p w:rsidR="008E7176" w:rsidRDefault="008E7176">
      <w:pPr>
        <w:rPr>
          <w:rFonts w:ascii="VAGRoundedLT-Bold" w:hAnsi="VAGRoundedLT-Bold" w:cs="VAGRoundedLT-Bold"/>
          <w:b/>
          <w:bCs/>
          <w:color w:val="9EA274"/>
          <w:sz w:val="40"/>
          <w:szCs w:val="40"/>
          <w:lang w:val="en-US" w:eastAsia="ja-JP"/>
        </w:rPr>
      </w:pPr>
      <w:r>
        <w:br w:type="page"/>
      </w:r>
    </w:p>
    <w:p w:rsidR="008E7176" w:rsidRDefault="008E7176" w:rsidP="00111BEA">
      <w:pPr>
        <w:pStyle w:val="Heading1"/>
      </w:pPr>
      <w:r>
        <w:lastRenderedPageBreak/>
        <w:t>Abbreviations</w:t>
      </w:r>
    </w:p>
    <w:tbl>
      <w:tblPr>
        <w:tblW w:w="8936" w:type="dxa"/>
        <w:tblInd w:w="80" w:type="dxa"/>
        <w:tblLayout w:type="fixed"/>
        <w:tblCellMar>
          <w:left w:w="0" w:type="dxa"/>
          <w:right w:w="0" w:type="dxa"/>
        </w:tblCellMar>
        <w:tblLook w:val="0000"/>
      </w:tblPr>
      <w:tblGrid>
        <w:gridCol w:w="1577"/>
        <w:gridCol w:w="7359"/>
      </w:tblGrid>
      <w:tr w:rsidR="008E7176" w:rsidTr="00111BEA">
        <w:trPr>
          <w:trHeight w:val="56"/>
        </w:trPr>
        <w:tc>
          <w:tcPr>
            <w:tcW w:w="1577"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CD4C0A" w:rsidRDefault="008E7176" w:rsidP="00F20662">
            <w:pPr>
              <w:pStyle w:val="Tabletext"/>
              <w:spacing w:after="60"/>
              <w:rPr>
                <w:b/>
                <w:color w:val="FFFFFF" w:themeColor="background1"/>
              </w:rPr>
            </w:pPr>
            <w:r w:rsidRPr="00CD4C0A">
              <w:rPr>
                <w:rStyle w:val="Medium"/>
                <w:b/>
                <w:color w:val="FFFFFF" w:themeColor="background1"/>
              </w:rPr>
              <w:t>AETG</w:t>
            </w:r>
          </w:p>
        </w:tc>
        <w:tc>
          <w:tcPr>
            <w:tcW w:w="7359"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CD4C0A" w:rsidRDefault="008E7176" w:rsidP="00F20662">
            <w:pPr>
              <w:pStyle w:val="Tabletext"/>
              <w:spacing w:after="60"/>
              <w:rPr>
                <w:color w:val="FFFFFF" w:themeColor="background1"/>
              </w:rPr>
            </w:pPr>
            <w:r w:rsidRPr="00CD4C0A">
              <w:rPr>
                <w:color w:val="FFFFFF" w:themeColor="background1"/>
              </w:rPr>
              <w:t>Aquatic Ecosystems Task Group</w:t>
            </w:r>
          </w:p>
        </w:tc>
      </w:tr>
      <w:tr w:rsidR="008E7176" w:rsidTr="00111BEA">
        <w:trPr>
          <w:trHeight w:val="56"/>
        </w:trPr>
        <w:tc>
          <w:tcPr>
            <w:tcW w:w="1577" w:type="dxa"/>
            <w:tcBorders>
              <w:top w:val="nil"/>
              <w:left w:val="nil"/>
              <w:right w:val="nil"/>
            </w:tcBorders>
            <w:tcMar>
              <w:top w:w="80" w:type="dxa"/>
              <w:left w:w="80" w:type="dxa"/>
              <w:bottom w:w="80" w:type="dxa"/>
              <w:right w:w="80" w:type="dxa"/>
            </w:tcMar>
          </w:tcPr>
          <w:p w:rsidR="008E7176" w:rsidRPr="00CD4C0A" w:rsidRDefault="008E7176" w:rsidP="00F20662">
            <w:pPr>
              <w:pStyle w:val="Tabletext"/>
              <w:spacing w:after="60"/>
              <w:rPr>
                <w:b/>
              </w:rPr>
            </w:pPr>
            <w:r w:rsidRPr="00CD4C0A">
              <w:rPr>
                <w:rStyle w:val="Medium"/>
                <w:b/>
              </w:rPr>
              <w:t>ANAE</w:t>
            </w:r>
          </w:p>
        </w:tc>
        <w:tc>
          <w:tcPr>
            <w:tcW w:w="7359" w:type="dxa"/>
            <w:tcBorders>
              <w:top w:val="nil"/>
              <w:left w:val="nil"/>
              <w:right w:val="nil"/>
            </w:tcBorders>
            <w:tcMar>
              <w:top w:w="80" w:type="dxa"/>
              <w:left w:w="80" w:type="dxa"/>
              <w:bottom w:w="80" w:type="dxa"/>
              <w:right w:w="80" w:type="dxa"/>
            </w:tcMar>
          </w:tcPr>
          <w:p w:rsidR="008E7176" w:rsidRDefault="008E7176" w:rsidP="00F20662">
            <w:pPr>
              <w:pStyle w:val="Tabletext"/>
              <w:spacing w:after="60"/>
            </w:pPr>
            <w:r>
              <w:t>Australian National Aquatic Ecosystems (Classification Scheme)</w:t>
            </w:r>
          </w:p>
        </w:tc>
      </w:tr>
      <w:tr w:rsidR="008E7176" w:rsidTr="00111BEA">
        <w:trPr>
          <w:trHeight w:val="56"/>
        </w:trPr>
        <w:tc>
          <w:tcPr>
            <w:tcW w:w="1577"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CD4C0A" w:rsidRDefault="008E7176" w:rsidP="00F20662">
            <w:pPr>
              <w:pStyle w:val="Tabletext"/>
              <w:spacing w:after="60"/>
              <w:rPr>
                <w:b/>
                <w:color w:val="FFFFFF" w:themeColor="background1"/>
              </w:rPr>
            </w:pPr>
            <w:proofErr w:type="spellStart"/>
            <w:r w:rsidRPr="00CD4C0A">
              <w:rPr>
                <w:rStyle w:val="Medium"/>
                <w:b/>
                <w:color w:val="FFFFFF" w:themeColor="background1"/>
              </w:rPr>
              <w:t>AquaBAMM</w:t>
            </w:r>
            <w:proofErr w:type="spellEnd"/>
          </w:p>
        </w:tc>
        <w:tc>
          <w:tcPr>
            <w:tcW w:w="7359"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CD4C0A" w:rsidRDefault="008E7176" w:rsidP="00F20662">
            <w:pPr>
              <w:pStyle w:val="Tabletext"/>
              <w:spacing w:after="60"/>
              <w:rPr>
                <w:color w:val="FFFFFF" w:themeColor="background1"/>
              </w:rPr>
            </w:pPr>
            <w:r w:rsidRPr="00CD4C0A">
              <w:rPr>
                <w:color w:val="FFFFFF" w:themeColor="background1"/>
              </w:rPr>
              <w:t>Aquatic Biodiversity Assessment Mapping Methodology</w:t>
            </w:r>
          </w:p>
        </w:tc>
      </w:tr>
      <w:tr w:rsidR="008E7176" w:rsidTr="00111BEA">
        <w:trPr>
          <w:trHeight w:val="56"/>
        </w:trPr>
        <w:tc>
          <w:tcPr>
            <w:tcW w:w="1577" w:type="dxa"/>
            <w:tcBorders>
              <w:top w:val="nil"/>
              <w:left w:val="nil"/>
              <w:right w:val="nil"/>
            </w:tcBorders>
            <w:tcMar>
              <w:top w:w="80" w:type="dxa"/>
              <w:left w:w="80" w:type="dxa"/>
              <w:bottom w:w="80" w:type="dxa"/>
              <w:right w:w="80" w:type="dxa"/>
            </w:tcMar>
          </w:tcPr>
          <w:p w:rsidR="008E7176" w:rsidRPr="00CD4C0A" w:rsidRDefault="008E7176" w:rsidP="00F20662">
            <w:pPr>
              <w:pStyle w:val="Tabletext"/>
              <w:spacing w:after="60"/>
              <w:rPr>
                <w:b/>
              </w:rPr>
            </w:pPr>
            <w:r w:rsidRPr="00CD4C0A">
              <w:rPr>
                <w:rStyle w:val="Medium"/>
                <w:b/>
              </w:rPr>
              <w:t>AWRC</w:t>
            </w:r>
          </w:p>
        </w:tc>
        <w:tc>
          <w:tcPr>
            <w:tcW w:w="7359" w:type="dxa"/>
            <w:tcBorders>
              <w:top w:val="nil"/>
              <w:left w:val="nil"/>
              <w:right w:val="nil"/>
            </w:tcBorders>
            <w:tcMar>
              <w:top w:w="80" w:type="dxa"/>
              <w:left w:w="80" w:type="dxa"/>
              <w:bottom w:w="80" w:type="dxa"/>
              <w:right w:w="80" w:type="dxa"/>
            </w:tcMar>
          </w:tcPr>
          <w:p w:rsidR="008E7176" w:rsidRDefault="008E7176" w:rsidP="00F20662">
            <w:pPr>
              <w:pStyle w:val="Tabletext"/>
              <w:spacing w:after="60"/>
            </w:pPr>
            <w:r>
              <w:t>Australian Water Resources Council</w:t>
            </w:r>
          </w:p>
        </w:tc>
      </w:tr>
      <w:tr w:rsidR="008E7176" w:rsidTr="00111BEA">
        <w:trPr>
          <w:trHeight w:val="56"/>
        </w:trPr>
        <w:tc>
          <w:tcPr>
            <w:tcW w:w="1577"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CD4C0A" w:rsidRDefault="008E7176" w:rsidP="00F20662">
            <w:pPr>
              <w:pStyle w:val="Tabletext"/>
              <w:spacing w:after="60"/>
              <w:rPr>
                <w:b/>
                <w:color w:val="FFFFFF" w:themeColor="background1"/>
              </w:rPr>
            </w:pPr>
            <w:r w:rsidRPr="00CD4C0A">
              <w:rPr>
                <w:rStyle w:val="Medium"/>
                <w:b/>
                <w:color w:val="FFFFFF" w:themeColor="background1"/>
              </w:rPr>
              <w:t>CAMBA</w:t>
            </w:r>
          </w:p>
        </w:tc>
        <w:tc>
          <w:tcPr>
            <w:tcW w:w="7359"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CD4C0A" w:rsidRDefault="008E7176" w:rsidP="00F20662">
            <w:pPr>
              <w:pStyle w:val="Tabletext"/>
              <w:spacing w:after="60"/>
              <w:rPr>
                <w:color w:val="FFFFFF" w:themeColor="background1"/>
              </w:rPr>
            </w:pPr>
            <w:r w:rsidRPr="00CD4C0A">
              <w:rPr>
                <w:color w:val="FFFFFF" w:themeColor="background1"/>
              </w:rPr>
              <w:t>China–Australia Migratory Bird Agreement</w:t>
            </w:r>
          </w:p>
        </w:tc>
      </w:tr>
      <w:tr w:rsidR="008E7176" w:rsidTr="00111BEA">
        <w:trPr>
          <w:trHeight w:val="56"/>
        </w:trPr>
        <w:tc>
          <w:tcPr>
            <w:tcW w:w="1577" w:type="dxa"/>
            <w:tcBorders>
              <w:top w:val="nil"/>
              <w:left w:val="nil"/>
              <w:right w:val="nil"/>
            </w:tcBorders>
            <w:tcMar>
              <w:top w:w="80" w:type="dxa"/>
              <w:left w:w="80" w:type="dxa"/>
              <w:bottom w:w="80" w:type="dxa"/>
              <w:right w:w="80" w:type="dxa"/>
            </w:tcMar>
          </w:tcPr>
          <w:p w:rsidR="008E7176" w:rsidRPr="00CD4C0A" w:rsidRDefault="008E7176" w:rsidP="00F20662">
            <w:pPr>
              <w:pStyle w:val="Tabletext"/>
              <w:spacing w:after="60"/>
              <w:rPr>
                <w:b/>
              </w:rPr>
            </w:pPr>
            <w:r w:rsidRPr="00CD4C0A">
              <w:rPr>
                <w:rStyle w:val="Medium"/>
                <w:b/>
              </w:rPr>
              <w:t>CDI</w:t>
            </w:r>
          </w:p>
        </w:tc>
        <w:tc>
          <w:tcPr>
            <w:tcW w:w="7359" w:type="dxa"/>
            <w:tcBorders>
              <w:top w:val="nil"/>
              <w:left w:val="nil"/>
              <w:right w:val="nil"/>
            </w:tcBorders>
            <w:tcMar>
              <w:top w:w="80" w:type="dxa"/>
              <w:left w:w="80" w:type="dxa"/>
              <w:bottom w:w="80" w:type="dxa"/>
              <w:right w:w="80" w:type="dxa"/>
            </w:tcMar>
          </w:tcPr>
          <w:p w:rsidR="008E7176" w:rsidRDefault="008E7176" w:rsidP="00F20662">
            <w:pPr>
              <w:pStyle w:val="Tabletext"/>
              <w:spacing w:after="60"/>
            </w:pPr>
            <w:r>
              <w:t>Catchment Disturbance Index</w:t>
            </w:r>
          </w:p>
        </w:tc>
      </w:tr>
      <w:tr w:rsidR="008E7176" w:rsidTr="00111BEA">
        <w:trPr>
          <w:trHeight w:val="56"/>
        </w:trPr>
        <w:tc>
          <w:tcPr>
            <w:tcW w:w="1577"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CD4C0A" w:rsidRDefault="008E7176" w:rsidP="00F20662">
            <w:pPr>
              <w:pStyle w:val="Tabletext"/>
              <w:spacing w:after="60"/>
              <w:rPr>
                <w:b/>
                <w:color w:val="FFFFFF" w:themeColor="background1"/>
              </w:rPr>
            </w:pPr>
            <w:r w:rsidRPr="00CD4C0A">
              <w:rPr>
                <w:rStyle w:val="Medium"/>
                <w:b/>
                <w:color w:val="FFFFFF" w:themeColor="background1"/>
              </w:rPr>
              <w:t>CFEV</w:t>
            </w:r>
          </w:p>
        </w:tc>
        <w:tc>
          <w:tcPr>
            <w:tcW w:w="7359"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CD4C0A" w:rsidRDefault="008E7176" w:rsidP="00F20662">
            <w:pPr>
              <w:pStyle w:val="Tabletext"/>
              <w:spacing w:after="60"/>
              <w:rPr>
                <w:color w:val="FFFFFF" w:themeColor="background1"/>
              </w:rPr>
            </w:pPr>
            <w:r w:rsidRPr="00CD4C0A">
              <w:rPr>
                <w:color w:val="FFFFFF" w:themeColor="background1"/>
              </w:rPr>
              <w:t xml:space="preserve">Conservation of Freshwater Ecosystem Values Framework </w:t>
            </w:r>
          </w:p>
        </w:tc>
      </w:tr>
      <w:tr w:rsidR="008E7176" w:rsidTr="00111BEA">
        <w:trPr>
          <w:trHeight w:val="56"/>
        </w:trPr>
        <w:tc>
          <w:tcPr>
            <w:tcW w:w="1577" w:type="dxa"/>
            <w:tcBorders>
              <w:top w:val="nil"/>
              <w:left w:val="nil"/>
              <w:right w:val="nil"/>
            </w:tcBorders>
            <w:tcMar>
              <w:top w:w="80" w:type="dxa"/>
              <w:left w:w="80" w:type="dxa"/>
              <w:bottom w:w="80" w:type="dxa"/>
              <w:right w:w="80" w:type="dxa"/>
            </w:tcMar>
          </w:tcPr>
          <w:p w:rsidR="008E7176" w:rsidRPr="00CD4C0A" w:rsidRDefault="008E7176" w:rsidP="00F20662">
            <w:pPr>
              <w:pStyle w:val="Tabletext"/>
              <w:spacing w:after="60"/>
              <w:rPr>
                <w:b/>
              </w:rPr>
            </w:pPr>
            <w:r w:rsidRPr="00CD4C0A">
              <w:rPr>
                <w:rStyle w:val="Medium"/>
                <w:b/>
              </w:rPr>
              <w:t>DEM</w:t>
            </w:r>
          </w:p>
        </w:tc>
        <w:tc>
          <w:tcPr>
            <w:tcW w:w="7359" w:type="dxa"/>
            <w:tcBorders>
              <w:top w:val="nil"/>
              <w:left w:val="nil"/>
              <w:right w:val="nil"/>
            </w:tcBorders>
            <w:tcMar>
              <w:top w:w="80" w:type="dxa"/>
              <w:left w:w="80" w:type="dxa"/>
              <w:bottom w:w="80" w:type="dxa"/>
              <w:right w:w="80" w:type="dxa"/>
            </w:tcMar>
          </w:tcPr>
          <w:p w:rsidR="008E7176" w:rsidRDefault="008E7176" w:rsidP="00F20662">
            <w:pPr>
              <w:pStyle w:val="Tabletext"/>
              <w:spacing w:after="60"/>
            </w:pPr>
            <w:r>
              <w:t>Digital Elevation Model</w:t>
            </w:r>
          </w:p>
        </w:tc>
      </w:tr>
      <w:tr w:rsidR="008E7176" w:rsidTr="00111BEA">
        <w:trPr>
          <w:trHeight w:val="56"/>
        </w:trPr>
        <w:tc>
          <w:tcPr>
            <w:tcW w:w="1577"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CD4C0A" w:rsidRDefault="008E7176" w:rsidP="00F20662">
            <w:pPr>
              <w:pStyle w:val="Tabletext"/>
              <w:spacing w:after="60"/>
              <w:rPr>
                <w:b/>
                <w:color w:val="FFFFFF" w:themeColor="background1"/>
              </w:rPr>
            </w:pPr>
            <w:r w:rsidRPr="00CD4C0A">
              <w:rPr>
                <w:rStyle w:val="Medium"/>
                <w:b/>
                <w:color w:val="FFFFFF" w:themeColor="background1"/>
              </w:rPr>
              <w:t>DSEWPaC</w:t>
            </w:r>
          </w:p>
        </w:tc>
        <w:tc>
          <w:tcPr>
            <w:tcW w:w="7359"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CD4C0A" w:rsidRDefault="008E7176" w:rsidP="00F20662">
            <w:pPr>
              <w:pStyle w:val="Tabletext"/>
              <w:spacing w:after="60"/>
              <w:rPr>
                <w:color w:val="FFFFFF" w:themeColor="background1"/>
              </w:rPr>
            </w:pPr>
            <w:r w:rsidRPr="00CD4C0A">
              <w:rPr>
                <w:color w:val="FFFFFF" w:themeColor="background1"/>
              </w:rPr>
              <w:t>Department of Sustainability, Environment, Water, Population and Communities</w:t>
            </w:r>
          </w:p>
        </w:tc>
      </w:tr>
      <w:tr w:rsidR="008E7176" w:rsidTr="00111BEA">
        <w:trPr>
          <w:trHeight w:val="56"/>
        </w:trPr>
        <w:tc>
          <w:tcPr>
            <w:tcW w:w="1577" w:type="dxa"/>
            <w:tcBorders>
              <w:top w:val="nil"/>
              <w:left w:val="nil"/>
              <w:right w:val="nil"/>
            </w:tcBorders>
            <w:tcMar>
              <w:top w:w="80" w:type="dxa"/>
              <w:left w:w="80" w:type="dxa"/>
              <w:bottom w:w="80" w:type="dxa"/>
              <w:right w:w="80" w:type="dxa"/>
            </w:tcMar>
          </w:tcPr>
          <w:p w:rsidR="008E7176" w:rsidRPr="00CD4C0A" w:rsidRDefault="008E7176" w:rsidP="00F20662">
            <w:pPr>
              <w:pStyle w:val="Tabletext"/>
              <w:spacing w:after="60"/>
              <w:rPr>
                <w:b/>
              </w:rPr>
            </w:pPr>
            <w:r w:rsidRPr="00CD4C0A">
              <w:rPr>
                <w:rStyle w:val="Medium"/>
                <w:b/>
              </w:rPr>
              <w:t>EFZ</w:t>
            </w:r>
          </w:p>
        </w:tc>
        <w:tc>
          <w:tcPr>
            <w:tcW w:w="7359" w:type="dxa"/>
            <w:tcBorders>
              <w:top w:val="nil"/>
              <w:left w:val="nil"/>
              <w:right w:val="nil"/>
            </w:tcBorders>
            <w:tcMar>
              <w:top w:w="80" w:type="dxa"/>
              <w:left w:w="80" w:type="dxa"/>
              <w:bottom w:w="80" w:type="dxa"/>
              <w:right w:w="80" w:type="dxa"/>
            </w:tcMar>
          </w:tcPr>
          <w:p w:rsidR="008E7176" w:rsidRDefault="008E7176" w:rsidP="00F20662">
            <w:pPr>
              <w:pStyle w:val="Tabletext"/>
              <w:spacing w:after="60"/>
            </w:pPr>
            <w:r>
              <w:t>Ecological Focal Zone</w:t>
            </w:r>
          </w:p>
        </w:tc>
      </w:tr>
      <w:tr w:rsidR="008E7176" w:rsidTr="00111BEA">
        <w:trPr>
          <w:trHeight w:val="56"/>
        </w:trPr>
        <w:tc>
          <w:tcPr>
            <w:tcW w:w="1577"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CD4C0A" w:rsidRDefault="008E7176" w:rsidP="00F20662">
            <w:pPr>
              <w:pStyle w:val="Tabletext"/>
              <w:spacing w:after="60"/>
              <w:rPr>
                <w:b/>
                <w:color w:val="FFFFFF" w:themeColor="background1"/>
              </w:rPr>
            </w:pPr>
            <w:r w:rsidRPr="00CD4C0A">
              <w:rPr>
                <w:rStyle w:val="Medium"/>
                <w:b/>
                <w:color w:val="FFFFFF" w:themeColor="background1"/>
              </w:rPr>
              <w:t>EPBC</w:t>
            </w:r>
          </w:p>
        </w:tc>
        <w:tc>
          <w:tcPr>
            <w:tcW w:w="7359"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CD4C0A" w:rsidRDefault="008E7176" w:rsidP="00F20662">
            <w:pPr>
              <w:pStyle w:val="Tabletext"/>
              <w:spacing w:after="60"/>
              <w:rPr>
                <w:color w:val="FFFFFF" w:themeColor="background1"/>
              </w:rPr>
            </w:pPr>
            <w:r w:rsidRPr="00CD4C0A">
              <w:rPr>
                <w:rStyle w:val="ital"/>
                <w:color w:val="FFFFFF" w:themeColor="background1"/>
              </w:rPr>
              <w:t>Environment Protection and Biodiversity Conservation Act 1999</w:t>
            </w:r>
            <w:r w:rsidRPr="00CD4C0A">
              <w:rPr>
                <w:color w:val="FFFFFF" w:themeColor="background1"/>
              </w:rPr>
              <w:t xml:space="preserve"> (</w:t>
            </w:r>
            <w:proofErr w:type="spellStart"/>
            <w:r w:rsidRPr="00CD4C0A">
              <w:rPr>
                <w:color w:val="FFFFFF" w:themeColor="background1"/>
              </w:rPr>
              <w:t>Cwlth</w:t>
            </w:r>
            <w:proofErr w:type="spellEnd"/>
            <w:r w:rsidRPr="00CD4C0A">
              <w:rPr>
                <w:color w:val="FFFFFF" w:themeColor="background1"/>
              </w:rPr>
              <w:t>)</w:t>
            </w:r>
          </w:p>
        </w:tc>
      </w:tr>
      <w:tr w:rsidR="008E7176" w:rsidTr="00111BEA">
        <w:trPr>
          <w:trHeight w:val="56"/>
        </w:trPr>
        <w:tc>
          <w:tcPr>
            <w:tcW w:w="1577" w:type="dxa"/>
            <w:tcBorders>
              <w:top w:val="nil"/>
              <w:left w:val="nil"/>
              <w:right w:val="nil"/>
            </w:tcBorders>
            <w:tcMar>
              <w:top w:w="80" w:type="dxa"/>
              <w:left w:w="80" w:type="dxa"/>
              <w:bottom w:w="80" w:type="dxa"/>
              <w:right w:w="80" w:type="dxa"/>
            </w:tcMar>
          </w:tcPr>
          <w:p w:rsidR="008E7176" w:rsidRPr="00CD4C0A" w:rsidRDefault="008E7176" w:rsidP="00F20662">
            <w:pPr>
              <w:pStyle w:val="Tabletext"/>
              <w:spacing w:after="60"/>
              <w:rPr>
                <w:b/>
              </w:rPr>
            </w:pPr>
            <w:r w:rsidRPr="00CD4C0A">
              <w:rPr>
                <w:rStyle w:val="Medium"/>
                <w:b/>
              </w:rPr>
              <w:t>ERP</w:t>
            </w:r>
          </w:p>
        </w:tc>
        <w:tc>
          <w:tcPr>
            <w:tcW w:w="7359" w:type="dxa"/>
            <w:tcBorders>
              <w:top w:val="nil"/>
              <w:left w:val="nil"/>
              <w:right w:val="nil"/>
            </w:tcBorders>
            <w:tcMar>
              <w:top w:w="80" w:type="dxa"/>
              <w:left w:w="80" w:type="dxa"/>
              <w:bottom w:w="80" w:type="dxa"/>
              <w:right w:w="80" w:type="dxa"/>
            </w:tcMar>
          </w:tcPr>
          <w:p w:rsidR="008E7176" w:rsidRDefault="008E7176" w:rsidP="00F20662">
            <w:pPr>
              <w:pStyle w:val="Tabletext"/>
              <w:spacing w:after="60"/>
            </w:pPr>
            <w:r>
              <w:t>Expert Reference Panel</w:t>
            </w:r>
          </w:p>
        </w:tc>
      </w:tr>
      <w:tr w:rsidR="008E7176" w:rsidTr="00111BEA">
        <w:trPr>
          <w:trHeight w:val="56"/>
        </w:trPr>
        <w:tc>
          <w:tcPr>
            <w:tcW w:w="1577"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2043D9" w:rsidRDefault="008E7176" w:rsidP="00F20662">
            <w:pPr>
              <w:pStyle w:val="Tabletext"/>
              <w:spacing w:after="60"/>
              <w:rPr>
                <w:b/>
                <w:color w:val="FFFFFF" w:themeColor="background1"/>
              </w:rPr>
            </w:pPr>
            <w:r w:rsidRPr="002043D9">
              <w:rPr>
                <w:rStyle w:val="Medium"/>
                <w:b/>
                <w:color w:val="FFFFFF" w:themeColor="background1"/>
              </w:rPr>
              <w:t>GAB</w:t>
            </w:r>
          </w:p>
        </w:tc>
        <w:tc>
          <w:tcPr>
            <w:tcW w:w="7359"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2043D9" w:rsidRDefault="008E7176" w:rsidP="00F20662">
            <w:pPr>
              <w:pStyle w:val="Tabletext"/>
              <w:spacing w:after="60"/>
              <w:rPr>
                <w:color w:val="FFFFFF" w:themeColor="background1"/>
              </w:rPr>
            </w:pPr>
            <w:r w:rsidRPr="002043D9">
              <w:rPr>
                <w:color w:val="FFFFFF" w:themeColor="background1"/>
              </w:rPr>
              <w:t>Great Artesian Basin</w:t>
            </w:r>
          </w:p>
        </w:tc>
      </w:tr>
      <w:tr w:rsidR="008E7176" w:rsidTr="00111BEA">
        <w:trPr>
          <w:trHeight w:val="56"/>
        </w:trPr>
        <w:tc>
          <w:tcPr>
            <w:tcW w:w="1577" w:type="dxa"/>
            <w:tcBorders>
              <w:top w:val="nil"/>
              <w:left w:val="nil"/>
              <w:right w:val="nil"/>
            </w:tcBorders>
            <w:tcMar>
              <w:top w:w="80" w:type="dxa"/>
              <w:left w:w="80" w:type="dxa"/>
              <w:bottom w:w="80" w:type="dxa"/>
              <w:right w:w="80" w:type="dxa"/>
            </w:tcMar>
          </w:tcPr>
          <w:p w:rsidR="008E7176" w:rsidRPr="00CD4C0A" w:rsidRDefault="008E7176" w:rsidP="00F20662">
            <w:pPr>
              <w:pStyle w:val="Tabletext"/>
              <w:spacing w:after="60"/>
              <w:rPr>
                <w:b/>
              </w:rPr>
            </w:pPr>
            <w:proofErr w:type="spellStart"/>
            <w:r w:rsidRPr="00CD4C0A">
              <w:rPr>
                <w:rStyle w:val="Medium"/>
                <w:b/>
              </w:rPr>
              <w:t>Geofabric</w:t>
            </w:r>
            <w:proofErr w:type="spellEnd"/>
          </w:p>
        </w:tc>
        <w:tc>
          <w:tcPr>
            <w:tcW w:w="7359" w:type="dxa"/>
            <w:tcBorders>
              <w:top w:val="nil"/>
              <w:left w:val="nil"/>
              <w:right w:val="nil"/>
            </w:tcBorders>
            <w:tcMar>
              <w:top w:w="80" w:type="dxa"/>
              <w:left w:w="80" w:type="dxa"/>
              <w:bottom w:w="80" w:type="dxa"/>
              <w:right w:w="80" w:type="dxa"/>
            </w:tcMar>
          </w:tcPr>
          <w:p w:rsidR="008E7176" w:rsidRDefault="008E7176" w:rsidP="00F20662">
            <w:pPr>
              <w:pStyle w:val="Tabletext"/>
              <w:spacing w:after="60"/>
            </w:pPr>
            <w:r>
              <w:t>Australian Hydrological Geospatial Fabric</w:t>
            </w:r>
          </w:p>
        </w:tc>
      </w:tr>
      <w:tr w:rsidR="008E7176" w:rsidTr="00111BEA">
        <w:trPr>
          <w:trHeight w:val="56"/>
        </w:trPr>
        <w:tc>
          <w:tcPr>
            <w:tcW w:w="1577"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2043D9" w:rsidRDefault="008E7176" w:rsidP="00F20662">
            <w:pPr>
              <w:pStyle w:val="Tabletext"/>
              <w:spacing w:after="60"/>
              <w:rPr>
                <w:b/>
                <w:color w:val="FFFFFF" w:themeColor="background1"/>
              </w:rPr>
            </w:pPr>
            <w:r w:rsidRPr="002043D9">
              <w:rPr>
                <w:rStyle w:val="Medium"/>
                <w:b/>
                <w:color w:val="FFFFFF" w:themeColor="background1"/>
              </w:rPr>
              <w:t>HCVAE</w:t>
            </w:r>
          </w:p>
        </w:tc>
        <w:tc>
          <w:tcPr>
            <w:tcW w:w="7359"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2043D9" w:rsidRDefault="008E7176" w:rsidP="00F20662">
            <w:pPr>
              <w:pStyle w:val="Tabletext"/>
              <w:spacing w:after="60"/>
              <w:rPr>
                <w:color w:val="FFFFFF" w:themeColor="background1"/>
              </w:rPr>
            </w:pPr>
            <w:r w:rsidRPr="002043D9">
              <w:rPr>
                <w:color w:val="FFFFFF" w:themeColor="background1"/>
              </w:rPr>
              <w:t>High Conservation Value Aquatic Ecosystems</w:t>
            </w:r>
          </w:p>
        </w:tc>
      </w:tr>
      <w:tr w:rsidR="008E7176" w:rsidTr="00111BEA">
        <w:trPr>
          <w:trHeight w:val="56"/>
        </w:trPr>
        <w:tc>
          <w:tcPr>
            <w:tcW w:w="1577" w:type="dxa"/>
            <w:tcBorders>
              <w:top w:val="nil"/>
              <w:left w:val="nil"/>
              <w:right w:val="nil"/>
            </w:tcBorders>
            <w:tcMar>
              <w:top w:w="80" w:type="dxa"/>
              <w:left w:w="80" w:type="dxa"/>
              <w:bottom w:w="80" w:type="dxa"/>
              <w:right w:w="80" w:type="dxa"/>
            </w:tcMar>
          </w:tcPr>
          <w:p w:rsidR="008E7176" w:rsidRPr="00CD4C0A" w:rsidRDefault="008E7176" w:rsidP="00F20662">
            <w:pPr>
              <w:pStyle w:val="Tabletext"/>
              <w:spacing w:after="60"/>
              <w:rPr>
                <w:b/>
              </w:rPr>
            </w:pPr>
            <w:r w:rsidRPr="00CD4C0A">
              <w:rPr>
                <w:rStyle w:val="Medium"/>
                <w:b/>
              </w:rPr>
              <w:t>HEVAE</w:t>
            </w:r>
          </w:p>
        </w:tc>
        <w:tc>
          <w:tcPr>
            <w:tcW w:w="7359" w:type="dxa"/>
            <w:tcBorders>
              <w:top w:val="nil"/>
              <w:left w:val="nil"/>
              <w:right w:val="nil"/>
            </w:tcBorders>
            <w:tcMar>
              <w:top w:w="80" w:type="dxa"/>
              <w:left w:w="80" w:type="dxa"/>
              <w:bottom w:w="80" w:type="dxa"/>
              <w:right w:w="80" w:type="dxa"/>
            </w:tcMar>
          </w:tcPr>
          <w:p w:rsidR="008E7176" w:rsidRDefault="008E7176" w:rsidP="00F20662">
            <w:pPr>
              <w:pStyle w:val="Tabletext"/>
              <w:spacing w:after="60"/>
            </w:pPr>
            <w:r>
              <w:t>High Ecological Value Aquatic Ecosystems</w:t>
            </w:r>
          </w:p>
        </w:tc>
      </w:tr>
      <w:tr w:rsidR="008E7176" w:rsidTr="00111BEA">
        <w:trPr>
          <w:trHeight w:val="56"/>
        </w:trPr>
        <w:tc>
          <w:tcPr>
            <w:tcW w:w="1577"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2043D9" w:rsidRDefault="008E7176" w:rsidP="00F20662">
            <w:pPr>
              <w:pStyle w:val="Tabletext"/>
              <w:spacing w:after="60"/>
              <w:rPr>
                <w:b/>
                <w:color w:val="FFFFFF" w:themeColor="background1"/>
              </w:rPr>
            </w:pPr>
            <w:r w:rsidRPr="002043D9">
              <w:rPr>
                <w:rStyle w:val="Medium"/>
                <w:b/>
                <w:color w:val="FFFFFF" w:themeColor="background1"/>
              </w:rPr>
              <w:t>IBRA</w:t>
            </w:r>
          </w:p>
        </w:tc>
        <w:tc>
          <w:tcPr>
            <w:tcW w:w="7359"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2043D9" w:rsidRDefault="008E7176" w:rsidP="00F20662">
            <w:pPr>
              <w:pStyle w:val="Tabletext"/>
              <w:spacing w:after="60"/>
              <w:rPr>
                <w:color w:val="FFFFFF" w:themeColor="background1"/>
              </w:rPr>
            </w:pPr>
            <w:r w:rsidRPr="002043D9">
              <w:rPr>
                <w:color w:val="FFFFFF" w:themeColor="background1"/>
              </w:rPr>
              <w:t xml:space="preserve">Interim </w:t>
            </w:r>
            <w:proofErr w:type="spellStart"/>
            <w:r w:rsidRPr="002043D9">
              <w:rPr>
                <w:color w:val="FFFFFF" w:themeColor="background1"/>
              </w:rPr>
              <w:t>Biogeographic</w:t>
            </w:r>
            <w:proofErr w:type="spellEnd"/>
            <w:r w:rsidRPr="002043D9">
              <w:rPr>
                <w:color w:val="FFFFFF" w:themeColor="background1"/>
              </w:rPr>
              <w:t xml:space="preserve"> </w:t>
            </w:r>
            <w:proofErr w:type="spellStart"/>
            <w:r w:rsidRPr="002043D9">
              <w:rPr>
                <w:color w:val="FFFFFF" w:themeColor="background1"/>
              </w:rPr>
              <w:t>Regionalisation</w:t>
            </w:r>
            <w:proofErr w:type="spellEnd"/>
            <w:r w:rsidRPr="002043D9">
              <w:rPr>
                <w:color w:val="FFFFFF" w:themeColor="background1"/>
              </w:rPr>
              <w:t xml:space="preserve"> of Australia</w:t>
            </w:r>
          </w:p>
        </w:tc>
      </w:tr>
      <w:tr w:rsidR="008E7176" w:rsidTr="00111BEA">
        <w:trPr>
          <w:trHeight w:val="56"/>
        </w:trPr>
        <w:tc>
          <w:tcPr>
            <w:tcW w:w="1577" w:type="dxa"/>
            <w:tcBorders>
              <w:top w:val="nil"/>
              <w:left w:val="nil"/>
              <w:right w:val="nil"/>
            </w:tcBorders>
            <w:tcMar>
              <w:top w:w="80" w:type="dxa"/>
              <w:left w:w="80" w:type="dxa"/>
              <w:bottom w:w="80" w:type="dxa"/>
              <w:right w:w="80" w:type="dxa"/>
            </w:tcMar>
          </w:tcPr>
          <w:p w:rsidR="008E7176" w:rsidRPr="00CD4C0A" w:rsidRDefault="008E7176" w:rsidP="00F20662">
            <w:pPr>
              <w:pStyle w:val="Tabletext"/>
              <w:spacing w:after="60"/>
              <w:rPr>
                <w:b/>
              </w:rPr>
            </w:pPr>
            <w:r w:rsidRPr="00CD4C0A">
              <w:rPr>
                <w:rStyle w:val="Medium"/>
                <w:b/>
              </w:rPr>
              <w:t>IUCN</w:t>
            </w:r>
          </w:p>
        </w:tc>
        <w:tc>
          <w:tcPr>
            <w:tcW w:w="7359" w:type="dxa"/>
            <w:tcBorders>
              <w:top w:val="nil"/>
              <w:left w:val="nil"/>
              <w:right w:val="nil"/>
            </w:tcBorders>
            <w:tcMar>
              <w:top w:w="80" w:type="dxa"/>
              <w:left w:w="80" w:type="dxa"/>
              <w:bottom w:w="80" w:type="dxa"/>
              <w:right w:w="80" w:type="dxa"/>
            </w:tcMar>
          </w:tcPr>
          <w:p w:rsidR="008E7176" w:rsidRDefault="008E7176" w:rsidP="00F20662">
            <w:pPr>
              <w:pStyle w:val="Tabletext"/>
              <w:spacing w:after="60"/>
            </w:pPr>
            <w:r>
              <w:t>International Union of Conservation of Nature</w:t>
            </w:r>
          </w:p>
        </w:tc>
      </w:tr>
      <w:tr w:rsidR="008E7176" w:rsidTr="00111BEA">
        <w:trPr>
          <w:trHeight w:val="56"/>
        </w:trPr>
        <w:tc>
          <w:tcPr>
            <w:tcW w:w="1577"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2043D9" w:rsidRDefault="008E7176" w:rsidP="00F20662">
            <w:pPr>
              <w:pStyle w:val="Tabletext"/>
              <w:spacing w:after="60"/>
              <w:rPr>
                <w:b/>
                <w:color w:val="FFFFFF" w:themeColor="background1"/>
              </w:rPr>
            </w:pPr>
            <w:r w:rsidRPr="002043D9">
              <w:rPr>
                <w:rStyle w:val="Medium"/>
                <w:b/>
                <w:color w:val="FFFFFF" w:themeColor="background1"/>
              </w:rPr>
              <w:t>JAMBA</w:t>
            </w:r>
          </w:p>
        </w:tc>
        <w:tc>
          <w:tcPr>
            <w:tcW w:w="7359"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2043D9" w:rsidRDefault="008E7176" w:rsidP="00F20662">
            <w:pPr>
              <w:pStyle w:val="Tabletext"/>
              <w:spacing w:after="60"/>
              <w:rPr>
                <w:color w:val="FFFFFF" w:themeColor="background1"/>
              </w:rPr>
            </w:pPr>
            <w:r w:rsidRPr="002043D9">
              <w:rPr>
                <w:color w:val="FFFFFF" w:themeColor="background1"/>
              </w:rPr>
              <w:t>Japan–Australia Migratory Bird Agreement</w:t>
            </w:r>
          </w:p>
        </w:tc>
      </w:tr>
      <w:tr w:rsidR="008E7176" w:rsidTr="00111BEA">
        <w:trPr>
          <w:trHeight w:val="56"/>
        </w:trPr>
        <w:tc>
          <w:tcPr>
            <w:tcW w:w="1577" w:type="dxa"/>
            <w:tcBorders>
              <w:top w:val="nil"/>
              <w:left w:val="nil"/>
              <w:right w:val="nil"/>
            </w:tcBorders>
            <w:tcMar>
              <w:top w:w="80" w:type="dxa"/>
              <w:left w:w="80" w:type="dxa"/>
              <w:bottom w:w="80" w:type="dxa"/>
              <w:right w:w="80" w:type="dxa"/>
            </w:tcMar>
          </w:tcPr>
          <w:p w:rsidR="008E7176" w:rsidRPr="00CD4C0A" w:rsidRDefault="008E7176" w:rsidP="00F20662">
            <w:pPr>
              <w:pStyle w:val="Tabletext"/>
              <w:spacing w:after="60"/>
              <w:rPr>
                <w:b/>
              </w:rPr>
            </w:pPr>
            <w:r w:rsidRPr="00CD4C0A">
              <w:rPr>
                <w:rStyle w:val="Medium"/>
                <w:b/>
              </w:rPr>
              <w:t>LEB</w:t>
            </w:r>
          </w:p>
        </w:tc>
        <w:tc>
          <w:tcPr>
            <w:tcW w:w="7359" w:type="dxa"/>
            <w:tcBorders>
              <w:top w:val="nil"/>
              <w:left w:val="nil"/>
              <w:right w:val="nil"/>
            </w:tcBorders>
            <w:tcMar>
              <w:top w:w="80" w:type="dxa"/>
              <w:left w:w="80" w:type="dxa"/>
              <w:bottom w:w="80" w:type="dxa"/>
              <w:right w:w="80" w:type="dxa"/>
            </w:tcMar>
          </w:tcPr>
          <w:p w:rsidR="008E7176" w:rsidRDefault="008E7176" w:rsidP="00F20662">
            <w:pPr>
              <w:pStyle w:val="Tabletext"/>
              <w:spacing w:after="60"/>
            </w:pPr>
            <w:r>
              <w:t>Lake Eyre Basin</w:t>
            </w:r>
          </w:p>
        </w:tc>
      </w:tr>
      <w:tr w:rsidR="008E7176" w:rsidTr="00111BEA">
        <w:trPr>
          <w:trHeight w:val="56"/>
        </w:trPr>
        <w:tc>
          <w:tcPr>
            <w:tcW w:w="1577"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2043D9" w:rsidRDefault="008E7176" w:rsidP="00F20662">
            <w:pPr>
              <w:pStyle w:val="Tabletext"/>
              <w:spacing w:after="60"/>
              <w:rPr>
                <w:b/>
                <w:color w:val="FFFFFF" w:themeColor="background1"/>
              </w:rPr>
            </w:pPr>
            <w:r w:rsidRPr="002043D9">
              <w:rPr>
                <w:rStyle w:val="Medium"/>
                <w:b/>
                <w:color w:val="FFFFFF" w:themeColor="background1"/>
              </w:rPr>
              <w:t>NCB</w:t>
            </w:r>
          </w:p>
        </w:tc>
        <w:tc>
          <w:tcPr>
            <w:tcW w:w="7359"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2043D9" w:rsidRDefault="008E7176" w:rsidP="00F20662">
            <w:pPr>
              <w:pStyle w:val="Tabletext"/>
              <w:spacing w:after="60"/>
              <w:rPr>
                <w:color w:val="FFFFFF" w:themeColor="background1"/>
              </w:rPr>
            </w:pPr>
            <w:r w:rsidRPr="002043D9">
              <w:rPr>
                <w:color w:val="FFFFFF" w:themeColor="background1"/>
              </w:rPr>
              <w:t>National Catchment Boundaries</w:t>
            </w:r>
          </w:p>
        </w:tc>
      </w:tr>
      <w:tr w:rsidR="008E7176" w:rsidTr="00111BEA">
        <w:trPr>
          <w:trHeight w:val="56"/>
        </w:trPr>
        <w:tc>
          <w:tcPr>
            <w:tcW w:w="1577" w:type="dxa"/>
            <w:tcBorders>
              <w:top w:val="nil"/>
              <w:left w:val="nil"/>
              <w:right w:val="nil"/>
            </w:tcBorders>
            <w:tcMar>
              <w:top w:w="80" w:type="dxa"/>
              <w:left w:w="80" w:type="dxa"/>
              <w:bottom w:w="80" w:type="dxa"/>
              <w:right w:w="80" w:type="dxa"/>
            </w:tcMar>
          </w:tcPr>
          <w:p w:rsidR="008E7176" w:rsidRPr="00CD4C0A" w:rsidRDefault="008E7176" w:rsidP="00F20662">
            <w:pPr>
              <w:pStyle w:val="Tabletext"/>
              <w:spacing w:after="60"/>
              <w:rPr>
                <w:b/>
              </w:rPr>
            </w:pPr>
            <w:r w:rsidRPr="00CD4C0A">
              <w:rPr>
                <w:rStyle w:val="Medium"/>
                <w:b/>
              </w:rPr>
              <w:t>NRETAS</w:t>
            </w:r>
          </w:p>
        </w:tc>
        <w:tc>
          <w:tcPr>
            <w:tcW w:w="7359" w:type="dxa"/>
            <w:tcBorders>
              <w:top w:val="nil"/>
              <w:left w:val="nil"/>
              <w:right w:val="nil"/>
            </w:tcBorders>
            <w:tcMar>
              <w:top w:w="80" w:type="dxa"/>
              <w:left w:w="80" w:type="dxa"/>
              <w:bottom w:w="80" w:type="dxa"/>
              <w:right w:w="80" w:type="dxa"/>
            </w:tcMar>
          </w:tcPr>
          <w:p w:rsidR="008E7176" w:rsidRDefault="008E7176" w:rsidP="00F20662">
            <w:pPr>
              <w:pStyle w:val="Tabletext"/>
              <w:spacing w:after="60"/>
            </w:pPr>
            <w:r>
              <w:t>Department of Natural Resources, Environment, The Arts and Sport (Northern Territory)</w:t>
            </w:r>
          </w:p>
        </w:tc>
      </w:tr>
      <w:tr w:rsidR="008E7176" w:rsidTr="00111BEA">
        <w:trPr>
          <w:trHeight w:val="56"/>
        </w:trPr>
        <w:tc>
          <w:tcPr>
            <w:tcW w:w="1577"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2043D9" w:rsidRDefault="008E7176" w:rsidP="00F20662">
            <w:pPr>
              <w:pStyle w:val="Tabletext"/>
              <w:spacing w:after="60"/>
              <w:rPr>
                <w:b/>
                <w:color w:val="FFFFFF" w:themeColor="background1"/>
              </w:rPr>
            </w:pPr>
            <w:r w:rsidRPr="002043D9">
              <w:rPr>
                <w:rStyle w:val="Medium"/>
                <w:b/>
                <w:color w:val="FFFFFF" w:themeColor="background1"/>
              </w:rPr>
              <w:t>RDI</w:t>
            </w:r>
          </w:p>
        </w:tc>
        <w:tc>
          <w:tcPr>
            <w:tcW w:w="7359"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2043D9" w:rsidRDefault="008E7176" w:rsidP="00F20662">
            <w:pPr>
              <w:pStyle w:val="Tabletext"/>
              <w:spacing w:after="60"/>
              <w:rPr>
                <w:color w:val="FFFFFF" w:themeColor="background1"/>
              </w:rPr>
            </w:pPr>
            <w:r w:rsidRPr="002043D9">
              <w:rPr>
                <w:color w:val="FFFFFF" w:themeColor="background1"/>
              </w:rPr>
              <w:t>River Disturbance Index</w:t>
            </w:r>
          </w:p>
        </w:tc>
      </w:tr>
      <w:tr w:rsidR="008E7176" w:rsidTr="00111BEA">
        <w:trPr>
          <w:trHeight w:val="56"/>
        </w:trPr>
        <w:tc>
          <w:tcPr>
            <w:tcW w:w="1577" w:type="dxa"/>
            <w:tcBorders>
              <w:top w:val="nil"/>
              <w:left w:val="nil"/>
              <w:right w:val="nil"/>
            </w:tcBorders>
            <w:tcMar>
              <w:top w:w="80" w:type="dxa"/>
              <w:left w:w="80" w:type="dxa"/>
              <w:bottom w:w="80" w:type="dxa"/>
              <w:right w:w="80" w:type="dxa"/>
            </w:tcMar>
          </w:tcPr>
          <w:p w:rsidR="008E7176" w:rsidRPr="00CD4C0A" w:rsidRDefault="008E7176" w:rsidP="00F20662">
            <w:pPr>
              <w:pStyle w:val="Tabletext"/>
              <w:spacing w:after="60"/>
              <w:rPr>
                <w:b/>
              </w:rPr>
            </w:pPr>
            <w:r w:rsidRPr="00CD4C0A">
              <w:rPr>
                <w:rStyle w:val="Medium"/>
                <w:b/>
              </w:rPr>
              <w:t>ROKAMBA</w:t>
            </w:r>
          </w:p>
        </w:tc>
        <w:tc>
          <w:tcPr>
            <w:tcW w:w="7359" w:type="dxa"/>
            <w:tcBorders>
              <w:top w:val="nil"/>
              <w:left w:val="nil"/>
              <w:right w:val="nil"/>
            </w:tcBorders>
            <w:tcMar>
              <w:top w:w="80" w:type="dxa"/>
              <w:left w:w="80" w:type="dxa"/>
              <w:bottom w:w="80" w:type="dxa"/>
              <w:right w:w="80" w:type="dxa"/>
            </w:tcMar>
          </w:tcPr>
          <w:p w:rsidR="008E7176" w:rsidRDefault="008E7176" w:rsidP="00F20662">
            <w:pPr>
              <w:pStyle w:val="Tabletext"/>
              <w:spacing w:after="60"/>
            </w:pPr>
            <w:r>
              <w:t>Republic of Korea–Australia Migratory Bird Agreement</w:t>
            </w:r>
          </w:p>
        </w:tc>
      </w:tr>
      <w:tr w:rsidR="008E7176" w:rsidTr="00111BEA">
        <w:trPr>
          <w:trHeight w:val="56"/>
        </w:trPr>
        <w:tc>
          <w:tcPr>
            <w:tcW w:w="1577"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2043D9" w:rsidRDefault="008E7176" w:rsidP="00F20662">
            <w:pPr>
              <w:pStyle w:val="Tabletext"/>
              <w:spacing w:after="60"/>
              <w:rPr>
                <w:b/>
                <w:color w:val="FFFFFF" w:themeColor="background1"/>
              </w:rPr>
            </w:pPr>
            <w:r w:rsidRPr="002043D9">
              <w:rPr>
                <w:rStyle w:val="Medium"/>
                <w:b/>
                <w:color w:val="FFFFFF" w:themeColor="background1"/>
              </w:rPr>
              <w:t>SWMA</w:t>
            </w:r>
          </w:p>
        </w:tc>
        <w:tc>
          <w:tcPr>
            <w:tcW w:w="7359" w:type="dxa"/>
            <w:tcBorders>
              <w:top w:val="nil"/>
              <w:left w:val="nil"/>
              <w:bottom w:val="nil"/>
              <w:right w:val="nil"/>
            </w:tcBorders>
            <w:shd w:val="solid" w:color="948A54" w:themeColor="background2" w:themeShade="80" w:fill="auto"/>
            <w:tcMar>
              <w:top w:w="80" w:type="dxa"/>
              <w:left w:w="80" w:type="dxa"/>
              <w:bottom w:w="80" w:type="dxa"/>
              <w:right w:w="80" w:type="dxa"/>
            </w:tcMar>
          </w:tcPr>
          <w:p w:rsidR="008E7176" w:rsidRPr="002043D9" w:rsidRDefault="008E7176" w:rsidP="00F20662">
            <w:pPr>
              <w:pStyle w:val="Tabletext"/>
              <w:spacing w:after="60"/>
              <w:rPr>
                <w:color w:val="FFFFFF" w:themeColor="background1"/>
              </w:rPr>
            </w:pPr>
            <w:r w:rsidRPr="002043D9">
              <w:rPr>
                <w:color w:val="FFFFFF" w:themeColor="background1"/>
              </w:rPr>
              <w:t>(Australian) Surface Water Management Areas</w:t>
            </w:r>
          </w:p>
        </w:tc>
      </w:tr>
      <w:tr w:rsidR="008E7176" w:rsidTr="002043D9">
        <w:trPr>
          <w:trHeight w:val="56"/>
        </w:trPr>
        <w:tc>
          <w:tcPr>
            <w:tcW w:w="1577" w:type="dxa"/>
            <w:tcBorders>
              <w:top w:val="nil"/>
              <w:left w:val="nil"/>
              <w:bottom w:val="nil"/>
              <w:right w:val="nil"/>
            </w:tcBorders>
            <w:tcMar>
              <w:top w:w="80" w:type="dxa"/>
              <w:left w:w="80" w:type="dxa"/>
              <w:bottom w:w="80" w:type="dxa"/>
              <w:right w:w="80" w:type="dxa"/>
            </w:tcMar>
          </w:tcPr>
          <w:p w:rsidR="008E7176" w:rsidRPr="00CD4C0A" w:rsidRDefault="008E7176" w:rsidP="00F20662">
            <w:pPr>
              <w:pStyle w:val="Tabletext"/>
              <w:spacing w:after="60"/>
              <w:rPr>
                <w:b/>
              </w:rPr>
            </w:pPr>
            <w:r w:rsidRPr="00CD4C0A">
              <w:rPr>
                <w:rStyle w:val="Medium"/>
                <w:b/>
              </w:rPr>
              <w:t>TWG</w:t>
            </w:r>
          </w:p>
        </w:tc>
        <w:tc>
          <w:tcPr>
            <w:tcW w:w="7359" w:type="dxa"/>
            <w:tcBorders>
              <w:top w:val="nil"/>
              <w:left w:val="nil"/>
              <w:bottom w:val="nil"/>
              <w:right w:val="nil"/>
            </w:tcBorders>
            <w:tcMar>
              <w:top w:w="80" w:type="dxa"/>
              <w:left w:w="80" w:type="dxa"/>
              <w:bottom w:w="80" w:type="dxa"/>
              <w:right w:w="80" w:type="dxa"/>
            </w:tcMar>
          </w:tcPr>
          <w:p w:rsidR="008E7176" w:rsidRDefault="008E7176" w:rsidP="00F20662">
            <w:pPr>
              <w:pStyle w:val="Tabletext"/>
              <w:spacing w:after="60"/>
            </w:pPr>
            <w:r>
              <w:t>Technical Working Group</w:t>
            </w:r>
          </w:p>
        </w:tc>
      </w:tr>
    </w:tbl>
    <w:p w:rsidR="008E7176" w:rsidRDefault="008E7176" w:rsidP="008E7176">
      <w:pPr>
        <w:pStyle w:val="Body"/>
      </w:pPr>
    </w:p>
    <w:p w:rsidR="008230C1" w:rsidRDefault="008230C1" w:rsidP="008E7176">
      <w:pPr>
        <w:pStyle w:val="H1"/>
        <w:sectPr w:rsidR="008230C1" w:rsidSect="00313C87">
          <w:footerReference w:type="default" r:id="rId11"/>
          <w:pgSz w:w="11906" w:h="16838" w:code="9"/>
          <w:pgMar w:top="1440" w:right="1440" w:bottom="1440" w:left="1440" w:header="720" w:footer="720" w:gutter="0"/>
          <w:pgNumType w:fmt="lowerRoman"/>
          <w:cols w:space="720"/>
          <w:noEndnote/>
          <w:titlePg/>
          <w:docGrid w:linePitch="326"/>
        </w:sectPr>
      </w:pPr>
    </w:p>
    <w:p w:rsidR="008E7176" w:rsidRDefault="008E7176" w:rsidP="00111BEA">
      <w:pPr>
        <w:pStyle w:val="Heading1"/>
      </w:pPr>
      <w:r>
        <w:lastRenderedPageBreak/>
        <w:t>Introduction</w:t>
      </w:r>
    </w:p>
    <w:p w:rsidR="008E7176" w:rsidRDefault="008E7176" w:rsidP="008E7176">
      <w:pPr>
        <w:pStyle w:val="Body"/>
      </w:pPr>
      <w:r>
        <w:t xml:space="preserve">Draft components of the national Aquatic Ecosystems Toolkit, developed by the Aquatic Ecosystems Task Group (AETG), were </w:t>
      </w:r>
      <w:proofErr w:type="spellStart"/>
      <w:r>
        <w:t>trialled</w:t>
      </w:r>
      <w:proofErr w:type="spellEnd"/>
      <w:r>
        <w:t xml:space="preserve"> in the Lake Eyre Basin. Trial application of module 3 was undertaken by a multijurisdictional team, led by Jennifer Hale, and module 4 by Jennifer Hale and Shane Brooks. </w:t>
      </w:r>
    </w:p>
    <w:p w:rsidR="008E7176" w:rsidRDefault="008E7176" w:rsidP="008E7176">
      <w:pPr>
        <w:pStyle w:val="Body"/>
      </w:pPr>
      <w:r>
        <w:t xml:space="preserve">The base information developed and collated was done so within time and resource constraints and with regard to the objectives of the </w:t>
      </w:r>
      <w:r w:rsidR="004423FE" w:rsidRPr="004423FE">
        <w:rPr>
          <w:iCs/>
          <w:lang w:val="en-AU"/>
        </w:rPr>
        <w:t>High Ecological Value Aquatic Ecosystems</w:t>
      </w:r>
      <w:r w:rsidR="004423FE" w:rsidRPr="004423FE">
        <w:rPr>
          <w:lang w:val="en-AU"/>
        </w:rPr>
        <w:t xml:space="preserve"> </w:t>
      </w:r>
      <w:r w:rsidR="004423FE">
        <w:rPr>
          <w:lang w:val="en-AU"/>
        </w:rPr>
        <w:t>(</w:t>
      </w:r>
      <w:r>
        <w:t>HEVAE</w:t>
      </w:r>
      <w:r w:rsidR="004423FE">
        <w:t>)</w:t>
      </w:r>
      <w:r>
        <w:t xml:space="preserve"> trial and the HEVAE ‘Framework’ as it was at that time. Therefore, while the ancillary outcomes of this project such as the aquatic ecosystem mapping may be fit for the purpose of this trial, they should not be considered final products.</w:t>
      </w:r>
    </w:p>
    <w:p w:rsidR="008E7176" w:rsidRDefault="008E7176" w:rsidP="008E7176">
      <w:pPr>
        <w:pStyle w:val="Body"/>
      </w:pPr>
      <w:r>
        <w:t>Note that at the time the trial was undertaken:</w:t>
      </w:r>
    </w:p>
    <w:p w:rsidR="008E7176" w:rsidRDefault="008E7176" w:rsidP="00F20662">
      <w:pPr>
        <w:pStyle w:val="Body"/>
        <w:numPr>
          <w:ilvl w:val="0"/>
          <w:numId w:val="19"/>
        </w:numPr>
      </w:pPr>
      <w:r>
        <w:t>The terminology ‘High Conservation Value Aquatic Ecosystems’ (HCVAE) was still in use. However, to reflect the change in name to ‘High Ecological Value Aquatic Ecosystems’, the term HEVAE has been used in this case study, consistent with the other toolkit documents.</w:t>
      </w:r>
    </w:p>
    <w:p w:rsidR="008E7176" w:rsidRDefault="008E7176" w:rsidP="00F20662">
      <w:pPr>
        <w:pStyle w:val="Body"/>
        <w:numPr>
          <w:ilvl w:val="0"/>
          <w:numId w:val="19"/>
        </w:numPr>
      </w:pPr>
      <w:r>
        <w:t xml:space="preserve">Module 3: </w:t>
      </w:r>
      <w:r>
        <w:rPr>
          <w:rStyle w:val="ital"/>
        </w:rPr>
        <w:t>Guidelines for Identifying High Ecological Value Aquatic Ecosystems (HEVAE)</w:t>
      </w:r>
      <w:r>
        <w:t xml:space="preserve"> was known as the HEVAE Framework.</w:t>
      </w:r>
    </w:p>
    <w:p w:rsidR="008E7176" w:rsidRDefault="008E7176" w:rsidP="00F20662">
      <w:pPr>
        <w:pStyle w:val="Body"/>
        <w:numPr>
          <w:ilvl w:val="0"/>
          <w:numId w:val="19"/>
        </w:numPr>
      </w:pPr>
      <w:r>
        <w:t>There were six HEVAE criteria; ‘evolutionary history’ has since been incorporated into ‘distinctiveness’.</w:t>
      </w:r>
    </w:p>
    <w:p w:rsidR="008E7176" w:rsidRDefault="008E7176" w:rsidP="008E7176">
      <w:pPr>
        <w:pStyle w:val="H1"/>
      </w:pPr>
    </w:p>
    <w:p w:rsidR="00C47E40" w:rsidRDefault="00C47E40">
      <w:pPr>
        <w:rPr>
          <w:rFonts w:ascii="VAGRoundedLT-Bold" w:hAnsi="VAGRoundedLT-Bold" w:cs="VAGRoundedLT-Bold"/>
          <w:b/>
          <w:bCs/>
          <w:color w:val="9EA274"/>
          <w:sz w:val="40"/>
          <w:szCs w:val="40"/>
          <w:lang w:val="en-US" w:eastAsia="ja-JP"/>
        </w:rPr>
      </w:pPr>
    </w:p>
    <w:sectPr w:rsidR="00C47E40" w:rsidSect="00313C87">
      <w:headerReference w:type="default" r:id="rId12"/>
      <w:footerReference w:type="default" r:id="rId13"/>
      <w:pgSz w:w="11906" w:h="16838"/>
      <w:pgMar w:top="1440" w:right="1440" w:bottom="1440" w:left="144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31B" w:rsidRDefault="00CF431B" w:rsidP="00E53ABC">
      <w:r>
        <w:separator/>
      </w:r>
    </w:p>
  </w:endnote>
  <w:endnote w:type="continuationSeparator" w:id="0">
    <w:p w:rsidR="00CF431B" w:rsidRDefault="00CF431B" w:rsidP="00E53A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AGRoundedLT-Bold">
    <w:altName w:val="VAGRounded LT Bold"/>
    <w:panose1 w:val="00000000000000000000"/>
    <w:charset w:val="4D"/>
    <w:family w:val="auto"/>
    <w:notTrueType/>
    <w:pitch w:val="default"/>
    <w:sig w:usb0="00000003" w:usb1="00000000" w:usb2="00000000" w:usb3="00000000" w:csb0="00000001" w:csb1="00000000"/>
  </w:font>
  <w:font w:name="FranklinGothicLT-Book">
    <w:altName w:val="ITCFranklinGothic LT Book"/>
    <w:panose1 w:val="00000000000000000000"/>
    <w:charset w:val="4D"/>
    <w:family w:val="auto"/>
    <w:notTrueType/>
    <w:pitch w:val="default"/>
    <w:sig w:usb0="00000003" w:usb1="00000000" w:usb2="00000000" w:usb3="00000000" w:csb0="00000001" w:csb1="00000000"/>
  </w:font>
  <w:font w:name="FranklinGothicLT-Medium">
    <w:altName w:val="ITCFranklinGothic LT Med"/>
    <w:panose1 w:val="00000000000000000000"/>
    <w:charset w:val="4D"/>
    <w:family w:val="auto"/>
    <w:notTrueType/>
    <w:pitch w:val="default"/>
    <w:sig w:usb0="00000003" w:usb1="00000000" w:usb2="00000000" w:usb3="00000000" w:csb0="00000001" w:csb1="00000000"/>
  </w:font>
  <w:font w:name="FranklinGothicLT-MediumItal">
    <w:altName w:val="ITCFranklinGothic LT MedIt"/>
    <w:panose1 w:val="00000000000000000000"/>
    <w:charset w:val="4D"/>
    <w:family w:val="auto"/>
    <w:notTrueType/>
    <w:pitch w:val="default"/>
    <w:sig w:usb0="00000003" w:usb1="00000000" w:usb2="00000000" w:usb3="00000000" w:csb0="00000001" w:csb1="00000000"/>
  </w:font>
  <w:font w:name="VAGRoundedLT-Thin">
    <w:altName w:val="VAGRounded LT Thin"/>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15970"/>
      <w:docPartObj>
        <w:docPartGallery w:val="Page Numbers (Bottom of Page)"/>
        <w:docPartUnique/>
      </w:docPartObj>
    </w:sdtPr>
    <w:sdtContent>
      <w:p w:rsidR="00CF431B" w:rsidRDefault="005E3DC0">
        <w:pPr>
          <w:pStyle w:val="Footer"/>
          <w:jc w:val="center"/>
        </w:pPr>
        <w:fldSimple w:instr=" PAGE   \* MERGEFORMAT ">
          <w:r w:rsidR="004423FE">
            <w:rPr>
              <w:noProof/>
            </w:rPr>
            <w:t>vii</w:t>
          </w:r>
        </w:fldSimple>
      </w:p>
    </w:sdtContent>
  </w:sdt>
  <w:p w:rsidR="00CF431B" w:rsidRDefault="00CF43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15973"/>
      <w:docPartObj>
        <w:docPartGallery w:val="Page Numbers (Bottom of Page)"/>
        <w:docPartUnique/>
      </w:docPartObj>
    </w:sdtPr>
    <w:sdtContent>
      <w:p w:rsidR="00CF431B" w:rsidRDefault="005E3DC0">
        <w:pPr>
          <w:pStyle w:val="Footer"/>
          <w:jc w:val="center"/>
        </w:pPr>
        <w:fldSimple w:instr=" PAGE   \* MERGEFORMAT ">
          <w:r w:rsidR="004423FE">
            <w:rPr>
              <w:noProof/>
            </w:rPr>
            <w:t>1</w:t>
          </w:r>
        </w:fldSimple>
      </w:p>
    </w:sdtContent>
  </w:sdt>
  <w:p w:rsidR="00CF431B" w:rsidRDefault="00CF43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31B" w:rsidRDefault="00CF431B" w:rsidP="00E53ABC">
      <w:r>
        <w:separator/>
      </w:r>
    </w:p>
  </w:footnote>
  <w:footnote w:type="continuationSeparator" w:id="0">
    <w:p w:rsidR="00CF431B" w:rsidRDefault="00CF431B" w:rsidP="00E53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31B" w:rsidRDefault="00CF43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2A0826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915E52"/>
    <w:multiLevelType w:val="hybridMultilevel"/>
    <w:tmpl w:val="6692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757EA4"/>
    <w:multiLevelType w:val="hybridMultilevel"/>
    <w:tmpl w:val="589E3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253406"/>
    <w:multiLevelType w:val="hybridMultilevel"/>
    <w:tmpl w:val="0A1C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1072CE"/>
    <w:multiLevelType w:val="hybridMultilevel"/>
    <w:tmpl w:val="539AA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0645F2B"/>
    <w:multiLevelType w:val="hybridMultilevel"/>
    <w:tmpl w:val="6C66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BD4E44"/>
    <w:multiLevelType w:val="hybridMultilevel"/>
    <w:tmpl w:val="AC10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E5AC5"/>
    <w:multiLevelType w:val="hybridMultilevel"/>
    <w:tmpl w:val="EEF0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7C355E"/>
    <w:multiLevelType w:val="hybridMultilevel"/>
    <w:tmpl w:val="3EDA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AC00FA"/>
    <w:multiLevelType w:val="hybridMultilevel"/>
    <w:tmpl w:val="5F4E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0F1AFE"/>
    <w:multiLevelType w:val="hybridMultilevel"/>
    <w:tmpl w:val="7AA6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833C64"/>
    <w:multiLevelType w:val="hybridMultilevel"/>
    <w:tmpl w:val="1F50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6C7948"/>
    <w:multiLevelType w:val="hybridMultilevel"/>
    <w:tmpl w:val="03BA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E22B27"/>
    <w:multiLevelType w:val="hybridMultilevel"/>
    <w:tmpl w:val="41F2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013FB3"/>
    <w:multiLevelType w:val="hybridMultilevel"/>
    <w:tmpl w:val="F3AA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453B76"/>
    <w:multiLevelType w:val="hybridMultilevel"/>
    <w:tmpl w:val="9D94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F96A88"/>
    <w:multiLevelType w:val="hybridMultilevel"/>
    <w:tmpl w:val="6858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BB5569"/>
    <w:multiLevelType w:val="hybridMultilevel"/>
    <w:tmpl w:val="D442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7915DF"/>
    <w:multiLevelType w:val="hybridMultilevel"/>
    <w:tmpl w:val="6D60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
  </w:num>
  <w:num w:numId="4">
    <w:abstractNumId w:val="15"/>
  </w:num>
  <w:num w:numId="5">
    <w:abstractNumId w:val="5"/>
  </w:num>
  <w:num w:numId="6">
    <w:abstractNumId w:val="9"/>
  </w:num>
  <w:num w:numId="7">
    <w:abstractNumId w:val="12"/>
  </w:num>
  <w:num w:numId="8">
    <w:abstractNumId w:val="16"/>
  </w:num>
  <w:num w:numId="9">
    <w:abstractNumId w:val="7"/>
  </w:num>
  <w:num w:numId="10">
    <w:abstractNumId w:val="8"/>
  </w:num>
  <w:num w:numId="11">
    <w:abstractNumId w:val="6"/>
  </w:num>
  <w:num w:numId="12">
    <w:abstractNumId w:val="14"/>
  </w:num>
  <w:num w:numId="13">
    <w:abstractNumId w:val="18"/>
  </w:num>
  <w:num w:numId="14">
    <w:abstractNumId w:val="1"/>
  </w:num>
  <w:num w:numId="15">
    <w:abstractNumId w:val="13"/>
  </w:num>
  <w:num w:numId="16">
    <w:abstractNumId w:val="11"/>
  </w:num>
  <w:num w:numId="17">
    <w:abstractNumId w:val="2"/>
  </w:num>
  <w:num w:numId="18">
    <w:abstractNumId w:val="0"/>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useFELayout/>
  </w:compat>
  <w:rsids>
    <w:rsidRoot w:val="008E7176"/>
    <w:rsid w:val="00080190"/>
    <w:rsid w:val="000A2F58"/>
    <w:rsid w:val="000A7068"/>
    <w:rsid w:val="000B6F42"/>
    <w:rsid w:val="000D09A0"/>
    <w:rsid w:val="00111BEA"/>
    <w:rsid w:val="00181E81"/>
    <w:rsid w:val="001C62EC"/>
    <w:rsid w:val="001D2326"/>
    <w:rsid w:val="001F7432"/>
    <w:rsid w:val="002043D9"/>
    <w:rsid w:val="00207C41"/>
    <w:rsid w:val="00313C87"/>
    <w:rsid w:val="00352275"/>
    <w:rsid w:val="00372E42"/>
    <w:rsid w:val="00397841"/>
    <w:rsid w:val="003F357B"/>
    <w:rsid w:val="003F4244"/>
    <w:rsid w:val="004308E1"/>
    <w:rsid w:val="004423FE"/>
    <w:rsid w:val="004F0432"/>
    <w:rsid w:val="00542123"/>
    <w:rsid w:val="0059451A"/>
    <w:rsid w:val="005B19E0"/>
    <w:rsid w:val="005E28E0"/>
    <w:rsid w:val="005E3DC0"/>
    <w:rsid w:val="005E43CA"/>
    <w:rsid w:val="007755A1"/>
    <w:rsid w:val="008230C1"/>
    <w:rsid w:val="008B4BE8"/>
    <w:rsid w:val="008E1D11"/>
    <w:rsid w:val="008E7176"/>
    <w:rsid w:val="00950C08"/>
    <w:rsid w:val="00966D48"/>
    <w:rsid w:val="00976224"/>
    <w:rsid w:val="009A49EB"/>
    <w:rsid w:val="00A154A7"/>
    <w:rsid w:val="00A40562"/>
    <w:rsid w:val="00A836A2"/>
    <w:rsid w:val="00AE04FD"/>
    <w:rsid w:val="00B01E9D"/>
    <w:rsid w:val="00B262C3"/>
    <w:rsid w:val="00B503FE"/>
    <w:rsid w:val="00B83CBD"/>
    <w:rsid w:val="00C22D70"/>
    <w:rsid w:val="00C445C8"/>
    <w:rsid w:val="00C47E40"/>
    <w:rsid w:val="00C9112E"/>
    <w:rsid w:val="00CD4C0A"/>
    <w:rsid w:val="00CD5AB3"/>
    <w:rsid w:val="00CF431B"/>
    <w:rsid w:val="00CF6919"/>
    <w:rsid w:val="00D23F29"/>
    <w:rsid w:val="00DF5887"/>
    <w:rsid w:val="00E53ABC"/>
    <w:rsid w:val="00E83DB3"/>
    <w:rsid w:val="00E90CF9"/>
    <w:rsid w:val="00EE1AAE"/>
    <w:rsid w:val="00F20662"/>
    <w:rsid w:val="00F6754D"/>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562"/>
    <w:rPr>
      <w:lang w:eastAsia="en-US"/>
    </w:rPr>
  </w:style>
  <w:style w:type="paragraph" w:styleId="Heading1">
    <w:name w:val="heading 1"/>
    <w:basedOn w:val="Normal"/>
    <w:next w:val="Normal"/>
    <w:link w:val="Heading1Char"/>
    <w:uiPriority w:val="9"/>
    <w:qFormat/>
    <w:rsid w:val="00111BEA"/>
    <w:pPr>
      <w:keepNext/>
      <w:keepLines/>
      <w:spacing w:before="120" w:after="240"/>
      <w:outlineLvl w:val="0"/>
    </w:pPr>
    <w:rPr>
      <w:rFonts w:ascii="Arial" w:eastAsiaTheme="majorEastAsia" w:hAnsi="Arial" w:cstheme="majorBidi"/>
      <w:b/>
      <w:bCs/>
      <w:color w:val="948A54" w:themeColor="background2" w:themeShade="80"/>
      <w:sz w:val="42"/>
      <w:szCs w:val="28"/>
    </w:rPr>
  </w:style>
  <w:style w:type="paragraph" w:styleId="Heading2">
    <w:name w:val="heading 2"/>
    <w:basedOn w:val="Normal"/>
    <w:next w:val="Normal"/>
    <w:link w:val="Heading2Char"/>
    <w:uiPriority w:val="9"/>
    <w:unhideWhenUsed/>
    <w:qFormat/>
    <w:rsid w:val="00111BEA"/>
    <w:pPr>
      <w:keepNext/>
      <w:keepLines/>
      <w:spacing w:before="240" w:after="120"/>
      <w:outlineLvl w:val="1"/>
    </w:pPr>
    <w:rPr>
      <w:rFonts w:ascii="Arial" w:eastAsiaTheme="majorEastAsia" w:hAnsi="Arial" w:cstheme="majorBidi"/>
      <w:b/>
      <w:bCs/>
      <w:color w:val="948A54" w:themeColor="background2" w:themeShade="80"/>
      <w:sz w:val="28"/>
      <w:szCs w:val="26"/>
    </w:rPr>
  </w:style>
  <w:style w:type="paragraph" w:styleId="Heading3">
    <w:name w:val="heading 3"/>
    <w:basedOn w:val="Normal"/>
    <w:next w:val="Normal"/>
    <w:link w:val="Heading3Char"/>
    <w:uiPriority w:val="9"/>
    <w:unhideWhenUsed/>
    <w:qFormat/>
    <w:rsid w:val="00111BEA"/>
    <w:pPr>
      <w:keepNext/>
      <w:keepLines/>
      <w:spacing w:before="200"/>
      <w:outlineLvl w:val="2"/>
    </w:pPr>
    <w:rPr>
      <w:rFonts w:ascii="Arial" w:eastAsiaTheme="majorEastAsia" w:hAnsi="Arial" w:cstheme="majorBidi"/>
      <w:b/>
      <w:bCs/>
      <w:color w:val="948A54" w:themeColor="background2" w:themeShade="80"/>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5E2A"/>
    <w:rPr>
      <w:rFonts w:ascii="Lucida Grande" w:hAnsi="Lucida Grande"/>
      <w:sz w:val="18"/>
      <w:szCs w:val="18"/>
    </w:rPr>
  </w:style>
  <w:style w:type="paragraph" w:customStyle="1" w:styleId="BasicParagraph">
    <w:name w:val="[Basic Paragraph]"/>
    <w:basedOn w:val="Normal"/>
    <w:uiPriority w:val="99"/>
    <w:rsid w:val="008E7176"/>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H3">
    <w:name w:val="H3"/>
    <w:basedOn w:val="Normal"/>
    <w:uiPriority w:val="99"/>
    <w:rsid w:val="008E7176"/>
    <w:pPr>
      <w:widowControl w:val="0"/>
      <w:tabs>
        <w:tab w:val="left" w:pos="680"/>
      </w:tabs>
      <w:suppressAutoHyphens/>
      <w:autoSpaceDE w:val="0"/>
      <w:autoSpaceDN w:val="0"/>
      <w:adjustRightInd w:val="0"/>
      <w:spacing w:before="170" w:after="57" w:line="260" w:lineRule="atLeast"/>
      <w:ind w:left="680" w:hanging="680"/>
      <w:textAlignment w:val="center"/>
    </w:pPr>
    <w:rPr>
      <w:rFonts w:ascii="VAGRoundedLT-Bold" w:hAnsi="VAGRoundedLT-Bold" w:cs="VAGRoundedLT-Bold"/>
      <w:b/>
      <w:bCs/>
      <w:color w:val="9EA274"/>
      <w:sz w:val="20"/>
      <w:szCs w:val="20"/>
      <w:lang w:val="en-US" w:eastAsia="ja-JP"/>
    </w:rPr>
  </w:style>
  <w:style w:type="paragraph" w:customStyle="1" w:styleId="byline">
    <w:name w:val="byline"/>
    <w:basedOn w:val="Normal"/>
    <w:uiPriority w:val="99"/>
    <w:rsid w:val="008E7176"/>
    <w:pPr>
      <w:widowControl w:val="0"/>
      <w:tabs>
        <w:tab w:val="left" w:pos="680"/>
      </w:tabs>
      <w:suppressAutoHyphens/>
      <w:autoSpaceDE w:val="0"/>
      <w:autoSpaceDN w:val="0"/>
      <w:adjustRightInd w:val="0"/>
      <w:spacing w:before="170" w:after="57" w:line="260" w:lineRule="atLeast"/>
      <w:ind w:left="680" w:hanging="680"/>
      <w:jc w:val="right"/>
      <w:textAlignment w:val="center"/>
    </w:pPr>
    <w:rPr>
      <w:rFonts w:ascii="VAGRoundedLT-Bold" w:hAnsi="VAGRoundedLT-Bold" w:cs="VAGRoundedLT-Bold"/>
      <w:b/>
      <w:bCs/>
      <w:color w:val="FFFFFF"/>
      <w:lang w:val="en-US" w:eastAsia="ja-JP"/>
    </w:rPr>
  </w:style>
  <w:style w:type="paragraph" w:customStyle="1" w:styleId="Verso">
    <w:name w:val="Verso"/>
    <w:basedOn w:val="Normal"/>
    <w:uiPriority w:val="99"/>
    <w:rsid w:val="008E7176"/>
    <w:pPr>
      <w:widowControl w:val="0"/>
      <w:suppressAutoHyphens/>
      <w:autoSpaceDE w:val="0"/>
      <w:autoSpaceDN w:val="0"/>
      <w:adjustRightInd w:val="0"/>
      <w:spacing w:after="57" w:line="240" w:lineRule="atLeast"/>
      <w:textAlignment w:val="center"/>
    </w:pPr>
    <w:rPr>
      <w:rFonts w:ascii="FranklinGothicLT-Book" w:hAnsi="FranklinGothicLT-Book" w:cs="FranklinGothicLT-Book"/>
      <w:color w:val="000000"/>
      <w:sz w:val="18"/>
      <w:szCs w:val="18"/>
      <w:lang w:val="en-US" w:eastAsia="ja-JP"/>
    </w:rPr>
  </w:style>
  <w:style w:type="character" w:customStyle="1" w:styleId="Medium">
    <w:name w:val="Medium"/>
    <w:uiPriority w:val="99"/>
    <w:rsid w:val="008E7176"/>
  </w:style>
  <w:style w:type="character" w:customStyle="1" w:styleId="InstructionText">
    <w:name w:val="Instruction Text"/>
    <w:uiPriority w:val="99"/>
    <w:rsid w:val="008E7176"/>
    <w:rPr>
      <w:i/>
      <w:iCs/>
      <w:color w:val="0070C0"/>
      <w:w w:val="100"/>
    </w:rPr>
  </w:style>
  <w:style w:type="character" w:customStyle="1" w:styleId="ital">
    <w:name w:val="ital"/>
    <w:uiPriority w:val="99"/>
    <w:rsid w:val="008E7176"/>
    <w:rPr>
      <w:i/>
      <w:iCs/>
    </w:rPr>
  </w:style>
  <w:style w:type="character" w:styleId="Hyperlink">
    <w:name w:val="Hyperlink"/>
    <w:basedOn w:val="DefaultParagraphFont"/>
    <w:uiPriority w:val="99"/>
    <w:rsid w:val="008E7176"/>
    <w:rPr>
      <w:color w:val="00467E"/>
      <w:w w:val="100"/>
      <w:u w:val="none" w:color="9EA274"/>
    </w:rPr>
  </w:style>
  <w:style w:type="paragraph" w:customStyle="1" w:styleId="Body">
    <w:name w:val="Body"/>
    <w:basedOn w:val="NoParagraphStyle"/>
    <w:uiPriority w:val="99"/>
    <w:rsid w:val="008E7176"/>
    <w:pPr>
      <w:suppressAutoHyphens/>
      <w:spacing w:after="170" w:line="260" w:lineRule="atLeast"/>
    </w:pPr>
    <w:rPr>
      <w:rFonts w:ascii="FranklinGothicLT-Book" w:hAnsi="FranklinGothicLT-Book" w:cs="FranklinGothicLT-Book"/>
      <w:sz w:val="20"/>
      <w:szCs w:val="20"/>
      <w:lang w:val="en-US"/>
    </w:rPr>
  </w:style>
  <w:style w:type="paragraph" w:customStyle="1" w:styleId="NoParagraphStyle">
    <w:name w:val="[No Paragraph Style]"/>
    <w:rsid w:val="008E717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H1">
    <w:name w:val="H1"/>
    <w:basedOn w:val="NoParagraphStyle"/>
    <w:uiPriority w:val="99"/>
    <w:rsid w:val="008E7176"/>
    <w:pPr>
      <w:tabs>
        <w:tab w:val="left" w:pos="567"/>
      </w:tabs>
      <w:suppressAutoHyphens/>
      <w:spacing w:after="227" w:line="480" w:lineRule="atLeast"/>
      <w:ind w:left="567" w:hanging="567"/>
    </w:pPr>
    <w:rPr>
      <w:rFonts w:ascii="VAGRoundedLT-Bold" w:hAnsi="VAGRoundedLT-Bold" w:cs="VAGRoundedLT-Bold"/>
      <w:b/>
      <w:bCs/>
      <w:color w:val="9EA274"/>
      <w:sz w:val="40"/>
      <w:szCs w:val="40"/>
      <w:lang w:val="en-US"/>
    </w:rPr>
  </w:style>
  <w:style w:type="paragraph" w:customStyle="1" w:styleId="TOC1">
    <w:name w:val="TOC1"/>
    <w:basedOn w:val="Body"/>
    <w:next w:val="Body"/>
    <w:uiPriority w:val="99"/>
    <w:rsid w:val="008E7176"/>
    <w:pPr>
      <w:tabs>
        <w:tab w:val="right" w:leader="dot" w:pos="9016"/>
      </w:tabs>
      <w:ind w:left="567" w:hanging="567"/>
    </w:pPr>
    <w:rPr>
      <w:rFonts w:ascii="FranklinGothicLT-Medium" w:hAnsi="FranklinGothicLT-Medium" w:cs="FranklinGothicLT-Medium"/>
    </w:rPr>
  </w:style>
  <w:style w:type="paragraph" w:customStyle="1" w:styleId="TOC2">
    <w:name w:val="TOC2"/>
    <w:basedOn w:val="Body"/>
    <w:next w:val="Body"/>
    <w:uiPriority w:val="99"/>
    <w:rsid w:val="008E7176"/>
    <w:pPr>
      <w:tabs>
        <w:tab w:val="left" w:pos="880"/>
        <w:tab w:val="right" w:leader="dot" w:pos="9016"/>
      </w:tabs>
      <w:spacing w:after="113"/>
      <w:ind w:left="1134" w:hanging="567"/>
    </w:pPr>
  </w:style>
  <w:style w:type="paragraph" w:customStyle="1" w:styleId="H2">
    <w:name w:val="H2"/>
    <w:basedOn w:val="H1"/>
    <w:uiPriority w:val="99"/>
    <w:rsid w:val="008E7176"/>
    <w:pPr>
      <w:spacing w:before="227" w:after="113" w:line="360" w:lineRule="atLeast"/>
    </w:pPr>
    <w:rPr>
      <w:sz w:val="28"/>
      <w:szCs w:val="28"/>
    </w:rPr>
  </w:style>
  <w:style w:type="paragraph" w:customStyle="1" w:styleId="TOC3">
    <w:name w:val="TOC3"/>
    <w:basedOn w:val="TOC1"/>
    <w:uiPriority w:val="99"/>
    <w:rsid w:val="008E7176"/>
    <w:pPr>
      <w:ind w:left="1134" w:hanging="1134"/>
    </w:pPr>
  </w:style>
  <w:style w:type="paragraph" w:customStyle="1" w:styleId="Tabletext">
    <w:name w:val="Tabletext"/>
    <w:basedOn w:val="Body"/>
    <w:uiPriority w:val="99"/>
    <w:rsid w:val="008E7176"/>
    <w:pPr>
      <w:spacing w:after="113"/>
    </w:pPr>
  </w:style>
  <w:style w:type="paragraph" w:customStyle="1" w:styleId="bullets">
    <w:name w:val="bullets"/>
    <w:basedOn w:val="NoParagraphStyle"/>
    <w:uiPriority w:val="99"/>
    <w:rsid w:val="008E7176"/>
    <w:pPr>
      <w:tabs>
        <w:tab w:val="left" w:pos="426"/>
      </w:tabs>
      <w:suppressAutoHyphens/>
      <w:spacing w:after="113" w:line="260" w:lineRule="atLeast"/>
      <w:ind w:left="454" w:hanging="454"/>
    </w:pPr>
    <w:rPr>
      <w:rFonts w:ascii="FranklinGothicLT-Book" w:hAnsi="FranklinGothicLT-Book" w:cs="FranklinGothicLT-Book"/>
      <w:sz w:val="20"/>
      <w:szCs w:val="20"/>
      <w:lang w:val="en-US"/>
    </w:rPr>
  </w:style>
  <w:style w:type="paragraph" w:customStyle="1" w:styleId="bulletlast">
    <w:name w:val="bulletlast"/>
    <w:basedOn w:val="bullets"/>
    <w:uiPriority w:val="99"/>
    <w:rsid w:val="008E7176"/>
    <w:pPr>
      <w:spacing w:after="227"/>
    </w:pPr>
  </w:style>
  <w:style w:type="paragraph" w:customStyle="1" w:styleId="Figurehead">
    <w:name w:val="Figurehead"/>
    <w:basedOn w:val="NoParagraphStyle"/>
    <w:uiPriority w:val="99"/>
    <w:rsid w:val="008E7176"/>
    <w:pPr>
      <w:tabs>
        <w:tab w:val="left" w:pos="1134"/>
      </w:tabs>
      <w:suppressAutoHyphens/>
      <w:spacing w:after="227" w:line="240" w:lineRule="atLeast"/>
      <w:ind w:left="1134" w:hanging="1134"/>
    </w:pPr>
    <w:rPr>
      <w:rFonts w:ascii="FranklinGothicLT-Medium" w:hAnsi="FranklinGothicLT-Medium" w:cs="FranklinGothicLT-Medium"/>
      <w:sz w:val="20"/>
      <w:szCs w:val="20"/>
      <w:lang w:val="en-US"/>
    </w:rPr>
  </w:style>
  <w:style w:type="paragraph" w:customStyle="1" w:styleId="Tablehead">
    <w:name w:val="Tablehead"/>
    <w:basedOn w:val="NoParagraphStyle"/>
    <w:uiPriority w:val="99"/>
    <w:rsid w:val="008E7176"/>
    <w:pPr>
      <w:keepNext/>
      <w:tabs>
        <w:tab w:val="left" w:pos="284"/>
      </w:tabs>
      <w:suppressAutoHyphens/>
      <w:spacing w:after="227" w:line="240" w:lineRule="atLeast"/>
      <w:ind w:left="1134" w:hanging="1134"/>
    </w:pPr>
    <w:rPr>
      <w:rFonts w:ascii="FranklinGothicLT-Medium" w:hAnsi="FranklinGothicLT-Medium" w:cs="FranklinGothicLT-Medium"/>
      <w:sz w:val="20"/>
      <w:szCs w:val="20"/>
      <w:lang w:val="en-US"/>
    </w:rPr>
  </w:style>
  <w:style w:type="paragraph" w:customStyle="1" w:styleId="source">
    <w:name w:val="source"/>
    <w:basedOn w:val="Body"/>
    <w:uiPriority w:val="99"/>
    <w:rsid w:val="008E7176"/>
    <w:pPr>
      <w:spacing w:after="0" w:line="160" w:lineRule="atLeast"/>
    </w:pPr>
    <w:rPr>
      <w:sz w:val="14"/>
      <w:szCs w:val="14"/>
    </w:rPr>
  </w:style>
  <w:style w:type="paragraph" w:customStyle="1" w:styleId="Footnote">
    <w:name w:val="Footnote"/>
    <w:basedOn w:val="Body"/>
    <w:uiPriority w:val="99"/>
    <w:rsid w:val="008E7176"/>
    <w:pPr>
      <w:pBdr>
        <w:top w:val="single" w:sz="8" w:space="11" w:color="auto"/>
      </w:pBdr>
      <w:spacing w:before="227" w:line="200" w:lineRule="atLeast"/>
      <w:ind w:left="170" w:hanging="170"/>
    </w:pPr>
    <w:rPr>
      <w:sz w:val="16"/>
      <w:szCs w:val="16"/>
    </w:rPr>
  </w:style>
  <w:style w:type="paragraph" w:customStyle="1" w:styleId="H4">
    <w:name w:val="H4"/>
    <w:basedOn w:val="Body"/>
    <w:uiPriority w:val="99"/>
    <w:rsid w:val="008E7176"/>
    <w:pPr>
      <w:spacing w:before="113" w:after="57"/>
    </w:pPr>
    <w:rPr>
      <w:rFonts w:ascii="FranklinGothicLT-MediumItal" w:hAnsi="FranklinGothicLT-MediumItal" w:cs="FranklinGothicLT-MediumItal"/>
      <w:i/>
      <w:iCs/>
    </w:rPr>
  </w:style>
  <w:style w:type="paragraph" w:customStyle="1" w:styleId="H5">
    <w:name w:val="H5"/>
    <w:basedOn w:val="H4"/>
    <w:uiPriority w:val="99"/>
    <w:rsid w:val="008E7176"/>
    <w:rPr>
      <w:rFonts w:ascii="FranklinGothicLT-Medium" w:hAnsi="FranklinGothicLT-Medium" w:cs="FranklinGothicLT-Medium"/>
    </w:rPr>
  </w:style>
  <w:style w:type="paragraph" w:customStyle="1" w:styleId="Tablebullets">
    <w:name w:val="Tablebullets"/>
    <w:basedOn w:val="Tabletext"/>
    <w:uiPriority w:val="99"/>
    <w:rsid w:val="008E7176"/>
    <w:pPr>
      <w:spacing w:after="57"/>
      <w:ind w:left="170" w:hanging="170"/>
    </w:pPr>
  </w:style>
  <w:style w:type="paragraph" w:customStyle="1" w:styleId="extratablebullet">
    <w:name w:val="extratablebullet"/>
    <w:basedOn w:val="Tablebullets"/>
    <w:uiPriority w:val="99"/>
    <w:rsid w:val="008E7176"/>
    <w:pPr>
      <w:ind w:left="340"/>
    </w:pPr>
  </w:style>
  <w:style w:type="paragraph" w:customStyle="1" w:styleId="SMALLTabletext">
    <w:name w:val="SMALLTabletext"/>
    <w:basedOn w:val="Body"/>
    <w:uiPriority w:val="99"/>
    <w:rsid w:val="008E7176"/>
    <w:pPr>
      <w:spacing w:after="113" w:line="160" w:lineRule="atLeast"/>
    </w:pPr>
    <w:rPr>
      <w:sz w:val="14"/>
      <w:szCs w:val="14"/>
    </w:rPr>
  </w:style>
  <w:style w:type="paragraph" w:customStyle="1" w:styleId="figureextra">
    <w:name w:val="figureextra"/>
    <w:basedOn w:val="Figurehead"/>
    <w:uiPriority w:val="99"/>
    <w:rsid w:val="008E7176"/>
    <w:pPr>
      <w:ind w:firstLine="0"/>
    </w:pPr>
  </w:style>
  <w:style w:type="paragraph" w:styleId="ListBullet">
    <w:name w:val="List Bullet"/>
    <w:basedOn w:val="Normal"/>
    <w:uiPriority w:val="99"/>
    <w:unhideWhenUsed/>
    <w:rsid w:val="00F20662"/>
    <w:pPr>
      <w:numPr>
        <w:numId w:val="18"/>
      </w:numPr>
      <w:contextualSpacing/>
    </w:pPr>
  </w:style>
  <w:style w:type="paragraph" w:styleId="FootnoteText">
    <w:name w:val="footnote text"/>
    <w:basedOn w:val="Normal"/>
    <w:link w:val="FootnoteTextChar"/>
    <w:uiPriority w:val="99"/>
    <w:semiHidden/>
    <w:unhideWhenUsed/>
    <w:rsid w:val="00E53ABC"/>
    <w:rPr>
      <w:sz w:val="20"/>
      <w:szCs w:val="20"/>
    </w:rPr>
  </w:style>
  <w:style w:type="character" w:customStyle="1" w:styleId="FootnoteTextChar">
    <w:name w:val="Footnote Text Char"/>
    <w:basedOn w:val="DefaultParagraphFont"/>
    <w:link w:val="FootnoteText"/>
    <w:uiPriority w:val="99"/>
    <w:semiHidden/>
    <w:rsid w:val="00E53ABC"/>
    <w:rPr>
      <w:sz w:val="20"/>
      <w:szCs w:val="20"/>
      <w:lang w:eastAsia="en-US"/>
    </w:rPr>
  </w:style>
  <w:style w:type="character" w:styleId="FootnoteReference">
    <w:name w:val="footnote reference"/>
    <w:basedOn w:val="DefaultParagraphFont"/>
    <w:uiPriority w:val="99"/>
    <w:semiHidden/>
    <w:unhideWhenUsed/>
    <w:rsid w:val="00E53ABC"/>
    <w:rPr>
      <w:vertAlign w:val="superscript"/>
    </w:rPr>
  </w:style>
  <w:style w:type="paragraph" w:styleId="Header">
    <w:name w:val="header"/>
    <w:basedOn w:val="Normal"/>
    <w:link w:val="HeaderChar"/>
    <w:uiPriority w:val="99"/>
    <w:semiHidden/>
    <w:unhideWhenUsed/>
    <w:rsid w:val="00313C87"/>
    <w:pPr>
      <w:tabs>
        <w:tab w:val="center" w:pos="4513"/>
        <w:tab w:val="right" w:pos="9026"/>
      </w:tabs>
    </w:pPr>
  </w:style>
  <w:style w:type="character" w:customStyle="1" w:styleId="HeaderChar">
    <w:name w:val="Header Char"/>
    <w:basedOn w:val="DefaultParagraphFont"/>
    <w:link w:val="Header"/>
    <w:uiPriority w:val="99"/>
    <w:semiHidden/>
    <w:rsid w:val="00313C87"/>
    <w:rPr>
      <w:lang w:eastAsia="en-US"/>
    </w:rPr>
  </w:style>
  <w:style w:type="paragraph" w:styleId="Footer">
    <w:name w:val="footer"/>
    <w:basedOn w:val="Normal"/>
    <w:link w:val="FooterChar"/>
    <w:uiPriority w:val="99"/>
    <w:unhideWhenUsed/>
    <w:rsid w:val="00313C87"/>
    <w:pPr>
      <w:tabs>
        <w:tab w:val="center" w:pos="4513"/>
        <w:tab w:val="right" w:pos="9026"/>
      </w:tabs>
    </w:pPr>
  </w:style>
  <w:style w:type="character" w:customStyle="1" w:styleId="FooterChar">
    <w:name w:val="Footer Char"/>
    <w:basedOn w:val="DefaultParagraphFont"/>
    <w:link w:val="Footer"/>
    <w:uiPriority w:val="99"/>
    <w:rsid w:val="00313C87"/>
    <w:rPr>
      <w:lang w:eastAsia="en-US"/>
    </w:rPr>
  </w:style>
  <w:style w:type="character" w:customStyle="1" w:styleId="Heading1Char">
    <w:name w:val="Heading 1 Char"/>
    <w:basedOn w:val="DefaultParagraphFont"/>
    <w:link w:val="Heading1"/>
    <w:uiPriority w:val="9"/>
    <w:rsid w:val="00111BEA"/>
    <w:rPr>
      <w:rFonts w:ascii="Arial" w:eastAsiaTheme="majorEastAsia" w:hAnsi="Arial" w:cstheme="majorBidi"/>
      <w:b/>
      <w:bCs/>
      <w:color w:val="948A54" w:themeColor="background2" w:themeShade="80"/>
      <w:sz w:val="42"/>
      <w:szCs w:val="28"/>
      <w:lang w:eastAsia="en-US"/>
    </w:rPr>
  </w:style>
  <w:style w:type="character" w:customStyle="1" w:styleId="Heading2Char">
    <w:name w:val="Heading 2 Char"/>
    <w:basedOn w:val="DefaultParagraphFont"/>
    <w:link w:val="Heading2"/>
    <w:uiPriority w:val="9"/>
    <w:rsid w:val="00111BEA"/>
    <w:rPr>
      <w:rFonts w:ascii="Arial" w:eastAsiaTheme="majorEastAsia" w:hAnsi="Arial" w:cstheme="majorBidi"/>
      <w:b/>
      <w:bCs/>
      <w:color w:val="948A54" w:themeColor="background2" w:themeShade="80"/>
      <w:sz w:val="28"/>
      <w:szCs w:val="26"/>
      <w:lang w:eastAsia="en-US"/>
    </w:rPr>
  </w:style>
  <w:style w:type="character" w:customStyle="1" w:styleId="Heading3Char">
    <w:name w:val="Heading 3 Char"/>
    <w:basedOn w:val="DefaultParagraphFont"/>
    <w:link w:val="Heading3"/>
    <w:uiPriority w:val="9"/>
    <w:rsid w:val="00111BEA"/>
    <w:rPr>
      <w:rFonts w:ascii="Arial" w:eastAsiaTheme="majorEastAsia" w:hAnsi="Arial" w:cstheme="majorBidi"/>
      <w:b/>
      <w:bCs/>
      <w:color w:val="948A54" w:themeColor="background2" w:themeShade="80"/>
      <w:sz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alloonText">
    <w:name w:val="Balloon Text"/>
    <w:basedOn w:val="Normal"/>
    <w:semiHidden/>
    <w:rsid w:val="00BE5E2A"/>
    <w:rPr>
      <w:rFonts w:ascii="Lucida Grande" w:hAnsi="Lucida Grande"/>
      <w:sz w:val="18"/>
      <w:szCs w:val="18"/>
    </w:rPr>
  </w:style>
  <w:style w:type="paragraph" w:customStyle="1" w:styleId="BasicParagraph">
    <w:name w:val="[Basic Paragraph]"/>
    <w:basedOn w:val="Normal"/>
    <w:uiPriority w:val="99"/>
    <w:rsid w:val="008E7176"/>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H3">
    <w:name w:val="H3"/>
    <w:basedOn w:val="Normal"/>
    <w:uiPriority w:val="99"/>
    <w:rsid w:val="008E7176"/>
    <w:pPr>
      <w:widowControl w:val="0"/>
      <w:tabs>
        <w:tab w:val="left" w:pos="680"/>
      </w:tabs>
      <w:suppressAutoHyphens/>
      <w:autoSpaceDE w:val="0"/>
      <w:autoSpaceDN w:val="0"/>
      <w:adjustRightInd w:val="0"/>
      <w:spacing w:before="170" w:after="57" w:line="260" w:lineRule="atLeast"/>
      <w:ind w:left="680" w:hanging="680"/>
      <w:textAlignment w:val="center"/>
    </w:pPr>
    <w:rPr>
      <w:rFonts w:ascii="VAGRoundedLT-Bold" w:hAnsi="VAGRoundedLT-Bold" w:cs="VAGRoundedLT-Bold"/>
      <w:b/>
      <w:bCs/>
      <w:color w:val="9EA274"/>
      <w:sz w:val="20"/>
      <w:szCs w:val="20"/>
      <w:lang w:val="en-US" w:eastAsia="ja-JP"/>
    </w:rPr>
  </w:style>
  <w:style w:type="paragraph" w:customStyle="1" w:styleId="byline">
    <w:name w:val="byline"/>
    <w:basedOn w:val="Normal"/>
    <w:uiPriority w:val="99"/>
    <w:rsid w:val="008E7176"/>
    <w:pPr>
      <w:widowControl w:val="0"/>
      <w:tabs>
        <w:tab w:val="left" w:pos="680"/>
      </w:tabs>
      <w:suppressAutoHyphens/>
      <w:autoSpaceDE w:val="0"/>
      <w:autoSpaceDN w:val="0"/>
      <w:adjustRightInd w:val="0"/>
      <w:spacing w:before="170" w:after="57" w:line="260" w:lineRule="atLeast"/>
      <w:ind w:left="680" w:hanging="680"/>
      <w:jc w:val="right"/>
      <w:textAlignment w:val="center"/>
    </w:pPr>
    <w:rPr>
      <w:rFonts w:ascii="VAGRoundedLT-Bold" w:hAnsi="VAGRoundedLT-Bold" w:cs="VAGRoundedLT-Bold"/>
      <w:b/>
      <w:bCs/>
      <w:color w:val="FFFFFF"/>
      <w:lang w:val="en-US" w:eastAsia="ja-JP"/>
    </w:rPr>
  </w:style>
  <w:style w:type="paragraph" w:customStyle="1" w:styleId="Verso">
    <w:name w:val="Verso"/>
    <w:basedOn w:val="Normal"/>
    <w:uiPriority w:val="99"/>
    <w:rsid w:val="008E7176"/>
    <w:pPr>
      <w:widowControl w:val="0"/>
      <w:suppressAutoHyphens/>
      <w:autoSpaceDE w:val="0"/>
      <w:autoSpaceDN w:val="0"/>
      <w:adjustRightInd w:val="0"/>
      <w:spacing w:after="57" w:line="240" w:lineRule="atLeast"/>
      <w:textAlignment w:val="center"/>
    </w:pPr>
    <w:rPr>
      <w:rFonts w:ascii="FranklinGothicLT-Book" w:hAnsi="FranklinGothicLT-Book" w:cs="FranklinGothicLT-Book"/>
      <w:color w:val="000000"/>
      <w:sz w:val="18"/>
      <w:szCs w:val="18"/>
      <w:lang w:val="en-US" w:eastAsia="ja-JP"/>
    </w:rPr>
  </w:style>
  <w:style w:type="character" w:customStyle="1" w:styleId="Medium">
    <w:name w:val="Medium"/>
    <w:uiPriority w:val="99"/>
    <w:rsid w:val="008E7176"/>
  </w:style>
  <w:style w:type="character" w:customStyle="1" w:styleId="InstructionText">
    <w:name w:val="Instruction Text"/>
    <w:uiPriority w:val="99"/>
    <w:rsid w:val="008E7176"/>
    <w:rPr>
      <w:i/>
      <w:iCs/>
      <w:color w:val="0070C0"/>
      <w:w w:val="100"/>
    </w:rPr>
  </w:style>
  <w:style w:type="character" w:customStyle="1" w:styleId="ital">
    <w:name w:val="ital"/>
    <w:uiPriority w:val="99"/>
    <w:rsid w:val="008E7176"/>
    <w:rPr>
      <w:i/>
      <w:iCs/>
    </w:rPr>
  </w:style>
  <w:style w:type="character" w:styleId="Hyperlink">
    <w:name w:val="Hyperlink"/>
    <w:basedOn w:val="DefaultParagraphFont"/>
    <w:uiPriority w:val="99"/>
    <w:rsid w:val="008E7176"/>
    <w:rPr>
      <w:color w:val="00467E"/>
      <w:w w:val="100"/>
      <w:u w:val="none" w:color="9EA274"/>
    </w:rPr>
  </w:style>
  <w:style w:type="paragraph" w:customStyle="1" w:styleId="Body">
    <w:name w:val="Body"/>
    <w:basedOn w:val="NoParagraphStyle"/>
    <w:uiPriority w:val="99"/>
    <w:rsid w:val="008E7176"/>
    <w:pPr>
      <w:suppressAutoHyphens/>
      <w:spacing w:after="170" w:line="260" w:lineRule="atLeast"/>
    </w:pPr>
    <w:rPr>
      <w:rFonts w:ascii="FranklinGothicLT-Book" w:hAnsi="FranklinGothicLT-Book" w:cs="FranklinGothicLT-Book"/>
      <w:sz w:val="20"/>
      <w:szCs w:val="20"/>
      <w:lang w:val="en-US"/>
    </w:rPr>
  </w:style>
  <w:style w:type="paragraph" w:customStyle="1" w:styleId="NoParagraphStyle">
    <w:name w:val="[No Paragraph Style]"/>
    <w:rsid w:val="008E717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H1">
    <w:name w:val="H1"/>
    <w:basedOn w:val="NoParagraphStyle"/>
    <w:uiPriority w:val="99"/>
    <w:rsid w:val="008E7176"/>
    <w:pPr>
      <w:tabs>
        <w:tab w:val="left" w:pos="567"/>
      </w:tabs>
      <w:suppressAutoHyphens/>
      <w:spacing w:after="227" w:line="480" w:lineRule="atLeast"/>
      <w:ind w:left="567" w:hanging="567"/>
    </w:pPr>
    <w:rPr>
      <w:rFonts w:ascii="VAGRoundedLT-Bold" w:hAnsi="VAGRoundedLT-Bold" w:cs="VAGRoundedLT-Bold"/>
      <w:b/>
      <w:bCs/>
      <w:color w:val="9EA274"/>
      <w:sz w:val="40"/>
      <w:szCs w:val="40"/>
      <w:lang w:val="en-US"/>
    </w:rPr>
  </w:style>
  <w:style w:type="paragraph" w:customStyle="1" w:styleId="TOC1">
    <w:name w:val="TOC1"/>
    <w:basedOn w:val="Body"/>
    <w:next w:val="Body"/>
    <w:uiPriority w:val="99"/>
    <w:rsid w:val="008E7176"/>
    <w:pPr>
      <w:tabs>
        <w:tab w:val="right" w:leader="dot" w:pos="9016"/>
      </w:tabs>
      <w:ind w:left="567" w:hanging="567"/>
    </w:pPr>
    <w:rPr>
      <w:rFonts w:ascii="FranklinGothicLT-Medium" w:hAnsi="FranklinGothicLT-Medium" w:cs="FranklinGothicLT-Medium"/>
    </w:rPr>
  </w:style>
  <w:style w:type="paragraph" w:customStyle="1" w:styleId="TOC2">
    <w:name w:val="TOC2"/>
    <w:basedOn w:val="Body"/>
    <w:next w:val="Body"/>
    <w:uiPriority w:val="99"/>
    <w:rsid w:val="008E7176"/>
    <w:pPr>
      <w:tabs>
        <w:tab w:val="left" w:pos="880"/>
        <w:tab w:val="right" w:leader="dot" w:pos="9016"/>
      </w:tabs>
      <w:spacing w:after="113"/>
      <w:ind w:left="1134" w:hanging="567"/>
    </w:pPr>
  </w:style>
  <w:style w:type="paragraph" w:customStyle="1" w:styleId="H2">
    <w:name w:val="H2"/>
    <w:basedOn w:val="H1"/>
    <w:uiPriority w:val="99"/>
    <w:rsid w:val="008E7176"/>
    <w:pPr>
      <w:spacing w:before="227" w:after="113" w:line="360" w:lineRule="atLeast"/>
    </w:pPr>
    <w:rPr>
      <w:sz w:val="28"/>
      <w:szCs w:val="28"/>
    </w:rPr>
  </w:style>
  <w:style w:type="paragraph" w:customStyle="1" w:styleId="TOC3">
    <w:name w:val="TOC3"/>
    <w:basedOn w:val="TOC1"/>
    <w:uiPriority w:val="99"/>
    <w:rsid w:val="008E7176"/>
    <w:pPr>
      <w:ind w:left="1134" w:hanging="1134"/>
    </w:pPr>
  </w:style>
  <w:style w:type="paragraph" w:customStyle="1" w:styleId="Tabletext">
    <w:name w:val="Tabletext"/>
    <w:basedOn w:val="Body"/>
    <w:uiPriority w:val="99"/>
    <w:rsid w:val="008E7176"/>
    <w:pPr>
      <w:spacing w:after="113"/>
    </w:pPr>
  </w:style>
  <w:style w:type="paragraph" w:customStyle="1" w:styleId="bullets">
    <w:name w:val="bullets"/>
    <w:basedOn w:val="NoParagraphStyle"/>
    <w:uiPriority w:val="99"/>
    <w:rsid w:val="008E7176"/>
    <w:pPr>
      <w:tabs>
        <w:tab w:val="left" w:pos="426"/>
      </w:tabs>
      <w:suppressAutoHyphens/>
      <w:spacing w:after="113" w:line="260" w:lineRule="atLeast"/>
      <w:ind w:left="454" w:hanging="454"/>
    </w:pPr>
    <w:rPr>
      <w:rFonts w:ascii="FranklinGothicLT-Book" w:hAnsi="FranklinGothicLT-Book" w:cs="FranklinGothicLT-Book"/>
      <w:sz w:val="20"/>
      <w:szCs w:val="20"/>
      <w:lang w:val="en-US"/>
    </w:rPr>
  </w:style>
  <w:style w:type="paragraph" w:customStyle="1" w:styleId="bulletlast">
    <w:name w:val="bulletlast"/>
    <w:basedOn w:val="bullets"/>
    <w:uiPriority w:val="99"/>
    <w:rsid w:val="008E7176"/>
    <w:pPr>
      <w:spacing w:after="227"/>
    </w:pPr>
  </w:style>
  <w:style w:type="paragraph" w:customStyle="1" w:styleId="Figurehead">
    <w:name w:val="Figurehead"/>
    <w:basedOn w:val="NoParagraphStyle"/>
    <w:uiPriority w:val="99"/>
    <w:rsid w:val="008E7176"/>
    <w:pPr>
      <w:tabs>
        <w:tab w:val="left" w:pos="1134"/>
      </w:tabs>
      <w:suppressAutoHyphens/>
      <w:spacing w:after="227" w:line="240" w:lineRule="atLeast"/>
      <w:ind w:left="1134" w:hanging="1134"/>
    </w:pPr>
    <w:rPr>
      <w:rFonts w:ascii="FranklinGothicLT-Medium" w:hAnsi="FranklinGothicLT-Medium" w:cs="FranklinGothicLT-Medium"/>
      <w:sz w:val="20"/>
      <w:szCs w:val="20"/>
      <w:lang w:val="en-US"/>
    </w:rPr>
  </w:style>
  <w:style w:type="paragraph" w:customStyle="1" w:styleId="Tablehead">
    <w:name w:val="Tablehead"/>
    <w:basedOn w:val="NoParagraphStyle"/>
    <w:uiPriority w:val="99"/>
    <w:rsid w:val="008E7176"/>
    <w:pPr>
      <w:keepNext/>
      <w:tabs>
        <w:tab w:val="left" w:pos="284"/>
      </w:tabs>
      <w:suppressAutoHyphens/>
      <w:spacing w:after="227" w:line="240" w:lineRule="atLeast"/>
      <w:ind w:left="1134" w:hanging="1134"/>
    </w:pPr>
    <w:rPr>
      <w:rFonts w:ascii="FranklinGothicLT-Medium" w:hAnsi="FranklinGothicLT-Medium" w:cs="FranklinGothicLT-Medium"/>
      <w:sz w:val="20"/>
      <w:szCs w:val="20"/>
      <w:lang w:val="en-US"/>
    </w:rPr>
  </w:style>
  <w:style w:type="paragraph" w:customStyle="1" w:styleId="source">
    <w:name w:val="source"/>
    <w:basedOn w:val="Body"/>
    <w:uiPriority w:val="99"/>
    <w:rsid w:val="008E7176"/>
    <w:pPr>
      <w:spacing w:after="0" w:line="160" w:lineRule="atLeast"/>
    </w:pPr>
    <w:rPr>
      <w:sz w:val="14"/>
      <w:szCs w:val="14"/>
    </w:rPr>
  </w:style>
  <w:style w:type="paragraph" w:customStyle="1" w:styleId="Footnote">
    <w:name w:val="Footnote"/>
    <w:basedOn w:val="Body"/>
    <w:uiPriority w:val="99"/>
    <w:rsid w:val="008E7176"/>
    <w:pPr>
      <w:pBdr>
        <w:top w:val="single" w:sz="8" w:space="11" w:color="auto"/>
      </w:pBdr>
      <w:spacing w:before="227" w:line="200" w:lineRule="atLeast"/>
      <w:ind w:left="170" w:hanging="170"/>
    </w:pPr>
    <w:rPr>
      <w:sz w:val="16"/>
      <w:szCs w:val="16"/>
    </w:rPr>
  </w:style>
  <w:style w:type="paragraph" w:customStyle="1" w:styleId="H4">
    <w:name w:val="H4"/>
    <w:basedOn w:val="Body"/>
    <w:uiPriority w:val="99"/>
    <w:rsid w:val="008E7176"/>
    <w:pPr>
      <w:spacing w:before="113" w:after="57"/>
    </w:pPr>
    <w:rPr>
      <w:rFonts w:ascii="FranklinGothicLT-MediumItal" w:hAnsi="FranklinGothicLT-MediumItal" w:cs="FranklinGothicLT-MediumItal"/>
      <w:i/>
      <w:iCs/>
    </w:rPr>
  </w:style>
  <w:style w:type="paragraph" w:customStyle="1" w:styleId="H5">
    <w:name w:val="H5"/>
    <w:basedOn w:val="H4"/>
    <w:uiPriority w:val="99"/>
    <w:rsid w:val="008E7176"/>
    <w:rPr>
      <w:rFonts w:ascii="FranklinGothicLT-Medium" w:hAnsi="FranklinGothicLT-Medium" w:cs="FranklinGothicLT-Medium"/>
    </w:rPr>
  </w:style>
  <w:style w:type="paragraph" w:customStyle="1" w:styleId="Tablebullets">
    <w:name w:val="Tablebullets"/>
    <w:basedOn w:val="Tabletext"/>
    <w:uiPriority w:val="99"/>
    <w:rsid w:val="008E7176"/>
    <w:pPr>
      <w:spacing w:after="57"/>
      <w:ind w:left="170" w:hanging="170"/>
    </w:pPr>
  </w:style>
  <w:style w:type="paragraph" w:customStyle="1" w:styleId="extratablebullet">
    <w:name w:val="extratablebullet"/>
    <w:basedOn w:val="Tablebullets"/>
    <w:uiPriority w:val="99"/>
    <w:rsid w:val="008E7176"/>
    <w:pPr>
      <w:ind w:left="340"/>
    </w:pPr>
  </w:style>
  <w:style w:type="paragraph" w:customStyle="1" w:styleId="SMALLTabletext">
    <w:name w:val="SMALLTabletext"/>
    <w:basedOn w:val="Body"/>
    <w:uiPriority w:val="99"/>
    <w:rsid w:val="008E7176"/>
    <w:pPr>
      <w:spacing w:after="113" w:line="160" w:lineRule="atLeast"/>
    </w:pPr>
    <w:rPr>
      <w:sz w:val="14"/>
      <w:szCs w:val="14"/>
    </w:rPr>
  </w:style>
  <w:style w:type="paragraph" w:customStyle="1" w:styleId="figureextra">
    <w:name w:val="figureextra"/>
    <w:basedOn w:val="Figurehead"/>
    <w:uiPriority w:val="99"/>
    <w:rsid w:val="008E7176"/>
    <w:pPr>
      <w:ind w:firstLine="0"/>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water/publications/environmental/ecosystems/ae-toolkit-cs-1.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nvironment.gov.au/water/publications/environmental/ecosystems/ae-toolkit-cs-1.html" TargetMode="External"/><Relationship Id="rId4" Type="http://schemas.openxmlformats.org/officeDocument/2006/relationships/settings" Target="settings.xml"/><Relationship Id="rId9" Type="http://schemas.openxmlformats.org/officeDocument/2006/relationships/hyperlink" Target="mailto:public.affairs@environment.gov.au" TargetMode="External"/><Relationship Id="rId14" Type="http://schemas.openxmlformats.org/officeDocument/2006/relationships/fontTable" Target="fontTable.xm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4C7F1-3B48-4437-9BD0-6FAA7FF5C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2026</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Aquatic ecosystems toolkit - Case Study 1: Lake Eyre Basin -Title, verso title, TOC, abbreviations and introduction</dc:title>
  <dc:creator/>
  <cp:lastModifiedBy/>
  <cp:revision>1</cp:revision>
  <dcterms:created xsi:type="dcterms:W3CDTF">2012-09-17T03:28:00Z</dcterms:created>
  <dcterms:modified xsi:type="dcterms:W3CDTF">2013-04-18T03:45:00Z</dcterms:modified>
</cp:coreProperties>
</file>